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CACC57">
      <w:pPr>
        <w:tabs>
          <w:tab w:val="left" w:pos="2520"/>
        </w:tabs>
        <w:rPr>
          <w:rFonts w:eastAsia="仿宋_GB2312"/>
          <w:color w:val="auto"/>
          <w:sz w:val="36"/>
          <w:szCs w:val="36"/>
        </w:rPr>
      </w:pPr>
    </w:p>
    <w:p w14:paraId="745C5F5D">
      <w:pPr>
        <w:rPr>
          <w:rFonts w:eastAsia="仿宋_GB2312"/>
          <w:color w:val="auto"/>
          <w:sz w:val="36"/>
          <w:szCs w:val="36"/>
        </w:rPr>
      </w:pPr>
    </w:p>
    <w:p w14:paraId="548C9F98">
      <w:pPr>
        <w:rPr>
          <w:rFonts w:eastAsia="仿宋_GB2312"/>
          <w:color w:val="auto"/>
          <w:sz w:val="36"/>
          <w:szCs w:val="36"/>
        </w:rPr>
      </w:pPr>
    </w:p>
    <w:p w14:paraId="500F74E8">
      <w:pPr>
        <w:rPr>
          <w:rFonts w:eastAsia="仿宋_GB2312"/>
          <w:color w:val="auto"/>
          <w:sz w:val="36"/>
          <w:szCs w:val="36"/>
        </w:rPr>
      </w:pPr>
    </w:p>
    <w:p w14:paraId="6930A28F">
      <w:pPr>
        <w:adjustRightInd w:val="0"/>
        <w:snapToGrid w:val="0"/>
        <w:jc w:val="center"/>
        <w:outlineLvl w:val="0"/>
        <w:rPr>
          <w:rFonts w:eastAsia="方正小标宋_GBK"/>
          <w:bCs/>
          <w:color w:val="auto"/>
          <w:sz w:val="72"/>
          <w:szCs w:val="72"/>
        </w:rPr>
      </w:pPr>
      <w:r>
        <w:rPr>
          <w:rFonts w:eastAsia="方正小标宋_GBK"/>
          <w:bCs/>
          <w:color w:val="auto"/>
          <w:sz w:val="72"/>
          <w:szCs w:val="72"/>
        </w:rPr>
        <w:t>建设项目环境影响报告表</w:t>
      </w:r>
    </w:p>
    <w:p w14:paraId="6F275501">
      <w:pPr>
        <w:adjustRightInd w:val="0"/>
        <w:snapToGrid w:val="0"/>
        <w:spacing w:before="192" w:beforeLines="80"/>
        <w:jc w:val="center"/>
        <w:rPr>
          <w:rFonts w:eastAsia="楷体_GB2312"/>
          <w:bCs/>
          <w:color w:val="auto"/>
          <w:sz w:val="48"/>
          <w:szCs w:val="48"/>
        </w:rPr>
      </w:pPr>
      <w:r>
        <w:rPr>
          <w:rFonts w:hint="eastAsia" w:eastAsia="楷体_GB2312"/>
          <w:bCs/>
          <w:color w:val="auto"/>
          <w:sz w:val="48"/>
          <w:szCs w:val="48"/>
        </w:rPr>
        <w:t>（</w:t>
      </w:r>
      <w:r>
        <w:rPr>
          <w:rFonts w:eastAsia="楷体_GB2312"/>
          <w:bCs/>
          <w:color w:val="auto"/>
          <w:sz w:val="48"/>
          <w:szCs w:val="48"/>
        </w:rPr>
        <w:t>污染影响类）</w:t>
      </w:r>
    </w:p>
    <w:p w14:paraId="3444C20D">
      <w:pPr>
        <w:adjustRightInd w:val="0"/>
        <w:snapToGrid w:val="0"/>
        <w:spacing w:before="192" w:beforeLines="80"/>
        <w:jc w:val="center"/>
        <w:rPr>
          <w:rFonts w:eastAsia="楷体_GB2312"/>
          <w:bCs/>
          <w:color w:val="auto"/>
          <w:sz w:val="48"/>
          <w:szCs w:val="48"/>
        </w:rPr>
      </w:pPr>
      <w:r>
        <w:rPr>
          <w:rFonts w:hint="eastAsia" w:eastAsia="楷体_GB2312"/>
          <w:bCs/>
          <w:color w:val="auto"/>
          <w:sz w:val="48"/>
          <w:szCs w:val="48"/>
        </w:rPr>
        <w:t>（</w:t>
      </w:r>
      <w:r>
        <w:rPr>
          <w:rFonts w:hint="eastAsia" w:eastAsia="楷体_GB2312"/>
          <w:bCs/>
          <w:color w:val="auto"/>
          <w:sz w:val="48"/>
          <w:szCs w:val="48"/>
          <w:lang w:val="en-US" w:eastAsia="zh-CN"/>
        </w:rPr>
        <w:t>公示本</w:t>
      </w:r>
      <w:r>
        <w:rPr>
          <w:rFonts w:eastAsia="楷体_GB2312"/>
          <w:bCs/>
          <w:color w:val="auto"/>
          <w:sz w:val="48"/>
          <w:szCs w:val="48"/>
        </w:rPr>
        <w:t>）</w:t>
      </w:r>
    </w:p>
    <w:p w14:paraId="44A0E21E">
      <w:pPr>
        <w:jc w:val="center"/>
        <w:rPr>
          <w:rFonts w:eastAsia="仿宋"/>
          <w:color w:val="auto"/>
          <w:sz w:val="52"/>
          <w:szCs w:val="52"/>
        </w:rPr>
      </w:pPr>
    </w:p>
    <w:p w14:paraId="2AFF872C">
      <w:pPr>
        <w:ind w:firstLine="1040"/>
        <w:rPr>
          <w:rFonts w:eastAsia="仿宋"/>
          <w:color w:val="auto"/>
          <w:sz w:val="44"/>
          <w:szCs w:val="44"/>
        </w:rPr>
      </w:pPr>
    </w:p>
    <w:p w14:paraId="12EBE9D8">
      <w:pPr>
        <w:ind w:firstLine="1040"/>
        <w:rPr>
          <w:rFonts w:eastAsia="仿宋"/>
          <w:color w:val="auto"/>
          <w:sz w:val="44"/>
          <w:szCs w:val="44"/>
        </w:rPr>
      </w:pPr>
    </w:p>
    <w:p w14:paraId="700A8A35">
      <w:pPr>
        <w:ind w:firstLine="1040"/>
        <w:rPr>
          <w:rFonts w:eastAsia="仿宋"/>
          <w:color w:val="auto"/>
          <w:sz w:val="44"/>
          <w:szCs w:val="44"/>
        </w:rPr>
      </w:pPr>
    </w:p>
    <w:p w14:paraId="36B8E4FF">
      <w:pPr>
        <w:adjustRightInd w:val="0"/>
        <w:snapToGrid w:val="0"/>
        <w:spacing w:line="360" w:lineRule="auto"/>
        <w:ind w:left="2431" w:leftChars="472" w:hanging="1440" w:hangingChars="400"/>
        <w:rPr>
          <w:rFonts w:eastAsia="仿宋_GB2312"/>
          <w:color w:val="auto"/>
          <w:sz w:val="36"/>
          <w:szCs w:val="36"/>
          <w:u w:val="single"/>
        </w:rPr>
      </w:pPr>
      <w:r>
        <w:rPr>
          <w:rFonts w:eastAsia="仿宋_GB2312"/>
          <w:color w:val="auto"/>
          <w:sz w:val="36"/>
          <w:szCs w:val="36"/>
        </w:rPr>
        <w:t>项目名称</w:t>
      </w:r>
      <w:r>
        <w:rPr>
          <w:rFonts w:eastAsia="仿宋_GB2312"/>
          <w:color w:val="auto"/>
          <w:sz w:val="36"/>
          <w:szCs w:val="36"/>
          <w:u w:val="single"/>
        </w:rPr>
        <w:t>：</w:t>
      </w:r>
      <w:r>
        <w:rPr>
          <w:rFonts w:hint="eastAsia" w:eastAsia="仿宋_GB2312"/>
          <w:color w:val="auto"/>
          <w:sz w:val="36"/>
          <w:szCs w:val="36"/>
          <w:u w:val="single"/>
        </w:rPr>
        <w:t>800万只包装盒印刷及相关配件生产项目</w:t>
      </w:r>
      <w:r>
        <w:rPr>
          <w:rFonts w:eastAsia="仿宋_GB2312"/>
          <w:color w:val="auto"/>
          <w:sz w:val="36"/>
          <w:szCs w:val="36"/>
          <w:u w:val="single"/>
        </w:rPr>
        <w:t xml:space="preserve">   </w:t>
      </w:r>
    </w:p>
    <w:p w14:paraId="7813A062">
      <w:pPr>
        <w:adjustRightInd w:val="0"/>
        <w:snapToGrid w:val="0"/>
        <w:spacing w:line="360" w:lineRule="auto"/>
        <w:ind w:left="1558" w:leftChars="472" w:hanging="567"/>
        <w:rPr>
          <w:rFonts w:hint="eastAsia" w:ascii="Times New Roman" w:hAnsi="Times New Roman" w:eastAsia="仿宋_GB2312" w:cs="Times New Roman"/>
          <w:color w:val="auto"/>
          <w:sz w:val="36"/>
          <w:szCs w:val="36"/>
          <w:u w:val="single"/>
        </w:rPr>
      </w:pPr>
      <w:r>
        <w:rPr>
          <w:rFonts w:eastAsia="仿宋_GB2312"/>
          <w:color w:val="auto"/>
          <w:sz w:val="36"/>
          <w:szCs w:val="36"/>
        </w:rPr>
        <w:t>建设单位（盖章）：</w:t>
      </w:r>
      <w:r>
        <w:rPr>
          <w:rFonts w:hint="default" w:eastAsia="仿宋_GB2312"/>
          <w:color w:val="auto"/>
          <w:sz w:val="36"/>
          <w:szCs w:val="36"/>
          <w:u w:val="single"/>
          <w:lang w:eastAsia="zh-CN"/>
        </w:rPr>
        <w:t>四川桓洋智能科技有限公司</w:t>
      </w:r>
    </w:p>
    <w:p w14:paraId="0773A3CF">
      <w:pPr>
        <w:adjustRightInd w:val="0"/>
        <w:snapToGrid w:val="0"/>
        <w:spacing w:line="360" w:lineRule="auto"/>
        <w:ind w:firstLine="1040"/>
        <w:rPr>
          <w:rFonts w:eastAsia="仿宋_GB2312"/>
          <w:color w:val="auto"/>
          <w:sz w:val="36"/>
          <w:szCs w:val="36"/>
          <w:u w:val="single"/>
        </w:rPr>
      </w:pPr>
      <w:r>
        <w:rPr>
          <w:rFonts w:eastAsia="仿宋_GB2312"/>
          <w:color w:val="auto"/>
          <w:sz w:val="36"/>
          <w:szCs w:val="36"/>
        </w:rPr>
        <w:t>编制日期：</w:t>
      </w:r>
      <w:r>
        <w:rPr>
          <w:rFonts w:eastAsia="仿宋_GB2312"/>
          <w:color w:val="auto"/>
          <w:sz w:val="36"/>
          <w:szCs w:val="36"/>
          <w:u w:val="single"/>
        </w:rPr>
        <w:t xml:space="preserve">         202</w:t>
      </w:r>
      <w:r>
        <w:rPr>
          <w:rFonts w:hint="eastAsia" w:eastAsia="仿宋_GB2312"/>
          <w:color w:val="auto"/>
          <w:sz w:val="36"/>
          <w:szCs w:val="36"/>
          <w:u w:val="single"/>
          <w:lang w:val="en-US" w:eastAsia="zh-CN"/>
        </w:rPr>
        <w:t>5</w:t>
      </w:r>
      <w:r>
        <w:rPr>
          <w:rFonts w:eastAsia="仿宋_GB2312"/>
          <w:color w:val="auto"/>
          <w:sz w:val="36"/>
          <w:szCs w:val="36"/>
          <w:u w:val="single"/>
        </w:rPr>
        <w:t>年</w:t>
      </w:r>
      <w:r>
        <w:rPr>
          <w:rFonts w:hint="eastAsia" w:eastAsia="仿宋_GB2312"/>
          <w:color w:val="auto"/>
          <w:sz w:val="36"/>
          <w:szCs w:val="36"/>
          <w:u w:val="single"/>
          <w:lang w:val="en-US" w:eastAsia="zh-CN"/>
        </w:rPr>
        <w:t>5</w:t>
      </w:r>
      <w:r>
        <w:rPr>
          <w:rFonts w:eastAsia="仿宋_GB2312"/>
          <w:color w:val="auto"/>
          <w:sz w:val="36"/>
          <w:szCs w:val="36"/>
          <w:u w:val="single"/>
        </w:rPr>
        <w:t>月</w:t>
      </w:r>
      <w:r>
        <w:rPr>
          <w:rFonts w:hint="eastAsia" w:eastAsia="仿宋_GB2312"/>
          <w:color w:val="auto"/>
          <w:sz w:val="36"/>
          <w:szCs w:val="36"/>
          <w:u w:val="single"/>
          <w:lang w:val="en-US" w:eastAsia="zh-CN"/>
        </w:rPr>
        <w:t xml:space="preserve">   </w:t>
      </w:r>
      <w:r>
        <w:rPr>
          <w:rFonts w:hint="eastAsia" w:eastAsia="仿宋_GB2312"/>
          <w:color w:val="auto"/>
          <w:sz w:val="36"/>
          <w:szCs w:val="36"/>
          <w:u w:val="single"/>
        </w:rPr>
        <w:t xml:space="preserve"> </w:t>
      </w:r>
      <w:r>
        <w:rPr>
          <w:rFonts w:eastAsia="仿宋_GB2312"/>
          <w:color w:val="auto"/>
          <w:sz w:val="36"/>
          <w:szCs w:val="36"/>
          <w:u w:val="single"/>
        </w:rPr>
        <w:t xml:space="preserve">                                                    </w:t>
      </w:r>
    </w:p>
    <w:p w14:paraId="0B215067">
      <w:pPr>
        <w:adjustRightInd w:val="0"/>
        <w:snapToGrid w:val="0"/>
        <w:spacing w:line="288" w:lineRule="auto"/>
        <w:ind w:firstLine="1040"/>
        <w:rPr>
          <w:rFonts w:eastAsia="仿宋_GB2312"/>
          <w:color w:val="auto"/>
          <w:sz w:val="36"/>
          <w:szCs w:val="36"/>
          <w:u w:val="single"/>
        </w:rPr>
      </w:pPr>
      <w:bookmarkStart w:id="0" w:name="_Hlk57884087"/>
    </w:p>
    <w:p w14:paraId="19D9216E">
      <w:pPr>
        <w:adjustRightInd w:val="0"/>
        <w:snapToGrid w:val="0"/>
        <w:spacing w:line="288" w:lineRule="auto"/>
        <w:ind w:right="-86" w:rightChars="-41" w:firstLine="1040"/>
        <w:rPr>
          <w:rFonts w:eastAsia="仿宋_GB2312"/>
          <w:color w:val="auto"/>
          <w:sz w:val="36"/>
          <w:szCs w:val="36"/>
        </w:rPr>
      </w:pPr>
    </w:p>
    <w:p w14:paraId="0AAB6BA7">
      <w:pPr>
        <w:adjustRightInd w:val="0"/>
        <w:snapToGrid w:val="0"/>
        <w:spacing w:line="288" w:lineRule="auto"/>
        <w:ind w:firstLine="1040"/>
        <w:rPr>
          <w:rFonts w:eastAsia="仿宋_GB2312"/>
          <w:color w:val="auto"/>
          <w:sz w:val="36"/>
          <w:szCs w:val="36"/>
        </w:rPr>
      </w:pPr>
    </w:p>
    <w:bookmarkEnd w:id="0"/>
    <w:p w14:paraId="3F99036B">
      <w:pPr>
        <w:adjustRightInd w:val="0"/>
        <w:snapToGrid w:val="0"/>
        <w:spacing w:line="288" w:lineRule="auto"/>
        <w:jc w:val="center"/>
        <w:rPr>
          <w:rFonts w:eastAsia="楷体_GB2312"/>
          <w:color w:val="auto"/>
          <w:sz w:val="36"/>
          <w:szCs w:val="36"/>
        </w:rPr>
      </w:pPr>
      <w:r>
        <w:rPr>
          <w:rFonts w:eastAsia="楷体_GB2312"/>
          <w:color w:val="auto"/>
          <w:sz w:val="36"/>
          <w:szCs w:val="36"/>
        </w:rPr>
        <w:t>中华人民共和国生态环境部制</w:t>
      </w:r>
    </w:p>
    <w:p w14:paraId="4866571B">
      <w:pPr>
        <w:adjustRightInd w:val="0"/>
        <w:snapToGrid w:val="0"/>
        <w:spacing w:line="288" w:lineRule="auto"/>
        <w:ind w:firstLine="1040"/>
        <w:rPr>
          <w:rFonts w:eastAsia="仿宋_GB2312"/>
          <w:color w:val="auto"/>
          <w:sz w:val="36"/>
          <w:szCs w:val="36"/>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D9C2806">
      <w:pPr>
        <w:pStyle w:val="21"/>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p>
    <w:p w14:paraId="3C4DE47A">
      <w:pPr>
        <w:rPr>
          <w:rFonts w:hint="eastAsia" w:eastAsia="宋体"/>
          <w:vanish/>
          <w:color w:val="auto"/>
          <w:lang w:eastAsia="zh-CN"/>
        </w:rPr>
      </w:pPr>
      <w:r>
        <w:rPr>
          <w:rFonts w:hint="eastAsia"/>
          <w:vanish/>
          <w:color w:val="auto"/>
          <w:lang w:eastAsia="zh-CN"/>
        </w:rPr>
        <w:t>、</w:t>
      </w:r>
    </w:p>
    <w:tbl>
      <w:tblPr>
        <w:tblStyle w:val="25"/>
        <w:tblW w:w="9082"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86"/>
        <w:gridCol w:w="2740"/>
        <w:gridCol w:w="1766"/>
        <w:gridCol w:w="3390"/>
      </w:tblGrid>
      <w:tr w14:paraId="562BC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86" w:type="dxa"/>
            <w:noWrap w:val="0"/>
            <w:tcMar>
              <w:top w:w="16" w:type="dxa"/>
              <w:left w:w="16" w:type="dxa"/>
              <w:right w:w="16" w:type="dxa"/>
            </w:tcMar>
            <w:vAlign w:val="center"/>
          </w:tcPr>
          <w:p w14:paraId="5D3812C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rPr>
            </w:pPr>
            <w:r>
              <w:rPr>
                <w:rFonts w:hint="eastAsia" w:ascii="宋体" w:hAnsi="宋体" w:eastAsia="宋体" w:cs="宋体"/>
                <w:b/>
                <w:bCs/>
                <w:color w:val="auto"/>
                <w:sz w:val="24"/>
              </w:rPr>
              <w:t>建设项目名称</w:t>
            </w:r>
          </w:p>
        </w:tc>
        <w:tc>
          <w:tcPr>
            <w:tcW w:w="7896" w:type="dxa"/>
            <w:gridSpan w:val="3"/>
            <w:noWrap w:val="0"/>
            <w:vAlign w:val="center"/>
          </w:tcPr>
          <w:p w14:paraId="785CA8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lang w:eastAsia="zh-CN"/>
              </w:rPr>
            </w:pPr>
            <w:r>
              <w:rPr>
                <w:rFonts w:hint="eastAsia"/>
                <w:color w:val="auto"/>
                <w:sz w:val="24"/>
                <w:lang w:val="en-US" w:eastAsia="zh-CN"/>
              </w:rPr>
              <w:t>800万只包装盒印刷及相关配件生产项目</w:t>
            </w:r>
          </w:p>
        </w:tc>
      </w:tr>
      <w:tr w14:paraId="74F8FE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186" w:type="dxa"/>
            <w:noWrap w:val="0"/>
            <w:tcMar>
              <w:top w:w="16" w:type="dxa"/>
              <w:left w:w="16" w:type="dxa"/>
              <w:right w:w="16" w:type="dxa"/>
            </w:tcMar>
            <w:vAlign w:val="center"/>
          </w:tcPr>
          <w:p w14:paraId="7AA1061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rPr>
            </w:pPr>
            <w:r>
              <w:rPr>
                <w:rFonts w:hint="eastAsia" w:ascii="宋体" w:hAnsi="宋体" w:eastAsia="宋体" w:cs="宋体"/>
                <w:b/>
                <w:bCs/>
                <w:color w:val="auto"/>
                <w:sz w:val="24"/>
              </w:rPr>
              <w:t>项目代码</w:t>
            </w:r>
          </w:p>
        </w:tc>
        <w:tc>
          <w:tcPr>
            <w:tcW w:w="7896" w:type="dxa"/>
            <w:gridSpan w:val="3"/>
            <w:noWrap w:val="0"/>
            <w:vAlign w:val="center"/>
          </w:tcPr>
          <w:p w14:paraId="1BF18E4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lang w:eastAsia="zh-CN"/>
              </w:rPr>
            </w:pPr>
            <w:r>
              <w:rPr>
                <w:color w:val="auto"/>
                <w:sz w:val="24"/>
                <w:lang w:val="en-US" w:eastAsia="zh-CN"/>
              </w:rPr>
              <w:t xml:space="preserve">2502- </w:t>
            </w:r>
            <w:r>
              <w:rPr>
                <w:rFonts w:hint="eastAsia"/>
                <w:color w:val="auto"/>
                <w:sz w:val="24"/>
                <w:lang w:val="en-US" w:eastAsia="zh-CN"/>
              </w:rPr>
              <w:t>510923-07-02-642076</w:t>
            </w:r>
          </w:p>
        </w:tc>
      </w:tr>
      <w:tr w14:paraId="2E8D9A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86" w:type="dxa"/>
            <w:noWrap w:val="0"/>
            <w:tcMar>
              <w:top w:w="16" w:type="dxa"/>
              <w:left w:w="16" w:type="dxa"/>
              <w:right w:w="16" w:type="dxa"/>
            </w:tcMar>
            <w:vAlign w:val="center"/>
          </w:tcPr>
          <w:p w14:paraId="19120CD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rPr>
            </w:pPr>
            <w:r>
              <w:rPr>
                <w:rFonts w:hint="eastAsia" w:ascii="宋体" w:hAnsi="宋体" w:eastAsia="宋体" w:cs="宋体"/>
                <w:b/>
                <w:bCs/>
                <w:color w:val="auto"/>
                <w:sz w:val="24"/>
              </w:rPr>
              <w:t>建设单位联系人</w:t>
            </w:r>
          </w:p>
        </w:tc>
        <w:tc>
          <w:tcPr>
            <w:tcW w:w="2740" w:type="dxa"/>
            <w:noWrap w:val="0"/>
            <w:vAlign w:val="center"/>
          </w:tcPr>
          <w:p w14:paraId="3426AC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eastAsia" w:ascii="宋体" w:hAnsi="宋体" w:eastAsia="宋体" w:cs="宋体"/>
                <w:b w:val="0"/>
                <w:bCs w:val="0"/>
                <w:color w:val="auto"/>
                <w:sz w:val="24"/>
                <w:szCs w:val="24"/>
                <w:lang w:val="en-US" w:eastAsia="zh-CN"/>
              </w:rPr>
              <w:t>＊＊</w:t>
            </w:r>
          </w:p>
        </w:tc>
        <w:tc>
          <w:tcPr>
            <w:tcW w:w="1766" w:type="dxa"/>
            <w:noWrap w:val="0"/>
            <w:vAlign w:val="center"/>
          </w:tcPr>
          <w:p w14:paraId="68DF2B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联系方式</w:t>
            </w:r>
          </w:p>
        </w:tc>
        <w:tc>
          <w:tcPr>
            <w:tcW w:w="3390" w:type="dxa"/>
            <w:noWrap w:val="0"/>
            <w:vAlign w:val="center"/>
          </w:tcPr>
          <w:p w14:paraId="54F417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rPr>
            </w:pPr>
            <w:r>
              <w:rPr>
                <w:rFonts w:hint="eastAsia" w:ascii="宋体" w:hAnsi="宋体" w:eastAsia="宋体" w:cs="宋体"/>
                <w:b w:val="0"/>
                <w:bCs w:val="0"/>
                <w:color w:val="auto"/>
                <w:sz w:val="24"/>
                <w:szCs w:val="24"/>
                <w:lang w:val="en-US" w:eastAsia="zh-CN"/>
              </w:rPr>
              <w:t>＊＊＊＊＊＊＊＊＊＊＊</w:t>
            </w:r>
          </w:p>
        </w:tc>
      </w:tr>
      <w:tr w14:paraId="5FF04E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86" w:type="dxa"/>
            <w:noWrap w:val="0"/>
            <w:tcMar>
              <w:top w:w="16" w:type="dxa"/>
              <w:left w:w="16" w:type="dxa"/>
              <w:right w:w="16" w:type="dxa"/>
            </w:tcMar>
            <w:vAlign w:val="center"/>
          </w:tcPr>
          <w:p w14:paraId="58342C9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rPr>
            </w:pPr>
            <w:r>
              <w:rPr>
                <w:rFonts w:hint="eastAsia" w:ascii="宋体" w:hAnsi="宋体" w:eastAsia="宋体" w:cs="宋体"/>
                <w:b/>
                <w:bCs/>
                <w:color w:val="auto"/>
                <w:sz w:val="24"/>
              </w:rPr>
              <w:t>建设地点</w:t>
            </w:r>
          </w:p>
        </w:tc>
        <w:tc>
          <w:tcPr>
            <w:tcW w:w="7896" w:type="dxa"/>
            <w:gridSpan w:val="3"/>
            <w:noWrap w:val="0"/>
            <w:vAlign w:val="center"/>
          </w:tcPr>
          <w:p w14:paraId="18C6AB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lang w:eastAsia="zh-CN"/>
              </w:rPr>
            </w:pPr>
            <w:r>
              <w:rPr>
                <w:rFonts w:hint="default"/>
                <w:color w:val="auto"/>
                <w:sz w:val="24"/>
                <w:lang w:val="en-US"/>
              </w:rPr>
              <w:t>大英县蓬莱镇工业集中发展区采和大道1楼</w:t>
            </w:r>
          </w:p>
        </w:tc>
      </w:tr>
      <w:tr w14:paraId="0C7A19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186" w:type="dxa"/>
            <w:noWrap w:val="0"/>
            <w:tcMar>
              <w:top w:w="16" w:type="dxa"/>
              <w:left w:w="16" w:type="dxa"/>
              <w:right w:w="16" w:type="dxa"/>
            </w:tcMar>
            <w:vAlign w:val="center"/>
          </w:tcPr>
          <w:p w14:paraId="128F4FA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地理坐标</w:t>
            </w:r>
          </w:p>
        </w:tc>
        <w:tc>
          <w:tcPr>
            <w:tcW w:w="7896" w:type="dxa"/>
            <w:gridSpan w:val="3"/>
            <w:noWrap w:val="0"/>
            <w:vAlign w:val="center"/>
          </w:tcPr>
          <w:p w14:paraId="07A8D3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东经：</w:t>
            </w:r>
            <w:r>
              <w:rPr>
                <w:rFonts w:hint="eastAsia" w:cs="Times New Roman"/>
                <w:color w:val="auto"/>
                <w:sz w:val="24"/>
                <w:highlight w:val="none"/>
                <w:lang w:val="en-US" w:eastAsia="zh-CN"/>
              </w:rPr>
              <w:t>105</w:t>
            </w:r>
            <w:r>
              <w:rPr>
                <w:rFonts w:hint="default" w:ascii="Times New Roman" w:hAnsi="Times New Roman" w:eastAsia="宋体" w:cs="Times New Roman"/>
                <w:color w:val="auto"/>
                <w:spacing w:val="2"/>
                <w:highlight w:val="none"/>
              </w:rPr>
              <w:t>度</w:t>
            </w:r>
            <w:r>
              <w:rPr>
                <w:rFonts w:hint="eastAsia" w:cs="Times New Roman"/>
                <w:color w:val="auto"/>
                <w:sz w:val="24"/>
                <w:highlight w:val="none"/>
                <w:lang w:val="en-US" w:eastAsia="zh-CN"/>
              </w:rPr>
              <w:t>16</w:t>
            </w:r>
            <w:r>
              <w:rPr>
                <w:rFonts w:hint="default" w:ascii="Times New Roman" w:hAnsi="Times New Roman" w:eastAsia="宋体" w:cs="Times New Roman"/>
                <w:color w:val="auto"/>
                <w:spacing w:val="2"/>
                <w:highlight w:val="none"/>
              </w:rPr>
              <w:t>分</w:t>
            </w:r>
            <w:r>
              <w:rPr>
                <w:rFonts w:hint="eastAsia" w:cs="Times New Roman"/>
                <w:color w:val="auto"/>
                <w:sz w:val="24"/>
                <w:highlight w:val="none"/>
                <w:lang w:val="en-US" w:eastAsia="zh-CN"/>
              </w:rPr>
              <w:t>26.368</w:t>
            </w:r>
            <w:r>
              <w:rPr>
                <w:rFonts w:hint="default" w:ascii="Times New Roman" w:hAnsi="Times New Roman" w:eastAsia="宋体" w:cs="Times New Roman"/>
                <w:color w:val="auto"/>
                <w:spacing w:val="2"/>
                <w:highlight w:val="none"/>
              </w:rPr>
              <w:t>秒</w:t>
            </w:r>
            <w:r>
              <w:rPr>
                <w:rFonts w:hint="default" w:ascii="Times New Roman" w:hAnsi="Times New Roman" w:eastAsia="宋体" w:cs="Times New Roman"/>
                <w:color w:val="auto"/>
                <w:spacing w:val="2"/>
                <w:highlight w:val="none"/>
                <w:lang w:eastAsia="zh-CN"/>
              </w:rPr>
              <w:t>，</w:t>
            </w:r>
            <w:r>
              <w:rPr>
                <w:rFonts w:hint="default" w:ascii="Times New Roman" w:hAnsi="Times New Roman" w:eastAsia="宋体" w:cs="Times New Roman"/>
                <w:color w:val="auto"/>
                <w:sz w:val="24"/>
                <w:highlight w:val="none"/>
                <w:lang w:eastAsia="zh-CN"/>
              </w:rPr>
              <w:t>北纬：30</w:t>
            </w:r>
            <w:r>
              <w:rPr>
                <w:rFonts w:hint="default" w:ascii="Times New Roman" w:hAnsi="Times New Roman" w:eastAsia="宋体" w:cs="Times New Roman"/>
                <w:color w:val="auto"/>
                <w:spacing w:val="2"/>
                <w:highlight w:val="none"/>
              </w:rPr>
              <w:t>度</w:t>
            </w:r>
            <w:r>
              <w:rPr>
                <w:rFonts w:hint="eastAsia" w:cs="Times New Roman"/>
                <w:color w:val="auto"/>
                <w:sz w:val="24"/>
                <w:highlight w:val="none"/>
                <w:lang w:val="en-US" w:eastAsia="zh-CN"/>
              </w:rPr>
              <w:t>35</w:t>
            </w:r>
            <w:r>
              <w:rPr>
                <w:rFonts w:hint="default" w:ascii="Times New Roman" w:hAnsi="Times New Roman" w:eastAsia="宋体" w:cs="Times New Roman"/>
                <w:color w:val="auto"/>
                <w:spacing w:val="2"/>
                <w:highlight w:val="none"/>
              </w:rPr>
              <w:t>分</w:t>
            </w:r>
            <w:r>
              <w:rPr>
                <w:rFonts w:hint="eastAsia" w:cs="Times New Roman"/>
                <w:color w:val="auto"/>
                <w:sz w:val="24"/>
                <w:highlight w:val="none"/>
                <w:lang w:val="en-US" w:eastAsia="zh-CN"/>
              </w:rPr>
              <w:t>24.036</w:t>
            </w:r>
            <w:r>
              <w:rPr>
                <w:rFonts w:hint="default" w:ascii="Times New Roman" w:hAnsi="Times New Roman" w:eastAsia="宋体" w:cs="Times New Roman"/>
                <w:color w:val="auto"/>
                <w:spacing w:val="2"/>
                <w:highlight w:val="none"/>
              </w:rPr>
              <w:t>秒</w:t>
            </w:r>
          </w:p>
        </w:tc>
      </w:tr>
      <w:tr w14:paraId="29F773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186" w:type="dxa"/>
            <w:noWrap w:val="0"/>
            <w:tcMar>
              <w:top w:w="16" w:type="dxa"/>
              <w:left w:w="16" w:type="dxa"/>
              <w:right w:w="16" w:type="dxa"/>
            </w:tcMar>
            <w:vAlign w:val="center"/>
          </w:tcPr>
          <w:p w14:paraId="5FFBE3F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rPr>
            </w:pPr>
            <w:r>
              <w:rPr>
                <w:rFonts w:hint="eastAsia" w:ascii="宋体" w:hAnsi="宋体" w:eastAsia="宋体" w:cs="宋体"/>
                <w:b/>
                <w:bCs/>
                <w:color w:val="auto"/>
                <w:sz w:val="24"/>
              </w:rPr>
              <w:t>国民经济</w:t>
            </w:r>
          </w:p>
          <w:p w14:paraId="11B5D93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rPr>
            </w:pPr>
            <w:r>
              <w:rPr>
                <w:rFonts w:hint="eastAsia" w:ascii="宋体" w:hAnsi="宋体" w:eastAsia="宋体" w:cs="宋体"/>
                <w:b/>
                <w:bCs/>
                <w:color w:val="auto"/>
                <w:sz w:val="24"/>
              </w:rPr>
              <w:t>行业类别</w:t>
            </w:r>
          </w:p>
        </w:tc>
        <w:tc>
          <w:tcPr>
            <w:tcW w:w="2740" w:type="dxa"/>
            <w:noWrap w:val="0"/>
            <w:vAlign w:val="center"/>
          </w:tcPr>
          <w:p w14:paraId="3B927F9E">
            <w:pPr>
              <w:keepNext w:val="0"/>
              <w:keepLines w:val="0"/>
              <w:suppressLineNumbers w:val="0"/>
              <w:adjustRightInd w:val="0"/>
              <w:snapToGrid w:val="0"/>
              <w:spacing w:before="0" w:beforeAutospacing="0" w:after="0" w:afterAutospacing="0"/>
              <w:ind w:left="0" w:right="0"/>
              <w:jc w:val="both"/>
              <w:rPr>
                <w:color w:val="auto"/>
                <w:spacing w:val="-2"/>
                <w:sz w:val="24"/>
              </w:rPr>
            </w:pPr>
            <w:r>
              <w:rPr>
                <w:rFonts w:eastAsia="Times New Roman"/>
                <w:color w:val="auto"/>
                <w:spacing w:val="-2"/>
                <w:sz w:val="24"/>
              </w:rPr>
              <w:t>C2319</w:t>
            </w:r>
            <w:r>
              <w:rPr>
                <w:color w:val="auto"/>
                <w:spacing w:val="-2"/>
                <w:sz w:val="24"/>
              </w:rPr>
              <w:t>包装装潢及其他印刷</w:t>
            </w:r>
          </w:p>
          <w:p w14:paraId="65065179">
            <w:pPr>
              <w:keepNext w:val="0"/>
              <w:keepLines w:val="0"/>
              <w:suppressLineNumbers w:val="0"/>
              <w:adjustRightInd w:val="0"/>
              <w:snapToGrid w:val="0"/>
              <w:spacing w:before="0" w:beforeAutospacing="0" w:after="0" w:afterAutospacing="0"/>
              <w:ind w:left="0" w:right="0"/>
              <w:jc w:val="both"/>
              <w:rPr>
                <w:rFonts w:hint="default"/>
                <w:color w:val="auto"/>
                <w:spacing w:val="-2"/>
                <w:sz w:val="24"/>
                <w:lang w:val="en-US" w:eastAsia="zh-CN"/>
              </w:rPr>
            </w:pPr>
            <w:r>
              <w:rPr>
                <w:rFonts w:hint="eastAsia"/>
                <w:color w:val="auto"/>
                <w:spacing w:val="-2"/>
                <w:sz w:val="24"/>
                <w:lang w:val="en-US" w:eastAsia="zh-CN"/>
              </w:rPr>
              <w:t>C</w:t>
            </w:r>
            <w:r>
              <w:rPr>
                <w:rFonts w:hint="eastAsia"/>
                <w:color w:val="auto"/>
                <w:spacing w:val="-2"/>
                <w:sz w:val="24"/>
              </w:rPr>
              <w:t>2926塑料包装箱及容器制造</w:t>
            </w:r>
          </w:p>
        </w:tc>
        <w:tc>
          <w:tcPr>
            <w:tcW w:w="1766" w:type="dxa"/>
            <w:noWrap w:val="0"/>
            <w:vAlign w:val="center"/>
          </w:tcPr>
          <w:p w14:paraId="035E88E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建设项目</w:t>
            </w:r>
          </w:p>
          <w:p w14:paraId="3ED83E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行业类别</w:t>
            </w:r>
          </w:p>
        </w:tc>
        <w:tc>
          <w:tcPr>
            <w:tcW w:w="3390" w:type="dxa"/>
            <w:noWrap w:val="0"/>
            <w:vAlign w:val="center"/>
          </w:tcPr>
          <w:p w14:paraId="4E38097F">
            <w:pPr>
              <w:keepNext w:val="0"/>
              <w:keepLines w:val="0"/>
              <w:suppressLineNumbers w:val="0"/>
              <w:spacing w:before="0" w:beforeAutospacing="0" w:after="0" w:afterAutospacing="0"/>
              <w:ind w:left="0" w:right="0"/>
              <w:jc w:val="both"/>
              <w:rPr>
                <w:color w:val="auto"/>
                <w:spacing w:val="-7"/>
                <w:sz w:val="24"/>
              </w:rPr>
            </w:pPr>
            <w:r>
              <w:rPr>
                <w:color w:val="auto"/>
                <w:spacing w:val="-4"/>
                <w:sz w:val="24"/>
              </w:rPr>
              <w:t>二十、印刷和记录媒介复制业</w:t>
            </w:r>
            <w:r>
              <w:rPr>
                <w:rFonts w:eastAsia="Times New Roman"/>
                <w:color w:val="auto"/>
                <w:spacing w:val="-4"/>
                <w:sz w:val="24"/>
              </w:rPr>
              <w:t>23</w:t>
            </w:r>
            <w:r>
              <w:rPr>
                <w:rFonts w:hint="eastAsia" w:ascii="等线" w:hAnsi="等线" w:eastAsia="等线"/>
                <w:color w:val="auto"/>
                <w:spacing w:val="-4"/>
                <w:sz w:val="24"/>
              </w:rPr>
              <w:t>-</w:t>
            </w:r>
            <w:r>
              <w:rPr>
                <w:rFonts w:eastAsia="Times New Roman"/>
                <w:color w:val="auto"/>
                <w:spacing w:val="-4"/>
                <w:sz w:val="24"/>
              </w:rPr>
              <w:t>39</w:t>
            </w:r>
            <w:r>
              <w:rPr>
                <w:color w:val="auto"/>
                <w:spacing w:val="-4"/>
                <w:sz w:val="24"/>
              </w:rPr>
              <w:t>印</w:t>
            </w:r>
            <w:r>
              <w:rPr>
                <w:color w:val="auto"/>
                <w:spacing w:val="-7"/>
                <w:sz w:val="24"/>
              </w:rPr>
              <w:t>刷</w:t>
            </w:r>
            <w:r>
              <w:rPr>
                <w:rFonts w:eastAsia="Times New Roman"/>
                <w:color w:val="auto"/>
                <w:spacing w:val="-7"/>
                <w:sz w:val="24"/>
              </w:rPr>
              <w:t>231</w:t>
            </w:r>
            <w:r>
              <w:rPr>
                <w:rFonts w:hint="eastAsia"/>
                <w:color w:val="auto"/>
                <w:spacing w:val="-7"/>
                <w:sz w:val="24"/>
              </w:rPr>
              <w:t>-</w:t>
            </w:r>
            <w:r>
              <w:rPr>
                <w:color w:val="auto"/>
                <w:spacing w:val="-7"/>
                <w:sz w:val="24"/>
              </w:rPr>
              <w:t>其他</w:t>
            </w:r>
          </w:p>
          <w:p w14:paraId="0BA830B9">
            <w:pPr>
              <w:keepNext w:val="0"/>
              <w:keepLines w:val="0"/>
              <w:suppressLineNumbers w:val="0"/>
              <w:spacing w:before="0" w:beforeAutospacing="0" w:after="0" w:afterAutospacing="0"/>
              <w:ind w:left="0" w:right="0"/>
              <w:jc w:val="both"/>
              <w:rPr>
                <w:rFonts w:hint="default" w:eastAsia="宋体"/>
                <w:color w:val="auto"/>
                <w:spacing w:val="-7"/>
                <w:sz w:val="24"/>
                <w:lang w:val="en-US" w:eastAsia="zh-CN"/>
              </w:rPr>
            </w:pPr>
            <w:r>
              <w:rPr>
                <w:rFonts w:hint="default" w:ascii="Times New Roman" w:hAnsi="Times New Roman" w:eastAsia="宋体" w:cs="Times New Roman"/>
                <w:color w:val="auto"/>
                <w:sz w:val="24"/>
                <w:highlight w:val="none"/>
                <w:lang w:eastAsia="zh-CN"/>
              </w:rPr>
              <w:t>二十六、橡胶和塑料制品业29-53塑料制品业292</w:t>
            </w:r>
            <w:r>
              <w:rPr>
                <w:color w:val="auto"/>
                <w:sz w:val="24"/>
                <w:highlight w:val="none"/>
              </w:rPr>
              <w:t xml:space="preserve"> </w:t>
            </w:r>
            <w:r>
              <w:rPr>
                <w:rFonts w:hint="eastAsia"/>
                <w:color w:val="auto"/>
                <w:sz w:val="24"/>
                <w:highlight w:val="none"/>
                <w:lang w:val="en-US" w:eastAsia="zh-CN"/>
              </w:rPr>
              <w:t>-其他</w:t>
            </w:r>
          </w:p>
        </w:tc>
      </w:tr>
      <w:tr w14:paraId="6138D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186" w:type="dxa"/>
            <w:noWrap w:val="0"/>
            <w:tcMar>
              <w:top w:w="16" w:type="dxa"/>
              <w:left w:w="16" w:type="dxa"/>
              <w:right w:w="16" w:type="dxa"/>
            </w:tcMar>
            <w:vAlign w:val="center"/>
          </w:tcPr>
          <w:p w14:paraId="0C813B6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建设性质</w:t>
            </w:r>
          </w:p>
        </w:tc>
        <w:tc>
          <w:tcPr>
            <w:tcW w:w="2740" w:type="dxa"/>
            <w:noWrap w:val="0"/>
            <w:vAlign w:val="center"/>
          </w:tcPr>
          <w:p w14:paraId="130A3E5B">
            <w:pPr>
              <w:keepNext w:val="0"/>
              <w:keepLines w:val="0"/>
              <w:suppressLineNumbers w:val="0"/>
              <w:spacing w:before="0" w:beforeAutospacing="0" w:after="0" w:afterAutospacing="0"/>
              <w:ind w:left="0" w:right="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sym w:font="Wingdings 2" w:char="00A3"/>
            </w:r>
            <w:r>
              <w:rPr>
                <w:rFonts w:hint="eastAsia" w:ascii="宋体" w:hAnsi="宋体" w:eastAsia="宋体" w:cs="宋体"/>
                <w:color w:val="auto"/>
                <w:sz w:val="24"/>
                <w:highlight w:val="none"/>
              </w:rPr>
              <w:t>新建</w:t>
            </w:r>
          </w:p>
          <w:p w14:paraId="1D2C4236">
            <w:pPr>
              <w:keepNext w:val="0"/>
              <w:keepLines w:val="0"/>
              <w:suppressLineNumbers w:val="0"/>
              <w:spacing w:before="0" w:beforeAutospacing="0" w:after="0" w:afterAutospacing="0"/>
              <w:ind w:left="0" w:right="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sym w:font="Wingdings 2" w:char="00A3"/>
            </w:r>
            <w:r>
              <w:rPr>
                <w:rFonts w:hint="eastAsia" w:ascii="宋体" w:hAnsi="宋体" w:eastAsia="宋体" w:cs="宋体"/>
                <w:color w:val="auto"/>
                <w:sz w:val="24"/>
                <w:highlight w:val="none"/>
              </w:rPr>
              <w:t>改建</w:t>
            </w:r>
          </w:p>
          <w:p w14:paraId="3532A93B">
            <w:pPr>
              <w:keepNext w:val="0"/>
              <w:keepLines w:val="0"/>
              <w:suppressLineNumbers w:val="0"/>
              <w:spacing w:before="0" w:beforeAutospacing="0" w:after="0" w:afterAutospacing="0"/>
              <w:ind w:left="0" w:right="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sym w:font="Wingdings 2" w:char="0052"/>
            </w:r>
            <w:r>
              <w:rPr>
                <w:rFonts w:hint="eastAsia" w:ascii="宋体" w:hAnsi="宋体" w:eastAsia="宋体" w:cs="宋体"/>
                <w:color w:val="auto"/>
                <w:sz w:val="24"/>
                <w:highlight w:val="none"/>
              </w:rPr>
              <w:t>扩建</w:t>
            </w:r>
          </w:p>
          <w:p w14:paraId="2864F756">
            <w:pPr>
              <w:keepNext w:val="0"/>
              <w:keepLines w:val="0"/>
              <w:suppressLineNumbers w:val="0"/>
              <w:spacing w:before="0" w:beforeAutospacing="0" w:after="0" w:afterAutospacing="0"/>
              <w:ind w:left="0" w:right="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sym w:font="Wingdings 2" w:char="00A3"/>
            </w:r>
            <w:r>
              <w:rPr>
                <w:rFonts w:hint="eastAsia" w:ascii="宋体" w:hAnsi="宋体" w:eastAsia="宋体" w:cs="宋体"/>
                <w:color w:val="auto"/>
                <w:sz w:val="24"/>
                <w:highlight w:val="none"/>
              </w:rPr>
              <w:t>技术改造</w:t>
            </w:r>
          </w:p>
        </w:tc>
        <w:tc>
          <w:tcPr>
            <w:tcW w:w="1766" w:type="dxa"/>
            <w:noWrap w:val="0"/>
            <w:vAlign w:val="center"/>
          </w:tcPr>
          <w:p w14:paraId="4FAFC0D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rPr>
            </w:pPr>
            <w:r>
              <w:rPr>
                <w:rFonts w:hint="eastAsia" w:ascii="宋体" w:hAnsi="宋体" w:eastAsia="宋体" w:cs="宋体"/>
                <w:b/>
                <w:bCs/>
                <w:color w:val="auto"/>
                <w:sz w:val="24"/>
              </w:rPr>
              <w:t>建设项目</w:t>
            </w:r>
          </w:p>
          <w:p w14:paraId="3CDEAE6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rPr>
            </w:pPr>
            <w:r>
              <w:rPr>
                <w:rFonts w:hint="eastAsia" w:ascii="宋体" w:hAnsi="宋体" w:eastAsia="宋体" w:cs="宋体"/>
                <w:b/>
                <w:bCs/>
                <w:color w:val="auto"/>
                <w:sz w:val="24"/>
              </w:rPr>
              <w:t>申报情形</w:t>
            </w:r>
          </w:p>
        </w:tc>
        <w:tc>
          <w:tcPr>
            <w:tcW w:w="3390" w:type="dxa"/>
            <w:noWrap w:val="0"/>
            <w:vAlign w:val="center"/>
          </w:tcPr>
          <w:p w14:paraId="4EE1A28F">
            <w:pPr>
              <w:keepNext w:val="0"/>
              <w:keepLines w:val="0"/>
              <w:suppressLineNumbers w:val="0"/>
              <w:spacing w:before="0" w:beforeAutospacing="0" w:after="0" w:afterAutospacing="0"/>
              <w:ind w:left="0" w:right="0"/>
              <w:jc w:val="left"/>
              <w:rPr>
                <w:rFonts w:hint="eastAsia" w:ascii="宋体" w:hAnsi="宋体" w:eastAsia="宋体" w:cs="宋体"/>
                <w:color w:val="auto"/>
                <w:sz w:val="24"/>
              </w:rPr>
            </w:pPr>
            <w:r>
              <w:rPr>
                <w:rFonts w:hint="eastAsia" w:ascii="宋体" w:hAnsi="宋体" w:eastAsia="宋体" w:cs="宋体"/>
                <w:color w:val="auto"/>
                <w:sz w:val="24"/>
              </w:rPr>
              <w:sym w:font="Wingdings 2" w:char="0052"/>
            </w:r>
            <w:r>
              <w:rPr>
                <w:rFonts w:hint="eastAsia" w:ascii="宋体" w:hAnsi="宋体" w:eastAsia="宋体" w:cs="宋体"/>
                <w:color w:val="auto"/>
                <w:sz w:val="24"/>
              </w:rPr>
              <w:t>首次申报项目</w:t>
            </w:r>
          </w:p>
          <w:p w14:paraId="52E033F3">
            <w:pPr>
              <w:keepNext w:val="0"/>
              <w:keepLines w:val="0"/>
              <w:suppressLineNumbers w:val="0"/>
              <w:spacing w:before="0" w:beforeAutospacing="0" w:after="0" w:afterAutospacing="0"/>
              <w:ind w:left="0" w:right="0"/>
              <w:jc w:val="left"/>
              <w:rPr>
                <w:rFonts w:hint="eastAsia" w:ascii="宋体" w:hAnsi="宋体" w:eastAsia="宋体" w:cs="宋体"/>
                <w:color w:val="auto"/>
                <w:sz w:val="24"/>
              </w:rPr>
            </w:pPr>
            <w:r>
              <w:rPr>
                <w:rFonts w:hint="eastAsia" w:ascii="宋体" w:hAnsi="宋体" w:eastAsia="宋体" w:cs="宋体"/>
                <w:color w:val="auto"/>
                <w:sz w:val="24"/>
              </w:rPr>
              <w:sym w:font="Wingdings 2" w:char="00A3"/>
            </w:r>
            <w:r>
              <w:rPr>
                <w:rFonts w:hint="eastAsia" w:ascii="宋体" w:hAnsi="宋体" w:eastAsia="宋体" w:cs="宋体"/>
                <w:color w:val="auto"/>
                <w:sz w:val="24"/>
              </w:rPr>
              <w:t>不予批准后再次申报项目</w:t>
            </w:r>
          </w:p>
          <w:p w14:paraId="37832AAB">
            <w:pPr>
              <w:keepNext w:val="0"/>
              <w:keepLines w:val="0"/>
              <w:suppressLineNumbers w:val="0"/>
              <w:spacing w:before="0" w:beforeAutospacing="0" w:after="0" w:afterAutospacing="0"/>
              <w:ind w:left="0" w:right="0"/>
              <w:jc w:val="left"/>
              <w:rPr>
                <w:rFonts w:hint="eastAsia" w:ascii="宋体" w:hAnsi="宋体" w:eastAsia="宋体" w:cs="宋体"/>
                <w:color w:val="auto"/>
                <w:sz w:val="24"/>
              </w:rPr>
            </w:pPr>
            <w:r>
              <w:rPr>
                <w:rFonts w:hint="eastAsia" w:ascii="宋体" w:hAnsi="宋体" w:eastAsia="宋体" w:cs="宋体"/>
                <w:color w:val="auto"/>
                <w:sz w:val="24"/>
              </w:rPr>
              <w:sym w:font="Wingdings 2" w:char="00A3"/>
            </w:r>
            <w:r>
              <w:rPr>
                <w:rFonts w:hint="eastAsia" w:ascii="宋体" w:hAnsi="宋体" w:eastAsia="宋体" w:cs="宋体"/>
                <w:color w:val="auto"/>
                <w:sz w:val="24"/>
              </w:rPr>
              <w:t>超五年重新审核项目</w:t>
            </w:r>
          </w:p>
          <w:p w14:paraId="4409B028">
            <w:pPr>
              <w:keepNext w:val="0"/>
              <w:keepLines w:val="0"/>
              <w:suppressLineNumbers w:val="0"/>
              <w:spacing w:before="0" w:beforeAutospacing="0" w:after="0" w:afterAutospacing="0"/>
              <w:ind w:left="0" w:right="0"/>
              <w:jc w:val="left"/>
              <w:rPr>
                <w:rFonts w:hint="eastAsia" w:ascii="宋体" w:hAnsi="宋体" w:eastAsia="宋体" w:cs="宋体"/>
                <w:color w:val="auto"/>
                <w:sz w:val="24"/>
              </w:rPr>
            </w:pPr>
            <w:r>
              <w:rPr>
                <w:rFonts w:hint="eastAsia" w:ascii="宋体" w:hAnsi="宋体" w:eastAsia="宋体" w:cs="宋体"/>
                <w:color w:val="auto"/>
                <w:sz w:val="24"/>
              </w:rPr>
              <w:sym w:font="Wingdings 2" w:char="00A3"/>
            </w:r>
            <w:r>
              <w:rPr>
                <w:rFonts w:hint="eastAsia" w:ascii="宋体" w:hAnsi="宋体" w:eastAsia="宋体" w:cs="宋体"/>
                <w:color w:val="auto"/>
                <w:sz w:val="24"/>
              </w:rPr>
              <w:t>重大变动重新报批项目</w:t>
            </w:r>
          </w:p>
        </w:tc>
      </w:tr>
      <w:tr w14:paraId="42E24A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186" w:type="dxa"/>
            <w:noWrap w:val="0"/>
            <w:tcMar>
              <w:top w:w="16" w:type="dxa"/>
              <w:left w:w="16" w:type="dxa"/>
              <w:right w:w="16" w:type="dxa"/>
            </w:tcMar>
            <w:vAlign w:val="center"/>
          </w:tcPr>
          <w:p w14:paraId="2B5DD014">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b/>
                <w:bCs/>
                <w:color w:val="auto"/>
                <w:sz w:val="24"/>
              </w:rPr>
            </w:pPr>
            <w:r>
              <w:rPr>
                <w:rFonts w:hint="eastAsia" w:ascii="宋体" w:hAnsi="宋体" w:eastAsia="宋体" w:cs="宋体"/>
                <w:b/>
                <w:bCs/>
                <w:color w:val="auto"/>
                <w:sz w:val="24"/>
              </w:rPr>
              <w:t>项目审批（核准/备案）部门（选填）</w:t>
            </w:r>
          </w:p>
        </w:tc>
        <w:tc>
          <w:tcPr>
            <w:tcW w:w="2740" w:type="dxa"/>
            <w:noWrap w:val="0"/>
            <w:vAlign w:val="center"/>
          </w:tcPr>
          <w:p w14:paraId="2D30AC1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rPr>
            </w:pPr>
            <w:r>
              <w:rPr>
                <w:color w:val="auto"/>
                <w:sz w:val="24"/>
                <w:lang w:val="en-US" w:eastAsia="zh-CN"/>
              </w:rPr>
              <w:t>大英县经济信息化和科学技术局</w:t>
            </w:r>
          </w:p>
        </w:tc>
        <w:tc>
          <w:tcPr>
            <w:tcW w:w="1766" w:type="dxa"/>
            <w:noWrap w:val="0"/>
            <w:vAlign w:val="center"/>
          </w:tcPr>
          <w:p w14:paraId="4E23CAC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rPr>
            </w:pPr>
            <w:r>
              <w:rPr>
                <w:rFonts w:hint="eastAsia" w:ascii="宋体" w:hAnsi="宋体" w:eastAsia="宋体" w:cs="宋体"/>
                <w:b/>
                <w:bCs/>
                <w:color w:val="auto"/>
                <w:sz w:val="24"/>
              </w:rPr>
              <w:t>项目审批（核准/备案）文号（选填）</w:t>
            </w:r>
          </w:p>
        </w:tc>
        <w:tc>
          <w:tcPr>
            <w:tcW w:w="3390" w:type="dxa"/>
            <w:noWrap w:val="0"/>
            <w:vAlign w:val="center"/>
          </w:tcPr>
          <w:p w14:paraId="6E943A45">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color w:val="auto"/>
                <w:sz w:val="24"/>
                <w:lang w:eastAsia="zh-CN"/>
              </w:rPr>
            </w:pPr>
            <w:r>
              <w:rPr>
                <w:rFonts w:hint="eastAsia"/>
                <w:color w:val="auto"/>
                <w:sz w:val="24"/>
                <w:lang w:val="en-US" w:eastAsia="zh-CN"/>
              </w:rPr>
              <w:t>川投资备【</w:t>
            </w:r>
            <w:r>
              <w:rPr>
                <w:rFonts w:hint="default"/>
                <w:color w:val="auto"/>
                <w:sz w:val="24"/>
                <w:lang w:val="en-US" w:eastAsia="zh-CN"/>
              </w:rPr>
              <w:t>2502-510923-07-02-642076</w:t>
            </w:r>
            <w:r>
              <w:rPr>
                <w:rFonts w:hint="eastAsia"/>
                <w:color w:val="auto"/>
                <w:sz w:val="24"/>
                <w:lang w:val="en-US" w:eastAsia="zh-CN"/>
              </w:rPr>
              <w:t>】</w:t>
            </w:r>
            <w:r>
              <w:rPr>
                <w:rFonts w:hint="default"/>
                <w:color w:val="auto"/>
                <w:sz w:val="24"/>
                <w:lang w:val="en-US" w:eastAsia="zh-CN"/>
              </w:rPr>
              <w:t>JXQB-0117</w:t>
            </w:r>
            <w:r>
              <w:rPr>
                <w:rFonts w:hint="eastAsia"/>
                <w:color w:val="auto"/>
                <w:sz w:val="24"/>
                <w:lang w:val="en-US" w:eastAsia="zh-CN"/>
              </w:rPr>
              <w:t>号</w:t>
            </w:r>
          </w:p>
        </w:tc>
      </w:tr>
      <w:tr w14:paraId="2C187A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186" w:type="dxa"/>
            <w:noWrap w:val="0"/>
            <w:tcMar>
              <w:top w:w="16" w:type="dxa"/>
              <w:left w:w="16" w:type="dxa"/>
              <w:right w:w="16" w:type="dxa"/>
            </w:tcMar>
            <w:vAlign w:val="center"/>
          </w:tcPr>
          <w:p w14:paraId="35CF24D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总投资（万元）</w:t>
            </w:r>
          </w:p>
        </w:tc>
        <w:tc>
          <w:tcPr>
            <w:tcW w:w="2740" w:type="dxa"/>
            <w:noWrap w:val="0"/>
            <w:vAlign w:val="center"/>
          </w:tcPr>
          <w:p w14:paraId="4ECF1C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rPr>
            </w:pPr>
            <w:r>
              <w:rPr>
                <w:rFonts w:hint="eastAsia" w:cs="Times New Roman"/>
                <w:color w:val="auto"/>
                <w:sz w:val="24"/>
                <w:highlight w:val="none"/>
                <w:lang w:val="en-US" w:eastAsia="zh-CN"/>
              </w:rPr>
              <w:t>800</w:t>
            </w:r>
          </w:p>
        </w:tc>
        <w:tc>
          <w:tcPr>
            <w:tcW w:w="1766" w:type="dxa"/>
            <w:noWrap w:val="0"/>
            <w:tcMar>
              <w:top w:w="16" w:type="dxa"/>
              <w:left w:w="16" w:type="dxa"/>
              <w:right w:w="16" w:type="dxa"/>
            </w:tcMar>
            <w:vAlign w:val="center"/>
          </w:tcPr>
          <w:p w14:paraId="09DB6D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环保投资（万元）</w:t>
            </w:r>
          </w:p>
        </w:tc>
        <w:tc>
          <w:tcPr>
            <w:tcW w:w="3390" w:type="dxa"/>
            <w:noWrap w:val="0"/>
            <w:vAlign w:val="center"/>
          </w:tcPr>
          <w:p w14:paraId="0A6B79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40</w:t>
            </w:r>
          </w:p>
        </w:tc>
      </w:tr>
      <w:tr w14:paraId="2D70E5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5" w:hRule="atLeast"/>
        </w:trPr>
        <w:tc>
          <w:tcPr>
            <w:tcW w:w="1186" w:type="dxa"/>
            <w:noWrap w:val="0"/>
            <w:tcMar>
              <w:top w:w="16" w:type="dxa"/>
              <w:left w:w="16" w:type="dxa"/>
              <w:right w:w="16" w:type="dxa"/>
            </w:tcMar>
            <w:vAlign w:val="center"/>
          </w:tcPr>
          <w:p w14:paraId="1F511CA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环保投资占比（%）</w:t>
            </w:r>
          </w:p>
        </w:tc>
        <w:tc>
          <w:tcPr>
            <w:tcW w:w="2740" w:type="dxa"/>
            <w:noWrap w:val="0"/>
            <w:vAlign w:val="center"/>
          </w:tcPr>
          <w:p w14:paraId="46ECEE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w:t>
            </w:r>
          </w:p>
        </w:tc>
        <w:tc>
          <w:tcPr>
            <w:tcW w:w="1766" w:type="dxa"/>
            <w:noWrap w:val="0"/>
            <w:tcMar>
              <w:top w:w="16" w:type="dxa"/>
              <w:left w:w="16" w:type="dxa"/>
              <w:right w:w="16" w:type="dxa"/>
            </w:tcMar>
            <w:vAlign w:val="center"/>
          </w:tcPr>
          <w:p w14:paraId="584CD7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施工工期</w:t>
            </w:r>
          </w:p>
        </w:tc>
        <w:tc>
          <w:tcPr>
            <w:tcW w:w="3390" w:type="dxa"/>
            <w:noWrap w:val="0"/>
            <w:vAlign w:val="center"/>
          </w:tcPr>
          <w:p w14:paraId="74C5D6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个月</w:t>
            </w:r>
          </w:p>
        </w:tc>
      </w:tr>
      <w:tr w14:paraId="2538B9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186" w:type="dxa"/>
            <w:noWrap w:val="0"/>
            <w:tcMar>
              <w:top w:w="16" w:type="dxa"/>
              <w:left w:w="16" w:type="dxa"/>
              <w:right w:w="16" w:type="dxa"/>
            </w:tcMar>
            <w:vAlign w:val="center"/>
          </w:tcPr>
          <w:p w14:paraId="2EA6F4C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是否开工建设</w:t>
            </w:r>
          </w:p>
        </w:tc>
        <w:tc>
          <w:tcPr>
            <w:tcW w:w="2740" w:type="dxa"/>
            <w:noWrap w:val="0"/>
            <w:vAlign w:val="center"/>
          </w:tcPr>
          <w:p w14:paraId="0F568ECC">
            <w:pPr>
              <w:keepNext w:val="0"/>
              <w:keepLines w:val="0"/>
              <w:suppressLineNumbers w:val="0"/>
              <w:adjustRightInd w:val="0"/>
              <w:snapToGrid w:val="0"/>
              <w:spacing w:before="0" w:beforeAutospacing="0" w:after="0" w:afterAutospacing="0"/>
              <w:ind w:left="0" w:right="0" w:firstLine="105"/>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52"/>
            </w:r>
            <w:r>
              <w:rPr>
                <w:rFonts w:hint="default" w:ascii="Times New Roman" w:hAnsi="Times New Roman" w:eastAsia="宋体" w:cs="Times New Roman"/>
                <w:color w:val="auto"/>
                <w:sz w:val="24"/>
                <w:highlight w:val="none"/>
              </w:rPr>
              <w:t>否</w:t>
            </w:r>
          </w:p>
          <w:p w14:paraId="1A26C9F4">
            <w:pPr>
              <w:keepNext w:val="0"/>
              <w:keepLines w:val="0"/>
              <w:suppressLineNumbers w:val="0"/>
              <w:adjustRightInd w:val="0"/>
              <w:snapToGrid w:val="0"/>
              <w:spacing w:before="0" w:beforeAutospacing="0" w:after="0" w:afterAutospacing="0"/>
              <w:ind w:left="0" w:right="0" w:firstLine="92"/>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是：</w:t>
            </w:r>
          </w:p>
        </w:tc>
        <w:tc>
          <w:tcPr>
            <w:tcW w:w="1766" w:type="dxa"/>
            <w:noWrap w:val="0"/>
            <w:vAlign w:val="center"/>
          </w:tcPr>
          <w:p w14:paraId="6EBCC10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pacing w:val="-6"/>
                <w:sz w:val="24"/>
                <w:highlight w:val="none"/>
              </w:rPr>
            </w:pPr>
            <w:r>
              <w:rPr>
                <w:rFonts w:hint="default" w:ascii="Times New Roman" w:hAnsi="Times New Roman" w:eastAsia="宋体" w:cs="Times New Roman"/>
                <w:b/>
                <w:bCs/>
                <w:color w:val="auto"/>
                <w:spacing w:val="-6"/>
                <w:sz w:val="24"/>
                <w:highlight w:val="none"/>
              </w:rPr>
              <w:t>用地（用海）</w:t>
            </w:r>
          </w:p>
          <w:p w14:paraId="144AE0B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pacing w:val="-6"/>
                <w:sz w:val="24"/>
                <w:highlight w:val="none"/>
              </w:rPr>
              <w:t>面积（m</w:t>
            </w:r>
            <w:r>
              <w:rPr>
                <w:rFonts w:hint="default" w:ascii="Times New Roman" w:hAnsi="Times New Roman" w:eastAsia="宋体" w:cs="Times New Roman"/>
                <w:b/>
                <w:bCs/>
                <w:color w:val="auto"/>
                <w:spacing w:val="-6"/>
                <w:sz w:val="24"/>
                <w:highlight w:val="none"/>
                <w:vertAlign w:val="superscript"/>
              </w:rPr>
              <w:t>2</w:t>
            </w:r>
            <w:r>
              <w:rPr>
                <w:rFonts w:hint="default" w:ascii="Times New Roman" w:hAnsi="Times New Roman" w:eastAsia="宋体" w:cs="Times New Roman"/>
                <w:b/>
                <w:bCs/>
                <w:color w:val="auto"/>
                <w:spacing w:val="-6"/>
                <w:sz w:val="24"/>
                <w:highlight w:val="none"/>
              </w:rPr>
              <w:t>）</w:t>
            </w:r>
          </w:p>
        </w:tc>
        <w:tc>
          <w:tcPr>
            <w:tcW w:w="3390" w:type="dxa"/>
            <w:noWrap w:val="0"/>
            <w:vAlign w:val="center"/>
          </w:tcPr>
          <w:p w14:paraId="7F84C114">
            <w:pPr>
              <w:keepNext w:val="0"/>
              <w:keepLines w:val="0"/>
              <w:suppressLineNumbers w:val="0"/>
              <w:adjustRightInd w:val="0"/>
              <w:snapToGrid w:val="0"/>
              <w:spacing w:before="0" w:beforeAutospacing="0" w:after="0" w:afterAutospacing="0"/>
              <w:ind w:left="0" w:right="0" w:firstLine="92"/>
              <w:jc w:val="center"/>
              <w:rPr>
                <w:rFonts w:hint="default" w:ascii="Times New Roman" w:hAnsi="Times New Roman" w:eastAsia="宋体" w:cs="Times New Roman"/>
                <w:color w:val="auto"/>
                <w:sz w:val="24"/>
                <w:highlight w:val="none"/>
                <w:lang w:val="en-US" w:eastAsia="zh-CN"/>
              </w:rPr>
            </w:pPr>
            <w:r>
              <w:rPr>
                <w:rFonts w:hint="eastAsia" w:cs="Times New Roman"/>
                <w:bCs/>
                <w:color w:val="auto"/>
                <w:sz w:val="24"/>
                <w:highlight w:val="none"/>
                <w:lang w:val="en-US" w:eastAsia="zh-CN"/>
              </w:rPr>
              <w:t>12078.6</w:t>
            </w:r>
            <w:r>
              <w:rPr>
                <w:rFonts w:hint="default" w:ascii="Times New Roman" w:hAnsi="Times New Roman" w:eastAsia="宋体" w:cs="Times New Roman"/>
                <w:b w:val="0"/>
                <w:bCs w:val="0"/>
                <w:color w:val="auto"/>
                <w:spacing w:val="-6"/>
                <w:sz w:val="24"/>
                <w:highlight w:val="none"/>
              </w:rPr>
              <w:t>m</w:t>
            </w:r>
            <w:r>
              <w:rPr>
                <w:rFonts w:hint="default" w:ascii="Times New Roman" w:hAnsi="Times New Roman" w:eastAsia="宋体" w:cs="Times New Roman"/>
                <w:b w:val="0"/>
                <w:bCs w:val="0"/>
                <w:color w:val="auto"/>
                <w:spacing w:val="-6"/>
                <w:sz w:val="24"/>
                <w:highlight w:val="none"/>
                <w:vertAlign w:val="superscript"/>
              </w:rPr>
              <w:t>2</w:t>
            </w:r>
          </w:p>
        </w:tc>
      </w:tr>
      <w:tr w14:paraId="1CADA9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84" w:hRule="atLeast"/>
        </w:trPr>
        <w:tc>
          <w:tcPr>
            <w:tcW w:w="1186" w:type="dxa"/>
            <w:noWrap w:val="0"/>
            <w:tcMar>
              <w:top w:w="16" w:type="dxa"/>
              <w:left w:w="16" w:type="dxa"/>
              <w:right w:w="16" w:type="dxa"/>
            </w:tcMar>
            <w:vAlign w:val="center"/>
          </w:tcPr>
          <w:p w14:paraId="1EB563CA">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专项评价设置情况</w:t>
            </w:r>
          </w:p>
        </w:tc>
        <w:tc>
          <w:tcPr>
            <w:tcW w:w="7896" w:type="dxa"/>
            <w:gridSpan w:val="3"/>
            <w:noWrap w:val="0"/>
            <w:tcMar>
              <w:top w:w="16" w:type="dxa"/>
              <w:left w:w="16" w:type="dxa"/>
              <w:right w:w="16" w:type="dxa"/>
            </w:tcMar>
            <w:vAlign w:val="center"/>
          </w:tcPr>
          <w:p w14:paraId="5C2549B6">
            <w:pPr>
              <w:keepNext w:val="0"/>
              <w:keepLines w:val="0"/>
              <w:widowControl/>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1"/>
                <w:szCs w:val="21"/>
                <w:lang w:eastAsia="zh-CN"/>
              </w:rPr>
              <w:t>表</w:t>
            </w:r>
            <w:r>
              <w:rPr>
                <w:rFonts w:hint="default" w:ascii="Times New Roman" w:hAnsi="Times New Roman" w:eastAsia="宋体" w:cs="Times New Roman"/>
                <w:b/>
                <w:bCs/>
                <w:color w:val="auto"/>
                <w:kern w:val="0"/>
                <w:sz w:val="21"/>
                <w:szCs w:val="21"/>
                <w:lang w:val="en-US" w:eastAsia="zh-CN"/>
              </w:rPr>
              <w:t>1-1</w:t>
            </w:r>
            <w:r>
              <w:rPr>
                <w:rFonts w:hint="default" w:ascii="Times New Roman" w:hAnsi="Times New Roman"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rPr>
              <w:t>专项评价设置情况</w:t>
            </w:r>
          </w:p>
          <w:tbl>
            <w:tblPr>
              <w:tblStyle w:val="26"/>
              <w:tblW w:w="791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9"/>
              <w:gridCol w:w="3303"/>
              <w:gridCol w:w="2856"/>
              <w:gridCol w:w="780"/>
            </w:tblGrid>
            <w:tr w14:paraId="67229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79" w:type="dxa"/>
                  <w:tcBorders>
                    <w:tl2br w:val="nil"/>
                    <w:tr2bl w:val="nil"/>
                  </w:tcBorders>
                  <w:noWrap w:val="0"/>
                  <w:vAlign w:val="center"/>
                </w:tcPr>
                <w:p w14:paraId="5B8F1A9E">
                  <w:pPr>
                    <w:keepNext w:val="0"/>
                    <w:keepLines w:val="0"/>
                    <w:widowControl/>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rPr>
                    <w:t>专项评价</w:t>
                  </w:r>
                  <w:r>
                    <w:rPr>
                      <w:rFonts w:hint="default" w:ascii="Times New Roman" w:hAnsi="Times New Roman" w:eastAsia="宋体" w:cs="Times New Roman"/>
                      <w:b/>
                      <w:bCs/>
                      <w:color w:val="auto"/>
                      <w:kern w:val="0"/>
                      <w:sz w:val="21"/>
                      <w:szCs w:val="21"/>
                      <w:lang w:eastAsia="zh-CN"/>
                    </w:rPr>
                    <w:t>类别</w:t>
                  </w:r>
                </w:p>
              </w:tc>
              <w:tc>
                <w:tcPr>
                  <w:tcW w:w="3303" w:type="dxa"/>
                  <w:tcBorders>
                    <w:tl2br w:val="nil"/>
                    <w:tr2bl w:val="nil"/>
                  </w:tcBorders>
                  <w:noWrap w:val="0"/>
                  <w:vAlign w:val="center"/>
                </w:tcPr>
                <w:p w14:paraId="323B6D3C">
                  <w:pPr>
                    <w:keepNext w:val="0"/>
                    <w:keepLines w:val="0"/>
                    <w:widowControl/>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设置原则</w:t>
                  </w:r>
                </w:p>
              </w:tc>
              <w:tc>
                <w:tcPr>
                  <w:tcW w:w="2856" w:type="dxa"/>
                  <w:tcBorders>
                    <w:tl2br w:val="nil"/>
                    <w:tr2bl w:val="nil"/>
                  </w:tcBorders>
                  <w:noWrap w:val="0"/>
                  <w:vAlign w:val="center"/>
                </w:tcPr>
                <w:p w14:paraId="20A57872">
                  <w:pPr>
                    <w:keepNext w:val="0"/>
                    <w:keepLines w:val="0"/>
                    <w:widowControl/>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本项目情况</w:t>
                  </w:r>
                </w:p>
              </w:tc>
              <w:tc>
                <w:tcPr>
                  <w:tcW w:w="780" w:type="dxa"/>
                  <w:tcBorders>
                    <w:tl2br w:val="nil"/>
                    <w:tr2bl w:val="nil"/>
                  </w:tcBorders>
                  <w:noWrap w:val="0"/>
                  <w:vAlign w:val="center"/>
                </w:tcPr>
                <w:p w14:paraId="060C6117">
                  <w:pPr>
                    <w:keepNext w:val="0"/>
                    <w:keepLines w:val="0"/>
                    <w:widowControl/>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专项设置</w:t>
                  </w:r>
                </w:p>
              </w:tc>
            </w:tr>
            <w:tr w14:paraId="011153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979" w:type="dxa"/>
                  <w:tcBorders>
                    <w:tl2br w:val="nil"/>
                    <w:tr2bl w:val="nil"/>
                  </w:tcBorders>
                  <w:noWrap w:val="0"/>
                  <w:vAlign w:val="center"/>
                </w:tcPr>
                <w:p w14:paraId="3F938B68">
                  <w:pPr>
                    <w:keepNext w:val="0"/>
                    <w:keepLines w:val="0"/>
                    <w:widowControl/>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大气</w:t>
                  </w:r>
                </w:p>
              </w:tc>
              <w:tc>
                <w:tcPr>
                  <w:tcW w:w="3303" w:type="dxa"/>
                  <w:tcBorders>
                    <w:tl2br w:val="nil"/>
                    <w:tr2bl w:val="nil"/>
                  </w:tcBorders>
                  <w:noWrap w:val="0"/>
                  <w:vAlign w:val="center"/>
                </w:tcPr>
                <w:p w14:paraId="41E0611E">
                  <w:pPr>
                    <w:pStyle w:val="1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kern w:val="0"/>
                      <w:sz w:val="21"/>
                      <w:szCs w:val="21"/>
                      <w:vertAlign w:val="baseline"/>
                      <w:lang w:val="en-US" w:eastAsia="zh-CN" w:bidi="ar"/>
                    </w:rPr>
                    <w:t>排放废气含有毒有害污染物、二噁英、苯并[a]芘、氰化物、氯气且厂界外500m范围内有环境空气保护目标的建设项目。</w:t>
                  </w:r>
                </w:p>
              </w:tc>
              <w:tc>
                <w:tcPr>
                  <w:tcW w:w="2856" w:type="dxa"/>
                  <w:tcBorders>
                    <w:tl2br w:val="nil"/>
                    <w:tr2bl w:val="nil"/>
                  </w:tcBorders>
                  <w:noWrap w:val="0"/>
                  <w:vAlign w:val="center"/>
                </w:tcPr>
                <w:p w14:paraId="5DDF754C">
                  <w:pPr>
                    <w:keepNext w:val="0"/>
                    <w:keepLines w:val="0"/>
                    <w:suppressLineNumbers w:val="0"/>
                    <w:spacing w:before="0" w:beforeAutospacing="0" w:after="0" w:afterAutospacing="0"/>
                    <w:ind w:left="0" w:right="0"/>
                    <w:jc w:val="both"/>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本项目排放废气中不含《有毒有害大气污染物名录》中所列的污染物、</w:t>
                  </w:r>
                  <w:r>
                    <w:rPr>
                      <w:rFonts w:hint="default" w:ascii="Times New Roman" w:hAnsi="Times New Roman" w:eastAsia="宋体" w:cs="Times New Roman"/>
                      <w:b w:val="0"/>
                      <w:bCs w:val="0"/>
                      <w:color w:val="auto"/>
                      <w:kern w:val="0"/>
                      <w:sz w:val="21"/>
                      <w:szCs w:val="21"/>
                      <w:lang w:val="en-US" w:eastAsia="zh-CN" w:bidi="ar"/>
                    </w:rPr>
                    <w:t>二噁英、苯并[a]芘、氰化物、氯气</w:t>
                  </w:r>
                  <w:r>
                    <w:rPr>
                      <w:rFonts w:hint="default" w:ascii="Times New Roman" w:hAnsi="Times New Roman" w:eastAsia="宋体" w:cs="Times New Roman"/>
                      <w:b w:val="0"/>
                      <w:bCs w:val="0"/>
                      <w:color w:val="auto"/>
                      <w:kern w:val="0"/>
                      <w:sz w:val="21"/>
                      <w:szCs w:val="21"/>
                      <w:vertAlign w:val="baseline"/>
                      <w:lang w:val="en-US" w:eastAsia="zh-CN" w:bidi="ar"/>
                    </w:rPr>
                    <w:t>。</w:t>
                  </w:r>
                </w:p>
              </w:tc>
              <w:tc>
                <w:tcPr>
                  <w:tcW w:w="780" w:type="dxa"/>
                  <w:tcBorders>
                    <w:tl2br w:val="nil"/>
                    <w:tr2bl w:val="nil"/>
                  </w:tcBorders>
                  <w:noWrap w:val="0"/>
                  <w:vAlign w:val="center"/>
                </w:tcPr>
                <w:p w14:paraId="1FDCDC49">
                  <w:pPr>
                    <w:keepNext w:val="0"/>
                    <w:keepLines w:val="0"/>
                    <w:widowControl/>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否</w:t>
                  </w:r>
                </w:p>
              </w:tc>
            </w:tr>
            <w:tr w14:paraId="624972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979" w:type="dxa"/>
                  <w:tcBorders>
                    <w:tl2br w:val="nil"/>
                    <w:tr2bl w:val="nil"/>
                  </w:tcBorders>
                  <w:noWrap w:val="0"/>
                  <w:vAlign w:val="center"/>
                </w:tcPr>
                <w:p w14:paraId="20431F1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地表水</w:t>
                  </w:r>
                </w:p>
              </w:tc>
              <w:tc>
                <w:tcPr>
                  <w:tcW w:w="3303" w:type="dxa"/>
                  <w:tcBorders>
                    <w:tl2br w:val="nil"/>
                    <w:tr2bl w:val="nil"/>
                  </w:tcBorders>
                  <w:noWrap w:val="0"/>
                  <w:vAlign w:val="top"/>
                </w:tcPr>
                <w:p w14:paraId="0FB2E64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新增工业废水直排建设项目（槽罐车外送污水处理厂的除外）；</w:t>
                  </w:r>
                </w:p>
                <w:p w14:paraId="278FFAA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新增废水直排的污水集中处理厂</w:t>
                  </w:r>
                </w:p>
              </w:tc>
              <w:tc>
                <w:tcPr>
                  <w:tcW w:w="2856" w:type="dxa"/>
                  <w:tcBorders>
                    <w:tl2br w:val="nil"/>
                    <w:tr2bl w:val="nil"/>
                  </w:tcBorders>
                  <w:noWrap w:val="0"/>
                  <w:vAlign w:val="center"/>
                </w:tcPr>
                <w:p w14:paraId="1E71A47F">
                  <w:pPr>
                    <w:keepNext w:val="0"/>
                    <w:keepLines w:val="0"/>
                    <w:widowControl/>
                    <w:numPr>
                      <w:ilvl w:val="0"/>
                      <w:numId w:val="0"/>
                    </w:numPr>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项目不新增工业废水</w:t>
                  </w:r>
                  <w:r>
                    <w:rPr>
                      <w:rFonts w:hint="default" w:ascii="Times New Roman" w:hAnsi="Times New Roman" w:eastAsia="宋体" w:cs="Times New Roman"/>
                      <w:b w:val="0"/>
                      <w:bCs w:val="0"/>
                      <w:color w:val="auto"/>
                      <w:sz w:val="21"/>
                      <w:szCs w:val="21"/>
                      <w:lang w:eastAsia="zh-CN"/>
                    </w:rPr>
                    <w:t>直排。</w:t>
                  </w:r>
                </w:p>
              </w:tc>
              <w:tc>
                <w:tcPr>
                  <w:tcW w:w="780" w:type="dxa"/>
                  <w:tcBorders>
                    <w:tl2br w:val="nil"/>
                    <w:tr2bl w:val="nil"/>
                  </w:tcBorders>
                  <w:noWrap w:val="0"/>
                  <w:vAlign w:val="center"/>
                </w:tcPr>
                <w:p w14:paraId="0C83D135">
                  <w:pPr>
                    <w:keepNext w:val="0"/>
                    <w:keepLines w:val="0"/>
                    <w:widowControl/>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否</w:t>
                  </w:r>
                </w:p>
              </w:tc>
            </w:tr>
            <w:tr w14:paraId="417BD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79" w:type="dxa"/>
                  <w:tcBorders>
                    <w:tl2br w:val="nil"/>
                    <w:tr2bl w:val="nil"/>
                  </w:tcBorders>
                  <w:noWrap w:val="0"/>
                  <w:vAlign w:val="center"/>
                </w:tcPr>
                <w:p w14:paraId="527F7049">
                  <w:pPr>
                    <w:keepNext w:val="0"/>
                    <w:keepLines w:val="0"/>
                    <w:widowControl/>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环境</w:t>
                  </w:r>
                </w:p>
                <w:p w14:paraId="7D55962D">
                  <w:pPr>
                    <w:keepNext w:val="0"/>
                    <w:keepLines w:val="0"/>
                    <w:widowControl/>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风险</w:t>
                  </w:r>
                </w:p>
              </w:tc>
              <w:tc>
                <w:tcPr>
                  <w:tcW w:w="3303" w:type="dxa"/>
                  <w:tcBorders>
                    <w:tl2br w:val="nil"/>
                    <w:tr2bl w:val="nil"/>
                  </w:tcBorders>
                  <w:noWrap w:val="0"/>
                  <w:vAlign w:val="top"/>
                </w:tcPr>
                <w:p w14:paraId="3AC12231">
                  <w:pPr>
                    <w:keepNext w:val="0"/>
                    <w:keepLines w:val="0"/>
                    <w:widowControl/>
                    <w:numPr>
                      <w:ilvl w:val="0"/>
                      <w:numId w:val="0"/>
                    </w:numPr>
                    <w:suppressLineNumbers w:val="0"/>
                    <w:spacing w:before="0" w:beforeAutospacing="0" w:after="0" w:afterAutospacing="0" w:line="240" w:lineRule="auto"/>
                    <w:ind w:left="0" w:right="0"/>
                    <w:jc w:val="left"/>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有毒有害和易燃易爆危险物质存储量超过临界量的建设项目。</w:t>
                  </w:r>
                </w:p>
              </w:tc>
              <w:tc>
                <w:tcPr>
                  <w:tcW w:w="2856" w:type="dxa"/>
                  <w:tcBorders>
                    <w:tl2br w:val="nil"/>
                    <w:tr2bl w:val="nil"/>
                  </w:tcBorders>
                  <w:noWrap w:val="0"/>
                  <w:vAlign w:val="center"/>
                </w:tcPr>
                <w:p w14:paraId="39FF3D76">
                  <w:pPr>
                    <w:keepNext w:val="0"/>
                    <w:keepLines w:val="0"/>
                    <w:widowControl/>
                    <w:numPr>
                      <w:ilvl w:val="0"/>
                      <w:numId w:val="0"/>
                    </w:numPr>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项目</w:t>
                  </w:r>
                  <w:r>
                    <w:rPr>
                      <w:rFonts w:hint="default" w:ascii="Times New Roman" w:hAnsi="Times New Roman" w:eastAsia="宋体" w:cs="Times New Roman"/>
                      <w:b w:val="0"/>
                      <w:bCs w:val="0"/>
                      <w:color w:val="auto"/>
                      <w:kern w:val="0"/>
                      <w:sz w:val="21"/>
                      <w:szCs w:val="21"/>
                      <w:lang w:val="en-US" w:eastAsia="zh-CN" w:bidi="ar"/>
                    </w:rPr>
                    <w:t>危险物质存储量未超过临界量</w:t>
                  </w:r>
                </w:p>
              </w:tc>
              <w:tc>
                <w:tcPr>
                  <w:tcW w:w="780" w:type="dxa"/>
                  <w:tcBorders>
                    <w:tl2br w:val="nil"/>
                    <w:tr2bl w:val="nil"/>
                  </w:tcBorders>
                  <w:noWrap w:val="0"/>
                  <w:vAlign w:val="center"/>
                </w:tcPr>
                <w:p w14:paraId="0E242695">
                  <w:pPr>
                    <w:keepNext w:val="0"/>
                    <w:keepLines w:val="0"/>
                    <w:widowControl/>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否</w:t>
                  </w:r>
                </w:p>
              </w:tc>
            </w:tr>
            <w:tr w14:paraId="013D9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979" w:type="dxa"/>
                  <w:tcBorders>
                    <w:tl2br w:val="nil"/>
                    <w:tr2bl w:val="nil"/>
                  </w:tcBorders>
                  <w:noWrap w:val="0"/>
                  <w:vAlign w:val="center"/>
                </w:tcPr>
                <w:p w14:paraId="2A220859">
                  <w:pPr>
                    <w:keepNext w:val="0"/>
                    <w:keepLines w:val="0"/>
                    <w:widowControl/>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生态</w:t>
                  </w:r>
                </w:p>
              </w:tc>
              <w:tc>
                <w:tcPr>
                  <w:tcW w:w="3303" w:type="dxa"/>
                  <w:tcBorders>
                    <w:tl2br w:val="nil"/>
                    <w:tr2bl w:val="nil"/>
                  </w:tcBorders>
                  <w:noWrap w:val="0"/>
                  <w:vAlign w:val="top"/>
                </w:tcPr>
                <w:p w14:paraId="099F81B2">
                  <w:pPr>
                    <w:keepNext w:val="0"/>
                    <w:keepLines w:val="0"/>
                    <w:widowControl/>
                    <w:numPr>
                      <w:ilvl w:val="0"/>
                      <w:numId w:val="0"/>
                    </w:numPr>
                    <w:suppressLineNumbers w:val="0"/>
                    <w:spacing w:before="0" w:beforeAutospacing="0" w:after="0" w:afterAutospacing="0" w:line="240" w:lineRule="auto"/>
                    <w:ind w:left="0" w:right="0"/>
                    <w:jc w:val="left"/>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取水口下游500m范围内有重要水生生物的自然产卵场、索饵场、越冬场和洄游通道的新增河道取水的污染类建设项目</w:t>
                  </w:r>
                </w:p>
              </w:tc>
              <w:tc>
                <w:tcPr>
                  <w:tcW w:w="2856" w:type="dxa"/>
                  <w:tcBorders>
                    <w:tl2br w:val="nil"/>
                    <w:tr2bl w:val="nil"/>
                  </w:tcBorders>
                  <w:noWrap w:val="0"/>
                  <w:vAlign w:val="center"/>
                </w:tcPr>
                <w:p w14:paraId="3B9FD1F0">
                  <w:pPr>
                    <w:keepNext w:val="0"/>
                    <w:keepLines w:val="0"/>
                    <w:widowControl/>
                    <w:numPr>
                      <w:ilvl w:val="0"/>
                      <w:numId w:val="0"/>
                    </w:numPr>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项目不涉及新建取水口。</w:t>
                  </w:r>
                </w:p>
              </w:tc>
              <w:tc>
                <w:tcPr>
                  <w:tcW w:w="780" w:type="dxa"/>
                  <w:tcBorders>
                    <w:tl2br w:val="nil"/>
                    <w:tr2bl w:val="nil"/>
                  </w:tcBorders>
                  <w:noWrap w:val="0"/>
                  <w:vAlign w:val="center"/>
                </w:tcPr>
                <w:p w14:paraId="6E439230">
                  <w:pPr>
                    <w:keepNext w:val="0"/>
                    <w:keepLines w:val="0"/>
                    <w:widowControl/>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否</w:t>
                  </w:r>
                </w:p>
              </w:tc>
            </w:tr>
            <w:tr w14:paraId="00C99A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979" w:type="dxa"/>
                  <w:tcBorders>
                    <w:tl2br w:val="nil"/>
                    <w:tr2bl w:val="nil"/>
                  </w:tcBorders>
                  <w:noWrap w:val="0"/>
                  <w:vAlign w:val="center"/>
                </w:tcPr>
                <w:p w14:paraId="1B999054">
                  <w:pPr>
                    <w:keepNext w:val="0"/>
                    <w:keepLines w:val="0"/>
                    <w:widowControl/>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海洋</w:t>
                  </w:r>
                </w:p>
              </w:tc>
              <w:tc>
                <w:tcPr>
                  <w:tcW w:w="3303" w:type="dxa"/>
                  <w:tcBorders>
                    <w:tl2br w:val="nil"/>
                    <w:tr2bl w:val="nil"/>
                  </w:tcBorders>
                  <w:noWrap w:val="0"/>
                  <w:vAlign w:val="top"/>
                </w:tcPr>
                <w:p w14:paraId="1D724AC7">
                  <w:pPr>
                    <w:keepNext w:val="0"/>
                    <w:keepLines w:val="0"/>
                    <w:widowControl/>
                    <w:numPr>
                      <w:ilvl w:val="0"/>
                      <w:numId w:val="0"/>
                    </w:numPr>
                    <w:suppressLineNumbers w:val="0"/>
                    <w:spacing w:before="0" w:beforeAutospacing="0" w:after="0" w:afterAutospacing="0" w:line="240" w:lineRule="auto"/>
                    <w:ind w:left="0" w:right="0"/>
                    <w:jc w:val="left"/>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直接向海洋排放污染物的海洋工程建设项目</w:t>
                  </w:r>
                </w:p>
              </w:tc>
              <w:tc>
                <w:tcPr>
                  <w:tcW w:w="2856" w:type="dxa"/>
                  <w:tcBorders>
                    <w:tl2br w:val="nil"/>
                    <w:tr2bl w:val="nil"/>
                  </w:tcBorders>
                  <w:noWrap w:val="0"/>
                  <w:vAlign w:val="center"/>
                </w:tcPr>
                <w:p w14:paraId="1BC7300E">
                  <w:pPr>
                    <w:keepNext w:val="0"/>
                    <w:keepLines w:val="0"/>
                    <w:widowControl/>
                    <w:numPr>
                      <w:ilvl w:val="0"/>
                      <w:numId w:val="0"/>
                    </w:numPr>
                    <w:suppressLineNumbers w:val="0"/>
                    <w:spacing w:before="0" w:beforeAutospacing="0" w:after="0" w:afterAutospacing="0" w:line="240" w:lineRule="auto"/>
                    <w:ind w:left="0" w:right="0"/>
                    <w:jc w:val="both"/>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项目不涉及</w:t>
                  </w:r>
                  <w:r>
                    <w:rPr>
                      <w:rFonts w:hint="default" w:ascii="Times New Roman" w:hAnsi="Times New Roman" w:eastAsia="宋体" w:cs="Times New Roman"/>
                      <w:b w:val="0"/>
                      <w:bCs w:val="0"/>
                      <w:color w:val="auto"/>
                      <w:kern w:val="0"/>
                      <w:sz w:val="21"/>
                      <w:szCs w:val="21"/>
                      <w:lang w:val="en-US" w:eastAsia="zh-CN" w:bidi="ar"/>
                    </w:rPr>
                    <w:t>海洋排放污染物。</w:t>
                  </w:r>
                </w:p>
              </w:tc>
              <w:tc>
                <w:tcPr>
                  <w:tcW w:w="780" w:type="dxa"/>
                  <w:tcBorders>
                    <w:tl2br w:val="nil"/>
                    <w:tr2bl w:val="nil"/>
                  </w:tcBorders>
                  <w:noWrap w:val="0"/>
                  <w:vAlign w:val="center"/>
                </w:tcPr>
                <w:p w14:paraId="0C0A7769">
                  <w:pPr>
                    <w:keepNext w:val="0"/>
                    <w:keepLines w:val="0"/>
                    <w:widowControl/>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否</w:t>
                  </w:r>
                </w:p>
              </w:tc>
            </w:tr>
          </w:tbl>
          <w:p w14:paraId="65DE9125">
            <w:pPr>
              <w:keepNext w:val="0"/>
              <w:keepLines w:val="0"/>
              <w:widowControl/>
              <w:numPr>
                <w:ilvl w:val="0"/>
                <w:numId w:val="0"/>
              </w:numPr>
              <w:suppressLineNumbers w:val="0"/>
              <w:spacing w:before="0" w:beforeAutospacing="0" w:after="0" w:afterAutospacing="0" w:line="240" w:lineRule="auto"/>
              <w:ind w:left="0" w:right="0" w:firstLine="420" w:firstLineChars="200"/>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注：1.废气中有毒有害污染物指纳入《有毒有害大气污染物名录》的污染物（不包括无排放标准的污染物）。</w:t>
            </w:r>
          </w:p>
          <w:p w14:paraId="29FD5D17">
            <w:pPr>
              <w:keepNext w:val="0"/>
              <w:keepLines w:val="0"/>
              <w:widowControl/>
              <w:numPr>
                <w:ilvl w:val="0"/>
                <w:numId w:val="0"/>
              </w:numPr>
              <w:suppressLineNumbers w:val="0"/>
              <w:spacing w:before="0" w:beforeAutospacing="0" w:after="0" w:afterAutospacing="0" w:line="240" w:lineRule="auto"/>
              <w:ind w:right="0" w:rightChars="0" w:firstLine="420" w:firstLineChars="200"/>
              <w:jc w:val="left"/>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环境空气保护目标指自然保护区、风景名胜区、居住区、文化区和农村地区中人群较集中的区域。</w:t>
            </w:r>
          </w:p>
          <w:p w14:paraId="69E25B5C">
            <w:pPr>
              <w:keepNext w:val="0"/>
              <w:keepLines w:val="0"/>
              <w:widowControl/>
              <w:numPr>
                <w:ilvl w:val="0"/>
                <w:numId w:val="0"/>
              </w:numPr>
              <w:suppressLineNumbers w:val="0"/>
              <w:spacing w:before="0" w:beforeAutospacing="0" w:after="0" w:afterAutospacing="0" w:line="240" w:lineRule="auto"/>
              <w:ind w:right="0" w:rightChars="0" w:firstLine="42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1"/>
                <w:szCs w:val="21"/>
                <w:lang w:val="en-US" w:eastAsia="zh-CN"/>
              </w:rPr>
              <w:t>3.临界量及其计算方法可参考《建设项目环境风险评价技术导则》（HJ169）附录B、附录C。</w:t>
            </w:r>
          </w:p>
        </w:tc>
      </w:tr>
      <w:tr w14:paraId="65927D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1186" w:type="dxa"/>
            <w:noWrap w:val="0"/>
            <w:tcMar>
              <w:top w:w="16" w:type="dxa"/>
              <w:left w:w="16" w:type="dxa"/>
              <w:right w:w="16" w:type="dxa"/>
            </w:tcMar>
            <w:vAlign w:val="center"/>
          </w:tcPr>
          <w:p w14:paraId="47CDEBCA">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宋体" w:hAnsi="宋体" w:eastAsia="宋体" w:cs="宋体"/>
                <w:b/>
                <w:bCs/>
                <w:color w:val="auto"/>
                <w:kern w:val="0"/>
                <w:sz w:val="24"/>
              </w:rPr>
            </w:pPr>
            <w:r>
              <w:rPr>
                <w:rFonts w:hint="eastAsia" w:ascii="宋体" w:hAnsi="宋体" w:eastAsia="宋体" w:cs="宋体"/>
                <w:b/>
                <w:bCs/>
                <w:color w:val="auto"/>
                <w:sz w:val="24"/>
              </w:rPr>
              <w:t>规划情况</w:t>
            </w:r>
          </w:p>
        </w:tc>
        <w:tc>
          <w:tcPr>
            <w:tcW w:w="7896" w:type="dxa"/>
            <w:gridSpan w:val="3"/>
            <w:noWrap w:val="0"/>
            <w:tcMar>
              <w:top w:w="16" w:type="dxa"/>
              <w:left w:w="16" w:type="dxa"/>
              <w:right w:w="16" w:type="dxa"/>
            </w:tcMar>
            <w:vAlign w:val="center"/>
          </w:tcPr>
          <w:p w14:paraId="68368625">
            <w:pPr>
              <w:keepNext w:val="0"/>
              <w:keepLines w:val="0"/>
              <w:suppressLineNumbers w:val="0"/>
              <w:spacing w:before="0" w:beforeAutospacing="0" w:after="0" w:afterAutospacing="0" w:line="360" w:lineRule="auto"/>
              <w:ind w:left="0" w:right="0" w:firstLine="240" w:firstLineChars="1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规划名称：《四川大英经济开发区控制性详细规划》；</w:t>
            </w:r>
          </w:p>
          <w:p w14:paraId="6C5407B8">
            <w:pPr>
              <w:keepNext w:val="0"/>
              <w:keepLines w:val="0"/>
              <w:suppressLineNumbers w:val="0"/>
              <w:spacing w:before="0" w:beforeAutospacing="0" w:after="0" w:afterAutospacing="0" w:line="360" w:lineRule="auto"/>
              <w:ind w:left="0" w:right="0" w:firstLine="240" w:firstLineChars="1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审批机关：四川省人民政府；</w:t>
            </w:r>
          </w:p>
          <w:p w14:paraId="2FF818BC">
            <w:pPr>
              <w:keepNext w:val="0"/>
              <w:keepLines w:val="0"/>
              <w:suppressLineNumbers w:val="0"/>
              <w:spacing w:before="0" w:beforeAutospacing="0" w:after="0" w:afterAutospacing="0" w:line="360" w:lineRule="auto"/>
              <w:ind w:left="0" w:right="0" w:firstLine="240" w:firstLineChars="100"/>
              <w:rPr>
                <w:rFonts w:hint="default" w:ascii="Times New Roman" w:hAnsi="Times New Roman" w:eastAsia="宋体" w:cs="Times New Roman"/>
                <w:color w:val="auto"/>
                <w:kern w:val="0"/>
                <w:sz w:val="24"/>
                <w:lang w:eastAsia="zh-CN"/>
              </w:rPr>
            </w:pPr>
            <w:r>
              <w:rPr>
                <w:rFonts w:hint="eastAsia" w:ascii="Times New Roman" w:hAnsi="Times New Roman" w:eastAsia="宋体" w:cs="Times New Roman"/>
                <w:color w:val="auto"/>
                <w:sz w:val="24"/>
                <w:szCs w:val="24"/>
                <w:lang w:eastAsia="zh-CN"/>
              </w:rPr>
              <w:t>审批文号：川府函〔2019〕20号。</w:t>
            </w:r>
          </w:p>
        </w:tc>
      </w:tr>
      <w:tr w14:paraId="52250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186" w:type="dxa"/>
            <w:noWrap w:val="0"/>
            <w:tcMar>
              <w:top w:w="16" w:type="dxa"/>
              <w:left w:w="16" w:type="dxa"/>
              <w:right w:w="16" w:type="dxa"/>
            </w:tcMar>
            <w:vAlign w:val="center"/>
          </w:tcPr>
          <w:p w14:paraId="72E5DB28">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
                <w:bCs/>
                <w:color w:val="auto"/>
                <w:kern w:val="0"/>
                <w:sz w:val="24"/>
              </w:rPr>
            </w:pPr>
            <w:r>
              <w:rPr>
                <w:rFonts w:hint="eastAsia" w:ascii="宋体" w:hAnsi="宋体" w:eastAsia="宋体" w:cs="宋体"/>
                <w:b/>
                <w:bCs/>
                <w:color w:val="auto"/>
                <w:sz w:val="24"/>
              </w:rPr>
              <w:t>规划环境影响评价情况</w:t>
            </w:r>
          </w:p>
        </w:tc>
        <w:tc>
          <w:tcPr>
            <w:tcW w:w="7896" w:type="dxa"/>
            <w:gridSpan w:val="3"/>
            <w:noWrap w:val="0"/>
            <w:tcMar>
              <w:top w:w="16" w:type="dxa"/>
              <w:left w:w="16" w:type="dxa"/>
              <w:right w:w="16" w:type="dxa"/>
            </w:tcMar>
            <w:vAlign w:val="center"/>
          </w:tcPr>
          <w:p w14:paraId="04D4EA18">
            <w:pPr>
              <w:keepNext w:val="0"/>
              <w:keepLines w:val="0"/>
              <w:suppressLineNumbers w:val="0"/>
              <w:spacing w:before="0" w:beforeAutospacing="0" w:after="0" w:afterAutospacing="0" w:line="360" w:lineRule="auto"/>
              <w:ind w:left="0" w:right="0" w:firstLine="240" w:firstLineChars="1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规划环境影响评价文件：《四川大英经济开发区规划环境影响报告书》；</w:t>
            </w:r>
          </w:p>
          <w:p w14:paraId="0729418C">
            <w:pPr>
              <w:keepNext w:val="0"/>
              <w:keepLines w:val="0"/>
              <w:suppressLineNumbers w:val="0"/>
              <w:spacing w:before="0" w:beforeAutospacing="0" w:after="0" w:afterAutospacing="0" w:line="360" w:lineRule="auto"/>
              <w:ind w:left="0" w:right="0" w:firstLine="240" w:firstLineChars="1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规划审批机关：四川省</w:t>
            </w:r>
            <w:r>
              <w:rPr>
                <w:rFonts w:hint="eastAsia" w:ascii="Times New Roman" w:hAnsi="Times New Roman" w:eastAsia="宋体" w:cs="Times New Roman"/>
                <w:color w:val="auto"/>
                <w:sz w:val="24"/>
                <w:szCs w:val="24"/>
                <w:lang w:val="en-US" w:eastAsia="zh-CN"/>
              </w:rPr>
              <w:t>生态环境厅</w:t>
            </w:r>
            <w:r>
              <w:rPr>
                <w:rFonts w:hint="eastAsia" w:ascii="Times New Roman" w:hAnsi="Times New Roman" w:eastAsia="宋体" w:cs="Times New Roman"/>
                <w:color w:val="auto"/>
                <w:sz w:val="24"/>
                <w:szCs w:val="24"/>
                <w:lang w:eastAsia="zh-CN"/>
              </w:rPr>
              <w:t>；</w:t>
            </w:r>
          </w:p>
          <w:p w14:paraId="077EC00E">
            <w:pPr>
              <w:keepNext w:val="0"/>
              <w:keepLines w:val="0"/>
              <w:suppressLineNumbers w:val="0"/>
              <w:spacing w:before="0" w:beforeAutospacing="0" w:after="0" w:afterAutospacing="0" w:line="360" w:lineRule="auto"/>
              <w:ind w:left="0" w:right="0" w:firstLine="240" w:firstLineChars="100"/>
              <w:rPr>
                <w:rFonts w:hint="eastAsia" w:ascii="宋体" w:hAnsi="宋体" w:eastAsia="宋体" w:cs="宋体"/>
                <w:color w:val="auto"/>
                <w:sz w:val="24"/>
                <w:szCs w:val="24"/>
                <w:lang w:eastAsia="zh-CN"/>
              </w:rPr>
            </w:pPr>
            <w:r>
              <w:rPr>
                <w:rFonts w:hint="eastAsia" w:ascii="Times New Roman" w:hAnsi="Times New Roman" w:eastAsia="宋体" w:cs="Times New Roman"/>
                <w:color w:val="auto"/>
                <w:sz w:val="24"/>
                <w:szCs w:val="24"/>
                <w:lang w:eastAsia="zh-CN"/>
              </w:rPr>
              <w:t>审批文件及文号：《四川省生态环境厅关于&lt;四川大英经济开发区规划环境影响报告书&gt;的审查意见》（川环建函[2019]48号），2019年8月8日。</w:t>
            </w:r>
          </w:p>
        </w:tc>
      </w:tr>
      <w:tr w14:paraId="05F4A0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02" w:hRule="atLeast"/>
        </w:trPr>
        <w:tc>
          <w:tcPr>
            <w:tcW w:w="1186" w:type="dxa"/>
            <w:noWrap w:val="0"/>
            <w:tcMar>
              <w:top w:w="16" w:type="dxa"/>
              <w:left w:w="16" w:type="dxa"/>
              <w:right w:w="16" w:type="dxa"/>
            </w:tcMar>
            <w:vAlign w:val="center"/>
          </w:tcPr>
          <w:p w14:paraId="2ECF7563">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规划及</w:t>
            </w:r>
            <w:r>
              <w:rPr>
                <w:rFonts w:hint="eastAsia" w:ascii="宋体" w:hAnsi="宋体" w:eastAsia="宋体" w:cs="宋体"/>
                <w:b/>
                <w:bCs/>
                <w:color w:val="auto"/>
                <w:sz w:val="24"/>
              </w:rPr>
              <w:t>规划环境影响评价</w:t>
            </w:r>
            <w:r>
              <w:rPr>
                <w:rFonts w:hint="eastAsia" w:ascii="宋体" w:hAnsi="宋体" w:eastAsia="宋体" w:cs="宋体"/>
                <w:b/>
                <w:bCs/>
                <w:color w:val="auto"/>
                <w:kern w:val="0"/>
                <w:sz w:val="24"/>
              </w:rPr>
              <w:t>符合性分析</w:t>
            </w:r>
          </w:p>
        </w:tc>
        <w:tc>
          <w:tcPr>
            <w:tcW w:w="7896" w:type="dxa"/>
            <w:gridSpan w:val="3"/>
            <w:noWrap w:val="0"/>
            <w:tcMar>
              <w:top w:w="16" w:type="dxa"/>
              <w:left w:w="16" w:type="dxa"/>
              <w:right w:w="16" w:type="dxa"/>
            </w:tcMar>
            <w:vAlign w:val="center"/>
          </w:tcPr>
          <w:p w14:paraId="538A8E34">
            <w:pPr>
              <w:keepNext w:val="0"/>
              <w:keepLines w:val="0"/>
              <w:suppressLineNumbers w:val="0"/>
              <w:spacing w:before="0" w:beforeAutospacing="0" w:after="0" w:afterAutospacing="0" w:line="360" w:lineRule="auto"/>
              <w:ind w:right="0"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四川大英经济开发区位于大英县城东侧，西连射大路，东至隆盛镇打儿窝，南邻达成铁路，北至成南高速公路，规划面积16.0平方公里，包括石油化工产业园（梁家坝和红花坝片区）、盐化工产业园（聂家坝片区）、机电轻纺产业园（马家坝片区和景家坝片区、梨子坝-尚家坝片区）、电子产业园（聂家坝片区）及配套居住组团，经开区主导发展石化、纺织、机电产业。</w:t>
            </w:r>
          </w:p>
          <w:p w14:paraId="226F0CD6">
            <w:pPr>
              <w:keepNext w:val="0"/>
              <w:keepLines w:val="0"/>
              <w:suppressLineNumbers w:val="0"/>
              <w:spacing w:before="0" w:beforeAutospacing="0" w:after="0" w:afterAutospacing="0" w:line="360" w:lineRule="auto"/>
              <w:ind w:left="0" w:right="0" w:firstLine="720" w:firstLineChars="3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2019年1月，经开区经省人民政府批准设立为省级经济开发区（川府函〔2019〕20号），</w:t>
            </w:r>
            <w:r>
              <w:rPr>
                <w:rFonts w:hint="eastAsia" w:ascii="Times New Roman" w:hAnsi="Times New Roman" w:eastAsia="宋体" w:cs="Times New Roman"/>
                <w:color w:val="auto"/>
                <w:sz w:val="24"/>
                <w:szCs w:val="24"/>
                <w:lang w:val="en-US" w:eastAsia="zh-CN"/>
              </w:rPr>
              <w:t>2019年8月</w:t>
            </w:r>
            <w:r>
              <w:rPr>
                <w:rFonts w:hint="eastAsia" w:ascii="Times New Roman" w:hAnsi="Times New Roman" w:eastAsia="宋体" w:cs="Times New Roman"/>
                <w:color w:val="auto"/>
                <w:sz w:val="24"/>
                <w:szCs w:val="24"/>
                <w:lang w:eastAsia="zh-CN"/>
              </w:rPr>
              <w:t>，取得了《四川省生态环境厅关于&lt;四川大英经济开发区规划环境影响报告书&gt;的审查意见》（川环建函〔</w:t>
            </w:r>
            <w:r>
              <w:rPr>
                <w:rFonts w:hint="eastAsia" w:ascii="Times New Roman" w:hAnsi="Times New Roman" w:eastAsia="宋体" w:cs="Times New Roman"/>
                <w:color w:val="auto"/>
                <w:sz w:val="24"/>
                <w:szCs w:val="24"/>
                <w:lang w:val="en-US" w:eastAsia="zh-CN"/>
              </w:rPr>
              <w:t>2019</w:t>
            </w:r>
            <w:r>
              <w:rPr>
                <w:rFonts w:hint="eastAsia" w:ascii="Times New Roman" w:hAnsi="Times New Roman" w:eastAsia="宋体" w:cs="Times New Roman"/>
                <w:color w:val="auto"/>
                <w:sz w:val="24"/>
                <w:szCs w:val="24"/>
                <w:lang w:eastAsia="zh-CN"/>
              </w:rPr>
              <w:t>〕48号）。</w:t>
            </w:r>
          </w:p>
          <w:p w14:paraId="7BF413A6">
            <w:pPr>
              <w:spacing w:line="360" w:lineRule="auto"/>
              <w:rPr>
                <w:b/>
                <w:bCs/>
                <w:color w:val="auto"/>
                <w:sz w:val="24"/>
                <w:highlight w:val="none"/>
              </w:rPr>
            </w:pPr>
            <w:r>
              <w:rPr>
                <w:rFonts w:hint="eastAsia"/>
                <w:b/>
                <w:bCs/>
                <w:color w:val="auto"/>
                <w:sz w:val="24"/>
                <w:highlight w:val="none"/>
                <w:lang w:val="en-US" w:eastAsia="zh-CN"/>
              </w:rPr>
              <w:t>1</w:t>
            </w:r>
            <w:r>
              <w:rPr>
                <w:rFonts w:hint="eastAsia"/>
                <w:b/>
                <w:bCs/>
                <w:color w:val="auto"/>
                <w:sz w:val="24"/>
                <w:highlight w:val="none"/>
                <w:lang w:eastAsia="zh-CN"/>
              </w:rPr>
              <w:t>.</w:t>
            </w:r>
            <w:r>
              <w:rPr>
                <w:b/>
                <w:bCs/>
                <w:color w:val="auto"/>
                <w:sz w:val="24"/>
                <w:highlight w:val="none"/>
              </w:rPr>
              <w:t>行业准入符合性分析</w:t>
            </w:r>
          </w:p>
          <w:p w14:paraId="64795141">
            <w:pPr>
              <w:spacing w:line="360" w:lineRule="auto"/>
              <w:ind w:firstLine="480" w:firstLineChars="200"/>
              <w:rPr>
                <w:rFonts w:hint="default"/>
                <w:color w:val="auto"/>
                <w:sz w:val="24"/>
              </w:rPr>
            </w:pPr>
            <w:r>
              <w:rPr>
                <w:rFonts w:hint="default" w:ascii="Times New Roman" w:hAnsi="Times New Roman" w:eastAsia="宋体" w:cs="Times New Roman"/>
                <w:color w:val="auto"/>
                <w:sz w:val="24"/>
              </w:rPr>
              <w:t>四川大英经济开发区产业定位为：以石化、纺织、机电等产业为主的综合型园区。</w:t>
            </w:r>
            <w:r>
              <w:rPr>
                <w:rFonts w:hint="default"/>
                <w:color w:val="auto"/>
                <w:sz w:val="24"/>
              </w:rPr>
              <w:t>四川大英经济开发区环境准入条件及负面清单：</w:t>
            </w:r>
          </w:p>
          <w:p w14:paraId="30CA7E8E">
            <w:pPr>
              <w:spacing w:line="360" w:lineRule="auto"/>
              <w:ind w:firstLine="480" w:firstLineChars="200"/>
              <w:rPr>
                <w:rFonts w:hint="default"/>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default"/>
                <w:color w:val="auto"/>
                <w:sz w:val="24"/>
              </w:rPr>
              <w:t>鼓励类</w:t>
            </w:r>
          </w:p>
          <w:p w14:paraId="2F73EBF3">
            <w:pPr>
              <w:spacing w:line="360" w:lineRule="auto"/>
              <w:ind w:firstLine="480" w:firstLineChars="200"/>
              <w:rPr>
                <w:rFonts w:hint="default"/>
                <w:color w:val="auto"/>
                <w:sz w:val="24"/>
              </w:rPr>
            </w:pPr>
            <w:r>
              <w:rPr>
                <w:rFonts w:hint="default"/>
                <w:color w:val="auto"/>
                <w:sz w:val="24"/>
              </w:rPr>
              <w:t>①鼓励发展环境友好的化工新材料和机械制造产业。</w:t>
            </w:r>
          </w:p>
          <w:p w14:paraId="6234E0A9">
            <w:pPr>
              <w:spacing w:line="360" w:lineRule="auto"/>
              <w:ind w:firstLine="480" w:firstLineChars="200"/>
              <w:rPr>
                <w:rFonts w:hint="default"/>
                <w:color w:val="auto"/>
                <w:sz w:val="24"/>
              </w:rPr>
            </w:pPr>
            <w:r>
              <w:rPr>
                <w:rFonts w:hint="default"/>
                <w:color w:val="auto"/>
                <w:sz w:val="24"/>
              </w:rPr>
              <w:t>②与规划区主导产业相配套产业，企业效益明显，对区域不造成明显污染，遵循清洁生产及循环经济的项目。</w:t>
            </w:r>
          </w:p>
          <w:p w14:paraId="77F6372D">
            <w:pPr>
              <w:spacing w:line="360" w:lineRule="auto"/>
              <w:ind w:firstLine="480" w:firstLineChars="200"/>
              <w:rPr>
                <w:rFonts w:hint="default"/>
                <w:color w:val="auto"/>
                <w:sz w:val="24"/>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rFonts w:hint="default"/>
                <w:color w:val="auto"/>
                <w:sz w:val="24"/>
              </w:rPr>
              <w:t>负面清单</w:t>
            </w:r>
          </w:p>
          <w:p w14:paraId="0C8CA877">
            <w:pPr>
              <w:spacing w:line="360" w:lineRule="auto"/>
              <w:ind w:firstLine="480" w:firstLineChars="200"/>
              <w:rPr>
                <w:rFonts w:hint="default"/>
                <w:color w:val="auto"/>
                <w:sz w:val="24"/>
              </w:rPr>
            </w:pPr>
            <w:r>
              <w:rPr>
                <w:rFonts w:hint="default"/>
                <w:color w:val="auto"/>
                <w:sz w:val="24"/>
              </w:rPr>
              <w:t>规划区建设项目首先应符合《产业结构调整指导目录（2019年本）》、《产业转移指导目录（2012年本）》、《外商投资产业指导目录（2015年修订）》、《环境保护综合名录（2017年版）》等国家产业政策的要求，其次要符合四川省及遂宁市制定的相关产业政策的要求。清单中包括两类，一类是禁止类，涉及的项目禁止新建、改扩建</w:t>
            </w:r>
            <w:r>
              <w:rPr>
                <w:rFonts w:hint="eastAsia"/>
                <w:color w:val="auto"/>
                <w:sz w:val="24"/>
                <w:lang w:eastAsia="zh-CN"/>
              </w:rPr>
              <w:t>；</w:t>
            </w:r>
            <w:r>
              <w:rPr>
                <w:rFonts w:hint="default"/>
                <w:color w:val="auto"/>
                <w:sz w:val="24"/>
              </w:rPr>
              <w:t>另一类是限制类，意为有条件发展的项目，现状已建项目可保留发展，禁止新建该类项目。</w:t>
            </w:r>
          </w:p>
          <w:p w14:paraId="23397A4A">
            <w:pPr>
              <w:spacing w:line="360" w:lineRule="auto"/>
              <w:ind w:firstLine="480" w:firstLineChars="200"/>
              <w:rPr>
                <w:color w:val="auto"/>
                <w:sz w:val="24"/>
              </w:rPr>
            </w:pPr>
            <w:r>
              <w:rPr>
                <w:rFonts w:hint="default"/>
                <w:color w:val="auto"/>
                <w:sz w:val="24"/>
              </w:rPr>
              <w:t>四川大英经济开发区环境准入负面清单见下表</w:t>
            </w:r>
            <w:r>
              <w:rPr>
                <w:rFonts w:hint="eastAsia"/>
                <w:color w:val="auto"/>
                <w:sz w:val="24"/>
                <w:lang w:eastAsia="zh-CN"/>
              </w:rPr>
              <w:t>：</w:t>
            </w:r>
          </w:p>
          <w:p w14:paraId="4BD13DDE">
            <w:pPr>
              <w:jc w:val="center"/>
              <w:rPr>
                <w:b/>
                <w:color w:val="auto"/>
                <w:szCs w:val="21"/>
              </w:rPr>
            </w:pPr>
            <w:r>
              <w:rPr>
                <w:b/>
                <w:color w:val="auto"/>
                <w:szCs w:val="21"/>
              </w:rPr>
              <w:t>表1-</w:t>
            </w:r>
            <w:r>
              <w:rPr>
                <w:rFonts w:hint="eastAsia"/>
                <w:b/>
                <w:color w:val="auto"/>
                <w:szCs w:val="21"/>
              </w:rPr>
              <w:t>2</w:t>
            </w:r>
            <w:r>
              <w:rPr>
                <w:b/>
                <w:color w:val="auto"/>
                <w:szCs w:val="21"/>
              </w:rPr>
              <w:t xml:space="preserve">  </w:t>
            </w:r>
            <w:r>
              <w:rPr>
                <w:rFonts w:hint="eastAsia"/>
                <w:b/>
                <w:color w:val="auto"/>
                <w:szCs w:val="21"/>
                <w:lang w:val="en-US" w:eastAsia="zh-CN"/>
              </w:rPr>
              <w:t>四川大英经济开发区主导产业负面清单</w:t>
            </w:r>
            <w:r>
              <w:rPr>
                <w:b/>
                <w:color w:val="auto"/>
                <w:szCs w:val="21"/>
              </w:rPr>
              <w:t>一览表</w:t>
            </w:r>
          </w:p>
          <w:tbl>
            <w:tblPr>
              <w:tblStyle w:val="25"/>
              <w:tblW w:w="4931"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89"/>
              <w:gridCol w:w="2394"/>
              <w:gridCol w:w="3581"/>
              <w:gridCol w:w="991"/>
            </w:tblGrid>
            <w:tr w14:paraId="11495A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53" w:hRule="atLeast"/>
                <w:tblHeader/>
                <w:jc w:val="center"/>
              </w:trPr>
              <w:tc>
                <w:tcPr>
                  <w:tcW w:w="508" w:type="pct"/>
                  <w:tcBorders>
                    <w:tl2br w:val="nil"/>
                    <w:tr2bl w:val="nil"/>
                  </w:tcBorders>
                  <w:noWrap w:val="0"/>
                  <w:vAlign w:val="center"/>
                </w:tcPr>
                <w:p w14:paraId="7DDBC223">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b/>
                      <w:bCs w:val="0"/>
                      <w:color w:val="auto"/>
                      <w:kern w:val="0"/>
                      <w:sz w:val="21"/>
                      <w:szCs w:val="21"/>
                    </w:rPr>
                  </w:pPr>
                  <w:r>
                    <w:rPr>
                      <w:rFonts w:hint="eastAsia"/>
                      <w:b/>
                      <w:bCs w:val="0"/>
                      <w:color w:val="auto"/>
                      <w:kern w:val="0"/>
                      <w:sz w:val="21"/>
                      <w:szCs w:val="21"/>
                    </w:rPr>
                    <w:t>行业分类</w:t>
                  </w:r>
                </w:p>
              </w:tc>
              <w:tc>
                <w:tcPr>
                  <w:tcW w:w="1543" w:type="pct"/>
                  <w:tcBorders>
                    <w:tl2br w:val="nil"/>
                    <w:tr2bl w:val="nil"/>
                  </w:tcBorders>
                  <w:noWrap w:val="0"/>
                  <w:vAlign w:val="center"/>
                </w:tcPr>
                <w:p w14:paraId="3C49EA33">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b/>
                      <w:bCs w:val="0"/>
                      <w:color w:val="auto"/>
                      <w:kern w:val="0"/>
                      <w:sz w:val="21"/>
                      <w:szCs w:val="21"/>
                    </w:rPr>
                  </w:pPr>
                  <w:r>
                    <w:rPr>
                      <w:rFonts w:hint="eastAsia"/>
                      <w:b/>
                      <w:bCs w:val="0"/>
                      <w:color w:val="auto"/>
                      <w:kern w:val="0"/>
                      <w:sz w:val="21"/>
                      <w:szCs w:val="21"/>
                    </w:rPr>
                    <w:t>大/</w:t>
                  </w:r>
                  <w:r>
                    <w:rPr>
                      <w:b/>
                      <w:bCs w:val="0"/>
                      <w:color w:val="auto"/>
                      <w:kern w:val="0"/>
                      <w:sz w:val="21"/>
                      <w:szCs w:val="21"/>
                    </w:rPr>
                    <w:t>中类</w:t>
                  </w:r>
                </w:p>
              </w:tc>
              <w:tc>
                <w:tcPr>
                  <w:tcW w:w="2308" w:type="pct"/>
                  <w:tcBorders>
                    <w:tl2br w:val="nil"/>
                    <w:tr2bl w:val="nil"/>
                  </w:tcBorders>
                  <w:noWrap w:val="0"/>
                  <w:vAlign w:val="center"/>
                </w:tcPr>
                <w:p w14:paraId="1B8B419D">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b/>
                      <w:bCs w:val="0"/>
                      <w:color w:val="auto"/>
                      <w:kern w:val="0"/>
                      <w:sz w:val="21"/>
                      <w:szCs w:val="21"/>
                    </w:rPr>
                  </w:pPr>
                  <w:r>
                    <w:rPr>
                      <w:b/>
                      <w:bCs w:val="0"/>
                      <w:color w:val="auto"/>
                      <w:kern w:val="0"/>
                      <w:sz w:val="21"/>
                      <w:szCs w:val="21"/>
                    </w:rPr>
                    <w:t>禁止</w:t>
                  </w:r>
                  <w:r>
                    <w:rPr>
                      <w:rFonts w:hint="eastAsia"/>
                      <w:b/>
                      <w:bCs w:val="0"/>
                      <w:color w:val="auto"/>
                      <w:kern w:val="0"/>
                      <w:sz w:val="21"/>
                      <w:szCs w:val="21"/>
                    </w:rPr>
                    <w:t>类</w:t>
                  </w:r>
                </w:p>
              </w:tc>
              <w:tc>
                <w:tcPr>
                  <w:tcW w:w="638" w:type="pct"/>
                  <w:tcBorders>
                    <w:tl2br w:val="nil"/>
                    <w:tr2bl w:val="nil"/>
                  </w:tcBorders>
                  <w:noWrap w:val="0"/>
                  <w:vAlign w:val="center"/>
                </w:tcPr>
                <w:p w14:paraId="14DD319D">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b/>
                      <w:bCs w:val="0"/>
                      <w:color w:val="auto"/>
                      <w:kern w:val="0"/>
                      <w:sz w:val="21"/>
                      <w:szCs w:val="21"/>
                    </w:rPr>
                  </w:pPr>
                  <w:r>
                    <w:rPr>
                      <w:rFonts w:hint="eastAsia"/>
                      <w:b/>
                      <w:bCs w:val="0"/>
                      <w:color w:val="auto"/>
                      <w:kern w:val="0"/>
                      <w:sz w:val="21"/>
                      <w:szCs w:val="21"/>
                    </w:rPr>
                    <w:t>限制类</w:t>
                  </w:r>
                </w:p>
              </w:tc>
            </w:tr>
            <w:tr w14:paraId="718450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35" w:hRule="atLeast"/>
                <w:jc w:val="center"/>
              </w:trPr>
              <w:tc>
                <w:tcPr>
                  <w:tcW w:w="508" w:type="pct"/>
                  <w:tcBorders>
                    <w:tl2br w:val="nil"/>
                    <w:tr2bl w:val="nil"/>
                  </w:tcBorders>
                  <w:noWrap w:val="0"/>
                  <w:vAlign w:val="center"/>
                </w:tcPr>
                <w:p w14:paraId="3B89F6A3">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b w:val="0"/>
                      <w:bCs/>
                      <w:color w:val="auto"/>
                      <w:kern w:val="0"/>
                      <w:sz w:val="21"/>
                      <w:szCs w:val="21"/>
                    </w:rPr>
                  </w:pPr>
                  <w:r>
                    <w:rPr>
                      <w:rFonts w:hint="eastAsia"/>
                      <w:b w:val="0"/>
                      <w:bCs/>
                      <w:color w:val="auto"/>
                      <w:kern w:val="0"/>
                      <w:sz w:val="21"/>
                      <w:szCs w:val="21"/>
                    </w:rPr>
                    <w:t>石化</w:t>
                  </w:r>
                </w:p>
              </w:tc>
              <w:tc>
                <w:tcPr>
                  <w:tcW w:w="1543" w:type="pct"/>
                  <w:tcBorders>
                    <w:tl2br w:val="nil"/>
                    <w:tr2bl w:val="nil"/>
                  </w:tcBorders>
                  <w:noWrap w:val="0"/>
                  <w:vAlign w:val="center"/>
                </w:tcPr>
                <w:p w14:paraId="57DFF798">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251精炼石油产品制造</w:t>
                  </w:r>
                </w:p>
              </w:tc>
              <w:tc>
                <w:tcPr>
                  <w:tcW w:w="2308" w:type="pct"/>
                  <w:tcBorders>
                    <w:tl2br w:val="nil"/>
                    <w:tr2bl w:val="nil"/>
                  </w:tcBorders>
                  <w:noWrap w:val="0"/>
                  <w:vAlign w:val="center"/>
                </w:tcPr>
                <w:p w14:paraId="4BC77325">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新建原油炼制、扩建燃料油炼制项目；</w:t>
                  </w:r>
                </w:p>
                <w:p w14:paraId="64E91746">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油品升级项目除外</w:t>
                  </w:r>
                </w:p>
              </w:tc>
              <w:tc>
                <w:tcPr>
                  <w:tcW w:w="638" w:type="pct"/>
                  <w:tcBorders>
                    <w:tl2br w:val="nil"/>
                    <w:tr2bl w:val="nil"/>
                  </w:tcBorders>
                  <w:noWrap w:val="0"/>
                  <w:vAlign w:val="center"/>
                </w:tcPr>
                <w:p w14:paraId="696D0D1F">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p>
              </w:tc>
            </w:tr>
            <w:tr w14:paraId="3DD5F17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35" w:hRule="atLeast"/>
                <w:jc w:val="center"/>
              </w:trPr>
              <w:tc>
                <w:tcPr>
                  <w:tcW w:w="508" w:type="pct"/>
                  <w:vMerge w:val="restart"/>
                  <w:tcBorders>
                    <w:tl2br w:val="nil"/>
                    <w:tr2bl w:val="nil"/>
                  </w:tcBorders>
                  <w:noWrap w:val="0"/>
                  <w:vAlign w:val="center"/>
                </w:tcPr>
                <w:p w14:paraId="3C29218F">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b w:val="0"/>
                      <w:bCs/>
                      <w:color w:val="auto"/>
                      <w:kern w:val="0"/>
                      <w:sz w:val="21"/>
                      <w:szCs w:val="21"/>
                    </w:rPr>
                  </w:pPr>
                  <w:r>
                    <w:rPr>
                      <w:rFonts w:hint="eastAsia"/>
                      <w:b w:val="0"/>
                      <w:bCs/>
                      <w:color w:val="auto"/>
                      <w:kern w:val="0"/>
                      <w:sz w:val="21"/>
                      <w:szCs w:val="21"/>
                    </w:rPr>
                    <w:t>化工</w:t>
                  </w:r>
                </w:p>
              </w:tc>
              <w:tc>
                <w:tcPr>
                  <w:tcW w:w="1543" w:type="pct"/>
                  <w:tcBorders>
                    <w:tl2br w:val="nil"/>
                    <w:tr2bl w:val="nil"/>
                  </w:tcBorders>
                  <w:noWrap w:val="0"/>
                  <w:vAlign w:val="center"/>
                </w:tcPr>
                <w:p w14:paraId="6A6CAA17">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261 基础化学原料制造</w:t>
                  </w:r>
                </w:p>
              </w:tc>
              <w:tc>
                <w:tcPr>
                  <w:tcW w:w="2308" w:type="pct"/>
                  <w:tcBorders>
                    <w:tl2br w:val="nil"/>
                    <w:tr2bl w:val="nil"/>
                  </w:tcBorders>
                  <w:noWrap w:val="0"/>
                  <w:vAlign w:val="center"/>
                </w:tcPr>
                <w:p w14:paraId="6060C685">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“三酸两碱”（硫酸、盐酸、硝酸，烧碱、纯碱）项目；氯碱（PVC）项目</w:t>
                  </w:r>
                </w:p>
              </w:tc>
              <w:tc>
                <w:tcPr>
                  <w:tcW w:w="638" w:type="pct"/>
                  <w:tcBorders>
                    <w:tl2br w:val="nil"/>
                    <w:tr2bl w:val="nil"/>
                  </w:tcBorders>
                  <w:noWrap w:val="0"/>
                  <w:vAlign w:val="center"/>
                </w:tcPr>
                <w:p w14:paraId="32E7C472">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p>
              </w:tc>
            </w:tr>
            <w:tr w14:paraId="2EAC95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5" w:hRule="atLeast"/>
                <w:jc w:val="center"/>
              </w:trPr>
              <w:tc>
                <w:tcPr>
                  <w:tcW w:w="508" w:type="pct"/>
                  <w:vMerge w:val="continue"/>
                  <w:tcBorders>
                    <w:tl2br w:val="nil"/>
                    <w:tr2bl w:val="nil"/>
                  </w:tcBorders>
                  <w:noWrap w:val="0"/>
                  <w:vAlign w:val="center"/>
                </w:tcPr>
                <w:p w14:paraId="052BB705">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b w:val="0"/>
                      <w:bCs/>
                      <w:color w:val="auto"/>
                      <w:kern w:val="0"/>
                      <w:sz w:val="21"/>
                      <w:szCs w:val="21"/>
                    </w:rPr>
                  </w:pPr>
                </w:p>
              </w:tc>
              <w:tc>
                <w:tcPr>
                  <w:tcW w:w="1543" w:type="pct"/>
                  <w:tcBorders>
                    <w:tl2br w:val="nil"/>
                    <w:tr2bl w:val="nil"/>
                  </w:tcBorders>
                  <w:noWrap w:val="0"/>
                  <w:vAlign w:val="center"/>
                </w:tcPr>
                <w:p w14:paraId="3B5292A3">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262 肥料制造</w:t>
                  </w:r>
                </w:p>
              </w:tc>
              <w:tc>
                <w:tcPr>
                  <w:tcW w:w="2308" w:type="pct"/>
                  <w:tcBorders>
                    <w:tl2br w:val="nil"/>
                    <w:tr2bl w:val="nil"/>
                  </w:tcBorders>
                  <w:noWrap w:val="0"/>
                  <w:vAlign w:val="center"/>
                </w:tcPr>
                <w:p w14:paraId="2D140EEE">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除合成氨外的肥料制造项目</w:t>
                  </w:r>
                </w:p>
              </w:tc>
              <w:tc>
                <w:tcPr>
                  <w:tcW w:w="638" w:type="pct"/>
                  <w:tcBorders>
                    <w:tl2br w:val="nil"/>
                    <w:tr2bl w:val="nil"/>
                  </w:tcBorders>
                  <w:noWrap w:val="0"/>
                  <w:vAlign w:val="center"/>
                </w:tcPr>
                <w:p w14:paraId="7F09C4DB">
                  <w:pPr>
                    <w:keepNext w:val="0"/>
                    <w:keepLines w:val="0"/>
                    <w:pageBreakBefore w:val="0"/>
                    <w:widowControl w:val="0"/>
                    <w:kinsoku/>
                    <w:wordWrap w:val="0"/>
                    <w:overflowPunct/>
                    <w:topLinePunct w:val="0"/>
                    <w:autoSpaceDE/>
                    <w:autoSpaceDN/>
                    <w:bidi w:val="0"/>
                    <w:adjustRightInd w:val="0"/>
                    <w:snapToGrid w:val="0"/>
                    <w:spacing w:line="30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合成氨项目</w:t>
                  </w:r>
                </w:p>
              </w:tc>
            </w:tr>
            <w:tr w14:paraId="7A22C9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508" w:type="pct"/>
                  <w:vMerge w:val="continue"/>
                  <w:tcBorders>
                    <w:tl2br w:val="nil"/>
                    <w:tr2bl w:val="nil"/>
                  </w:tcBorders>
                  <w:noWrap w:val="0"/>
                  <w:vAlign w:val="center"/>
                </w:tcPr>
                <w:p w14:paraId="3512F540">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b w:val="0"/>
                      <w:bCs/>
                      <w:color w:val="auto"/>
                      <w:kern w:val="0"/>
                      <w:sz w:val="21"/>
                      <w:szCs w:val="21"/>
                    </w:rPr>
                  </w:pPr>
                </w:p>
              </w:tc>
              <w:tc>
                <w:tcPr>
                  <w:tcW w:w="1543" w:type="pct"/>
                  <w:tcBorders>
                    <w:tl2br w:val="nil"/>
                    <w:tr2bl w:val="nil"/>
                  </w:tcBorders>
                  <w:noWrap w:val="0"/>
                  <w:vAlign w:val="center"/>
                </w:tcPr>
                <w:p w14:paraId="03065532">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263 农药制造</w:t>
                  </w:r>
                </w:p>
              </w:tc>
              <w:tc>
                <w:tcPr>
                  <w:tcW w:w="2308" w:type="pct"/>
                  <w:tcBorders>
                    <w:tl2br w:val="nil"/>
                    <w:tr2bl w:val="nil"/>
                  </w:tcBorders>
                  <w:noWrap w:val="0"/>
                  <w:vAlign w:val="center"/>
                </w:tcPr>
                <w:p w14:paraId="7C3FC8C4">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全部</w:t>
                  </w:r>
                </w:p>
              </w:tc>
              <w:tc>
                <w:tcPr>
                  <w:tcW w:w="638" w:type="pct"/>
                  <w:tcBorders>
                    <w:tl2br w:val="nil"/>
                    <w:tr2bl w:val="nil"/>
                  </w:tcBorders>
                  <w:noWrap w:val="0"/>
                  <w:vAlign w:val="center"/>
                </w:tcPr>
                <w:p w14:paraId="444971C9">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p>
              </w:tc>
            </w:tr>
            <w:tr w14:paraId="1BBD0C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625" w:hRule="atLeast"/>
                <w:jc w:val="center"/>
              </w:trPr>
              <w:tc>
                <w:tcPr>
                  <w:tcW w:w="508" w:type="pct"/>
                  <w:vMerge w:val="continue"/>
                  <w:tcBorders>
                    <w:tl2br w:val="nil"/>
                    <w:tr2bl w:val="nil"/>
                  </w:tcBorders>
                  <w:noWrap w:val="0"/>
                  <w:vAlign w:val="center"/>
                </w:tcPr>
                <w:p w14:paraId="21332412">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b w:val="0"/>
                      <w:bCs/>
                      <w:color w:val="auto"/>
                      <w:kern w:val="0"/>
                      <w:sz w:val="21"/>
                      <w:szCs w:val="21"/>
                    </w:rPr>
                  </w:pPr>
                </w:p>
              </w:tc>
              <w:tc>
                <w:tcPr>
                  <w:tcW w:w="1543" w:type="pct"/>
                  <w:tcBorders>
                    <w:tl2br w:val="nil"/>
                    <w:tr2bl w:val="nil"/>
                  </w:tcBorders>
                  <w:noWrap w:val="0"/>
                  <w:vAlign w:val="center"/>
                </w:tcPr>
                <w:p w14:paraId="7731F28D">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264 涂料、油墨、颜料及类似产品制造</w:t>
                  </w:r>
                </w:p>
              </w:tc>
              <w:tc>
                <w:tcPr>
                  <w:tcW w:w="2308" w:type="pct"/>
                  <w:tcBorders>
                    <w:tl2br w:val="nil"/>
                    <w:tr2bl w:val="nil"/>
                  </w:tcBorders>
                  <w:noWrap w:val="0"/>
                  <w:vAlign w:val="center"/>
                </w:tcPr>
                <w:p w14:paraId="22FC039B">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涉及有机溶剂使用和挥发性有机物排放的低固份油性涂料生产</w:t>
                  </w:r>
                </w:p>
              </w:tc>
              <w:tc>
                <w:tcPr>
                  <w:tcW w:w="638" w:type="pct"/>
                  <w:tcBorders>
                    <w:tl2br w:val="nil"/>
                    <w:tr2bl w:val="nil"/>
                  </w:tcBorders>
                  <w:noWrap w:val="0"/>
                  <w:vAlign w:val="center"/>
                </w:tcPr>
                <w:p w14:paraId="25A45D9E">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p>
              </w:tc>
            </w:tr>
            <w:tr w14:paraId="5452D2F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555" w:hRule="atLeast"/>
                <w:jc w:val="center"/>
              </w:trPr>
              <w:tc>
                <w:tcPr>
                  <w:tcW w:w="508" w:type="pct"/>
                  <w:vMerge w:val="continue"/>
                  <w:tcBorders>
                    <w:tl2br w:val="nil"/>
                    <w:tr2bl w:val="nil"/>
                  </w:tcBorders>
                  <w:noWrap w:val="0"/>
                  <w:vAlign w:val="center"/>
                </w:tcPr>
                <w:p w14:paraId="1AF67268">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b w:val="0"/>
                      <w:bCs/>
                      <w:color w:val="auto"/>
                      <w:kern w:val="0"/>
                      <w:sz w:val="21"/>
                      <w:szCs w:val="21"/>
                    </w:rPr>
                  </w:pPr>
                </w:p>
              </w:tc>
              <w:tc>
                <w:tcPr>
                  <w:tcW w:w="1543" w:type="pct"/>
                  <w:tcBorders>
                    <w:tl2br w:val="nil"/>
                    <w:tr2bl w:val="nil"/>
                  </w:tcBorders>
                  <w:noWrap w:val="0"/>
                  <w:vAlign w:val="center"/>
                </w:tcPr>
                <w:p w14:paraId="200C5AC9">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265 合成材料</w:t>
                  </w:r>
                </w:p>
              </w:tc>
              <w:tc>
                <w:tcPr>
                  <w:tcW w:w="2308" w:type="pct"/>
                  <w:tcBorders>
                    <w:tl2br w:val="nil"/>
                    <w:tr2bl w:val="nil"/>
                  </w:tcBorders>
                  <w:noWrap w:val="0"/>
                  <w:vAlign w:val="center"/>
                </w:tcPr>
                <w:p w14:paraId="7319CEEF">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新建、改扩建溶剂型氯丁橡胶类、丁苯热塑性橡胶类、聚氨酯类和聚丙烯酸酯类等通用型胶粘剂生产项目；</w:t>
                  </w:r>
                </w:p>
                <w:p w14:paraId="62A01B57">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石油化学合成材料制造（丙烯、C4馏分下游产品制造除外）</w:t>
                  </w:r>
                </w:p>
              </w:tc>
              <w:tc>
                <w:tcPr>
                  <w:tcW w:w="638" w:type="pct"/>
                  <w:tcBorders>
                    <w:tl2br w:val="nil"/>
                    <w:tr2bl w:val="nil"/>
                  </w:tcBorders>
                  <w:noWrap w:val="0"/>
                  <w:vAlign w:val="center"/>
                </w:tcPr>
                <w:p w14:paraId="6CF5EF31">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p>
              </w:tc>
            </w:tr>
            <w:tr w14:paraId="05E0DD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508" w:type="pct"/>
                  <w:vMerge w:val="continue"/>
                  <w:tcBorders>
                    <w:tl2br w:val="nil"/>
                    <w:tr2bl w:val="nil"/>
                  </w:tcBorders>
                  <w:noWrap w:val="0"/>
                  <w:vAlign w:val="center"/>
                </w:tcPr>
                <w:p w14:paraId="7CC4B2F9">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b w:val="0"/>
                      <w:bCs/>
                      <w:color w:val="auto"/>
                      <w:kern w:val="0"/>
                      <w:sz w:val="21"/>
                      <w:szCs w:val="21"/>
                    </w:rPr>
                  </w:pPr>
                </w:p>
              </w:tc>
              <w:tc>
                <w:tcPr>
                  <w:tcW w:w="1543" w:type="pct"/>
                  <w:tcBorders>
                    <w:tl2br w:val="nil"/>
                    <w:tr2bl w:val="nil"/>
                  </w:tcBorders>
                  <w:noWrap w:val="0"/>
                  <w:vAlign w:val="center"/>
                </w:tcPr>
                <w:p w14:paraId="0BD26A96">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266 专用化学产品制造</w:t>
                  </w:r>
                </w:p>
              </w:tc>
              <w:tc>
                <w:tcPr>
                  <w:tcW w:w="2308" w:type="pct"/>
                  <w:tcBorders>
                    <w:tl2br w:val="nil"/>
                    <w:tr2bl w:val="nil"/>
                  </w:tcBorders>
                  <w:noWrap w:val="0"/>
                  <w:vAlign w:val="center"/>
                </w:tcPr>
                <w:p w14:paraId="0697E15C">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动物胶制造</w:t>
                  </w:r>
                </w:p>
              </w:tc>
              <w:tc>
                <w:tcPr>
                  <w:tcW w:w="638" w:type="pct"/>
                  <w:tcBorders>
                    <w:tl2br w:val="nil"/>
                    <w:tr2bl w:val="nil"/>
                  </w:tcBorders>
                  <w:noWrap w:val="0"/>
                  <w:vAlign w:val="center"/>
                </w:tcPr>
                <w:p w14:paraId="5D5D7303">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p>
              </w:tc>
            </w:tr>
            <w:tr w14:paraId="79302F1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5" w:hRule="atLeast"/>
                <w:jc w:val="center"/>
              </w:trPr>
              <w:tc>
                <w:tcPr>
                  <w:tcW w:w="508" w:type="pct"/>
                  <w:vMerge w:val="continue"/>
                  <w:tcBorders>
                    <w:tl2br w:val="nil"/>
                    <w:tr2bl w:val="nil"/>
                  </w:tcBorders>
                  <w:noWrap w:val="0"/>
                  <w:vAlign w:val="center"/>
                </w:tcPr>
                <w:p w14:paraId="3E38C565">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b w:val="0"/>
                      <w:bCs/>
                      <w:color w:val="auto"/>
                      <w:kern w:val="0"/>
                      <w:sz w:val="21"/>
                      <w:szCs w:val="21"/>
                    </w:rPr>
                  </w:pPr>
                </w:p>
              </w:tc>
              <w:tc>
                <w:tcPr>
                  <w:tcW w:w="1543" w:type="pct"/>
                  <w:tcBorders>
                    <w:tl2br w:val="nil"/>
                    <w:tr2bl w:val="nil"/>
                  </w:tcBorders>
                  <w:noWrap w:val="0"/>
                  <w:vAlign w:val="center"/>
                </w:tcPr>
                <w:p w14:paraId="5DAD4FF0">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267 炸药、火工及焰火产品制造</w:t>
                  </w:r>
                </w:p>
              </w:tc>
              <w:tc>
                <w:tcPr>
                  <w:tcW w:w="2308" w:type="pct"/>
                  <w:tcBorders>
                    <w:tl2br w:val="nil"/>
                    <w:tr2bl w:val="nil"/>
                  </w:tcBorders>
                  <w:noWrap w:val="0"/>
                  <w:vAlign w:val="center"/>
                </w:tcPr>
                <w:p w14:paraId="4ECE92B0">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全部</w:t>
                  </w:r>
                </w:p>
              </w:tc>
              <w:tc>
                <w:tcPr>
                  <w:tcW w:w="638" w:type="pct"/>
                  <w:tcBorders>
                    <w:tl2br w:val="nil"/>
                    <w:tr2bl w:val="nil"/>
                  </w:tcBorders>
                  <w:noWrap w:val="0"/>
                  <w:vAlign w:val="center"/>
                </w:tcPr>
                <w:p w14:paraId="0F3A5D3E">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p>
              </w:tc>
            </w:tr>
            <w:tr w14:paraId="532A22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5" w:hRule="atLeast"/>
                <w:jc w:val="center"/>
              </w:trPr>
              <w:tc>
                <w:tcPr>
                  <w:tcW w:w="508" w:type="pct"/>
                  <w:tcBorders>
                    <w:tl2br w:val="nil"/>
                    <w:tr2bl w:val="nil"/>
                  </w:tcBorders>
                  <w:noWrap w:val="0"/>
                  <w:vAlign w:val="center"/>
                </w:tcPr>
                <w:p w14:paraId="3FC8DBC2">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b w:val="0"/>
                      <w:bCs/>
                      <w:color w:val="auto"/>
                      <w:kern w:val="0"/>
                      <w:sz w:val="21"/>
                      <w:szCs w:val="21"/>
                    </w:rPr>
                  </w:pPr>
                  <w:r>
                    <w:rPr>
                      <w:rFonts w:hint="eastAsia"/>
                      <w:b w:val="0"/>
                      <w:bCs/>
                      <w:color w:val="auto"/>
                      <w:kern w:val="0"/>
                      <w:sz w:val="21"/>
                      <w:szCs w:val="21"/>
                    </w:rPr>
                    <w:t>纺织</w:t>
                  </w:r>
                </w:p>
              </w:tc>
              <w:tc>
                <w:tcPr>
                  <w:tcW w:w="1543" w:type="pct"/>
                  <w:tcBorders>
                    <w:tl2br w:val="nil"/>
                    <w:tr2bl w:val="nil"/>
                  </w:tcBorders>
                  <w:noWrap w:val="0"/>
                  <w:vAlign w:val="center"/>
                </w:tcPr>
                <w:p w14:paraId="2FB829E8">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 纺织业</w:t>
                  </w:r>
                </w:p>
              </w:tc>
              <w:tc>
                <w:tcPr>
                  <w:tcW w:w="2308" w:type="pct"/>
                  <w:tcBorders>
                    <w:tl2br w:val="nil"/>
                    <w:tr2bl w:val="nil"/>
                  </w:tcBorders>
                  <w:noWrap w:val="0"/>
                  <w:vAlign w:val="center"/>
                </w:tcPr>
                <w:p w14:paraId="7329B8C5">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涉及印染、染整、脱胶工序或产生缫丝、精炼废水的项目</w:t>
                  </w:r>
                </w:p>
              </w:tc>
              <w:tc>
                <w:tcPr>
                  <w:tcW w:w="638" w:type="pct"/>
                  <w:tcBorders>
                    <w:tl2br w:val="nil"/>
                    <w:tr2bl w:val="nil"/>
                  </w:tcBorders>
                  <w:noWrap w:val="0"/>
                  <w:vAlign w:val="center"/>
                </w:tcPr>
                <w:p w14:paraId="7CF34F43">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p>
              </w:tc>
            </w:tr>
            <w:tr w14:paraId="5067157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15" w:hRule="atLeast"/>
                <w:jc w:val="center"/>
              </w:trPr>
              <w:tc>
                <w:tcPr>
                  <w:tcW w:w="508" w:type="pct"/>
                  <w:vMerge w:val="restart"/>
                  <w:tcBorders>
                    <w:tl2br w:val="nil"/>
                    <w:tr2bl w:val="nil"/>
                  </w:tcBorders>
                  <w:noWrap w:val="0"/>
                  <w:vAlign w:val="center"/>
                </w:tcPr>
                <w:p w14:paraId="0ECDA574">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b w:val="0"/>
                      <w:bCs/>
                      <w:color w:val="auto"/>
                      <w:kern w:val="0"/>
                      <w:sz w:val="21"/>
                      <w:szCs w:val="21"/>
                    </w:rPr>
                  </w:pPr>
                  <w:r>
                    <w:rPr>
                      <w:rFonts w:hint="eastAsia"/>
                      <w:b w:val="0"/>
                      <w:bCs/>
                      <w:color w:val="auto"/>
                      <w:kern w:val="0"/>
                      <w:sz w:val="21"/>
                      <w:szCs w:val="21"/>
                    </w:rPr>
                    <w:t>建材</w:t>
                  </w:r>
                </w:p>
              </w:tc>
              <w:tc>
                <w:tcPr>
                  <w:tcW w:w="1543" w:type="pct"/>
                  <w:tcBorders>
                    <w:tl2br w:val="nil"/>
                    <w:tr2bl w:val="nil"/>
                  </w:tcBorders>
                  <w:noWrap w:val="0"/>
                  <w:vAlign w:val="center"/>
                </w:tcPr>
                <w:p w14:paraId="6D4DB08A">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201 木材加工</w:t>
                  </w:r>
                </w:p>
              </w:tc>
              <w:tc>
                <w:tcPr>
                  <w:tcW w:w="2308" w:type="pct"/>
                  <w:vMerge w:val="restart"/>
                  <w:tcBorders>
                    <w:tl2br w:val="nil"/>
                    <w:tr2bl w:val="nil"/>
                  </w:tcBorders>
                  <w:noWrap w:val="0"/>
                  <w:vAlign w:val="center"/>
                </w:tcPr>
                <w:p w14:paraId="1A83C9EF">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涉及有机溶剂使用和挥发性有机物排放的沥青类防水材料生产、人造板项目</w:t>
                  </w:r>
                </w:p>
              </w:tc>
              <w:tc>
                <w:tcPr>
                  <w:tcW w:w="638" w:type="pct"/>
                  <w:vMerge w:val="restart"/>
                  <w:tcBorders>
                    <w:tl2br w:val="nil"/>
                    <w:tr2bl w:val="nil"/>
                  </w:tcBorders>
                  <w:noWrap w:val="0"/>
                  <w:vAlign w:val="center"/>
                </w:tcPr>
                <w:p w14:paraId="49AE8746">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p>
              </w:tc>
            </w:tr>
            <w:tr w14:paraId="698307E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19" w:hRule="atLeast"/>
                <w:jc w:val="center"/>
              </w:trPr>
              <w:tc>
                <w:tcPr>
                  <w:tcW w:w="508" w:type="pct"/>
                  <w:vMerge w:val="continue"/>
                  <w:tcBorders>
                    <w:tl2br w:val="nil"/>
                    <w:tr2bl w:val="nil"/>
                  </w:tcBorders>
                  <w:noWrap w:val="0"/>
                  <w:vAlign w:val="center"/>
                </w:tcPr>
                <w:p w14:paraId="44B3BEC0">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b w:val="0"/>
                      <w:bCs/>
                      <w:color w:val="auto"/>
                      <w:kern w:val="0"/>
                      <w:sz w:val="21"/>
                      <w:szCs w:val="21"/>
                    </w:rPr>
                  </w:pPr>
                </w:p>
              </w:tc>
              <w:tc>
                <w:tcPr>
                  <w:tcW w:w="1543" w:type="pct"/>
                  <w:tcBorders>
                    <w:tl2br w:val="nil"/>
                    <w:tr2bl w:val="nil"/>
                  </w:tcBorders>
                  <w:noWrap w:val="0"/>
                  <w:vAlign w:val="center"/>
                </w:tcPr>
                <w:p w14:paraId="06FE7A2C">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 人造板制造</w:t>
                  </w:r>
                </w:p>
              </w:tc>
              <w:tc>
                <w:tcPr>
                  <w:tcW w:w="2308" w:type="pct"/>
                  <w:vMerge w:val="continue"/>
                  <w:tcBorders>
                    <w:tl2br w:val="nil"/>
                    <w:tr2bl w:val="nil"/>
                  </w:tcBorders>
                  <w:noWrap w:val="0"/>
                  <w:vAlign w:val="center"/>
                </w:tcPr>
                <w:p w14:paraId="752FF30A">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p>
              </w:tc>
              <w:tc>
                <w:tcPr>
                  <w:tcW w:w="638" w:type="pct"/>
                  <w:vMerge w:val="continue"/>
                  <w:tcBorders>
                    <w:tl2br w:val="nil"/>
                    <w:tr2bl w:val="nil"/>
                  </w:tcBorders>
                  <w:noWrap w:val="0"/>
                  <w:vAlign w:val="center"/>
                </w:tcPr>
                <w:p w14:paraId="4DC62D01">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p>
              </w:tc>
            </w:tr>
            <w:tr w14:paraId="026770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5" w:hRule="atLeast"/>
                <w:jc w:val="center"/>
              </w:trPr>
              <w:tc>
                <w:tcPr>
                  <w:tcW w:w="508" w:type="pct"/>
                  <w:vMerge w:val="continue"/>
                  <w:tcBorders>
                    <w:tl2br w:val="nil"/>
                    <w:tr2bl w:val="nil"/>
                  </w:tcBorders>
                  <w:noWrap w:val="0"/>
                  <w:vAlign w:val="center"/>
                </w:tcPr>
                <w:p w14:paraId="70BAB672">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b w:val="0"/>
                      <w:bCs/>
                      <w:color w:val="auto"/>
                      <w:kern w:val="0"/>
                      <w:sz w:val="21"/>
                      <w:szCs w:val="21"/>
                    </w:rPr>
                  </w:pPr>
                </w:p>
              </w:tc>
              <w:tc>
                <w:tcPr>
                  <w:tcW w:w="1543" w:type="pct"/>
                  <w:tcBorders>
                    <w:tl2br w:val="nil"/>
                    <w:tr2bl w:val="nil"/>
                  </w:tcBorders>
                  <w:noWrap w:val="0"/>
                  <w:vAlign w:val="center"/>
                </w:tcPr>
                <w:p w14:paraId="14AB57F3">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203 木质制品制造</w:t>
                  </w:r>
                </w:p>
              </w:tc>
              <w:tc>
                <w:tcPr>
                  <w:tcW w:w="2308" w:type="pct"/>
                  <w:tcBorders>
                    <w:tl2br w:val="nil"/>
                    <w:tr2bl w:val="nil"/>
                  </w:tcBorders>
                  <w:noWrap w:val="0"/>
                  <w:vAlign w:val="center"/>
                </w:tcPr>
                <w:p w14:paraId="59F05F21">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使用粉末喷涂、水性涂料及UV涂料以及进入共享喷涂中心的项目除外</w:t>
                  </w:r>
                </w:p>
              </w:tc>
              <w:tc>
                <w:tcPr>
                  <w:tcW w:w="638" w:type="pct"/>
                  <w:tcBorders>
                    <w:tl2br w:val="nil"/>
                    <w:tr2bl w:val="nil"/>
                  </w:tcBorders>
                  <w:noWrap w:val="0"/>
                  <w:vAlign w:val="center"/>
                </w:tcPr>
                <w:p w14:paraId="0F862991">
                  <w:pPr>
                    <w:keepNext w:val="0"/>
                    <w:keepLines w:val="0"/>
                    <w:pageBreakBefore w:val="0"/>
                    <w:widowControl w:val="0"/>
                    <w:kinsoku/>
                    <w:wordWrap w:val="0"/>
                    <w:overflowPunct/>
                    <w:topLinePunct w:val="0"/>
                    <w:autoSpaceDE/>
                    <w:autoSpaceDN/>
                    <w:bidi w:val="0"/>
                    <w:adjustRightInd w:val="0"/>
                    <w:snapToGrid w:val="0"/>
                    <w:spacing w:line="300" w:lineRule="auto"/>
                    <w:jc w:val="both"/>
                    <w:textAlignment w:val="auto"/>
                    <w:rPr>
                      <w:rFonts w:hint="default" w:ascii="Times New Roman" w:hAnsi="Times New Roman" w:eastAsia="宋体" w:cs="Times New Roman"/>
                      <w:color w:val="auto"/>
                      <w:sz w:val="21"/>
                      <w:szCs w:val="21"/>
                      <w:lang w:val="en-US" w:eastAsia="zh-CN"/>
                    </w:rPr>
                  </w:pPr>
                </w:p>
              </w:tc>
            </w:tr>
            <w:tr w14:paraId="59F386E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8" w:hRule="atLeast"/>
                <w:jc w:val="center"/>
              </w:trPr>
              <w:tc>
                <w:tcPr>
                  <w:tcW w:w="508" w:type="pct"/>
                  <w:tcBorders>
                    <w:tl2br w:val="nil"/>
                    <w:tr2bl w:val="nil"/>
                  </w:tcBorders>
                  <w:noWrap w:val="0"/>
                  <w:vAlign w:val="center"/>
                </w:tcPr>
                <w:p w14:paraId="452A9EC8">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b w:val="0"/>
                      <w:bCs/>
                      <w:color w:val="auto"/>
                      <w:kern w:val="0"/>
                      <w:sz w:val="21"/>
                      <w:szCs w:val="21"/>
                    </w:rPr>
                  </w:pPr>
                  <w:r>
                    <w:rPr>
                      <w:rFonts w:hint="eastAsia"/>
                      <w:b w:val="0"/>
                      <w:bCs/>
                      <w:color w:val="auto"/>
                      <w:kern w:val="0"/>
                      <w:sz w:val="21"/>
                      <w:szCs w:val="21"/>
                    </w:rPr>
                    <w:t>食品</w:t>
                  </w:r>
                </w:p>
              </w:tc>
              <w:tc>
                <w:tcPr>
                  <w:tcW w:w="1543" w:type="pct"/>
                  <w:tcBorders>
                    <w:tl2br w:val="nil"/>
                    <w:tr2bl w:val="nil"/>
                  </w:tcBorders>
                  <w:noWrap w:val="0"/>
                  <w:vAlign w:val="center"/>
                </w:tcPr>
                <w:p w14:paraId="5A112D27">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b w:val="0"/>
                      <w:bCs/>
                      <w:color w:val="auto"/>
                      <w:kern w:val="0"/>
                      <w:sz w:val="21"/>
                      <w:szCs w:val="21"/>
                    </w:rPr>
                  </w:pPr>
                  <w:r>
                    <w:rPr>
                      <w:rFonts w:hint="eastAsia"/>
                      <w:b w:val="0"/>
                      <w:bCs/>
                      <w:color w:val="auto"/>
                      <w:kern w:val="0"/>
                      <w:sz w:val="21"/>
                      <w:szCs w:val="21"/>
                    </w:rPr>
                    <w:t>食品制造业</w:t>
                  </w:r>
                </w:p>
              </w:tc>
              <w:tc>
                <w:tcPr>
                  <w:tcW w:w="2308" w:type="pct"/>
                  <w:tcBorders>
                    <w:tl2br w:val="nil"/>
                    <w:tr2bl w:val="nil"/>
                  </w:tcBorders>
                  <w:noWrap w:val="0"/>
                  <w:vAlign w:val="center"/>
                </w:tcPr>
                <w:p w14:paraId="6D262352">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b w:val="0"/>
                      <w:bCs/>
                      <w:color w:val="auto"/>
                      <w:kern w:val="0"/>
                      <w:sz w:val="21"/>
                      <w:szCs w:val="21"/>
                    </w:rPr>
                  </w:pPr>
                  <w:r>
                    <w:rPr>
                      <w:rFonts w:hint="eastAsia"/>
                      <w:b w:val="0"/>
                      <w:bCs/>
                      <w:color w:val="auto"/>
                      <w:kern w:val="0"/>
                      <w:sz w:val="21"/>
                      <w:szCs w:val="21"/>
                    </w:rPr>
                    <w:t>全部</w:t>
                  </w:r>
                </w:p>
              </w:tc>
              <w:tc>
                <w:tcPr>
                  <w:tcW w:w="638" w:type="pct"/>
                  <w:tcBorders>
                    <w:tl2br w:val="nil"/>
                    <w:tr2bl w:val="nil"/>
                  </w:tcBorders>
                  <w:noWrap w:val="0"/>
                  <w:vAlign w:val="center"/>
                </w:tcPr>
                <w:p w14:paraId="1697738B">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b w:val="0"/>
                      <w:bCs/>
                      <w:color w:val="auto"/>
                      <w:kern w:val="0"/>
                      <w:sz w:val="21"/>
                      <w:szCs w:val="21"/>
                    </w:rPr>
                  </w:pPr>
                </w:p>
              </w:tc>
            </w:tr>
          </w:tbl>
          <w:p w14:paraId="21E9DD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b w:val="0"/>
                <w:bCs/>
                <w:color w:val="auto"/>
                <w:sz w:val="24"/>
                <w:szCs w:val="24"/>
              </w:rPr>
            </w:pPr>
            <w:r>
              <w:rPr>
                <w:rFonts w:hint="eastAsia"/>
                <w:b w:val="0"/>
                <w:bCs/>
                <w:color w:val="auto"/>
                <w:sz w:val="24"/>
                <w:szCs w:val="24"/>
                <w:lang w:eastAsia="zh-CN"/>
              </w:rPr>
              <w:t>（</w:t>
            </w:r>
            <w:r>
              <w:rPr>
                <w:rFonts w:hint="eastAsia"/>
                <w:b w:val="0"/>
                <w:bCs/>
                <w:color w:val="auto"/>
                <w:sz w:val="24"/>
                <w:szCs w:val="24"/>
                <w:lang w:val="en-US" w:eastAsia="zh-CN"/>
              </w:rPr>
              <w:t>3</w:t>
            </w:r>
            <w:r>
              <w:rPr>
                <w:rFonts w:hint="eastAsia"/>
                <w:b w:val="0"/>
                <w:bCs/>
                <w:color w:val="auto"/>
                <w:sz w:val="24"/>
                <w:szCs w:val="24"/>
                <w:lang w:eastAsia="zh-CN"/>
              </w:rPr>
              <w:t>）</w:t>
            </w:r>
            <w:r>
              <w:rPr>
                <w:rFonts w:hint="default"/>
                <w:b w:val="0"/>
                <w:bCs/>
                <w:color w:val="auto"/>
                <w:sz w:val="24"/>
                <w:szCs w:val="24"/>
              </w:rPr>
              <w:t>允许类</w:t>
            </w:r>
          </w:p>
          <w:p w14:paraId="7BD2A1C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b w:val="0"/>
                <w:bCs/>
                <w:color w:val="auto"/>
                <w:sz w:val="24"/>
                <w:szCs w:val="24"/>
              </w:rPr>
            </w:pPr>
            <w:r>
              <w:rPr>
                <w:rFonts w:hint="default"/>
                <w:b w:val="0"/>
                <w:bCs/>
                <w:color w:val="auto"/>
                <w:sz w:val="24"/>
                <w:szCs w:val="24"/>
              </w:rPr>
              <w:t>原则上未被列入上述鼓励类、负面清单的属允许发展类，但在具体实施过程中切不可盲目引进项目，应注意按如下原则要求：</w:t>
            </w:r>
          </w:p>
          <w:p w14:paraId="3724414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b w:val="0"/>
                <w:bCs/>
                <w:color w:val="auto"/>
                <w:sz w:val="24"/>
                <w:szCs w:val="24"/>
              </w:rPr>
            </w:pPr>
            <w:r>
              <w:rPr>
                <w:rFonts w:hint="default"/>
                <w:b w:val="0"/>
                <w:bCs/>
                <w:color w:val="auto"/>
                <w:sz w:val="24"/>
                <w:szCs w:val="24"/>
              </w:rPr>
              <w:t>对于不属于规划区规划主导产业和重点发展方向的建设项目，若与规划区产业定位有互补作用，或属于规划区重要项目的下游企业，或属于高品质、高附加值、低污染的企业，或</w:t>
            </w:r>
            <w:bookmarkStart w:id="1" w:name="_Hlk42026673"/>
            <w:r>
              <w:rPr>
                <w:rFonts w:hint="default"/>
                <w:b w:val="0"/>
                <w:bCs/>
                <w:color w:val="auto"/>
                <w:sz w:val="24"/>
                <w:szCs w:val="24"/>
              </w:rPr>
              <w:t>有利于规划区实现循环经济理念和可持续发展</w:t>
            </w:r>
            <w:bookmarkEnd w:id="1"/>
            <w:r>
              <w:rPr>
                <w:rFonts w:hint="default"/>
                <w:b w:val="0"/>
                <w:bCs/>
                <w:color w:val="auto"/>
                <w:sz w:val="24"/>
                <w:szCs w:val="24"/>
              </w:rPr>
              <w:t>，这一类企业若在建设项目环评中经论证分析</w:t>
            </w:r>
            <w:bookmarkStart w:id="2" w:name="_Hlk42026692"/>
            <w:r>
              <w:rPr>
                <w:rFonts w:hint="default"/>
                <w:b w:val="0"/>
                <w:bCs/>
                <w:color w:val="auto"/>
                <w:sz w:val="24"/>
                <w:szCs w:val="24"/>
              </w:rPr>
              <w:t>与规划区规划无明显冲突，不会影响规划区规划实施的</w:t>
            </w:r>
            <w:bookmarkEnd w:id="2"/>
            <w:r>
              <w:rPr>
                <w:rFonts w:hint="default"/>
                <w:b w:val="0"/>
                <w:bCs/>
                <w:color w:val="auto"/>
                <w:sz w:val="24"/>
                <w:szCs w:val="24"/>
              </w:rPr>
              <w:t>，建议允许此类建设项目入驻。</w:t>
            </w:r>
          </w:p>
          <w:p w14:paraId="7E00B0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eastAsia="宋体"/>
                <w:b w:val="0"/>
                <w:bCs/>
                <w:color w:val="auto"/>
                <w:sz w:val="24"/>
                <w:szCs w:val="24"/>
                <w:lang w:eastAsia="zh-CN"/>
              </w:rPr>
            </w:pPr>
            <w:r>
              <w:rPr>
                <w:rFonts w:hint="default"/>
                <w:b w:val="0"/>
                <w:bCs/>
                <w:color w:val="auto"/>
                <w:sz w:val="24"/>
                <w:szCs w:val="24"/>
              </w:rPr>
              <w:t>本项目为</w:t>
            </w:r>
            <w:r>
              <w:rPr>
                <w:rFonts w:hint="eastAsia"/>
                <w:b w:val="0"/>
                <w:bCs/>
                <w:color w:val="auto"/>
                <w:sz w:val="24"/>
                <w:szCs w:val="24"/>
                <w:lang w:val="en-US" w:eastAsia="zh-CN"/>
              </w:rPr>
              <w:t>C2319包装装潢及其他印刷、</w:t>
            </w:r>
            <w:r>
              <w:rPr>
                <w:rFonts w:hint="eastAsia"/>
                <w:color w:val="auto"/>
                <w:spacing w:val="-2"/>
                <w:sz w:val="24"/>
                <w:lang w:val="en-US" w:eastAsia="zh-CN"/>
              </w:rPr>
              <w:t>C</w:t>
            </w:r>
            <w:r>
              <w:rPr>
                <w:rFonts w:hint="eastAsia"/>
                <w:color w:val="auto"/>
                <w:spacing w:val="-2"/>
                <w:sz w:val="24"/>
              </w:rPr>
              <w:t>2926塑料包装箱及容器制造</w:t>
            </w:r>
            <w:r>
              <w:rPr>
                <w:rFonts w:hint="default"/>
                <w:b w:val="0"/>
                <w:bCs/>
                <w:color w:val="auto"/>
                <w:sz w:val="24"/>
                <w:szCs w:val="24"/>
              </w:rPr>
              <w:t>，不</w:t>
            </w:r>
            <w:r>
              <w:rPr>
                <w:rFonts w:hint="eastAsia"/>
                <w:b w:val="0"/>
                <w:bCs/>
                <w:color w:val="auto"/>
                <w:sz w:val="24"/>
                <w:szCs w:val="24"/>
                <w:lang w:val="en-US" w:eastAsia="zh-CN"/>
              </w:rPr>
              <w:t>在</w:t>
            </w:r>
            <w:r>
              <w:rPr>
                <w:rFonts w:hint="default"/>
                <w:b w:val="0"/>
                <w:bCs/>
                <w:color w:val="auto"/>
                <w:sz w:val="24"/>
                <w:szCs w:val="24"/>
              </w:rPr>
              <w:t>四川大英经济开发区环保准入负面清单</w:t>
            </w:r>
            <w:r>
              <w:rPr>
                <w:rFonts w:hint="eastAsia"/>
                <w:b w:val="0"/>
                <w:bCs/>
                <w:color w:val="auto"/>
                <w:sz w:val="24"/>
                <w:szCs w:val="24"/>
                <w:lang w:val="en-US" w:eastAsia="zh-CN"/>
              </w:rPr>
              <w:t>行列</w:t>
            </w:r>
            <w:r>
              <w:rPr>
                <w:rFonts w:hint="eastAsia"/>
                <w:b w:val="0"/>
                <w:bCs/>
                <w:color w:val="auto"/>
                <w:sz w:val="24"/>
                <w:szCs w:val="24"/>
                <w:lang w:eastAsia="zh-CN"/>
              </w:rPr>
              <w:t>。</w:t>
            </w:r>
            <w:r>
              <w:rPr>
                <w:rFonts w:hint="eastAsia"/>
                <w:b w:val="0"/>
                <w:bCs/>
                <w:color w:val="auto"/>
                <w:sz w:val="24"/>
                <w:szCs w:val="24"/>
                <w:lang w:val="en-US" w:eastAsia="zh-CN"/>
              </w:rPr>
              <w:t>本项目建设</w:t>
            </w:r>
            <w:r>
              <w:rPr>
                <w:rFonts w:hint="default"/>
                <w:b w:val="0"/>
                <w:bCs/>
                <w:color w:val="auto"/>
                <w:sz w:val="24"/>
                <w:szCs w:val="24"/>
              </w:rPr>
              <w:t>有利于规划区实现循环经济理念和可持续发展，与规划区规划无明显冲突，不会影响规划区规划实施，属于允许类项目。</w:t>
            </w:r>
            <w:r>
              <w:rPr>
                <w:rFonts w:hint="default"/>
                <w:b/>
                <w:bCs w:val="0"/>
                <w:color w:val="auto"/>
                <w:sz w:val="24"/>
                <w:szCs w:val="24"/>
                <w:lang w:val="en-US" w:eastAsia="zh-CN"/>
              </w:rPr>
              <w:t>因此本项目</w:t>
            </w:r>
            <w:r>
              <w:rPr>
                <w:rFonts w:hint="default"/>
                <w:b/>
                <w:bCs w:val="0"/>
                <w:color w:val="auto"/>
                <w:sz w:val="24"/>
                <w:szCs w:val="24"/>
              </w:rPr>
              <w:t>符合四川大英经济开发区的园区规划</w:t>
            </w:r>
            <w:r>
              <w:rPr>
                <w:rFonts w:hint="eastAsia"/>
                <w:b/>
                <w:bCs w:val="0"/>
                <w:color w:val="auto"/>
                <w:sz w:val="24"/>
                <w:szCs w:val="24"/>
                <w:lang w:eastAsia="zh-CN"/>
              </w:rPr>
              <w:t>。</w:t>
            </w:r>
          </w:p>
          <w:p w14:paraId="0647059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val="en-US" w:eastAsia="zh-CN"/>
              </w:rPr>
            </w:pPr>
            <w:r>
              <w:rPr>
                <w:rFonts w:hint="eastAsia"/>
                <w:b/>
                <w:bCs/>
                <w:color w:val="auto"/>
                <w:sz w:val="24"/>
                <w:lang w:val="en-US" w:eastAsia="zh-CN"/>
              </w:rPr>
              <w:t>2</w:t>
            </w:r>
            <w:r>
              <w:rPr>
                <w:rFonts w:hint="eastAsia"/>
                <w:b/>
                <w:bCs/>
                <w:color w:val="auto"/>
                <w:sz w:val="24"/>
                <w:lang w:eastAsia="zh-CN"/>
              </w:rPr>
              <w:t>.</w:t>
            </w:r>
            <w:r>
              <w:rPr>
                <w:rFonts w:hint="default" w:ascii="Times New Roman" w:hAnsi="Times New Roman" w:cs="Times New Roman"/>
                <w:b/>
                <w:bCs/>
                <w:color w:val="auto"/>
                <w:sz w:val="24"/>
                <w:szCs w:val="24"/>
              </w:rPr>
              <w:t>项目与园区规划环评</w:t>
            </w:r>
            <w:r>
              <w:rPr>
                <w:rFonts w:hint="default" w:ascii="Times New Roman" w:hAnsi="Times New Roman" w:cs="Times New Roman"/>
                <w:b/>
                <w:bCs/>
                <w:color w:val="auto"/>
                <w:sz w:val="24"/>
                <w:szCs w:val="24"/>
                <w:lang w:val="en-US" w:eastAsia="zh-CN"/>
              </w:rPr>
              <w:t>生态环境准入要求符合性分析</w:t>
            </w:r>
          </w:p>
          <w:p w14:paraId="08DB6B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val="en-US" w:eastAsia="zh-CN"/>
              </w:rPr>
              <w:t>结合《四川大英经济开发区规划环境影响报告书》、《四川大英经济开发区规划环境影响报告书》的审查意见（川环建函〔2019〕48号）可知，</w:t>
            </w:r>
            <w:r>
              <w:rPr>
                <w:rFonts w:hint="default" w:ascii="Times New Roman" w:hAnsi="Times New Roman" w:cs="Times New Roman"/>
                <w:color w:val="auto"/>
                <w:sz w:val="24"/>
                <w:szCs w:val="24"/>
              </w:rPr>
              <w:t>项目与</w:t>
            </w:r>
            <w:r>
              <w:rPr>
                <w:rFonts w:hint="default" w:ascii="Times New Roman" w:hAnsi="Times New Roman" w:cs="Times New Roman"/>
                <w:color w:val="auto"/>
                <w:sz w:val="24"/>
                <w:szCs w:val="24"/>
                <w:lang w:val="en-US" w:eastAsia="zh-CN"/>
              </w:rPr>
              <w:t>四川大英经济开发区</w:t>
            </w:r>
            <w:r>
              <w:rPr>
                <w:rFonts w:hint="default" w:ascii="Times New Roman" w:hAnsi="Times New Roman" w:cs="Times New Roman"/>
                <w:color w:val="auto"/>
                <w:sz w:val="24"/>
                <w:szCs w:val="24"/>
              </w:rPr>
              <w:t>规划环评及环评批复的符合性见下表</w:t>
            </w:r>
            <w:r>
              <w:rPr>
                <w:rFonts w:hint="eastAsia" w:ascii="Times New Roman" w:hAnsi="Times New Roman" w:cs="Times New Roman"/>
                <w:color w:val="auto"/>
                <w:sz w:val="24"/>
                <w:szCs w:val="24"/>
                <w:lang w:eastAsia="zh-CN"/>
              </w:rPr>
              <w:t>：</w:t>
            </w:r>
          </w:p>
          <w:p w14:paraId="4827DF5C">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表1-</w:t>
            </w:r>
            <w:r>
              <w:rPr>
                <w:rFonts w:hint="eastAsia" w:ascii="Times New Roman" w:hAnsi="Times New Roman" w:eastAsia="宋体" w:cs="Times New Roman"/>
                <w:b/>
                <w:bCs w:val="0"/>
                <w:color w:val="auto"/>
                <w:sz w:val="21"/>
                <w:szCs w:val="21"/>
                <w:lang w:val="en-US" w:eastAsia="zh-CN"/>
              </w:rPr>
              <w:t xml:space="preserve">3 </w:t>
            </w:r>
            <w:r>
              <w:rPr>
                <w:rFonts w:hint="default" w:ascii="Times New Roman" w:hAnsi="Times New Roman" w:eastAsia="宋体" w:cs="Times New Roman"/>
                <w:b/>
                <w:bCs w:val="0"/>
                <w:color w:val="auto"/>
                <w:sz w:val="21"/>
                <w:szCs w:val="21"/>
                <w:lang w:val="en-US" w:eastAsia="zh-CN"/>
              </w:rPr>
              <w:t xml:space="preserve"> 项目与发展区规划环评及环评批复的符合性</w:t>
            </w:r>
            <w:r>
              <w:rPr>
                <w:rFonts w:hint="eastAsia" w:ascii="Times New Roman" w:hAnsi="Times New Roman" w:eastAsia="宋体" w:cs="Times New Roman"/>
                <w:b/>
                <w:bCs w:val="0"/>
                <w:color w:val="auto"/>
                <w:sz w:val="21"/>
                <w:szCs w:val="21"/>
                <w:lang w:val="en-US" w:eastAsia="zh-CN"/>
              </w:rPr>
              <w:t>分析表</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609"/>
              <w:gridCol w:w="4243"/>
              <w:gridCol w:w="1006"/>
            </w:tblGrid>
            <w:tr w14:paraId="655217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59" w:type="pct"/>
                  <w:tcBorders>
                    <w:tl2br w:val="nil"/>
                    <w:tr2bl w:val="nil"/>
                  </w:tcBorders>
                  <w:noWrap w:val="0"/>
                  <w:vAlign w:val="center"/>
                </w:tcPr>
                <w:p w14:paraId="1731B84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规划环评</w:t>
                  </w:r>
                  <w:r>
                    <w:rPr>
                      <w:rFonts w:hint="eastAsia" w:ascii="Times New Roman" w:hAnsi="Times New Roman" w:cs="Times New Roman"/>
                      <w:b/>
                      <w:bCs w:val="0"/>
                      <w:color w:val="auto"/>
                      <w:sz w:val="21"/>
                      <w:szCs w:val="21"/>
                      <w:lang w:val="en-US" w:eastAsia="zh-CN"/>
                    </w:rPr>
                    <w:t>及批复</w:t>
                  </w:r>
                  <w:r>
                    <w:rPr>
                      <w:rFonts w:hint="default" w:ascii="Times New Roman" w:hAnsi="Times New Roman" w:cs="Times New Roman"/>
                      <w:b/>
                      <w:bCs w:val="0"/>
                      <w:color w:val="auto"/>
                      <w:sz w:val="21"/>
                      <w:szCs w:val="21"/>
                      <w:lang w:val="en-US" w:eastAsia="zh-CN"/>
                    </w:rPr>
                    <w:t>要求</w:t>
                  </w:r>
                </w:p>
              </w:tc>
              <w:tc>
                <w:tcPr>
                  <w:tcW w:w="2699" w:type="pct"/>
                  <w:tcBorders>
                    <w:tl2br w:val="nil"/>
                    <w:tr2bl w:val="nil"/>
                  </w:tcBorders>
                  <w:noWrap w:val="0"/>
                  <w:vAlign w:val="center"/>
                </w:tcPr>
                <w:p w14:paraId="4DD79594">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本项目</w:t>
                  </w:r>
                </w:p>
              </w:tc>
              <w:tc>
                <w:tcPr>
                  <w:tcW w:w="640" w:type="pct"/>
                  <w:tcBorders>
                    <w:tl2br w:val="nil"/>
                    <w:tr2bl w:val="nil"/>
                  </w:tcBorders>
                  <w:noWrap w:val="0"/>
                  <w:vAlign w:val="center"/>
                </w:tcPr>
                <w:p w14:paraId="0060B10F">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符合性</w:t>
                  </w:r>
                </w:p>
              </w:tc>
            </w:tr>
            <w:tr w14:paraId="73F4405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59" w:type="pct"/>
                  <w:tcBorders>
                    <w:tl2br w:val="nil"/>
                    <w:tr2bl w:val="nil"/>
                  </w:tcBorders>
                  <w:noWrap w:val="0"/>
                  <w:vAlign w:val="center"/>
                </w:tcPr>
                <w:p w14:paraId="28E98626">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一</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禁止引入不符合国家行业准入条件的项目，列入国家产能过剩类别的项目，列入产业结构指导目录限制及禁止类的项目。</w:t>
                  </w:r>
                </w:p>
              </w:tc>
              <w:tc>
                <w:tcPr>
                  <w:tcW w:w="2699" w:type="pct"/>
                  <w:tcBorders>
                    <w:tl2br w:val="nil"/>
                    <w:tr2bl w:val="nil"/>
                  </w:tcBorders>
                  <w:noWrap w:val="0"/>
                  <w:vAlign w:val="center"/>
                </w:tcPr>
                <w:p w14:paraId="3E327AE8">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本项目属于《国民经济行业分类》（GB/T4754-2017）中的“C2319 包装装潢及其他印刷</w:t>
                  </w:r>
                  <w:r>
                    <w:rPr>
                      <w:rFonts w:hint="eastAsia" w:cs="Times New Roman"/>
                      <w:color w:val="auto"/>
                      <w:sz w:val="21"/>
                      <w:szCs w:val="21"/>
                      <w:lang w:val="en-US" w:eastAsia="zh-CN"/>
                    </w:rPr>
                    <w:t>、C2926塑料包装箱及容器制造</w:t>
                  </w:r>
                  <w:r>
                    <w:rPr>
                      <w:rFonts w:hint="default" w:ascii="Times New Roman" w:hAnsi="Times New Roman" w:eastAsia="宋体" w:cs="Times New Roman"/>
                      <w:color w:val="auto"/>
                      <w:sz w:val="21"/>
                      <w:szCs w:val="21"/>
                      <w:lang w:val="en-US" w:eastAsia="zh-CN"/>
                    </w:rPr>
                    <w:t>”，《产业结构调整指导目录（20</w:t>
                  </w:r>
                  <w:r>
                    <w:rPr>
                      <w:rFonts w:hint="eastAsia"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lang w:val="en-US" w:eastAsia="zh-CN"/>
                    </w:rPr>
                    <w:t xml:space="preserve"> 年本），本项目不属于其中鼓励类、限制类与淘汰类，按照国务院国发[2005]40 文件《促进产业结构调整暂行规定》，本项目属于允许类。</w:t>
                  </w:r>
                </w:p>
              </w:tc>
              <w:tc>
                <w:tcPr>
                  <w:tcW w:w="640" w:type="pct"/>
                  <w:tcBorders>
                    <w:tl2br w:val="nil"/>
                    <w:tr2bl w:val="nil"/>
                  </w:tcBorders>
                  <w:noWrap w:val="0"/>
                  <w:vAlign w:val="center"/>
                </w:tcPr>
                <w:p w14:paraId="66B7B35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5DA986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59" w:type="pct"/>
                  <w:tcBorders>
                    <w:tl2br w:val="nil"/>
                    <w:tr2bl w:val="nil"/>
                  </w:tcBorders>
                  <w:noWrap w:val="0"/>
                  <w:vAlign w:val="center"/>
                </w:tcPr>
                <w:p w14:paraId="587BEECF">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二）禁止引入不符合国家环保法律法规、各类污染防治规</w:t>
                  </w:r>
                  <w:r>
                    <w:rPr>
                      <w:rFonts w:hint="default" w:ascii="Times New Roman" w:hAnsi="Times New Roman" w:cs="Times New Roman"/>
                      <w:color w:val="auto"/>
                      <w:kern w:val="0"/>
                      <w:sz w:val="21"/>
                      <w:szCs w:val="21"/>
                      <w:highlight w:val="none"/>
                      <w:lang w:eastAsia="zh-CN"/>
                    </w:rPr>
                    <w:t>划及要求的项目。</w:t>
                  </w:r>
                </w:p>
              </w:tc>
              <w:tc>
                <w:tcPr>
                  <w:tcW w:w="2699" w:type="pct"/>
                  <w:tcBorders>
                    <w:tl2br w:val="nil"/>
                    <w:tr2bl w:val="nil"/>
                  </w:tcBorders>
                  <w:noWrap w:val="0"/>
                  <w:vAlign w:val="center"/>
                </w:tcPr>
                <w:p w14:paraId="467C607F">
                  <w:pPr>
                    <w:keepNext w:val="0"/>
                    <w:keepLines w:val="0"/>
                    <w:pageBreakBefore w:val="0"/>
                    <w:widowControl w:val="0"/>
                    <w:kinsoku/>
                    <w:wordWrap/>
                    <w:overflowPunct/>
                    <w:topLinePunct w:val="0"/>
                    <w:autoSpaceDE/>
                    <w:autoSpaceDN/>
                    <w:bidi w:val="0"/>
                    <w:adjustRightInd w:val="0"/>
                    <w:snapToGrid w:val="0"/>
                    <w:jc w:val="left"/>
                    <w:textAlignment w:val="auto"/>
                    <w:outlineLvl w:val="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本项目位于工业园区内，</w:t>
                  </w:r>
                  <w:r>
                    <w:rPr>
                      <w:rFonts w:hint="eastAsia" w:ascii="Times New Roman" w:hAnsi="Times New Roman" w:eastAsia="宋体" w:cs="Times New Roman"/>
                      <w:color w:val="auto"/>
                      <w:sz w:val="21"/>
                      <w:szCs w:val="21"/>
                      <w:highlight w:val="none"/>
                      <w:lang w:val="en-US" w:eastAsia="zh-CN"/>
                    </w:rPr>
                    <w:t>属于印刷行业</w:t>
                  </w:r>
                  <w:r>
                    <w:rPr>
                      <w:rFonts w:hint="eastAsia" w:cs="Times New Roman"/>
                      <w:color w:val="auto"/>
                      <w:sz w:val="21"/>
                      <w:szCs w:val="21"/>
                      <w:highlight w:val="none"/>
                      <w:lang w:val="en-US" w:eastAsia="zh-CN"/>
                    </w:rPr>
                    <w:t>及塑料制品生产项目</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主要大气污染物为生产过程中产生的</w:t>
                  </w:r>
                  <w:r>
                    <w:rPr>
                      <w:rFonts w:hint="eastAsia" w:ascii="Times New Roman" w:hAnsi="Times New Roman" w:eastAsia="宋体" w:cs="Times New Roman"/>
                      <w:color w:val="auto"/>
                      <w:sz w:val="21"/>
                      <w:szCs w:val="21"/>
                      <w:highlight w:val="none"/>
                      <w:lang w:val="en-US" w:eastAsia="zh-CN"/>
                    </w:rPr>
                    <w:t>有机废气通过“</w:t>
                  </w:r>
                  <w:r>
                    <w:rPr>
                      <w:rFonts w:hint="eastAsia" w:cs="Times New Roman"/>
                      <w:color w:val="auto"/>
                      <w:sz w:val="21"/>
                      <w:szCs w:val="21"/>
                      <w:highlight w:val="none"/>
                      <w:lang w:val="en-US" w:eastAsia="zh-CN"/>
                    </w:rPr>
                    <w:t>集气罩/密闭印刷间</w:t>
                  </w:r>
                  <w:r>
                    <w:rPr>
                      <w:rFonts w:hint="eastAsia" w:ascii="Times New Roman" w:hAnsi="Times New Roman" w:eastAsia="宋体" w:cs="Times New Roman"/>
                      <w:color w:val="auto"/>
                      <w:sz w:val="21"/>
                      <w:szCs w:val="21"/>
                      <w:highlight w:val="none"/>
                      <w:lang w:val="en-US" w:eastAsia="zh-CN"/>
                    </w:rPr>
                    <w:t>+二级活性炭吸附”对有机废气进行处理</w:t>
                  </w:r>
                  <w:r>
                    <w:rPr>
                      <w:rFonts w:hint="default" w:ascii="Times New Roman" w:hAnsi="Times New Roman" w:eastAsia="宋体" w:cs="Times New Roman"/>
                      <w:color w:val="auto"/>
                      <w:sz w:val="21"/>
                      <w:szCs w:val="21"/>
                      <w:highlight w:val="none"/>
                      <w:lang w:val="en-US" w:eastAsia="zh-CN"/>
                    </w:rPr>
                    <w:t>，生活</w:t>
                  </w:r>
                  <w:r>
                    <w:rPr>
                      <w:rFonts w:hint="eastAsia"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lang w:val="en-US" w:eastAsia="zh-CN"/>
                    </w:rPr>
                    <w:t>废水通过公司预处理池进行处理后排入污水管网，本项目符合国家法律法规、符合各类污染防治规划要求</w:t>
                  </w:r>
                  <w:r>
                    <w:rPr>
                      <w:rFonts w:hint="eastAsia" w:ascii="Times New Roman" w:hAnsi="Times New Roman" w:eastAsia="宋体" w:cs="Times New Roman"/>
                      <w:color w:val="auto"/>
                      <w:sz w:val="21"/>
                      <w:szCs w:val="21"/>
                      <w:highlight w:val="none"/>
                      <w:lang w:val="en-US" w:eastAsia="zh-CN"/>
                    </w:rPr>
                    <w:t>。</w:t>
                  </w:r>
                </w:p>
              </w:tc>
              <w:tc>
                <w:tcPr>
                  <w:tcW w:w="640" w:type="pct"/>
                  <w:tcBorders>
                    <w:tl2br w:val="nil"/>
                    <w:tr2bl w:val="nil"/>
                  </w:tcBorders>
                  <w:noWrap w:val="0"/>
                  <w:vAlign w:val="center"/>
                </w:tcPr>
                <w:p w14:paraId="3BED24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lang w:val="en-US" w:eastAsia="zh-CN"/>
                    </w:rPr>
                    <w:t>符合</w:t>
                  </w:r>
                </w:p>
              </w:tc>
            </w:tr>
            <w:tr w14:paraId="4B8CB2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59" w:type="pct"/>
                  <w:tcBorders>
                    <w:tl2br w:val="nil"/>
                    <w:tr2bl w:val="nil"/>
                  </w:tcBorders>
                  <w:noWrap w:val="0"/>
                  <w:vAlign w:val="center"/>
                </w:tcPr>
                <w:p w14:paraId="3678A051">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三）禁止新建燃煤火电、金属冶炼、制浆（含废纸制浆）屠宰、皮革鞣制、铅蓄电池制造、原油炼制、煤化工、印染项目，具体清单见《报告书》。</w:t>
                  </w:r>
                </w:p>
              </w:tc>
              <w:tc>
                <w:tcPr>
                  <w:tcW w:w="2699" w:type="pct"/>
                  <w:tcBorders>
                    <w:tl2br w:val="nil"/>
                    <w:tr2bl w:val="nil"/>
                  </w:tcBorders>
                  <w:noWrap w:val="0"/>
                  <w:vAlign w:val="center"/>
                </w:tcPr>
                <w:p w14:paraId="2B0C2C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不涉及</w:t>
                  </w:r>
                </w:p>
              </w:tc>
              <w:tc>
                <w:tcPr>
                  <w:tcW w:w="640" w:type="pct"/>
                  <w:tcBorders>
                    <w:tl2br w:val="nil"/>
                    <w:tr2bl w:val="nil"/>
                  </w:tcBorders>
                  <w:noWrap w:val="0"/>
                  <w:vAlign w:val="center"/>
                </w:tcPr>
                <w:p w14:paraId="26D88FD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07E651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659" w:type="pct"/>
                  <w:tcBorders>
                    <w:tl2br w:val="nil"/>
                    <w:tr2bl w:val="nil"/>
                  </w:tcBorders>
                  <w:noWrap w:val="0"/>
                  <w:vAlign w:val="center"/>
                </w:tcPr>
                <w:p w14:paraId="17A196DA">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四</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经开区内现有盛马化工燃料油炼制规模不再扩大。</w:t>
                  </w:r>
                </w:p>
              </w:tc>
              <w:tc>
                <w:tcPr>
                  <w:tcW w:w="2699" w:type="pct"/>
                  <w:tcBorders>
                    <w:tl2br w:val="nil"/>
                    <w:tr2bl w:val="nil"/>
                  </w:tcBorders>
                  <w:noWrap w:val="0"/>
                  <w:vAlign w:val="center"/>
                </w:tcPr>
                <w:p w14:paraId="2B2A836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不涉及</w:t>
                  </w:r>
                </w:p>
              </w:tc>
              <w:tc>
                <w:tcPr>
                  <w:tcW w:w="640" w:type="pct"/>
                  <w:tcBorders>
                    <w:tl2br w:val="nil"/>
                    <w:tr2bl w:val="nil"/>
                  </w:tcBorders>
                  <w:noWrap w:val="0"/>
                  <w:vAlign w:val="center"/>
                </w:tcPr>
                <w:p w14:paraId="1BB7854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bl>
          <w:p w14:paraId="50DFC95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rPr>
            </w:pPr>
            <w:r>
              <w:rPr>
                <w:rFonts w:hint="eastAsia" w:ascii="Times New Roman" w:hAnsi="Times New Roman" w:eastAsia="宋体" w:cs="Times New Roman"/>
                <w:b w:val="0"/>
                <w:bCs w:val="0"/>
                <w:color w:val="auto"/>
                <w:kern w:val="0"/>
                <w:sz w:val="24"/>
                <w:szCs w:val="24"/>
                <w:highlight w:val="none"/>
                <w:lang w:eastAsia="zh-CN"/>
              </w:rPr>
              <w:t>综上，本项目为</w:t>
            </w:r>
            <w:r>
              <w:rPr>
                <w:rFonts w:hint="eastAsia" w:ascii="Times New Roman" w:hAnsi="Times New Roman" w:eastAsia="宋体" w:cs="Times New Roman"/>
                <w:b w:val="0"/>
                <w:bCs w:val="0"/>
                <w:color w:val="auto"/>
                <w:kern w:val="0"/>
                <w:sz w:val="24"/>
                <w:szCs w:val="24"/>
                <w:highlight w:val="none"/>
                <w:lang w:val="en-US" w:eastAsia="zh-CN"/>
              </w:rPr>
              <w:t>包装装潢及其他印刷行业</w:t>
            </w:r>
            <w:r>
              <w:rPr>
                <w:rFonts w:hint="eastAsia" w:cs="Times New Roman"/>
                <w:b w:val="0"/>
                <w:bCs w:val="0"/>
                <w:color w:val="auto"/>
                <w:kern w:val="0"/>
                <w:sz w:val="24"/>
                <w:szCs w:val="24"/>
                <w:highlight w:val="none"/>
                <w:lang w:val="en-US" w:eastAsia="zh-CN"/>
              </w:rPr>
              <w:t>及塑料包装箱及容器制造行业</w:t>
            </w:r>
            <w:r>
              <w:rPr>
                <w:rFonts w:hint="eastAsia" w:ascii="Times New Roman" w:hAnsi="Times New Roman" w:eastAsia="宋体" w:cs="Times New Roman"/>
                <w:b w:val="0"/>
                <w:bCs w:val="0"/>
                <w:color w:val="auto"/>
                <w:kern w:val="0"/>
                <w:sz w:val="24"/>
                <w:szCs w:val="24"/>
                <w:highlight w:val="none"/>
                <w:lang w:eastAsia="zh-CN"/>
              </w:rPr>
              <w:t>，项目不属于鼓励类、禁止类及限制类，为允许类，且未列入园区规划中经细化、分类的环境准入负面清单。因此拟建项目建设符合</w:t>
            </w:r>
            <w:r>
              <w:rPr>
                <w:rFonts w:hint="eastAsia" w:ascii="Times New Roman" w:hAnsi="Times New Roman" w:eastAsia="宋体" w:cs="Times New Roman"/>
                <w:b w:val="0"/>
                <w:bCs w:val="0"/>
                <w:color w:val="auto"/>
                <w:kern w:val="0"/>
                <w:sz w:val="24"/>
                <w:szCs w:val="24"/>
                <w:highlight w:val="none"/>
                <w:lang w:val="en-US" w:eastAsia="zh-CN"/>
              </w:rPr>
              <w:t>四川大英经济开发区</w:t>
            </w:r>
            <w:r>
              <w:rPr>
                <w:rFonts w:hint="eastAsia" w:ascii="Times New Roman" w:hAnsi="Times New Roman" w:eastAsia="宋体" w:cs="Times New Roman"/>
                <w:b w:val="0"/>
                <w:bCs w:val="0"/>
                <w:color w:val="auto"/>
                <w:kern w:val="0"/>
                <w:sz w:val="24"/>
                <w:szCs w:val="24"/>
                <w:highlight w:val="none"/>
                <w:lang w:eastAsia="zh-CN"/>
              </w:rPr>
              <w:t>环境准入要求，符合</w:t>
            </w:r>
            <w:r>
              <w:rPr>
                <w:rFonts w:hint="eastAsia" w:ascii="Times New Roman" w:hAnsi="Times New Roman" w:eastAsia="宋体" w:cs="Times New Roman"/>
                <w:b w:val="0"/>
                <w:bCs w:val="0"/>
                <w:color w:val="auto"/>
                <w:kern w:val="0"/>
                <w:sz w:val="24"/>
                <w:szCs w:val="24"/>
                <w:highlight w:val="none"/>
                <w:lang w:val="en-US" w:eastAsia="zh-CN"/>
              </w:rPr>
              <w:t>四川大英经济开发区</w:t>
            </w:r>
            <w:r>
              <w:rPr>
                <w:rFonts w:hint="eastAsia" w:ascii="Times New Roman" w:hAnsi="Times New Roman" w:eastAsia="宋体" w:cs="Times New Roman"/>
                <w:b w:val="0"/>
                <w:bCs w:val="0"/>
                <w:color w:val="auto"/>
                <w:kern w:val="0"/>
                <w:sz w:val="24"/>
                <w:szCs w:val="24"/>
                <w:highlight w:val="none"/>
                <w:lang w:eastAsia="zh-CN"/>
              </w:rPr>
              <w:t>规划。</w:t>
            </w:r>
          </w:p>
        </w:tc>
      </w:tr>
      <w:tr w14:paraId="76D7C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997" w:hRule="atLeast"/>
        </w:trPr>
        <w:tc>
          <w:tcPr>
            <w:tcW w:w="1186" w:type="dxa"/>
            <w:noWrap w:val="0"/>
            <w:tcMar>
              <w:top w:w="16" w:type="dxa"/>
              <w:left w:w="16" w:type="dxa"/>
              <w:right w:w="16" w:type="dxa"/>
            </w:tcMar>
            <w:vAlign w:val="center"/>
          </w:tcPr>
          <w:p w14:paraId="194FA541">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其他符合性分析</w:t>
            </w:r>
          </w:p>
        </w:tc>
        <w:tc>
          <w:tcPr>
            <w:tcW w:w="7896" w:type="dxa"/>
            <w:gridSpan w:val="3"/>
            <w:noWrap w:val="0"/>
            <w:tcMar>
              <w:top w:w="16" w:type="dxa"/>
              <w:left w:w="16" w:type="dxa"/>
              <w:right w:w="16" w:type="dxa"/>
            </w:tcMar>
            <w:vAlign w:val="center"/>
          </w:tcPr>
          <w:p w14:paraId="22B68CB5">
            <w:pPr>
              <w:keepNext w:val="0"/>
              <w:keepLines w:val="0"/>
              <w:suppressLineNumbers w:val="0"/>
              <w:spacing w:before="0" w:beforeAutospacing="0" w:after="0" w:afterAutospacing="0" w:line="360" w:lineRule="auto"/>
              <w:ind w:left="0" w:right="0"/>
              <w:rPr>
                <w:rFonts w:hint="eastAsia" w:ascii="宋体" w:hAnsi="宋体" w:eastAsia="宋体" w:cs="宋体"/>
                <w:b/>
                <w:bCs/>
                <w:color w:val="auto"/>
                <w:sz w:val="24"/>
              </w:rPr>
            </w:pPr>
            <w:r>
              <w:rPr>
                <w:rFonts w:hint="eastAsia" w:ascii="宋体" w:hAnsi="宋体" w:eastAsia="宋体" w:cs="宋体"/>
                <w:b/>
                <w:bCs/>
                <w:color w:val="auto"/>
                <w:sz w:val="24"/>
                <w:lang w:val="en-US" w:eastAsia="zh-CN"/>
              </w:rPr>
              <w:t>1</w:t>
            </w:r>
            <w:r>
              <w:rPr>
                <w:rFonts w:hint="eastAsia" w:ascii="宋体" w:hAnsi="宋体" w:eastAsia="宋体" w:cs="宋体"/>
                <w:b/>
                <w:bCs/>
                <w:color w:val="auto"/>
                <w:sz w:val="24"/>
              </w:rPr>
              <w:t>.产业政策符合性分析</w:t>
            </w:r>
          </w:p>
          <w:p w14:paraId="797BC84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val="0"/>
                <w:color w:val="auto"/>
                <w:kern w:val="0"/>
                <w:sz w:val="24"/>
                <w:szCs w:val="24"/>
                <w:lang w:eastAsia="zh-CN"/>
              </w:rPr>
              <w:t>按</w:t>
            </w:r>
            <w:r>
              <w:rPr>
                <w:rFonts w:hint="eastAsia" w:ascii="Times New Roman" w:hAnsi="Times New Roman" w:eastAsia="宋体" w:cs="Times New Roman"/>
                <w:b w:val="0"/>
                <w:bCs w:val="0"/>
                <w:color w:val="auto"/>
                <w:kern w:val="0"/>
                <w:sz w:val="24"/>
                <w:szCs w:val="24"/>
                <w:lang w:eastAsia="zh-CN"/>
              </w:rPr>
              <w:t>照</w:t>
            </w:r>
            <w:r>
              <w:rPr>
                <w:rFonts w:hint="default" w:ascii="Times New Roman" w:hAnsi="Times New Roman" w:eastAsia="宋体" w:cs="Times New Roman"/>
                <w:b w:val="0"/>
                <w:bCs w:val="0"/>
                <w:color w:val="auto"/>
                <w:kern w:val="0"/>
                <w:sz w:val="24"/>
                <w:szCs w:val="24"/>
                <w:lang w:eastAsia="zh-CN"/>
              </w:rPr>
              <w:t>《国民经济行业分类》（GB/T4754-2017）</w:t>
            </w:r>
            <w:r>
              <w:rPr>
                <w:rFonts w:hint="eastAsia" w:ascii="Times New Roman" w:hAnsi="Times New Roman" w:eastAsia="宋体" w:cs="Times New Roman"/>
                <w:b w:val="0"/>
                <w:bCs w:val="0"/>
                <w:color w:val="auto"/>
                <w:kern w:val="0"/>
                <w:sz w:val="24"/>
                <w:szCs w:val="24"/>
                <w:lang w:eastAsia="zh-CN"/>
              </w:rPr>
              <w:t>（按第</w:t>
            </w:r>
            <w:r>
              <w:rPr>
                <w:rFonts w:hint="eastAsia" w:ascii="Times New Roman" w:hAnsi="Times New Roman" w:eastAsia="宋体" w:cs="Times New Roman"/>
                <w:b w:val="0"/>
                <w:bCs w:val="0"/>
                <w:color w:val="auto"/>
                <w:kern w:val="0"/>
                <w:sz w:val="24"/>
                <w:szCs w:val="24"/>
                <w:lang w:val="en-US" w:eastAsia="zh-CN"/>
              </w:rPr>
              <w:t>1号修改单修订）中</w:t>
            </w:r>
            <w:r>
              <w:rPr>
                <w:rFonts w:hint="default" w:ascii="Times New Roman" w:hAnsi="Times New Roman" w:eastAsia="宋体" w:cs="Times New Roman"/>
                <w:b w:val="0"/>
                <w:bCs w:val="0"/>
                <w:color w:val="auto"/>
                <w:kern w:val="0"/>
                <w:sz w:val="24"/>
                <w:szCs w:val="24"/>
                <w:lang w:eastAsia="zh-CN"/>
              </w:rPr>
              <w:t>关于国民经济行业的分类，本项目属于</w:t>
            </w:r>
            <w:r>
              <w:rPr>
                <w:rFonts w:hint="eastAsia"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val="0"/>
                <w:color w:val="auto"/>
                <w:kern w:val="0"/>
                <w:sz w:val="24"/>
                <w:szCs w:val="24"/>
                <w:lang w:eastAsia="zh-CN"/>
              </w:rPr>
              <w:t>包装装潢及其他印刷（C2319）</w:t>
            </w:r>
            <w:r>
              <w:rPr>
                <w:rFonts w:hint="eastAsia" w:cs="Times New Roman"/>
                <w:b w:val="0"/>
                <w:bCs w:val="0"/>
                <w:color w:val="auto"/>
                <w:kern w:val="0"/>
                <w:sz w:val="24"/>
                <w:szCs w:val="24"/>
                <w:lang w:eastAsia="zh-CN"/>
              </w:rPr>
              <w:t>、</w:t>
            </w:r>
            <w:r>
              <w:rPr>
                <w:rFonts w:hint="eastAsia"/>
                <w:color w:val="auto"/>
                <w:spacing w:val="-2"/>
                <w:sz w:val="24"/>
              </w:rPr>
              <w:t>塑料包装箱及容器制造</w:t>
            </w:r>
            <w:r>
              <w:rPr>
                <w:rFonts w:hint="eastAsia"/>
                <w:color w:val="auto"/>
                <w:spacing w:val="-2"/>
                <w:sz w:val="24"/>
                <w:lang w:eastAsia="zh-CN"/>
              </w:rPr>
              <w:t>（</w:t>
            </w:r>
            <w:r>
              <w:rPr>
                <w:rFonts w:hint="eastAsia"/>
                <w:color w:val="auto"/>
                <w:spacing w:val="-2"/>
                <w:sz w:val="24"/>
                <w:lang w:val="en-US" w:eastAsia="zh-CN"/>
              </w:rPr>
              <w:t>C</w:t>
            </w:r>
            <w:r>
              <w:rPr>
                <w:rFonts w:hint="eastAsia"/>
                <w:color w:val="auto"/>
                <w:spacing w:val="-2"/>
                <w:sz w:val="24"/>
              </w:rPr>
              <w:t>2926</w:t>
            </w:r>
            <w:r>
              <w:rPr>
                <w:rFonts w:hint="eastAsia"/>
                <w:color w:val="auto"/>
                <w:spacing w:val="-2"/>
                <w:sz w:val="24"/>
                <w:lang w:eastAsia="zh-CN"/>
              </w:rPr>
              <w:t>）</w:t>
            </w:r>
            <w:r>
              <w:rPr>
                <w:rFonts w:hint="eastAsia"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val="0"/>
                <w:color w:val="auto"/>
                <w:kern w:val="0"/>
                <w:sz w:val="24"/>
                <w:szCs w:val="24"/>
                <w:lang w:eastAsia="zh-CN"/>
              </w:rPr>
              <w:t>根据《产业结构调整指导目录》（</w:t>
            </w:r>
            <w:r>
              <w:rPr>
                <w:rFonts w:hint="eastAsia" w:ascii="Times New Roman" w:hAnsi="Times New Roman" w:eastAsia="宋体" w:cs="Times New Roman"/>
                <w:b w:val="0"/>
                <w:bCs w:val="0"/>
                <w:color w:val="auto"/>
                <w:kern w:val="0"/>
                <w:sz w:val="24"/>
                <w:szCs w:val="24"/>
                <w:lang w:val="en-US" w:eastAsia="zh-CN"/>
              </w:rPr>
              <w:t>2024</w:t>
            </w:r>
            <w:r>
              <w:rPr>
                <w:rFonts w:hint="default" w:ascii="Times New Roman" w:hAnsi="Times New Roman" w:eastAsia="宋体" w:cs="Times New Roman"/>
                <w:b w:val="0"/>
                <w:bCs w:val="0"/>
                <w:color w:val="auto"/>
                <w:kern w:val="0"/>
                <w:sz w:val="24"/>
                <w:szCs w:val="24"/>
                <w:lang w:eastAsia="zh-CN"/>
              </w:rPr>
              <w:t>年本</w:t>
            </w:r>
            <w:r>
              <w:rPr>
                <w:rFonts w:hint="eastAsia"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val="0"/>
                <w:color w:val="auto"/>
                <w:kern w:val="0"/>
                <w:sz w:val="24"/>
                <w:szCs w:val="24"/>
                <w:lang w:eastAsia="zh-CN"/>
              </w:rPr>
              <w:t>的要求，该项目不属于鼓励类、限制类和淘汰类。根据国务院发布实施的《促进产业结构调整暂行规定》（国发[2005]40号）第十三条规定：</w:t>
            </w:r>
            <w:r>
              <w:rPr>
                <w:rFonts w:hint="eastAsia"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val="0"/>
                <w:color w:val="auto"/>
                <w:kern w:val="0"/>
                <w:sz w:val="24"/>
                <w:szCs w:val="24"/>
                <w:lang w:eastAsia="zh-CN"/>
              </w:rPr>
              <w:t>不属于鼓励类、限制类和淘汰类，且符合国家有关法律、法规和政策规定的为允许类</w:t>
            </w:r>
            <w:r>
              <w:rPr>
                <w:rFonts w:hint="eastAsia"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val="0"/>
                <w:color w:val="auto"/>
                <w:kern w:val="0"/>
                <w:sz w:val="24"/>
                <w:szCs w:val="24"/>
                <w:lang w:eastAsia="zh-CN"/>
              </w:rPr>
              <w:t>。项目主要设备的型号规格不在《产业结构调整指导目录》（</w:t>
            </w:r>
            <w:r>
              <w:rPr>
                <w:rFonts w:hint="eastAsia" w:ascii="Times New Roman" w:hAnsi="Times New Roman" w:eastAsia="宋体" w:cs="Times New Roman"/>
                <w:b w:val="0"/>
                <w:bCs w:val="0"/>
                <w:color w:val="auto"/>
                <w:kern w:val="0"/>
                <w:sz w:val="24"/>
                <w:szCs w:val="24"/>
                <w:lang w:val="en-US" w:eastAsia="zh-CN"/>
              </w:rPr>
              <w:t>2024</w:t>
            </w:r>
            <w:r>
              <w:rPr>
                <w:rFonts w:hint="default" w:ascii="Times New Roman" w:hAnsi="Times New Roman" w:eastAsia="宋体" w:cs="Times New Roman"/>
                <w:b w:val="0"/>
                <w:bCs w:val="0"/>
                <w:color w:val="auto"/>
                <w:kern w:val="0"/>
                <w:sz w:val="24"/>
                <w:szCs w:val="24"/>
                <w:lang w:eastAsia="zh-CN"/>
              </w:rPr>
              <w:t>年本）淘汰落后生产工艺装备范围内，且符合国家相关的法律、法规和政策规定的，为允许类</w:t>
            </w:r>
            <w:r>
              <w:rPr>
                <w:rFonts w:hint="default" w:ascii="Times New Roman" w:hAnsi="Times New Roman" w:eastAsia="宋体" w:cs="Times New Roman"/>
                <w:b w:val="0"/>
                <w:bCs w:val="0"/>
                <w:color w:val="auto"/>
                <w:kern w:val="0"/>
                <w:sz w:val="24"/>
                <w:szCs w:val="24"/>
                <w:highlight w:val="none"/>
                <w:lang w:eastAsia="zh-CN"/>
              </w:rPr>
              <w:t>。</w:t>
            </w:r>
          </w:p>
          <w:p w14:paraId="56789F9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同时，项目已于202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年</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月</w:t>
            </w:r>
            <w:r>
              <w:rPr>
                <w:rFonts w:hint="eastAsia"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lang w:eastAsia="zh-CN"/>
              </w:rPr>
              <w:t>日在</w:t>
            </w:r>
            <w:r>
              <w:rPr>
                <w:rFonts w:hint="default" w:ascii="Times New Roman" w:hAnsi="Times New Roman" w:eastAsia="宋体" w:cs="Times New Roman"/>
                <w:color w:val="auto"/>
                <w:sz w:val="24"/>
                <w:szCs w:val="24"/>
                <w:highlight w:val="none"/>
                <w:lang w:val="en-US" w:eastAsia="zh-CN"/>
              </w:rPr>
              <w:t>大英县经济信息化和科学技术局</w:t>
            </w:r>
            <w:r>
              <w:rPr>
                <w:rFonts w:hint="default" w:ascii="Times New Roman" w:hAnsi="Times New Roman" w:eastAsia="宋体" w:cs="Times New Roman"/>
                <w:color w:val="auto"/>
                <w:sz w:val="24"/>
                <w:szCs w:val="24"/>
                <w:highlight w:val="none"/>
                <w:lang w:eastAsia="zh-CN"/>
              </w:rPr>
              <w:t>备案登记，备案文号：</w:t>
            </w:r>
            <w:r>
              <w:rPr>
                <w:rFonts w:hint="default" w:ascii="Times New Roman" w:hAnsi="Times New Roman" w:eastAsia="宋体" w:cs="Times New Roman"/>
                <w:color w:val="auto"/>
                <w:sz w:val="24"/>
                <w:szCs w:val="24"/>
                <w:highlight w:val="none"/>
                <w:lang w:val="en-US" w:eastAsia="zh-CN"/>
              </w:rPr>
              <w:t>川投资备【2502-510923-07-02-642076】JXQB-0117 号</w:t>
            </w:r>
            <w:r>
              <w:rPr>
                <w:rFonts w:hint="default" w:ascii="Times New Roman" w:hAnsi="Times New Roman" w:eastAsia="宋体" w:cs="Times New Roman"/>
                <w:color w:val="auto"/>
                <w:sz w:val="24"/>
                <w:szCs w:val="24"/>
                <w:highlight w:val="none"/>
                <w:lang w:eastAsia="zh-CN"/>
              </w:rPr>
              <w:t>。</w:t>
            </w:r>
          </w:p>
          <w:p w14:paraId="4E4335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因此，本项目建设符合国家现行相关产业政策。</w:t>
            </w:r>
          </w:p>
          <w:p w14:paraId="0DE502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color w:val="auto"/>
                <w:sz w:val="24"/>
                <w:lang w:val="en-US" w:eastAsia="zh-CN"/>
              </w:rPr>
              <w:t>2</w:t>
            </w:r>
            <w:r>
              <w:rPr>
                <w:rFonts w:hint="default" w:ascii="Times New Roman" w:hAnsi="Times New Roman" w:eastAsia="宋体" w:cs="Times New Roman"/>
                <w:b/>
                <w:color w:val="auto"/>
                <w:sz w:val="24"/>
              </w:rPr>
              <w:t>.</w:t>
            </w:r>
            <w:r>
              <w:rPr>
                <w:rFonts w:hint="default" w:ascii="Times New Roman" w:hAnsi="Times New Roman" w:eastAsia="宋体" w:cs="Times New Roman"/>
                <w:b/>
                <w:bCs w:val="0"/>
                <w:color w:val="auto"/>
                <w:sz w:val="24"/>
                <w:szCs w:val="24"/>
                <w:lang w:val="en-US" w:eastAsia="zh-CN"/>
              </w:rPr>
              <w:t>土地利用规划符合性分析</w:t>
            </w:r>
          </w:p>
          <w:p w14:paraId="5281A2E0">
            <w:pPr>
              <w:widowControl/>
              <w:spacing w:line="360" w:lineRule="auto"/>
              <w:ind w:firstLine="480" w:firstLineChars="200"/>
              <w:rPr>
                <w:rFonts w:hint="default" w:ascii="Times New Roman" w:hAnsi="Times New Roman" w:eastAsia="宋体" w:cs="Times New Roman"/>
                <w:b/>
                <w:bCs/>
                <w:iCs/>
                <w:color w:val="auto"/>
                <w:sz w:val="24"/>
                <w:lang w:val="en-US" w:eastAsia="zh-CN"/>
              </w:rPr>
            </w:pPr>
            <w:r>
              <w:rPr>
                <w:rFonts w:hint="default" w:ascii="Times New Roman" w:hAnsi="Times New Roman" w:cs="Times New Roman"/>
                <w:color w:val="auto"/>
                <w:sz w:val="24"/>
              </w:rPr>
              <w:t>本项目位于</w:t>
            </w:r>
            <w:r>
              <w:rPr>
                <w:rFonts w:hint="default" w:ascii="Times New Roman" w:hAnsi="Times New Roman" w:cs="Times New Roman"/>
                <w:color w:val="auto"/>
                <w:sz w:val="24"/>
                <w:lang w:val="en-US"/>
              </w:rPr>
              <w:t>大英县蓬莱镇工业集中发展区采和大道1楼</w:t>
            </w:r>
            <w:r>
              <w:rPr>
                <w:rFonts w:hint="default" w:ascii="Times New Roman" w:hAnsi="Times New Roman" w:cs="Times New Roman"/>
                <w:color w:val="auto"/>
                <w:sz w:val="24"/>
              </w:rPr>
              <w:t>，租用遂宁瑞裕建材有限公司已建的生产厂房及生活配套用房，</w:t>
            </w:r>
            <w:r>
              <w:rPr>
                <w:rFonts w:hint="default" w:ascii="Times New Roman" w:hAnsi="Times New Roman" w:cs="Times New Roman"/>
                <w:color w:val="auto"/>
                <w:sz w:val="24"/>
                <w:highlight w:val="none"/>
              </w:rPr>
              <w:t>根据《限制用地项目目录（2012年本）》和《禁止用地项目目录（2012年本）》，本项目的建设不属于限制用地和禁止用地范围。</w:t>
            </w:r>
            <w:r>
              <w:rPr>
                <w:rFonts w:hint="default" w:ascii="Times New Roman" w:hAnsi="Times New Roman" w:cs="Times New Roman"/>
                <w:color w:val="auto"/>
                <w:sz w:val="24"/>
                <w:szCs w:val="21"/>
                <w:highlight w:val="none"/>
              </w:rPr>
              <w:t>根据</w:t>
            </w:r>
            <w:r>
              <w:rPr>
                <w:rFonts w:hint="default" w:ascii="Times New Roman" w:hAnsi="Times New Roman" w:cs="Times New Roman"/>
                <w:color w:val="auto"/>
                <w:sz w:val="24"/>
                <w:szCs w:val="21"/>
                <w:highlight w:val="none"/>
                <w:lang w:val="en-US" w:eastAsia="zh-CN"/>
              </w:rPr>
              <w:t>其不动产权证（川（2022）大英县不动产权第0004443号）</w:t>
            </w:r>
            <w:r>
              <w:rPr>
                <w:rFonts w:hint="default" w:ascii="Times New Roman" w:hAnsi="Times New Roman" w:cs="Times New Roman"/>
                <w:color w:val="auto"/>
                <w:sz w:val="24"/>
                <w:szCs w:val="21"/>
                <w:highlight w:val="none"/>
              </w:rPr>
              <w:t>中明确项目建设用地属于工业用地</w:t>
            </w:r>
            <w:r>
              <w:rPr>
                <w:rFonts w:hint="default" w:ascii="Times New Roman" w:hAnsi="Times New Roman" w:cs="Times New Roman"/>
                <w:color w:val="auto"/>
                <w:sz w:val="24"/>
                <w:highlight w:val="none"/>
                <w:lang w:eastAsia="zh-CN"/>
              </w:rPr>
              <w:t>（见附件</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本项目属于</w:t>
            </w:r>
            <w:r>
              <w:rPr>
                <w:rFonts w:hint="default" w:ascii="Times New Roman" w:hAnsi="Times New Roman" w:cs="Times New Roman"/>
                <w:color w:val="auto"/>
                <w:sz w:val="24"/>
                <w:highlight w:val="none"/>
                <w:lang w:val="en-US" w:eastAsia="zh-CN"/>
              </w:rPr>
              <w:t>包装装潢及其他印刷</w:t>
            </w:r>
            <w:r>
              <w:rPr>
                <w:rFonts w:hint="eastAsia" w:cs="Times New Roman"/>
                <w:color w:val="auto"/>
                <w:sz w:val="24"/>
                <w:highlight w:val="none"/>
                <w:lang w:val="en-US" w:eastAsia="zh-CN"/>
              </w:rPr>
              <w:t>及</w:t>
            </w:r>
            <w:r>
              <w:rPr>
                <w:rFonts w:hint="eastAsia"/>
                <w:color w:val="auto"/>
                <w:spacing w:val="-2"/>
                <w:sz w:val="24"/>
              </w:rPr>
              <w:t>塑料包装箱及容器制造</w:t>
            </w:r>
            <w:r>
              <w:rPr>
                <w:rFonts w:hint="default" w:ascii="Times New Roman" w:hAnsi="Times New Roman" w:cs="Times New Roman"/>
                <w:color w:val="auto"/>
                <w:sz w:val="24"/>
                <w:highlight w:val="none"/>
                <w:lang w:eastAsia="zh-CN"/>
              </w:rPr>
              <w:t>，符合规划的土地用途。</w:t>
            </w:r>
            <w:r>
              <w:rPr>
                <w:rFonts w:hint="default" w:ascii="Times New Roman" w:hAnsi="Times New Roman" w:cs="Times New Roman"/>
                <w:color w:val="auto"/>
                <w:sz w:val="24"/>
                <w:highlight w:val="none"/>
                <w:lang w:val="en-US" w:eastAsia="zh-CN"/>
              </w:rPr>
              <w:t>因此，</w:t>
            </w:r>
            <w:r>
              <w:rPr>
                <w:rFonts w:hint="default" w:ascii="Times New Roman" w:hAnsi="Times New Roman" w:cs="Times New Roman"/>
                <w:color w:val="auto"/>
                <w:sz w:val="24"/>
                <w:highlight w:val="none"/>
              </w:rPr>
              <w:t>本项目用地符合</w:t>
            </w:r>
            <w:r>
              <w:rPr>
                <w:rFonts w:hint="default" w:ascii="Times New Roman" w:hAnsi="Times New Roman" w:cs="Times New Roman"/>
                <w:color w:val="auto"/>
                <w:sz w:val="24"/>
                <w:highlight w:val="none"/>
                <w:lang w:eastAsia="zh-CN"/>
              </w:rPr>
              <w:t>土地利用</w:t>
            </w:r>
            <w:r>
              <w:rPr>
                <w:rFonts w:hint="default" w:ascii="Times New Roman" w:hAnsi="Times New Roman" w:cs="Times New Roman"/>
                <w:color w:val="auto"/>
                <w:sz w:val="24"/>
                <w:highlight w:val="none"/>
              </w:rPr>
              <w:t>规划。</w:t>
            </w:r>
          </w:p>
          <w:p w14:paraId="2F2896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iCs/>
                <w:color w:val="auto"/>
                <w:sz w:val="24"/>
                <w:lang w:val="en-US" w:eastAsia="zh-CN"/>
              </w:rPr>
              <w:t>3</w:t>
            </w:r>
            <w:r>
              <w:rPr>
                <w:rFonts w:hint="default" w:ascii="Times New Roman" w:hAnsi="Times New Roman" w:eastAsia="宋体" w:cs="Times New Roman"/>
                <w:b/>
                <w:bCs/>
                <w:iCs/>
                <w:color w:val="auto"/>
                <w:sz w:val="24"/>
              </w:rPr>
              <w:t>.</w:t>
            </w:r>
            <w:r>
              <w:rPr>
                <w:rFonts w:hint="default" w:ascii="Times New Roman" w:hAnsi="Times New Roman" w:eastAsia="宋体" w:cs="Times New Roman"/>
                <w:b/>
                <w:bCs/>
                <w:color w:val="auto"/>
                <w:sz w:val="24"/>
                <w:szCs w:val="24"/>
              </w:rPr>
              <w:t>与大气污染防治相关</w:t>
            </w:r>
            <w:r>
              <w:rPr>
                <w:rFonts w:hint="default" w:ascii="Times New Roman" w:hAnsi="Times New Roman" w:cs="Times New Roman"/>
                <w:b/>
                <w:bCs/>
                <w:color w:val="auto"/>
                <w:sz w:val="24"/>
                <w:szCs w:val="24"/>
                <w:lang w:eastAsia="zh-CN"/>
              </w:rPr>
              <w:t>政策要求</w:t>
            </w:r>
            <w:r>
              <w:rPr>
                <w:rFonts w:hint="default" w:ascii="Times New Roman" w:hAnsi="Times New Roman" w:eastAsia="宋体" w:cs="Times New Roman"/>
                <w:b/>
                <w:bCs/>
                <w:color w:val="auto"/>
                <w:sz w:val="24"/>
                <w:szCs w:val="24"/>
              </w:rPr>
              <w:t>的符合性分析</w:t>
            </w:r>
          </w:p>
          <w:p w14:paraId="1778E07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本项目与</w:t>
            </w:r>
            <w:r>
              <w:rPr>
                <w:color w:val="auto"/>
                <w:spacing w:val="-1"/>
                <w:sz w:val="24"/>
                <w:szCs w:val="24"/>
              </w:rPr>
              <w:t>大气污染防</w:t>
            </w:r>
            <w:r>
              <w:rPr>
                <w:rFonts w:ascii="Times New Roman" w:hAnsi="Times New Roman" w:eastAsia="宋体" w:cs="Times New Roman"/>
                <w:color w:val="auto"/>
                <w:spacing w:val="-1"/>
                <w:sz w:val="24"/>
                <w:szCs w:val="24"/>
              </w:rPr>
              <w:t>治</w:t>
            </w:r>
            <w:r>
              <w:rPr>
                <w:rFonts w:hint="eastAsia" w:ascii="Times New Roman" w:hAnsi="Times New Roman" w:eastAsia="宋体" w:cs="Times New Roman"/>
                <w:color w:val="auto"/>
                <w:spacing w:val="-1"/>
                <w:sz w:val="24"/>
                <w:szCs w:val="24"/>
              </w:rPr>
              <w:t>相关</w:t>
            </w:r>
            <w:r>
              <w:rPr>
                <w:rFonts w:hint="eastAsia" w:ascii="Times New Roman" w:hAnsi="Times New Roman" w:eastAsia="宋体" w:cs="Times New Roman"/>
                <w:color w:val="auto"/>
                <w:spacing w:val="-1"/>
                <w:sz w:val="24"/>
                <w:szCs w:val="24"/>
                <w:lang w:eastAsia="zh-CN"/>
              </w:rPr>
              <w:t>政策要求的</w:t>
            </w:r>
            <w:r>
              <w:rPr>
                <w:rFonts w:hint="eastAsia" w:ascii="Times New Roman" w:hAnsi="Times New Roman" w:eastAsia="宋体" w:cs="Times New Roman"/>
                <w:color w:val="auto"/>
                <w:spacing w:val="-1"/>
                <w:sz w:val="24"/>
                <w:szCs w:val="24"/>
              </w:rPr>
              <w:t>符合性分</w:t>
            </w:r>
            <w:r>
              <w:rPr>
                <w:rFonts w:hint="eastAsia" w:ascii="宋体" w:hAnsi="宋体" w:eastAsia="宋体" w:cs="宋体"/>
                <w:color w:val="auto"/>
                <w:sz w:val="24"/>
                <w:szCs w:val="24"/>
              </w:rPr>
              <w:t>析</w:t>
            </w:r>
          </w:p>
          <w:p w14:paraId="37DCD20F">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表1-</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eastAsia="zh-CN"/>
              </w:rPr>
              <w:t>项目与大气污染防治相关政策符合性分析一览表</w:t>
            </w:r>
          </w:p>
          <w:tbl>
            <w:tblPr>
              <w:tblStyle w:val="86"/>
              <w:tblW w:w="7840" w:type="dxa"/>
              <w:tblInd w:w="138"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612"/>
              <w:gridCol w:w="3173"/>
              <w:gridCol w:w="2155"/>
              <w:gridCol w:w="900"/>
            </w:tblGrid>
            <w:tr w14:paraId="73C58FC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612" w:type="dxa"/>
                  <w:tcBorders>
                    <w:tl2br w:val="nil"/>
                    <w:tr2bl w:val="nil"/>
                  </w:tcBorders>
                  <w:vAlign w:val="center"/>
                </w:tcPr>
                <w:p w14:paraId="7D5476C8">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3173" w:type="dxa"/>
                  <w:tcBorders>
                    <w:tl2br w:val="nil"/>
                    <w:tr2bl w:val="nil"/>
                  </w:tcBorders>
                  <w:vAlign w:val="center"/>
                </w:tcPr>
                <w:p w14:paraId="5C7E093D">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文件相关要求</w:t>
                  </w:r>
                </w:p>
              </w:tc>
              <w:tc>
                <w:tcPr>
                  <w:tcW w:w="2155" w:type="dxa"/>
                  <w:tcBorders>
                    <w:tl2br w:val="nil"/>
                    <w:tr2bl w:val="nil"/>
                  </w:tcBorders>
                  <w:vAlign w:val="center"/>
                </w:tcPr>
                <w:p w14:paraId="19BF1834">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900" w:type="dxa"/>
                  <w:tcBorders>
                    <w:tl2br w:val="nil"/>
                    <w:tr2bl w:val="nil"/>
                  </w:tcBorders>
                  <w:vAlign w:val="center"/>
                </w:tcPr>
                <w:p w14:paraId="57C80C2A">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68B306B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612" w:type="dxa"/>
                  <w:tcBorders>
                    <w:tl2br w:val="nil"/>
                    <w:tr2bl w:val="nil"/>
                  </w:tcBorders>
                  <w:vAlign w:val="center"/>
                </w:tcPr>
                <w:p w14:paraId="1F2393E0">
                  <w:pPr>
                    <w:pStyle w:val="92"/>
                    <w:keepNext w:val="0"/>
                    <w:keepLines w:val="0"/>
                    <w:pageBreakBefore w:val="0"/>
                    <w:widowControl w:val="0"/>
                    <w:kinsoku/>
                    <w:wordWrap/>
                    <w:overflowPunct/>
                    <w:topLinePunct w:val="0"/>
                    <w:autoSpaceDE/>
                    <w:autoSpaceDN/>
                    <w:bidi w:val="0"/>
                    <w:adjustRightInd/>
                    <w:snapToGrid/>
                    <w:spacing w:line="240" w:lineRule="auto"/>
                    <w:ind w:left="0" w:right="0" w:firstLine="77"/>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《四川省挥发</w:t>
                  </w:r>
                  <w:r>
                    <w:rPr>
                      <w:rFonts w:hint="default" w:ascii="Times New Roman" w:hAnsi="Times New Roman" w:eastAsia="宋体" w:cs="Times New Roman"/>
                      <w:color w:val="auto"/>
                      <w:spacing w:val="20"/>
                      <w:sz w:val="21"/>
                      <w:szCs w:val="21"/>
                    </w:rPr>
                    <w:t>性有机物污染防</w:t>
                  </w:r>
                  <w:r>
                    <w:rPr>
                      <w:rFonts w:hint="default" w:ascii="Times New Roman" w:hAnsi="Times New Roman" w:eastAsia="宋体" w:cs="Times New Roman"/>
                      <w:color w:val="auto"/>
                      <w:spacing w:val="31"/>
                      <w:sz w:val="21"/>
                      <w:szCs w:val="21"/>
                    </w:rPr>
                    <w:t>治实施方案(</w:t>
                  </w:r>
                  <w:r>
                    <w:rPr>
                      <w:rFonts w:hint="default" w:ascii="Times New Roman" w:hAnsi="Times New Roman" w:eastAsia="宋体" w:cs="Times New Roman"/>
                      <w:color w:val="auto"/>
                      <w:spacing w:val="-3"/>
                      <w:sz w:val="21"/>
                      <w:szCs w:val="21"/>
                    </w:rPr>
                    <w:t>2018-2020年）》</w:t>
                  </w:r>
                  <w:r>
                    <w:rPr>
                      <w:rFonts w:hint="default" w:ascii="Times New Roman" w:hAnsi="Times New Roman" w:eastAsia="宋体" w:cs="Times New Roman"/>
                      <w:color w:val="auto"/>
                      <w:spacing w:val="-2"/>
                      <w:sz w:val="21"/>
                      <w:szCs w:val="21"/>
                    </w:rPr>
                    <w:t>的通知（川环发</w:t>
                  </w:r>
                  <w:r>
                    <w:rPr>
                      <w:rFonts w:hint="default" w:ascii="Times New Roman" w:hAnsi="Times New Roman" w:eastAsia="宋体" w:cs="Times New Roman"/>
                      <w:color w:val="auto"/>
                      <w:sz w:val="21"/>
                      <w:szCs w:val="21"/>
                    </w:rPr>
                    <w:t>【2018】44号）</w:t>
                  </w:r>
                </w:p>
              </w:tc>
              <w:tc>
                <w:tcPr>
                  <w:tcW w:w="3173" w:type="dxa"/>
                  <w:tcBorders>
                    <w:tl2br w:val="nil"/>
                    <w:tr2bl w:val="nil"/>
                  </w:tcBorders>
                  <w:vAlign w:val="center"/>
                </w:tcPr>
                <w:p w14:paraId="5FE581C1">
                  <w:pPr>
                    <w:pStyle w:val="92"/>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color w:val="auto"/>
                      <w:spacing w:val="4"/>
                      <w:sz w:val="21"/>
                      <w:szCs w:val="21"/>
                      <w:highlight w:val="none"/>
                    </w:rPr>
                  </w:pPr>
                  <w:r>
                    <w:rPr>
                      <w:rFonts w:hint="eastAsia" w:ascii="Times New Roman" w:hAnsi="Times New Roman" w:eastAsia="宋体" w:cs="Times New Roman"/>
                      <w:color w:val="auto"/>
                      <w:spacing w:val="3"/>
                      <w:sz w:val="21"/>
                      <w:szCs w:val="21"/>
                      <w:highlight w:val="none"/>
                      <w:lang w:val="en-US" w:eastAsia="zh-CN"/>
                    </w:rPr>
                    <w:t>①</w:t>
                  </w:r>
                  <w:r>
                    <w:rPr>
                      <w:rFonts w:hint="default" w:ascii="Times New Roman" w:hAnsi="Times New Roman" w:eastAsia="宋体" w:cs="Times New Roman"/>
                      <w:color w:val="auto"/>
                      <w:spacing w:val="3"/>
                      <w:sz w:val="21"/>
                      <w:szCs w:val="21"/>
                      <w:highlight w:val="none"/>
                    </w:rPr>
                    <w:t>严格建设项目环境准入。提高</w:t>
                  </w:r>
                  <w:r>
                    <w:rPr>
                      <w:rFonts w:hint="default" w:ascii="Times New Roman" w:hAnsi="Times New Roman" w:eastAsia="宋体" w:cs="Times New Roman"/>
                      <w:color w:val="auto"/>
                      <w:sz w:val="21"/>
                      <w:szCs w:val="21"/>
                      <w:highlight w:val="none"/>
                    </w:rPr>
                    <w:t>VOCs</w:t>
                  </w:r>
                  <w:r>
                    <w:rPr>
                      <w:rFonts w:hint="default" w:ascii="Times New Roman" w:hAnsi="Times New Roman" w:eastAsia="宋体" w:cs="Times New Roman"/>
                      <w:color w:val="auto"/>
                      <w:spacing w:val="3"/>
                      <w:sz w:val="21"/>
                      <w:szCs w:val="21"/>
                      <w:highlight w:val="none"/>
                    </w:rPr>
                    <w:t>重点行业环保准入门槛，严格控制新增污染物排放量。各市（州）要严格限制石化、化工、包装印刷、工业涂装等高</w:t>
                  </w:r>
                  <w:r>
                    <w:rPr>
                      <w:rFonts w:hint="default" w:ascii="Times New Roman" w:hAnsi="Times New Roman" w:eastAsia="宋体" w:cs="Times New Roman"/>
                      <w:color w:val="auto"/>
                      <w:sz w:val="21"/>
                      <w:szCs w:val="21"/>
                      <w:highlight w:val="none"/>
                    </w:rPr>
                    <w:t>VOCs</w:t>
                  </w:r>
                  <w:r>
                    <w:rPr>
                      <w:rFonts w:hint="default" w:ascii="Times New Roman" w:hAnsi="Times New Roman" w:eastAsia="宋体" w:cs="Times New Roman"/>
                      <w:color w:val="auto"/>
                      <w:spacing w:val="3"/>
                      <w:sz w:val="21"/>
                      <w:szCs w:val="21"/>
                      <w:highlight w:val="none"/>
                    </w:rPr>
                    <w:t>排放建设项目。新建涉</w:t>
                  </w:r>
                  <w:r>
                    <w:rPr>
                      <w:rFonts w:hint="default" w:ascii="Times New Roman" w:hAnsi="Times New Roman" w:eastAsia="宋体" w:cs="Times New Roman"/>
                      <w:color w:val="auto"/>
                      <w:sz w:val="21"/>
                      <w:szCs w:val="21"/>
                      <w:highlight w:val="none"/>
                    </w:rPr>
                    <w:t>VOCs</w:t>
                  </w:r>
                  <w:r>
                    <w:rPr>
                      <w:rFonts w:hint="default" w:ascii="Times New Roman" w:hAnsi="Times New Roman" w:eastAsia="宋体" w:cs="Times New Roman"/>
                      <w:color w:val="auto"/>
                      <w:spacing w:val="3"/>
                      <w:sz w:val="21"/>
                      <w:szCs w:val="21"/>
                      <w:highlight w:val="none"/>
                    </w:rPr>
                    <w:t>排放的工业企业要入园区。严格涉</w:t>
                  </w:r>
                  <w:r>
                    <w:rPr>
                      <w:rFonts w:hint="default" w:ascii="Times New Roman" w:hAnsi="Times New Roman" w:eastAsia="宋体" w:cs="Times New Roman"/>
                      <w:color w:val="auto"/>
                      <w:sz w:val="21"/>
                      <w:szCs w:val="21"/>
                      <w:highlight w:val="none"/>
                    </w:rPr>
                    <w:t>VOCs</w:t>
                  </w:r>
                  <w:r>
                    <w:rPr>
                      <w:rFonts w:hint="default" w:ascii="Times New Roman" w:hAnsi="Times New Roman" w:eastAsia="宋体" w:cs="Times New Roman"/>
                      <w:color w:val="auto"/>
                      <w:spacing w:val="3"/>
                      <w:sz w:val="21"/>
                      <w:szCs w:val="21"/>
                      <w:highlight w:val="none"/>
                    </w:rPr>
                    <w:t>建设项目环境影响评价，新增</w:t>
                  </w:r>
                  <w:r>
                    <w:rPr>
                      <w:rFonts w:hint="default" w:ascii="Times New Roman" w:hAnsi="Times New Roman" w:eastAsia="宋体" w:cs="Times New Roman"/>
                      <w:color w:val="auto"/>
                      <w:sz w:val="21"/>
                      <w:szCs w:val="21"/>
                      <w:highlight w:val="none"/>
                    </w:rPr>
                    <w:t>VOCs</w:t>
                  </w:r>
                  <w:r>
                    <w:rPr>
                      <w:rFonts w:hint="default" w:ascii="Times New Roman" w:hAnsi="Times New Roman" w:eastAsia="宋体" w:cs="Times New Roman"/>
                      <w:color w:val="auto"/>
                      <w:spacing w:val="3"/>
                      <w:sz w:val="21"/>
                      <w:szCs w:val="21"/>
                      <w:highlight w:val="none"/>
                    </w:rPr>
                    <w:t>排放量实行区域内等量替代或倍量削减替代，环境空气质量未</w:t>
                  </w:r>
                  <w:r>
                    <w:rPr>
                      <w:rFonts w:hint="default" w:ascii="Times New Roman" w:hAnsi="Times New Roman" w:eastAsia="宋体" w:cs="Times New Roman"/>
                      <w:color w:val="auto"/>
                      <w:spacing w:val="13"/>
                      <w:sz w:val="21"/>
                      <w:szCs w:val="21"/>
                      <w:highlight w:val="none"/>
                    </w:rPr>
                    <w:t>达标的城市，建设项目新增</w:t>
                  </w:r>
                  <w:r>
                    <w:rPr>
                      <w:rFonts w:hint="default" w:ascii="Times New Roman" w:hAnsi="Times New Roman" w:eastAsia="宋体" w:cs="Times New Roman"/>
                      <w:color w:val="auto"/>
                      <w:sz w:val="21"/>
                      <w:szCs w:val="21"/>
                      <w:highlight w:val="none"/>
                    </w:rPr>
                    <w:t>VOCs</w:t>
                  </w:r>
                  <w:r>
                    <w:rPr>
                      <w:rFonts w:hint="default" w:ascii="Times New Roman" w:hAnsi="Times New Roman" w:eastAsia="宋体" w:cs="Times New Roman"/>
                      <w:color w:val="auto"/>
                      <w:spacing w:val="13"/>
                      <w:sz w:val="21"/>
                      <w:szCs w:val="21"/>
                      <w:highlight w:val="none"/>
                    </w:rPr>
                    <w:t>排放</w:t>
                  </w:r>
                  <w:r>
                    <w:rPr>
                      <w:rFonts w:hint="default" w:ascii="Times New Roman" w:hAnsi="Times New Roman" w:eastAsia="宋体" w:cs="Times New Roman"/>
                      <w:color w:val="auto"/>
                      <w:spacing w:val="3"/>
                      <w:sz w:val="21"/>
                      <w:szCs w:val="21"/>
                      <w:highlight w:val="none"/>
                    </w:rPr>
                    <w:t>的，实行2倍削减量替代，达标城市实行</w:t>
                  </w:r>
                  <w:r>
                    <w:rPr>
                      <w:rFonts w:hint="default" w:ascii="Times New Roman" w:hAnsi="Times New Roman" w:eastAsia="宋体" w:cs="Times New Roman"/>
                      <w:color w:val="auto"/>
                      <w:spacing w:val="5"/>
                      <w:sz w:val="21"/>
                      <w:szCs w:val="21"/>
                      <w:highlight w:val="none"/>
                    </w:rPr>
                    <w:t>1倍削减替代。新、改、扩建涉</w:t>
                  </w:r>
                  <w:r>
                    <w:rPr>
                      <w:rFonts w:hint="default" w:ascii="Times New Roman" w:hAnsi="Times New Roman" w:eastAsia="宋体" w:cs="Times New Roman"/>
                      <w:color w:val="auto"/>
                      <w:sz w:val="21"/>
                      <w:szCs w:val="21"/>
                      <w:highlight w:val="none"/>
                    </w:rPr>
                    <w:t>VOCs</w:t>
                  </w:r>
                  <w:r>
                    <w:rPr>
                      <w:rFonts w:hint="default" w:ascii="Times New Roman" w:hAnsi="Times New Roman" w:eastAsia="宋体" w:cs="Times New Roman"/>
                      <w:color w:val="auto"/>
                      <w:spacing w:val="5"/>
                      <w:sz w:val="21"/>
                      <w:szCs w:val="21"/>
                      <w:highlight w:val="none"/>
                    </w:rPr>
                    <w:t>排</w:t>
                  </w:r>
                  <w:r>
                    <w:rPr>
                      <w:rFonts w:hint="default" w:ascii="Times New Roman" w:hAnsi="Times New Roman" w:eastAsia="宋体" w:cs="Times New Roman"/>
                      <w:color w:val="auto"/>
                      <w:spacing w:val="-2"/>
                      <w:sz w:val="21"/>
                      <w:szCs w:val="21"/>
                      <w:highlight w:val="none"/>
                    </w:rPr>
                    <w:t>放项目，应从源头加强控制，使用低（无）</w:t>
                  </w:r>
                  <w:r>
                    <w:rPr>
                      <w:rFonts w:hint="default" w:ascii="Times New Roman" w:hAnsi="Times New Roman" w:eastAsia="宋体" w:cs="Times New Roman"/>
                      <w:color w:val="auto"/>
                      <w:sz w:val="21"/>
                      <w:szCs w:val="21"/>
                      <w:highlight w:val="none"/>
                    </w:rPr>
                    <w:t>VOCs</w:t>
                  </w:r>
                  <w:r>
                    <w:rPr>
                      <w:rFonts w:hint="default" w:ascii="Times New Roman" w:hAnsi="Times New Roman" w:eastAsia="宋体" w:cs="Times New Roman"/>
                      <w:color w:val="auto"/>
                      <w:spacing w:val="11"/>
                      <w:sz w:val="21"/>
                      <w:szCs w:val="21"/>
                      <w:highlight w:val="none"/>
                    </w:rPr>
                    <w:t>含量的原辅材料，加强废气收集，</w:t>
                  </w:r>
                  <w:r>
                    <w:rPr>
                      <w:rFonts w:hint="default" w:ascii="Times New Roman" w:hAnsi="Times New Roman" w:eastAsia="宋体" w:cs="Times New Roman"/>
                      <w:color w:val="auto"/>
                      <w:spacing w:val="4"/>
                      <w:sz w:val="21"/>
                      <w:szCs w:val="21"/>
                      <w:highlight w:val="none"/>
                    </w:rPr>
                    <w:t>安装高效治理设施。</w:t>
                  </w:r>
                </w:p>
                <w:p w14:paraId="4C3FDE98">
                  <w:pPr>
                    <w:pStyle w:val="92"/>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4"/>
                      <w:sz w:val="21"/>
                      <w:szCs w:val="21"/>
                      <w:highlight w:val="none"/>
                      <w:lang w:val="en-US" w:eastAsia="zh-CN"/>
                    </w:rPr>
                    <w:t>②</w:t>
                  </w:r>
                  <w:r>
                    <w:rPr>
                      <w:rFonts w:hint="default" w:ascii="Times New Roman" w:hAnsi="Times New Roman" w:eastAsia="宋体" w:cs="Times New Roman"/>
                      <w:color w:val="auto"/>
                      <w:spacing w:val="4"/>
                      <w:sz w:val="21"/>
                      <w:szCs w:val="21"/>
                      <w:highlight w:val="none"/>
                    </w:rPr>
                    <w:t>加强全过程控制，推</w:t>
                  </w:r>
                  <w:r>
                    <w:rPr>
                      <w:rFonts w:hint="default" w:ascii="Times New Roman" w:hAnsi="Times New Roman" w:eastAsia="宋体" w:cs="Times New Roman"/>
                      <w:color w:val="auto"/>
                      <w:spacing w:val="7"/>
                      <w:sz w:val="21"/>
                      <w:szCs w:val="21"/>
                      <w:highlight w:val="none"/>
                    </w:rPr>
                    <w:t>广使用低（无）</w:t>
                  </w:r>
                  <w:r>
                    <w:rPr>
                      <w:rFonts w:hint="default" w:ascii="Times New Roman" w:hAnsi="Times New Roman" w:eastAsia="宋体" w:cs="Times New Roman"/>
                      <w:color w:val="auto"/>
                      <w:sz w:val="21"/>
                      <w:szCs w:val="21"/>
                      <w:highlight w:val="none"/>
                    </w:rPr>
                    <w:t>VOCs</w:t>
                  </w:r>
                  <w:r>
                    <w:rPr>
                      <w:rFonts w:hint="default" w:ascii="Times New Roman" w:hAnsi="Times New Roman" w:eastAsia="宋体" w:cs="Times New Roman"/>
                      <w:color w:val="auto"/>
                      <w:spacing w:val="7"/>
                      <w:sz w:val="21"/>
                      <w:szCs w:val="21"/>
                      <w:highlight w:val="none"/>
                    </w:rPr>
                    <w:t>含量的原辅材料和</w:t>
                  </w:r>
                  <w:r>
                    <w:rPr>
                      <w:rFonts w:hint="default" w:ascii="Times New Roman" w:hAnsi="Times New Roman" w:eastAsia="宋体" w:cs="Times New Roman"/>
                      <w:color w:val="auto"/>
                      <w:spacing w:val="4"/>
                      <w:sz w:val="21"/>
                      <w:szCs w:val="21"/>
                      <w:highlight w:val="none"/>
                    </w:rPr>
                    <w:t>生产工艺、设备。产生的含挥发性有机物废气的生产和服务活动，应当在密闭空间或者设备中进行，并按照规定安装，使用污染防治设施。无法密闭的，应当采取措</w:t>
                  </w:r>
                  <w:r>
                    <w:rPr>
                      <w:rFonts w:hint="default" w:ascii="Times New Roman" w:hAnsi="Times New Roman" w:eastAsia="宋体" w:cs="Times New Roman"/>
                      <w:color w:val="auto"/>
                      <w:spacing w:val="13"/>
                      <w:sz w:val="21"/>
                      <w:szCs w:val="21"/>
                      <w:highlight w:val="none"/>
                    </w:rPr>
                    <w:t>施减少废气排放。依法依规范设置排放</w:t>
                  </w:r>
                  <w:r>
                    <w:rPr>
                      <w:rFonts w:hint="default" w:ascii="Times New Roman" w:hAnsi="Times New Roman" w:eastAsia="宋体" w:cs="Times New Roman"/>
                      <w:color w:val="auto"/>
                      <w:spacing w:val="8"/>
                      <w:sz w:val="21"/>
                      <w:szCs w:val="21"/>
                      <w:highlight w:val="none"/>
                    </w:rPr>
                    <w:t>口，建立台账，记录</w:t>
                  </w:r>
                  <w:r>
                    <w:rPr>
                      <w:rFonts w:hint="default" w:ascii="Times New Roman" w:hAnsi="Times New Roman" w:eastAsia="宋体" w:cs="Times New Roman"/>
                      <w:color w:val="auto"/>
                      <w:sz w:val="21"/>
                      <w:szCs w:val="21"/>
                      <w:highlight w:val="none"/>
                    </w:rPr>
                    <w:t>VOCs</w:t>
                  </w:r>
                  <w:r>
                    <w:rPr>
                      <w:rFonts w:hint="default" w:ascii="Times New Roman" w:hAnsi="Times New Roman" w:eastAsia="宋体" w:cs="Times New Roman"/>
                      <w:color w:val="auto"/>
                      <w:spacing w:val="8"/>
                      <w:sz w:val="21"/>
                      <w:szCs w:val="21"/>
                      <w:highlight w:val="none"/>
                    </w:rPr>
                    <w:t>产生、收集、</w:t>
                  </w:r>
                  <w:r>
                    <w:rPr>
                      <w:rFonts w:hint="default" w:ascii="Times New Roman" w:hAnsi="Times New Roman" w:eastAsia="宋体" w:cs="Times New Roman"/>
                      <w:color w:val="auto"/>
                      <w:spacing w:val="7"/>
                      <w:sz w:val="21"/>
                      <w:szCs w:val="21"/>
                      <w:highlight w:val="none"/>
                    </w:rPr>
                    <w:t>处理、排放情况。</w:t>
                  </w:r>
                </w:p>
              </w:tc>
              <w:tc>
                <w:tcPr>
                  <w:tcW w:w="2155" w:type="dxa"/>
                  <w:tcBorders>
                    <w:tl2br w:val="nil"/>
                    <w:tr2bl w:val="nil"/>
                  </w:tcBorders>
                  <w:vAlign w:val="center"/>
                </w:tcPr>
                <w:p w14:paraId="5B440967">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本项目</w:t>
                  </w:r>
                  <w:r>
                    <w:rPr>
                      <w:rFonts w:hint="default" w:ascii="Times New Roman" w:hAnsi="Times New Roman" w:eastAsia="宋体" w:cs="Times New Roman"/>
                      <w:color w:val="auto"/>
                      <w:spacing w:val="4"/>
                      <w:sz w:val="21"/>
                      <w:szCs w:val="21"/>
                      <w:highlight w:val="none"/>
                      <w:lang w:eastAsia="zh-CN"/>
                    </w:rPr>
                    <w:t>属于</w:t>
                  </w:r>
                  <w:r>
                    <w:rPr>
                      <w:rFonts w:hint="eastAsia" w:ascii="Times New Roman" w:hAnsi="Times New Roman" w:eastAsia="宋体" w:cs="Times New Roman"/>
                      <w:color w:val="auto"/>
                      <w:spacing w:val="4"/>
                      <w:sz w:val="21"/>
                      <w:szCs w:val="21"/>
                      <w:highlight w:val="none"/>
                      <w:lang w:val="en-US" w:eastAsia="zh-CN"/>
                    </w:rPr>
                    <w:t>印刷</w:t>
                  </w:r>
                  <w:r>
                    <w:rPr>
                      <w:rFonts w:hint="eastAsia" w:cs="Times New Roman"/>
                      <w:color w:val="auto"/>
                      <w:spacing w:val="4"/>
                      <w:sz w:val="21"/>
                      <w:szCs w:val="21"/>
                      <w:highlight w:val="none"/>
                      <w:lang w:val="en-US" w:eastAsia="zh-CN"/>
                    </w:rPr>
                    <w:t>及塑料制品生产项目</w:t>
                  </w:r>
                  <w:r>
                    <w:rPr>
                      <w:rFonts w:hint="default" w:ascii="Times New Roman" w:hAnsi="Times New Roman" w:eastAsia="宋体" w:cs="Times New Roman"/>
                      <w:color w:val="auto"/>
                      <w:spacing w:val="4"/>
                      <w:sz w:val="21"/>
                      <w:szCs w:val="21"/>
                      <w:highlight w:val="none"/>
                      <w:lang w:eastAsia="zh-CN"/>
                    </w:rPr>
                    <w:t>，且项目位于</w:t>
                  </w:r>
                  <w:r>
                    <w:rPr>
                      <w:rFonts w:hint="default" w:ascii="Times New Roman" w:hAnsi="Times New Roman" w:eastAsia="宋体" w:cs="Times New Roman"/>
                      <w:color w:val="auto"/>
                      <w:spacing w:val="4"/>
                      <w:sz w:val="21"/>
                      <w:szCs w:val="21"/>
                      <w:highlight w:val="none"/>
                      <w:lang w:val="en-US" w:eastAsia="zh-CN"/>
                    </w:rPr>
                    <w:t>四川大英</w:t>
                  </w:r>
                  <w:r>
                    <w:rPr>
                      <w:rFonts w:hint="default" w:ascii="Times New Roman" w:hAnsi="Times New Roman" w:eastAsia="宋体" w:cs="Times New Roman"/>
                      <w:color w:val="auto"/>
                      <w:spacing w:val="4"/>
                      <w:sz w:val="21"/>
                      <w:szCs w:val="21"/>
                      <w:highlight w:val="none"/>
                      <w:lang w:eastAsia="zh-CN"/>
                    </w:rPr>
                    <w:t>经济技术开发区内</w:t>
                  </w:r>
                  <w:r>
                    <w:rPr>
                      <w:rFonts w:hint="default" w:ascii="Times New Roman" w:hAnsi="Times New Roman" w:eastAsia="宋体" w:cs="Times New Roman"/>
                      <w:color w:val="auto"/>
                      <w:spacing w:val="4"/>
                      <w:sz w:val="21"/>
                      <w:szCs w:val="21"/>
                      <w:highlight w:val="none"/>
                    </w:rPr>
                    <w:t>。本项目</w:t>
                  </w:r>
                  <w:r>
                    <w:rPr>
                      <w:rFonts w:hint="eastAsia" w:cs="Times New Roman"/>
                      <w:color w:val="auto"/>
                      <w:spacing w:val="4"/>
                      <w:sz w:val="21"/>
                      <w:szCs w:val="21"/>
                      <w:highlight w:val="none"/>
                      <w:lang w:val="en-US" w:eastAsia="zh-CN"/>
                    </w:rPr>
                    <w:t>新增</w:t>
                  </w:r>
                  <w:r>
                    <w:rPr>
                      <w:rFonts w:hint="default" w:ascii="Times New Roman" w:hAnsi="Times New Roman" w:eastAsia="宋体" w:cs="Times New Roman"/>
                      <w:color w:val="auto"/>
                      <w:spacing w:val="4"/>
                      <w:sz w:val="21"/>
                      <w:szCs w:val="21"/>
                      <w:highlight w:val="none"/>
                      <w:lang w:eastAsia="zh-CN"/>
                    </w:rPr>
                    <w:t>的</w:t>
                  </w:r>
                  <w:r>
                    <w:rPr>
                      <w:rFonts w:hint="default" w:ascii="Times New Roman" w:hAnsi="Times New Roman" w:eastAsia="宋体" w:cs="Times New Roman"/>
                      <w:color w:val="auto"/>
                      <w:spacing w:val="4"/>
                      <w:sz w:val="21"/>
                      <w:szCs w:val="21"/>
                      <w:highlight w:val="none"/>
                    </w:rPr>
                    <w:t>VOCs排放量实行区域内等量替代或倍量削减替代</w:t>
                  </w:r>
                  <w:r>
                    <w:rPr>
                      <w:rFonts w:hint="default" w:ascii="Times New Roman" w:hAnsi="Times New Roman" w:eastAsia="宋体" w:cs="Times New Roman"/>
                      <w:color w:val="auto"/>
                      <w:spacing w:val="4"/>
                      <w:sz w:val="21"/>
                      <w:szCs w:val="21"/>
                      <w:highlight w:val="none"/>
                      <w:lang w:eastAsia="zh-CN"/>
                    </w:rPr>
                    <w:t>。</w:t>
                  </w:r>
                  <w:r>
                    <w:rPr>
                      <w:rFonts w:hint="default" w:ascii="Times New Roman" w:hAnsi="Times New Roman" w:eastAsia="宋体" w:cs="Times New Roman"/>
                      <w:color w:val="auto"/>
                      <w:spacing w:val="4"/>
                      <w:sz w:val="21"/>
                      <w:szCs w:val="21"/>
                      <w:highlight w:val="none"/>
                      <w:lang w:val="en-US" w:eastAsia="zh-CN"/>
                    </w:rPr>
                    <w:t>项目</w:t>
                  </w:r>
                  <w:r>
                    <w:rPr>
                      <w:rFonts w:hint="default" w:ascii="Times New Roman" w:hAnsi="Times New Roman" w:eastAsia="宋体" w:cs="Times New Roman"/>
                      <w:color w:val="auto"/>
                      <w:spacing w:val="4"/>
                      <w:sz w:val="21"/>
                      <w:szCs w:val="21"/>
                      <w:highlight w:val="none"/>
                    </w:rPr>
                    <w:t>产生的有机废气经集气罩</w:t>
                  </w:r>
                  <w:r>
                    <w:rPr>
                      <w:rFonts w:hint="eastAsia" w:cs="Times New Roman"/>
                      <w:color w:val="auto"/>
                      <w:spacing w:val="4"/>
                      <w:sz w:val="21"/>
                      <w:szCs w:val="21"/>
                      <w:highlight w:val="none"/>
                      <w:lang w:val="en-US" w:eastAsia="zh-CN"/>
                    </w:rPr>
                    <w:t>/密闭印刷间</w:t>
                  </w:r>
                  <w:r>
                    <w:rPr>
                      <w:rFonts w:hint="default" w:ascii="Times New Roman" w:hAnsi="Times New Roman" w:eastAsia="宋体" w:cs="Times New Roman"/>
                      <w:color w:val="auto"/>
                      <w:spacing w:val="4"/>
                      <w:sz w:val="21"/>
                      <w:szCs w:val="21"/>
                      <w:highlight w:val="none"/>
                    </w:rPr>
                    <w:t>收集后经</w:t>
                  </w:r>
                  <w:r>
                    <w:rPr>
                      <w:rFonts w:hint="default" w:ascii="Times New Roman" w:hAnsi="Times New Roman" w:eastAsia="宋体" w:cs="Times New Roman"/>
                      <w:color w:val="auto"/>
                      <w:spacing w:val="4"/>
                      <w:sz w:val="21"/>
                      <w:szCs w:val="21"/>
                      <w:highlight w:val="none"/>
                      <w:lang w:eastAsia="zh-CN"/>
                    </w:rPr>
                    <w:t>两</w:t>
                  </w:r>
                  <w:r>
                    <w:rPr>
                      <w:rFonts w:hint="default" w:ascii="Times New Roman" w:hAnsi="Times New Roman" w:eastAsia="宋体" w:cs="Times New Roman"/>
                      <w:color w:val="auto"/>
                      <w:spacing w:val="4"/>
                      <w:sz w:val="21"/>
                      <w:szCs w:val="21"/>
                      <w:highlight w:val="none"/>
                    </w:rPr>
                    <w:t>级活性炭</w:t>
                  </w:r>
                  <w:r>
                    <w:rPr>
                      <w:rFonts w:hint="default" w:ascii="Times New Roman" w:hAnsi="Times New Roman" w:eastAsia="宋体" w:cs="Times New Roman"/>
                      <w:color w:val="auto"/>
                      <w:spacing w:val="4"/>
                      <w:sz w:val="21"/>
                      <w:szCs w:val="21"/>
                      <w:highlight w:val="none"/>
                      <w:lang w:eastAsia="zh-CN"/>
                    </w:rPr>
                    <w:t>吸附装置</w:t>
                  </w:r>
                  <w:r>
                    <w:rPr>
                      <w:rFonts w:hint="default" w:ascii="Times New Roman" w:hAnsi="Times New Roman" w:eastAsia="宋体" w:cs="Times New Roman"/>
                      <w:color w:val="auto"/>
                      <w:spacing w:val="4"/>
                      <w:sz w:val="21"/>
                      <w:szCs w:val="21"/>
                      <w:highlight w:val="none"/>
                    </w:rPr>
                    <w:t>处理后</w:t>
                  </w:r>
                  <w:r>
                    <w:rPr>
                      <w:rFonts w:hint="default" w:ascii="Times New Roman" w:hAnsi="Times New Roman" w:eastAsia="宋体" w:cs="Times New Roman"/>
                      <w:color w:val="auto"/>
                      <w:spacing w:val="4"/>
                      <w:sz w:val="21"/>
                      <w:szCs w:val="21"/>
                      <w:highlight w:val="none"/>
                      <w:lang w:eastAsia="zh-CN"/>
                    </w:rPr>
                    <w:t>通过</w:t>
                  </w:r>
                  <w:r>
                    <w:rPr>
                      <w:rFonts w:hint="eastAsia" w:ascii="Times New Roman" w:hAnsi="Times New Roman" w:eastAsia="宋体" w:cs="Times New Roman"/>
                      <w:color w:val="auto"/>
                      <w:spacing w:val="4"/>
                      <w:sz w:val="21"/>
                      <w:szCs w:val="21"/>
                      <w:highlight w:val="none"/>
                      <w:lang w:val="en-US" w:eastAsia="zh-CN"/>
                    </w:rPr>
                    <w:t>15</w:t>
                  </w:r>
                  <w:r>
                    <w:rPr>
                      <w:rFonts w:hint="default" w:ascii="Times New Roman" w:hAnsi="Times New Roman" w:eastAsia="宋体" w:cs="Times New Roman"/>
                      <w:color w:val="auto"/>
                      <w:spacing w:val="4"/>
                      <w:sz w:val="21"/>
                      <w:szCs w:val="21"/>
                      <w:highlight w:val="none"/>
                      <w:lang w:val="en-US" w:eastAsia="zh-CN"/>
                    </w:rPr>
                    <w:t>m排气筒</w:t>
                  </w:r>
                  <w:r>
                    <w:rPr>
                      <w:rFonts w:hint="default" w:ascii="Times New Roman" w:hAnsi="Times New Roman" w:eastAsia="宋体" w:cs="Times New Roman"/>
                      <w:color w:val="auto"/>
                      <w:spacing w:val="4"/>
                      <w:sz w:val="21"/>
                      <w:szCs w:val="21"/>
                      <w:highlight w:val="none"/>
                    </w:rPr>
                    <w:t>排放</w:t>
                  </w:r>
                  <w:r>
                    <w:rPr>
                      <w:rFonts w:hint="default" w:ascii="Times New Roman" w:hAnsi="Times New Roman" w:eastAsia="宋体" w:cs="Times New Roman"/>
                      <w:color w:val="auto"/>
                      <w:spacing w:val="4"/>
                      <w:sz w:val="21"/>
                      <w:szCs w:val="21"/>
                      <w:highlight w:val="none"/>
                      <w:lang w:eastAsia="zh-CN"/>
                    </w:rPr>
                    <w:t>。</w:t>
                  </w:r>
                  <w:r>
                    <w:rPr>
                      <w:rFonts w:hint="default" w:ascii="Times New Roman" w:hAnsi="Times New Roman" w:eastAsia="宋体" w:cs="Times New Roman"/>
                      <w:color w:val="auto"/>
                      <w:spacing w:val="4"/>
                      <w:sz w:val="21"/>
                      <w:szCs w:val="21"/>
                      <w:highlight w:val="none"/>
                    </w:rPr>
                    <w:t>环评要求建设单位依法依规设置排放口，记录VOCs产生、收集、处理、排放情况。</w:t>
                  </w:r>
                </w:p>
              </w:tc>
              <w:tc>
                <w:tcPr>
                  <w:tcW w:w="900" w:type="dxa"/>
                  <w:tcBorders>
                    <w:tl2br w:val="nil"/>
                    <w:tr2bl w:val="nil"/>
                  </w:tcBorders>
                  <w:vAlign w:val="center"/>
                </w:tcPr>
                <w:p w14:paraId="54380E9F">
                  <w:pPr>
                    <w:pStyle w:val="9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符合</w:t>
                  </w:r>
                </w:p>
              </w:tc>
            </w:tr>
            <w:tr w14:paraId="42F974D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1612" w:type="dxa"/>
                  <w:vMerge w:val="restart"/>
                  <w:tcBorders>
                    <w:tl2br w:val="nil"/>
                    <w:tr2bl w:val="nil"/>
                  </w:tcBorders>
                  <w:vAlign w:val="center"/>
                </w:tcPr>
                <w:p w14:paraId="1D19371D">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z w:val="21"/>
                      <w:szCs w:val="21"/>
                    </w:rPr>
                    <w:t>四川省“十四五”生态环境保护规划</w:t>
                  </w:r>
                </w:p>
              </w:tc>
              <w:tc>
                <w:tcPr>
                  <w:tcW w:w="3173" w:type="dxa"/>
                  <w:tcBorders>
                    <w:tl2br w:val="nil"/>
                    <w:tr2bl w:val="nil"/>
                  </w:tcBorders>
                  <w:vAlign w:val="center"/>
                </w:tcPr>
                <w:p w14:paraId="038F7032">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9"/>
                      <w:sz w:val="21"/>
                      <w:szCs w:val="21"/>
                    </w:rPr>
                  </w:pPr>
                  <w:r>
                    <w:rPr>
                      <w:rFonts w:hint="default" w:ascii="Times New Roman" w:hAnsi="Times New Roman" w:eastAsia="宋体" w:cs="Times New Roman"/>
                      <w:color w:val="auto"/>
                      <w:sz w:val="21"/>
                      <w:szCs w:val="21"/>
                    </w:rPr>
                    <w:t>控制挥发性有机物(VOCs)排放。严格控制VOCs排放总量，新建VOCs项目应实施等量或倍量替代。</w:t>
                  </w:r>
                </w:p>
              </w:tc>
              <w:tc>
                <w:tcPr>
                  <w:tcW w:w="2155" w:type="dxa"/>
                  <w:tcBorders>
                    <w:tl2br w:val="nil"/>
                    <w:tr2bl w:val="nil"/>
                  </w:tcBorders>
                  <w:vAlign w:val="center"/>
                </w:tcPr>
                <w:p w14:paraId="0C10AE76">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本项目属于</w:t>
                  </w:r>
                  <w:r>
                    <w:rPr>
                      <w:rFonts w:hint="eastAsia" w:ascii="Times New Roman" w:hAnsi="Times New Roman" w:eastAsia="宋体" w:cs="Times New Roman"/>
                      <w:color w:val="auto"/>
                      <w:spacing w:val="4"/>
                      <w:sz w:val="21"/>
                      <w:szCs w:val="21"/>
                      <w:lang w:val="en-US" w:eastAsia="zh-CN"/>
                    </w:rPr>
                    <w:t>扩建</w:t>
                  </w:r>
                  <w:r>
                    <w:rPr>
                      <w:rFonts w:hint="default" w:ascii="Times New Roman" w:hAnsi="Times New Roman" w:eastAsia="宋体" w:cs="Times New Roman"/>
                      <w:color w:val="auto"/>
                      <w:spacing w:val="4"/>
                      <w:sz w:val="21"/>
                      <w:szCs w:val="21"/>
                    </w:rPr>
                    <w:t>项目，</w:t>
                  </w:r>
                  <w:r>
                    <w:rPr>
                      <w:rFonts w:hint="default" w:ascii="Times New Roman" w:hAnsi="Times New Roman" w:eastAsia="宋体" w:cs="Times New Roman"/>
                      <w:color w:val="auto"/>
                      <w:sz w:val="21"/>
                      <w:szCs w:val="21"/>
                    </w:rPr>
                    <w:t>严格控制VOCs排放总量</w:t>
                  </w:r>
                  <w:r>
                    <w:rPr>
                      <w:rFonts w:hint="default" w:ascii="Times New Roman" w:hAnsi="Times New Roman" w:eastAsia="宋体" w:cs="Times New Roman"/>
                      <w:color w:val="auto"/>
                      <w:spacing w:val="4"/>
                      <w:sz w:val="21"/>
                      <w:szCs w:val="21"/>
                    </w:rPr>
                    <w:t>，具体总量控制指标由当地生态环境部门核定后下发。</w:t>
                  </w:r>
                </w:p>
              </w:tc>
              <w:tc>
                <w:tcPr>
                  <w:tcW w:w="900" w:type="dxa"/>
                  <w:tcBorders>
                    <w:tl2br w:val="nil"/>
                    <w:tr2bl w:val="nil"/>
                  </w:tcBorders>
                  <w:vAlign w:val="center"/>
                </w:tcPr>
                <w:p w14:paraId="233E993C">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z w:val="21"/>
                      <w:szCs w:val="21"/>
                    </w:rPr>
                    <w:t>符合</w:t>
                  </w:r>
                </w:p>
              </w:tc>
            </w:tr>
            <w:tr w14:paraId="0EC02EB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1612" w:type="dxa"/>
                  <w:vMerge w:val="continue"/>
                  <w:tcBorders>
                    <w:tl2br w:val="nil"/>
                    <w:tr2bl w:val="nil"/>
                  </w:tcBorders>
                  <w:vAlign w:val="center"/>
                </w:tcPr>
                <w:p w14:paraId="02C946DA">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4"/>
                      <w:sz w:val="21"/>
                      <w:szCs w:val="21"/>
                    </w:rPr>
                  </w:pPr>
                </w:p>
              </w:tc>
              <w:tc>
                <w:tcPr>
                  <w:tcW w:w="3173" w:type="dxa"/>
                  <w:tcBorders>
                    <w:tl2br w:val="nil"/>
                    <w:tr2bl w:val="nil"/>
                  </w:tcBorders>
                  <w:vAlign w:val="center"/>
                </w:tcPr>
                <w:p w14:paraId="68B5542C">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z w:val="21"/>
                      <w:szCs w:val="21"/>
                      <w:highlight w:val="none"/>
                    </w:rPr>
                    <w:t>加强扬尘污染治理。完善文明施工和绿色施工管理工作制度,积极探索将建设工程施工工地扬尘排污纳入环境税范围。</w:t>
                  </w:r>
                </w:p>
              </w:tc>
              <w:tc>
                <w:tcPr>
                  <w:tcW w:w="2155" w:type="dxa"/>
                  <w:tcBorders>
                    <w:tl2br w:val="nil"/>
                    <w:tr2bl w:val="nil"/>
                  </w:tcBorders>
                  <w:vAlign w:val="center"/>
                </w:tcPr>
                <w:p w14:paraId="2CE4BEAA">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本项目</w:t>
                  </w:r>
                  <w:r>
                    <w:rPr>
                      <w:rFonts w:hint="eastAsia" w:ascii="Times New Roman" w:hAnsi="Times New Roman" w:eastAsia="宋体" w:cs="Times New Roman"/>
                      <w:color w:val="auto"/>
                      <w:spacing w:val="4"/>
                      <w:sz w:val="21"/>
                      <w:szCs w:val="21"/>
                      <w:lang w:val="en-US" w:eastAsia="zh-CN"/>
                    </w:rPr>
                    <w:t>租用</w:t>
                  </w:r>
                  <w:r>
                    <w:rPr>
                      <w:rFonts w:hint="default" w:ascii="Times New Roman" w:hAnsi="Times New Roman" w:eastAsia="宋体" w:cs="Times New Roman"/>
                      <w:color w:val="auto"/>
                      <w:spacing w:val="4"/>
                      <w:sz w:val="21"/>
                      <w:szCs w:val="21"/>
                    </w:rPr>
                    <w:t>已建</w:t>
                  </w:r>
                  <w:r>
                    <w:rPr>
                      <w:rFonts w:hint="default" w:ascii="Times New Roman" w:hAnsi="Times New Roman" w:eastAsia="宋体" w:cs="Times New Roman"/>
                      <w:color w:val="auto"/>
                      <w:spacing w:val="4"/>
                      <w:sz w:val="21"/>
                      <w:szCs w:val="21"/>
                      <w:lang w:eastAsia="zh-CN"/>
                    </w:rPr>
                    <w:t>厂房进行项目建设</w:t>
                  </w:r>
                  <w:r>
                    <w:rPr>
                      <w:rFonts w:hint="default" w:ascii="Times New Roman" w:hAnsi="Times New Roman" w:eastAsia="宋体" w:cs="Times New Roman"/>
                      <w:color w:val="auto"/>
                      <w:spacing w:val="4"/>
                      <w:sz w:val="21"/>
                      <w:szCs w:val="21"/>
                    </w:rPr>
                    <w:t>，仅对房屋进行装修和设备安装；施工过程产生的扬尘经定期洒水减少扬尘的产生，对大气环境影响较小。</w:t>
                  </w:r>
                </w:p>
              </w:tc>
              <w:tc>
                <w:tcPr>
                  <w:tcW w:w="900" w:type="dxa"/>
                  <w:tcBorders>
                    <w:tl2br w:val="nil"/>
                    <w:tr2bl w:val="nil"/>
                  </w:tcBorders>
                  <w:vAlign w:val="center"/>
                </w:tcPr>
                <w:p w14:paraId="6500598E">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z w:val="21"/>
                      <w:szCs w:val="21"/>
                    </w:rPr>
                    <w:t>符合</w:t>
                  </w:r>
                </w:p>
              </w:tc>
            </w:tr>
            <w:tr w14:paraId="460D535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1612" w:type="dxa"/>
                  <w:vMerge w:val="continue"/>
                  <w:tcBorders>
                    <w:tl2br w:val="nil"/>
                    <w:tr2bl w:val="nil"/>
                  </w:tcBorders>
                  <w:vAlign w:val="center"/>
                </w:tcPr>
                <w:p w14:paraId="26705E8E">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4"/>
                      <w:sz w:val="21"/>
                      <w:szCs w:val="21"/>
                    </w:rPr>
                  </w:pPr>
                </w:p>
              </w:tc>
              <w:tc>
                <w:tcPr>
                  <w:tcW w:w="3173" w:type="dxa"/>
                  <w:tcBorders>
                    <w:tl2br w:val="nil"/>
                    <w:tr2bl w:val="nil"/>
                  </w:tcBorders>
                  <w:vAlign w:val="center"/>
                </w:tcPr>
                <w:p w14:paraId="04B08C0D">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9"/>
                      <w:sz w:val="21"/>
                      <w:szCs w:val="21"/>
                    </w:rPr>
                  </w:pPr>
                  <w:r>
                    <w:rPr>
                      <w:rFonts w:hint="default" w:ascii="Times New Roman" w:hAnsi="Times New Roman" w:eastAsia="宋体" w:cs="Times New Roman"/>
                      <w:color w:val="auto"/>
                      <w:sz w:val="21"/>
                      <w:szCs w:val="21"/>
                    </w:rPr>
                    <w:t>落实水资源刚性约束制度。完善国家—省—市三级重点用水单位监 控名录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强化节水全过程监督</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严格控制高耗水项目建设。</w:t>
                  </w:r>
                </w:p>
              </w:tc>
              <w:tc>
                <w:tcPr>
                  <w:tcW w:w="2155" w:type="dxa"/>
                  <w:tcBorders>
                    <w:tl2br w:val="nil"/>
                    <w:tr2bl w:val="nil"/>
                  </w:tcBorders>
                  <w:vAlign w:val="center"/>
                </w:tcPr>
                <w:p w14:paraId="078555EB">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本项目不属于高耗水项目</w:t>
                  </w:r>
                </w:p>
              </w:tc>
              <w:tc>
                <w:tcPr>
                  <w:tcW w:w="900" w:type="dxa"/>
                  <w:tcBorders>
                    <w:tl2br w:val="nil"/>
                    <w:tr2bl w:val="nil"/>
                  </w:tcBorders>
                  <w:vAlign w:val="center"/>
                </w:tcPr>
                <w:p w14:paraId="762E8B14">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z w:val="21"/>
                      <w:szCs w:val="21"/>
                    </w:rPr>
                    <w:t>符合</w:t>
                  </w:r>
                </w:p>
              </w:tc>
            </w:tr>
            <w:tr w14:paraId="52E3B3D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612" w:type="dxa"/>
                  <w:vMerge w:val="continue"/>
                  <w:tcBorders>
                    <w:tl2br w:val="nil"/>
                    <w:tr2bl w:val="nil"/>
                  </w:tcBorders>
                  <w:vAlign w:val="center"/>
                </w:tcPr>
                <w:p w14:paraId="331BBAA9">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4"/>
                      <w:sz w:val="21"/>
                      <w:szCs w:val="21"/>
                    </w:rPr>
                  </w:pPr>
                </w:p>
              </w:tc>
              <w:tc>
                <w:tcPr>
                  <w:tcW w:w="3173" w:type="dxa"/>
                  <w:tcBorders>
                    <w:tl2br w:val="nil"/>
                    <w:tr2bl w:val="nil"/>
                  </w:tcBorders>
                  <w:vAlign w:val="center"/>
                </w:tcPr>
                <w:p w14:paraId="19F2AB60">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9"/>
                      <w:sz w:val="21"/>
                      <w:szCs w:val="21"/>
                    </w:rPr>
                  </w:pPr>
                  <w:r>
                    <w:rPr>
                      <w:rFonts w:hint="default" w:ascii="Times New Roman" w:hAnsi="Times New Roman" w:eastAsia="宋体" w:cs="Times New Roman"/>
                      <w:color w:val="auto"/>
                      <w:sz w:val="21"/>
                      <w:szCs w:val="21"/>
                    </w:rPr>
                    <w:t>建立固废信息清单。开展主要固体废物(危险废物)贮存场所排查,建立“一库一档”</w:t>
                  </w:r>
                </w:p>
              </w:tc>
              <w:tc>
                <w:tcPr>
                  <w:tcW w:w="2155" w:type="dxa"/>
                  <w:tcBorders>
                    <w:tl2br w:val="nil"/>
                    <w:tr2bl w:val="nil"/>
                  </w:tcBorders>
                  <w:vAlign w:val="center"/>
                </w:tcPr>
                <w:p w14:paraId="1ED5D710">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本项目</w:t>
                  </w:r>
                  <w:r>
                    <w:rPr>
                      <w:rFonts w:hint="default" w:ascii="Times New Roman" w:hAnsi="Times New Roman" w:eastAsia="宋体" w:cs="Times New Roman"/>
                      <w:color w:val="auto"/>
                      <w:spacing w:val="4"/>
                      <w:sz w:val="21"/>
                      <w:szCs w:val="21"/>
                      <w:lang w:eastAsia="zh-CN"/>
                    </w:rPr>
                    <w:t>建设</w:t>
                  </w:r>
                  <w:r>
                    <w:rPr>
                      <w:rFonts w:hint="default" w:ascii="Times New Roman" w:hAnsi="Times New Roman" w:eastAsia="宋体" w:cs="Times New Roman"/>
                      <w:color w:val="auto"/>
                      <w:spacing w:val="4"/>
                      <w:sz w:val="21"/>
                      <w:szCs w:val="21"/>
                    </w:rPr>
                    <w:t>危废暂存间，环评要求企业做好危废管理台账。</w:t>
                  </w:r>
                </w:p>
              </w:tc>
              <w:tc>
                <w:tcPr>
                  <w:tcW w:w="900" w:type="dxa"/>
                  <w:tcBorders>
                    <w:tl2br w:val="nil"/>
                    <w:tr2bl w:val="nil"/>
                  </w:tcBorders>
                  <w:vAlign w:val="center"/>
                </w:tcPr>
                <w:p w14:paraId="5499A5B7">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z w:val="21"/>
                      <w:szCs w:val="21"/>
                    </w:rPr>
                    <w:t>符合</w:t>
                  </w:r>
                </w:p>
              </w:tc>
            </w:tr>
            <w:tr w14:paraId="04C445D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612" w:type="dxa"/>
                  <w:vMerge w:val="continue"/>
                  <w:tcBorders>
                    <w:tl2br w:val="nil"/>
                    <w:tr2bl w:val="nil"/>
                  </w:tcBorders>
                  <w:vAlign w:val="top"/>
                </w:tcPr>
                <w:p w14:paraId="68905A8C">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4"/>
                      <w:sz w:val="21"/>
                      <w:szCs w:val="21"/>
                    </w:rPr>
                  </w:pPr>
                </w:p>
              </w:tc>
              <w:tc>
                <w:tcPr>
                  <w:tcW w:w="3173" w:type="dxa"/>
                  <w:tcBorders>
                    <w:tl2br w:val="nil"/>
                    <w:tr2bl w:val="nil"/>
                  </w:tcBorders>
                  <w:vAlign w:val="center"/>
                </w:tcPr>
                <w:p w14:paraId="5503CA01">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9"/>
                      <w:sz w:val="21"/>
                      <w:szCs w:val="21"/>
                    </w:rPr>
                  </w:pPr>
                  <w:r>
                    <w:rPr>
                      <w:rFonts w:hint="default" w:ascii="Times New Roman" w:hAnsi="Times New Roman" w:eastAsia="宋体" w:cs="Times New Roman"/>
                      <w:color w:val="auto"/>
                      <w:sz w:val="21"/>
                      <w:szCs w:val="21"/>
                    </w:rPr>
                    <w:t>加强危险化学品环境监管。优化高风险化学品企业布局,加快“退城入园”进度,逐步退出环境敏感区。</w:t>
                  </w:r>
                </w:p>
              </w:tc>
              <w:tc>
                <w:tcPr>
                  <w:tcW w:w="2155" w:type="dxa"/>
                  <w:tcBorders>
                    <w:tl2br w:val="nil"/>
                    <w:tr2bl w:val="nil"/>
                  </w:tcBorders>
                  <w:vAlign w:val="center"/>
                </w:tcPr>
                <w:p w14:paraId="3A988FC2">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本项目不属于高风险化学品企业，且本项目位于</w:t>
                  </w:r>
                  <w:r>
                    <w:rPr>
                      <w:rFonts w:hint="default" w:ascii="Times New Roman" w:hAnsi="Times New Roman" w:eastAsia="宋体" w:cs="Times New Roman"/>
                      <w:color w:val="auto"/>
                      <w:spacing w:val="4"/>
                      <w:sz w:val="21"/>
                      <w:szCs w:val="21"/>
                      <w:lang w:val="en-US" w:eastAsia="zh-CN"/>
                    </w:rPr>
                    <w:t>四川大英</w:t>
                  </w:r>
                  <w:r>
                    <w:rPr>
                      <w:rFonts w:hint="default" w:ascii="Times New Roman" w:hAnsi="Times New Roman" w:eastAsia="宋体" w:cs="Times New Roman"/>
                      <w:color w:val="auto"/>
                      <w:spacing w:val="4"/>
                      <w:sz w:val="21"/>
                      <w:szCs w:val="21"/>
                      <w:lang w:eastAsia="zh-CN"/>
                    </w:rPr>
                    <w:t>经济技术开发区</w:t>
                  </w:r>
                  <w:r>
                    <w:rPr>
                      <w:rFonts w:hint="default" w:ascii="Times New Roman" w:hAnsi="Times New Roman" w:eastAsia="宋体" w:cs="Times New Roman"/>
                      <w:color w:val="auto"/>
                      <w:spacing w:val="4"/>
                      <w:sz w:val="21"/>
                      <w:szCs w:val="21"/>
                    </w:rPr>
                    <w:t>。</w:t>
                  </w:r>
                </w:p>
              </w:tc>
              <w:tc>
                <w:tcPr>
                  <w:tcW w:w="900" w:type="dxa"/>
                  <w:tcBorders>
                    <w:tl2br w:val="nil"/>
                    <w:tr2bl w:val="nil"/>
                  </w:tcBorders>
                  <w:vAlign w:val="center"/>
                </w:tcPr>
                <w:p w14:paraId="6A395D95">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z w:val="21"/>
                      <w:szCs w:val="21"/>
                    </w:rPr>
                    <w:t>符合</w:t>
                  </w:r>
                </w:p>
              </w:tc>
            </w:tr>
            <w:tr w14:paraId="31ECAC1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612" w:type="dxa"/>
                  <w:tcBorders>
                    <w:tl2br w:val="nil"/>
                    <w:tr2bl w:val="nil"/>
                  </w:tcBorders>
                  <w:vAlign w:val="center"/>
                </w:tcPr>
                <w:p w14:paraId="031EA4D4">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《遂宁市“十四五”节能减排综合实施方 案 》 （ 遂 府 函〔2022〕173 号）</w:t>
                  </w:r>
                </w:p>
              </w:tc>
              <w:tc>
                <w:tcPr>
                  <w:tcW w:w="3173" w:type="dxa"/>
                  <w:tcBorders>
                    <w:tl2br w:val="nil"/>
                    <w:tr2bl w:val="nil"/>
                  </w:tcBorders>
                  <w:vAlign w:val="center"/>
                </w:tcPr>
                <w:p w14:paraId="320DFB4B">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持续推进重点区域大气污染防治</w:t>
                  </w:r>
                </w:p>
                <w:p w14:paraId="6E249773">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color w:val="auto"/>
                      <w:spacing w:val="4"/>
                      <w:sz w:val="21"/>
                      <w:szCs w:val="21"/>
                      <w:lang w:eastAsia="zh-CN"/>
                    </w:rPr>
                  </w:pPr>
                  <w:r>
                    <w:rPr>
                      <w:rFonts w:hint="default" w:ascii="Times New Roman" w:hAnsi="Times New Roman" w:eastAsia="宋体" w:cs="Times New Roman"/>
                      <w:color w:val="auto"/>
                      <w:spacing w:val="4"/>
                      <w:sz w:val="21"/>
                      <w:szCs w:val="21"/>
                    </w:rPr>
                    <w:t>攻坚行动，加大工业源、移动源、扬尘源污染整治力度。严格合理控制煤炭消费增长，抓好煤炭清洁高效利用。削减中小型燃煤锅炉、工业炉窑、民用散煤与农业用煤……稳妥有序推进大气污染防治重点区域燃料类煤气发生炉、燃煤热风炉、加热炉、热处理炉、干燥炉（窑）以及建材行业煤炭减量，实施清洁电力和天然气替代</w:t>
                  </w:r>
                  <w:r>
                    <w:rPr>
                      <w:rFonts w:hint="eastAsia" w:ascii="Times New Roman" w:hAnsi="Times New Roman" w:eastAsia="宋体" w:cs="Times New Roman"/>
                      <w:color w:val="auto"/>
                      <w:spacing w:val="4"/>
                      <w:sz w:val="21"/>
                      <w:szCs w:val="21"/>
                      <w:lang w:eastAsia="zh-CN"/>
                    </w:rPr>
                    <w:t>。</w:t>
                  </w:r>
                </w:p>
              </w:tc>
              <w:tc>
                <w:tcPr>
                  <w:tcW w:w="2155" w:type="dxa"/>
                  <w:tcBorders>
                    <w:tl2br w:val="nil"/>
                    <w:tr2bl w:val="nil"/>
                  </w:tcBorders>
                  <w:vAlign w:val="center"/>
                </w:tcPr>
                <w:p w14:paraId="093BC924">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4"/>
                      <w:sz w:val="21"/>
                      <w:szCs w:val="21"/>
                      <w:lang w:val="en-US" w:eastAsia="zh-CN"/>
                    </w:rPr>
                  </w:pPr>
                  <w:r>
                    <w:rPr>
                      <w:rFonts w:hint="eastAsia" w:cs="Times New Roman"/>
                      <w:color w:val="auto"/>
                      <w:spacing w:val="4"/>
                      <w:sz w:val="21"/>
                      <w:szCs w:val="21"/>
                      <w:highlight w:val="none"/>
                      <w:lang w:val="en-US" w:eastAsia="zh-CN"/>
                    </w:rPr>
                    <w:t>本项目不使用燃煤锅炉、工业炉窑等</w:t>
                  </w:r>
                </w:p>
              </w:tc>
              <w:tc>
                <w:tcPr>
                  <w:tcW w:w="900" w:type="dxa"/>
                  <w:tcBorders>
                    <w:tl2br w:val="nil"/>
                    <w:tr2bl w:val="nil"/>
                  </w:tcBorders>
                  <w:vAlign w:val="center"/>
                </w:tcPr>
                <w:p w14:paraId="008D06BC">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符合</w:t>
                  </w:r>
                </w:p>
              </w:tc>
            </w:tr>
            <w:tr w14:paraId="030486C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612" w:type="dxa"/>
                  <w:tcBorders>
                    <w:tl2br w:val="nil"/>
                    <w:tr2bl w:val="nil"/>
                  </w:tcBorders>
                  <w:vAlign w:val="center"/>
                </w:tcPr>
                <w:p w14:paraId="48EC8CD1">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《四川省空气质量 持续改善行动计划 实施方案》（川府 发〔2024〕15 号）</w:t>
                  </w:r>
                </w:p>
              </w:tc>
              <w:tc>
                <w:tcPr>
                  <w:tcW w:w="3173" w:type="dxa"/>
                  <w:tcBorders>
                    <w:tl2br w:val="nil"/>
                    <w:tr2bl w:val="nil"/>
                  </w:tcBorders>
                  <w:vAlign w:val="center"/>
                </w:tcPr>
                <w:p w14:paraId="7BE02AC1">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加快工业炉窑清洁化改造。重点区 域原则上不再新增燃料类煤气发生炉， 对现有燃料类煤气发生炉实行清洁能 源替代，或因地制宜采取园区（集群) 集中供气、分散使用方式；逐步淘汰固 定床间歇式煤气发生炉。新改扩建加热炉、热处理炉﹑干燥炉、熔化炉原则上 采用清洁低碳能源，安全稳妥推进使用 高污染燃料的工业炉窑改用工业余热、 电能、天然气等。</w:t>
                  </w:r>
                </w:p>
              </w:tc>
              <w:tc>
                <w:tcPr>
                  <w:tcW w:w="2155" w:type="dxa"/>
                  <w:tcBorders>
                    <w:tl2br w:val="nil"/>
                    <w:tr2bl w:val="nil"/>
                  </w:tcBorders>
                  <w:vAlign w:val="center"/>
                </w:tcPr>
                <w:p w14:paraId="7F273B55">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本项目</w:t>
                  </w:r>
                  <w:r>
                    <w:rPr>
                      <w:rFonts w:hint="eastAsia" w:ascii="Times New Roman" w:hAnsi="Times New Roman" w:eastAsia="宋体" w:cs="Times New Roman"/>
                      <w:color w:val="auto"/>
                      <w:spacing w:val="4"/>
                      <w:sz w:val="21"/>
                      <w:szCs w:val="21"/>
                      <w:lang w:val="en-US" w:eastAsia="zh-CN"/>
                    </w:rPr>
                    <w:t>属于</w:t>
                  </w:r>
                  <w:r>
                    <w:rPr>
                      <w:rFonts w:hint="eastAsia" w:cs="Times New Roman"/>
                      <w:color w:val="auto"/>
                      <w:spacing w:val="4"/>
                      <w:sz w:val="21"/>
                      <w:szCs w:val="21"/>
                      <w:lang w:val="en-US" w:eastAsia="zh-CN"/>
                    </w:rPr>
                    <w:t>印刷及塑料制品生产项目</w:t>
                  </w:r>
                  <w:r>
                    <w:rPr>
                      <w:rFonts w:hint="eastAsia" w:ascii="Times New Roman" w:hAnsi="Times New Roman" w:eastAsia="宋体" w:cs="Times New Roman"/>
                      <w:color w:val="auto"/>
                      <w:spacing w:val="4"/>
                      <w:sz w:val="21"/>
                      <w:szCs w:val="21"/>
                      <w:lang w:val="en-US" w:eastAsia="zh-CN"/>
                    </w:rPr>
                    <w:t>，不涉及工业炉窑</w:t>
                  </w:r>
                  <w:r>
                    <w:rPr>
                      <w:rFonts w:hint="default" w:ascii="Times New Roman" w:hAnsi="Times New Roman" w:eastAsia="宋体" w:cs="Times New Roman"/>
                      <w:color w:val="auto"/>
                      <w:spacing w:val="4"/>
                      <w:sz w:val="21"/>
                      <w:szCs w:val="21"/>
                    </w:rPr>
                    <w:t>。</w:t>
                  </w:r>
                </w:p>
              </w:tc>
              <w:tc>
                <w:tcPr>
                  <w:tcW w:w="900" w:type="dxa"/>
                  <w:tcBorders>
                    <w:tl2br w:val="nil"/>
                    <w:tr2bl w:val="nil"/>
                  </w:tcBorders>
                  <w:vAlign w:val="center"/>
                </w:tcPr>
                <w:p w14:paraId="2BD2895A">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符合</w:t>
                  </w:r>
                </w:p>
              </w:tc>
            </w:tr>
          </w:tbl>
          <w:p w14:paraId="2BDBDA3E">
            <w:pPr>
              <w:pStyle w:val="92"/>
              <w:keepNext w:val="0"/>
              <w:keepLines w:val="0"/>
              <w:suppressLineNumbers w:val="0"/>
              <w:spacing w:before="36" w:beforeAutospacing="0" w:after="0" w:afterAutospacing="0" w:line="360" w:lineRule="auto"/>
              <w:ind w:left="0" w:right="0"/>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与水污染防治相关规划符合性分析</w:t>
            </w:r>
          </w:p>
          <w:p w14:paraId="73FB4C5E">
            <w:pPr>
              <w:pStyle w:val="92"/>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leftChars="0" w:right="0" w:firstLine="420" w:firstLineChars="175"/>
              <w:jc w:val="both"/>
              <w:textAlignment w:val="auto"/>
              <w:rPr>
                <w:rFonts w:hint="eastAsia" w:ascii="宋体" w:hAnsi="宋体" w:eastAsia="宋体" w:cs="宋体"/>
                <w:bCs/>
                <w:iCs/>
                <w:color w:val="auto"/>
                <w:kern w:val="2"/>
                <w:sz w:val="24"/>
                <w:szCs w:val="24"/>
                <w:lang w:val="en-US" w:eastAsia="zh-CN" w:bidi="ar-SA"/>
              </w:rPr>
            </w:pPr>
            <w:r>
              <w:rPr>
                <w:rFonts w:hint="eastAsia" w:ascii="宋体" w:hAnsi="宋体" w:eastAsia="宋体" w:cs="宋体"/>
                <w:bCs/>
                <w:iCs/>
                <w:color w:val="auto"/>
                <w:kern w:val="2"/>
                <w:sz w:val="24"/>
                <w:szCs w:val="24"/>
                <w:lang w:val="en-US" w:eastAsia="zh-CN" w:bidi="ar-SA"/>
              </w:rPr>
              <w:t>本项目与水污染防治相关规划符合性分析见下表。</w:t>
            </w:r>
          </w:p>
          <w:p w14:paraId="063EEDB9">
            <w:pPr>
              <w:pStyle w:val="92"/>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0" w:firstLine="1265" w:firstLineChars="6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kern w:val="2"/>
                <w:sz w:val="21"/>
                <w:szCs w:val="21"/>
                <w:lang w:val="en-US" w:eastAsia="zh-CN" w:bidi="ar-SA"/>
              </w:rPr>
              <w:t>表1-</w:t>
            </w:r>
            <w:r>
              <w:rPr>
                <w:rFonts w:hint="eastAsia" w:ascii="Times New Roman" w:hAnsi="Times New Roman" w:eastAsia="宋体" w:cs="Times New Roman"/>
                <w:b/>
                <w:bCs/>
                <w:color w:val="auto"/>
                <w:kern w:val="2"/>
                <w:sz w:val="21"/>
                <w:szCs w:val="21"/>
                <w:lang w:val="en-US" w:eastAsia="zh-CN" w:bidi="ar-SA"/>
              </w:rPr>
              <w:t>5</w:t>
            </w:r>
            <w:r>
              <w:rPr>
                <w:rFonts w:hint="default" w:ascii="Times New Roman" w:hAnsi="Times New Roman" w:eastAsia="宋体" w:cs="Times New Roman"/>
                <w:b/>
                <w:bCs/>
                <w:color w:val="auto"/>
                <w:kern w:val="2"/>
                <w:sz w:val="21"/>
                <w:szCs w:val="21"/>
                <w:lang w:val="en-US" w:eastAsia="zh-CN" w:bidi="ar-SA"/>
              </w:rPr>
              <w:t xml:space="preserve"> 本项目与水污染防治相关政策的符合性分析</w:t>
            </w:r>
          </w:p>
          <w:tbl>
            <w:tblPr>
              <w:tblStyle w:val="86"/>
              <w:tblW w:w="7898"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789"/>
              <w:gridCol w:w="3937"/>
              <w:gridCol w:w="1373"/>
              <w:gridCol w:w="799"/>
            </w:tblGrid>
            <w:tr w14:paraId="28EA1A5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38" w:hRule="atLeast"/>
                <w:jc w:val="center"/>
              </w:trPr>
              <w:tc>
                <w:tcPr>
                  <w:tcW w:w="1789" w:type="dxa"/>
                  <w:tcBorders>
                    <w:tl2br w:val="nil"/>
                    <w:tr2bl w:val="nil"/>
                  </w:tcBorders>
                  <w:vAlign w:val="center"/>
                </w:tcPr>
                <w:p w14:paraId="38085011">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3937" w:type="dxa"/>
                  <w:tcBorders>
                    <w:tl2br w:val="nil"/>
                    <w:tr2bl w:val="nil"/>
                  </w:tcBorders>
                  <w:vAlign w:val="center"/>
                </w:tcPr>
                <w:p w14:paraId="091BAAAC">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文件相关要求</w:t>
                  </w:r>
                </w:p>
              </w:tc>
              <w:tc>
                <w:tcPr>
                  <w:tcW w:w="1373" w:type="dxa"/>
                  <w:tcBorders>
                    <w:tl2br w:val="nil"/>
                    <w:tr2bl w:val="nil"/>
                  </w:tcBorders>
                  <w:vAlign w:val="center"/>
                </w:tcPr>
                <w:p w14:paraId="2DAAB8EE">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799" w:type="dxa"/>
                  <w:tcBorders>
                    <w:tl2br w:val="nil"/>
                    <w:tr2bl w:val="nil"/>
                  </w:tcBorders>
                  <w:vAlign w:val="center"/>
                </w:tcPr>
                <w:p w14:paraId="0A024AB6">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符合性</w:t>
                  </w:r>
                </w:p>
              </w:tc>
            </w:tr>
            <w:tr w14:paraId="711ACFF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51" w:hRule="atLeast"/>
                <w:jc w:val="center"/>
              </w:trPr>
              <w:tc>
                <w:tcPr>
                  <w:tcW w:w="1789" w:type="dxa"/>
                  <w:tcBorders>
                    <w:tl2br w:val="nil"/>
                    <w:tr2bl w:val="nil"/>
                  </w:tcBorders>
                  <w:vAlign w:val="center"/>
                </w:tcPr>
                <w:p w14:paraId="15729238">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z w:val="21"/>
                      <w:szCs w:val="21"/>
                    </w:rPr>
                    <w:t>《国务院关于印发水污染防治行动计划的通知》（国发</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〔2015〕17号）</w:t>
                  </w:r>
                </w:p>
              </w:tc>
              <w:tc>
                <w:tcPr>
                  <w:tcW w:w="3937" w:type="dxa"/>
                  <w:tcBorders>
                    <w:tl2br w:val="nil"/>
                    <w:tr2bl w:val="nil"/>
                  </w:tcBorders>
                  <w:vAlign w:val="center"/>
                </w:tcPr>
                <w:p w14:paraId="035491DF">
                  <w:pPr>
                    <w:keepNext w:val="0"/>
                    <w:keepLines w:val="0"/>
                    <w:pageBreakBefore w:val="0"/>
                    <w:widowControl w:val="0"/>
                    <w:kinsoku/>
                    <w:wordWrap/>
                    <w:overflowPunct/>
                    <w:topLinePunct w:val="0"/>
                    <w:autoSpaceDE/>
                    <w:autoSpaceDN/>
                    <w:bidi w:val="0"/>
                    <w:adjustRightInd/>
                    <w:snapToGrid/>
                    <w:ind w:lef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（一）狠抓工业污染防治专项整治十大重点行</w:t>
                  </w:r>
                </w:p>
                <w:p w14:paraId="60782AA5">
                  <w:pPr>
                    <w:keepNext w:val="0"/>
                    <w:keepLines w:val="0"/>
                    <w:pageBreakBefore w:val="0"/>
                    <w:widowControl w:val="0"/>
                    <w:kinsoku/>
                    <w:wordWrap/>
                    <w:overflowPunct/>
                    <w:topLinePunct w:val="0"/>
                    <w:autoSpaceDE/>
                    <w:autoSpaceDN/>
                    <w:bidi w:val="0"/>
                    <w:adjustRightInd/>
                    <w:snapToGrid/>
                    <w:ind w:lef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业。制定造纸、焦化、氮肥、有色金属、印染、</w:t>
                  </w:r>
                </w:p>
                <w:p w14:paraId="6B10E2E5">
                  <w:pPr>
                    <w:keepNext w:val="0"/>
                    <w:keepLines w:val="0"/>
                    <w:pageBreakBefore w:val="0"/>
                    <w:widowControl w:val="0"/>
                    <w:kinsoku/>
                    <w:wordWrap/>
                    <w:overflowPunct/>
                    <w:topLinePunct w:val="0"/>
                    <w:autoSpaceDE/>
                    <w:autoSpaceDN/>
                    <w:bidi w:val="0"/>
                    <w:adjustRightInd/>
                    <w:snapToGrid/>
                    <w:ind w:lef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副食品加工、原料药制造、制革、农药、电镀等行业专项治理方案，实施清洁化改造。新建、改建、扩建上述行业建设项目实行主要污染物排放等量或减量置换。（五）调整产业结构严格环境准入。根据流域水质目标和主体功能区规划要求，明确区域环境准入条件，细化功能分区，实施差别化环境准入政策。建立水资源、水环境承载能力监测评价体系，实行承载能力监测预警，已超过承载能力的地区要实施水污染物削减方案，加快调整发展规划和产业结构。</w:t>
                  </w:r>
                </w:p>
              </w:tc>
              <w:tc>
                <w:tcPr>
                  <w:tcW w:w="1373" w:type="dxa"/>
                  <w:tcBorders>
                    <w:tl2br w:val="nil"/>
                    <w:tr2bl w:val="nil"/>
                  </w:tcBorders>
                  <w:vAlign w:val="center"/>
                </w:tcPr>
                <w:p w14:paraId="55F803EF">
                  <w:pPr>
                    <w:keepNext w:val="0"/>
                    <w:keepLines w:val="0"/>
                    <w:pageBreakBefore w:val="0"/>
                    <w:widowControl w:val="0"/>
                    <w:kinsoku/>
                    <w:wordWrap/>
                    <w:overflowPunct/>
                    <w:topLinePunct w:val="0"/>
                    <w:autoSpaceDE/>
                    <w:autoSpaceDN/>
                    <w:bidi w:val="0"/>
                    <w:adjustRightInd/>
                    <w:snapToGrid/>
                    <w:ind w:lef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本项目不属于造纸、焦化、氮肥、有色金属、印染、农副食品加工、原料药制造、制革、农药、电镀和磷化工等行业。本项目所在区域地表水环境质量现状为达标区，可容纳本项目建设。</w:t>
                  </w:r>
                </w:p>
              </w:tc>
              <w:tc>
                <w:tcPr>
                  <w:tcW w:w="799" w:type="dxa"/>
                  <w:tcBorders>
                    <w:tl2br w:val="nil"/>
                    <w:tr2bl w:val="nil"/>
                  </w:tcBorders>
                  <w:vAlign w:val="center"/>
                </w:tcPr>
                <w:p w14:paraId="31390AE4">
                  <w:pPr>
                    <w:pStyle w:val="92"/>
                    <w:keepNext w:val="0"/>
                    <w:keepLines w:val="0"/>
                    <w:pageBreakBefore w:val="0"/>
                    <w:widowControl w:val="0"/>
                    <w:kinsoku/>
                    <w:wordWrap/>
                    <w:overflowPunct/>
                    <w:topLinePunct w:val="0"/>
                    <w:autoSpaceDE/>
                    <w:autoSpaceDN/>
                    <w:bidi w:val="0"/>
                    <w:adjustRightInd/>
                    <w:snapToGrid/>
                    <w:spacing w:line="215" w:lineRule="auto"/>
                    <w:ind w:left="0"/>
                    <w:jc w:val="center"/>
                    <w:textAlignment w:val="auto"/>
                    <w:rPr>
                      <w:rFonts w:hint="default" w:ascii="Times New Roman" w:hAnsi="Times New Roman" w:eastAsia="宋体" w:cs="Times New Roman"/>
                      <w:color w:val="auto"/>
                      <w:spacing w:val="8"/>
                      <w:sz w:val="21"/>
                      <w:szCs w:val="21"/>
                      <w:lang w:eastAsia="zh-CN"/>
                    </w:rPr>
                  </w:pPr>
                  <w:r>
                    <w:rPr>
                      <w:rFonts w:hint="default" w:ascii="Times New Roman" w:hAnsi="Times New Roman" w:eastAsia="宋体" w:cs="Times New Roman"/>
                      <w:color w:val="auto"/>
                      <w:spacing w:val="8"/>
                      <w:sz w:val="21"/>
                      <w:szCs w:val="21"/>
                      <w:lang w:eastAsia="zh-CN"/>
                    </w:rPr>
                    <w:t>符合</w:t>
                  </w:r>
                </w:p>
              </w:tc>
            </w:tr>
            <w:tr w14:paraId="3512152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368" w:hRule="atLeast"/>
                <w:jc w:val="center"/>
              </w:trPr>
              <w:tc>
                <w:tcPr>
                  <w:tcW w:w="1789" w:type="dxa"/>
                  <w:tcBorders>
                    <w:tl2br w:val="nil"/>
                    <w:tr2bl w:val="nil"/>
                  </w:tcBorders>
                  <w:vAlign w:val="center"/>
                </w:tcPr>
                <w:p w14:paraId="54551DAD">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z w:val="21"/>
                      <w:szCs w:val="21"/>
                    </w:rPr>
                    <w:t>《中华人民共和国长江保护法》（2021年3月1日起施行）</w:t>
                  </w:r>
                </w:p>
              </w:tc>
              <w:tc>
                <w:tcPr>
                  <w:tcW w:w="3937" w:type="dxa"/>
                  <w:tcBorders>
                    <w:tl2br w:val="nil"/>
                    <w:tr2bl w:val="nil"/>
                  </w:tcBorders>
                  <w:vAlign w:val="center"/>
                </w:tcPr>
                <w:p w14:paraId="738501DC">
                  <w:pPr>
                    <w:keepNext w:val="0"/>
                    <w:keepLines w:val="0"/>
                    <w:pageBreakBefore w:val="0"/>
                    <w:widowControl w:val="0"/>
                    <w:kinsoku/>
                    <w:wordWrap/>
                    <w:overflowPunct/>
                    <w:topLinePunct w:val="0"/>
                    <w:autoSpaceDE/>
                    <w:autoSpaceDN/>
                    <w:bidi w:val="0"/>
                    <w:adjustRightInd/>
                    <w:snapToGrid/>
                    <w:ind w:left="0"/>
                    <w:jc w:val="both"/>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z w:val="21"/>
                      <w:szCs w:val="21"/>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1373" w:type="dxa"/>
                  <w:tcBorders>
                    <w:tl2br w:val="nil"/>
                    <w:tr2bl w:val="nil"/>
                  </w:tcBorders>
                  <w:vAlign w:val="center"/>
                </w:tcPr>
                <w:p w14:paraId="19F9FF05">
                  <w:pPr>
                    <w:keepNext w:val="0"/>
                    <w:keepLines w:val="0"/>
                    <w:pageBreakBefore w:val="0"/>
                    <w:widowControl w:val="0"/>
                    <w:kinsoku/>
                    <w:wordWrap/>
                    <w:overflowPunct/>
                    <w:topLinePunct w:val="0"/>
                    <w:autoSpaceDE/>
                    <w:autoSpaceDN/>
                    <w:bidi w:val="0"/>
                    <w:adjustRightInd/>
                    <w:snapToGrid/>
                    <w:ind w:left="0"/>
                    <w:jc w:val="both"/>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z w:val="21"/>
                      <w:szCs w:val="21"/>
                    </w:rPr>
                    <w:t>本项目不属于化工项目，不涉及尾矿库。</w:t>
                  </w:r>
                </w:p>
              </w:tc>
              <w:tc>
                <w:tcPr>
                  <w:tcW w:w="799" w:type="dxa"/>
                  <w:tcBorders>
                    <w:tl2br w:val="nil"/>
                    <w:tr2bl w:val="nil"/>
                  </w:tcBorders>
                  <w:vAlign w:val="center"/>
                </w:tcPr>
                <w:p w14:paraId="2AC4F059">
                  <w:pPr>
                    <w:pStyle w:val="92"/>
                    <w:keepNext w:val="0"/>
                    <w:keepLines w:val="0"/>
                    <w:pageBreakBefore w:val="0"/>
                    <w:widowControl w:val="0"/>
                    <w:kinsoku/>
                    <w:wordWrap/>
                    <w:overflowPunct/>
                    <w:topLinePunct w:val="0"/>
                    <w:autoSpaceDE/>
                    <w:autoSpaceDN/>
                    <w:bidi w:val="0"/>
                    <w:adjustRightInd/>
                    <w:snapToGrid/>
                    <w:spacing w:line="215" w:lineRule="auto"/>
                    <w:ind w:left="0"/>
                    <w:jc w:val="center"/>
                    <w:textAlignment w:val="auto"/>
                    <w:rPr>
                      <w:rFonts w:hint="default" w:ascii="Times New Roman" w:hAnsi="Times New Roman" w:eastAsia="宋体" w:cs="Times New Roman"/>
                      <w:color w:val="auto"/>
                      <w:spacing w:val="8"/>
                      <w:sz w:val="21"/>
                      <w:szCs w:val="21"/>
                      <w:lang w:eastAsia="zh-CN"/>
                    </w:rPr>
                  </w:pPr>
                  <w:r>
                    <w:rPr>
                      <w:rFonts w:hint="default" w:ascii="Times New Roman" w:hAnsi="Times New Roman" w:eastAsia="宋体" w:cs="Times New Roman"/>
                      <w:color w:val="auto"/>
                      <w:spacing w:val="8"/>
                      <w:sz w:val="21"/>
                      <w:szCs w:val="21"/>
                      <w:lang w:eastAsia="zh-CN"/>
                    </w:rPr>
                    <w:t>符合</w:t>
                  </w:r>
                </w:p>
              </w:tc>
            </w:tr>
            <w:tr w14:paraId="74CE613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78" w:hRule="atLeast"/>
                <w:jc w:val="center"/>
              </w:trPr>
              <w:tc>
                <w:tcPr>
                  <w:tcW w:w="1789" w:type="dxa"/>
                  <w:tcBorders>
                    <w:tl2br w:val="nil"/>
                    <w:tr2bl w:val="nil"/>
                  </w:tcBorders>
                  <w:vAlign w:val="center"/>
                </w:tcPr>
                <w:p w14:paraId="5F91A5C7">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z w:val="21"/>
                      <w:szCs w:val="21"/>
                    </w:rPr>
                    <w:t>《四川省打赢碧水保卫战实施方案》</w:t>
                  </w:r>
                </w:p>
              </w:tc>
              <w:tc>
                <w:tcPr>
                  <w:tcW w:w="3937" w:type="dxa"/>
                  <w:tcBorders>
                    <w:tl2br w:val="nil"/>
                    <w:tr2bl w:val="nil"/>
                  </w:tcBorders>
                  <w:vAlign w:val="center"/>
                </w:tcPr>
                <w:p w14:paraId="3884559E">
                  <w:pPr>
                    <w:keepNext w:val="0"/>
                    <w:keepLines w:val="0"/>
                    <w:pageBreakBefore w:val="0"/>
                    <w:widowControl w:val="0"/>
                    <w:kinsoku/>
                    <w:wordWrap/>
                    <w:overflowPunct/>
                    <w:topLinePunct w:val="0"/>
                    <w:autoSpaceDE/>
                    <w:autoSpaceDN/>
                    <w:bidi w:val="0"/>
                    <w:adjustRightInd/>
                    <w:snapToGrid/>
                    <w:ind w:lef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减少工业废水排放量。减少重点行业工业企业废水排放量。岷江、沱江流域的制浆造纸、白酒、啤酒、制革等重点行业企业要尽快进行清洁生产改造，确保单位产品基准水量达到《四川省岷江、沱江流域水污染物排放标准》。指导钢铁、印染、造纸、石油石化、化工、制革等高耗水企业废水深度处理回收利用。</w:t>
                  </w:r>
                </w:p>
                <w:p w14:paraId="237DDDE9">
                  <w:pPr>
                    <w:keepNext w:val="0"/>
                    <w:keepLines w:val="0"/>
                    <w:pageBreakBefore w:val="0"/>
                    <w:widowControl w:val="0"/>
                    <w:kinsoku/>
                    <w:wordWrap/>
                    <w:overflowPunct/>
                    <w:topLinePunct w:val="0"/>
                    <w:autoSpaceDE/>
                    <w:autoSpaceDN/>
                    <w:bidi w:val="0"/>
                    <w:adjustRightInd/>
                    <w:snapToGrid/>
                    <w:ind w:left="0"/>
                    <w:jc w:val="both"/>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z w:val="21"/>
                      <w:szCs w:val="21"/>
                    </w:rPr>
                    <w:t>②对工业循环用水大户和涉磷企业进行全面排查，建立总磷污染源数据库，实施循环水非磷配方药品替代改造，强化工业循环用水监管和总磷排放控制；从严控制新建、改建、扩建涉磷行业的项目建设，总磷超标地方执行总磷排放减量置换。</w:t>
                  </w:r>
                </w:p>
              </w:tc>
              <w:tc>
                <w:tcPr>
                  <w:tcW w:w="1373" w:type="dxa"/>
                  <w:tcBorders>
                    <w:tl2br w:val="nil"/>
                    <w:tr2bl w:val="nil"/>
                  </w:tcBorders>
                  <w:vAlign w:val="center"/>
                </w:tcPr>
                <w:p w14:paraId="5C53E5F7">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z w:val="21"/>
                      <w:szCs w:val="21"/>
                    </w:rPr>
                    <w:t>本项目不属于钢铁、印染、造纸、石油石化、化工、制革等高耗水行业。项目不属于涉磷行业，也不属于涉磷重点工业企业。</w:t>
                  </w:r>
                </w:p>
              </w:tc>
              <w:tc>
                <w:tcPr>
                  <w:tcW w:w="799" w:type="dxa"/>
                  <w:tcBorders>
                    <w:tl2br w:val="nil"/>
                    <w:tr2bl w:val="nil"/>
                  </w:tcBorders>
                  <w:vAlign w:val="center"/>
                </w:tcPr>
                <w:p w14:paraId="18EC94C1">
                  <w:pPr>
                    <w:pStyle w:val="92"/>
                    <w:keepNext w:val="0"/>
                    <w:keepLines w:val="0"/>
                    <w:pageBreakBefore w:val="0"/>
                    <w:widowControl w:val="0"/>
                    <w:kinsoku/>
                    <w:wordWrap/>
                    <w:overflowPunct/>
                    <w:topLinePunct w:val="0"/>
                    <w:autoSpaceDE/>
                    <w:autoSpaceDN/>
                    <w:bidi w:val="0"/>
                    <w:adjustRightInd/>
                    <w:snapToGrid/>
                    <w:spacing w:line="215" w:lineRule="auto"/>
                    <w:ind w:left="0"/>
                    <w:jc w:val="center"/>
                    <w:textAlignment w:val="auto"/>
                    <w:rPr>
                      <w:rFonts w:hint="default" w:ascii="Times New Roman" w:hAnsi="Times New Roman" w:eastAsia="宋体" w:cs="Times New Roman"/>
                      <w:color w:val="auto"/>
                      <w:spacing w:val="8"/>
                      <w:sz w:val="21"/>
                      <w:szCs w:val="21"/>
                      <w:lang w:eastAsia="zh-CN"/>
                    </w:rPr>
                  </w:pPr>
                  <w:r>
                    <w:rPr>
                      <w:rFonts w:hint="default" w:ascii="Times New Roman" w:hAnsi="Times New Roman" w:eastAsia="宋体" w:cs="Times New Roman"/>
                      <w:color w:val="auto"/>
                      <w:spacing w:val="8"/>
                      <w:sz w:val="21"/>
                      <w:szCs w:val="21"/>
                      <w:lang w:eastAsia="zh-CN"/>
                    </w:rPr>
                    <w:t>符合</w:t>
                  </w:r>
                </w:p>
              </w:tc>
            </w:tr>
            <w:tr w14:paraId="4A8415E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937" w:hRule="atLeast"/>
                <w:jc w:val="center"/>
              </w:trPr>
              <w:tc>
                <w:tcPr>
                  <w:tcW w:w="1789" w:type="dxa"/>
                  <w:tcBorders>
                    <w:tl2br w:val="nil"/>
                    <w:tr2bl w:val="nil"/>
                  </w:tcBorders>
                  <w:vAlign w:val="center"/>
                </w:tcPr>
                <w:p w14:paraId="1AF65B60">
                  <w:pPr>
                    <w:keepNext w:val="0"/>
                    <w:keepLines w:val="0"/>
                    <w:pageBreakBefore w:val="0"/>
                    <w:widowControl w:val="0"/>
                    <w:kinsoku/>
                    <w:wordWrap/>
                    <w:overflowPunct/>
                    <w:topLinePunct w:val="0"/>
                    <w:autoSpaceDE/>
                    <w:autoSpaceDN/>
                    <w:bidi w:val="0"/>
                    <w:adjustRightInd/>
                    <w:snapToGrid/>
                    <w:ind w:left="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《四川省人民政府关于印发水污染防治行动计划四川省</w:t>
                  </w:r>
                </w:p>
                <w:p w14:paraId="61393970">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工作方案的通知》（川府发〔2015〕59号）</w:t>
                  </w:r>
                </w:p>
              </w:tc>
              <w:tc>
                <w:tcPr>
                  <w:tcW w:w="3937" w:type="dxa"/>
                  <w:tcBorders>
                    <w:tl2br w:val="nil"/>
                    <w:tr2bl w:val="nil"/>
                  </w:tcBorders>
                  <w:vAlign w:val="center"/>
                </w:tcPr>
                <w:p w14:paraId="637DA4F5">
                  <w:pPr>
                    <w:keepNext w:val="0"/>
                    <w:keepLines w:val="0"/>
                    <w:pageBreakBefore w:val="0"/>
                    <w:widowControl w:val="0"/>
                    <w:kinsoku/>
                    <w:wordWrap/>
                    <w:overflowPunct/>
                    <w:topLinePunct w:val="0"/>
                    <w:autoSpaceDE/>
                    <w:autoSpaceDN/>
                    <w:bidi w:val="0"/>
                    <w:adjustRightInd/>
                    <w:snapToGrid/>
                    <w:ind w:left="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（一）全面控制污染物排放（1）狠抓工业污染防治；①取缔“10+1”小企业；②专项整治“10+1”重点行业；③集中治理工业集聚区水污染；</w:t>
                  </w:r>
                </w:p>
              </w:tc>
              <w:tc>
                <w:tcPr>
                  <w:tcW w:w="1373" w:type="dxa"/>
                  <w:tcBorders>
                    <w:tl2br w:val="nil"/>
                    <w:tr2bl w:val="nil"/>
                  </w:tcBorders>
                  <w:vAlign w:val="center"/>
                </w:tcPr>
                <w:p w14:paraId="79F0F588">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z w:val="21"/>
                      <w:szCs w:val="21"/>
                      <w:lang w:eastAsia="zh-CN"/>
                    </w:rPr>
                    <w:t>本项目不</w:t>
                  </w:r>
                  <w:r>
                    <w:rPr>
                      <w:rFonts w:hint="default" w:ascii="Times New Roman" w:hAnsi="Times New Roman" w:eastAsia="宋体" w:cs="Times New Roman"/>
                      <w:color w:val="auto"/>
                      <w:sz w:val="21"/>
                      <w:szCs w:val="21"/>
                    </w:rPr>
                    <w:t>属于“10+1”小企业，不属于“10+1”重点行业及工业集聚区。</w:t>
                  </w:r>
                </w:p>
              </w:tc>
              <w:tc>
                <w:tcPr>
                  <w:tcW w:w="799" w:type="dxa"/>
                  <w:tcBorders>
                    <w:tl2br w:val="nil"/>
                    <w:tr2bl w:val="nil"/>
                  </w:tcBorders>
                  <w:vAlign w:val="center"/>
                </w:tcPr>
                <w:p w14:paraId="5BA6A6C9">
                  <w:pPr>
                    <w:pStyle w:val="92"/>
                    <w:keepNext w:val="0"/>
                    <w:keepLines w:val="0"/>
                    <w:pageBreakBefore w:val="0"/>
                    <w:widowControl w:val="0"/>
                    <w:kinsoku/>
                    <w:wordWrap/>
                    <w:overflowPunct/>
                    <w:topLinePunct w:val="0"/>
                    <w:autoSpaceDE/>
                    <w:autoSpaceDN/>
                    <w:bidi w:val="0"/>
                    <w:adjustRightInd/>
                    <w:snapToGrid/>
                    <w:spacing w:line="215" w:lineRule="auto"/>
                    <w:ind w:left="0"/>
                    <w:jc w:val="center"/>
                    <w:textAlignment w:val="auto"/>
                    <w:rPr>
                      <w:rFonts w:hint="default" w:ascii="Times New Roman" w:hAnsi="Times New Roman" w:eastAsia="宋体" w:cs="Times New Roman"/>
                      <w:color w:val="auto"/>
                      <w:spacing w:val="8"/>
                      <w:sz w:val="21"/>
                      <w:szCs w:val="21"/>
                      <w:lang w:eastAsia="zh-CN"/>
                    </w:rPr>
                  </w:pPr>
                  <w:r>
                    <w:rPr>
                      <w:rFonts w:hint="default" w:ascii="Times New Roman" w:hAnsi="Times New Roman" w:eastAsia="宋体" w:cs="Times New Roman"/>
                      <w:color w:val="auto"/>
                      <w:spacing w:val="8"/>
                      <w:sz w:val="21"/>
                      <w:szCs w:val="21"/>
                      <w:lang w:eastAsia="zh-CN"/>
                    </w:rPr>
                    <w:t>符合</w:t>
                  </w:r>
                </w:p>
              </w:tc>
            </w:tr>
            <w:tr w14:paraId="7C9F80E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937" w:hRule="atLeast"/>
                <w:jc w:val="center"/>
              </w:trPr>
              <w:tc>
                <w:tcPr>
                  <w:tcW w:w="1789" w:type="dxa"/>
                  <w:tcBorders>
                    <w:tl2br w:val="nil"/>
                    <w:tr2bl w:val="nil"/>
                  </w:tcBorders>
                  <w:vAlign w:val="center"/>
                </w:tcPr>
                <w:p w14:paraId="58F88551">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《涪江流 域（遂宁 段）水环 境治理工 作方案 （试行）》（遂府函〔2017〕 155 号）</w:t>
                  </w:r>
                </w:p>
              </w:tc>
              <w:tc>
                <w:tcPr>
                  <w:tcW w:w="3937" w:type="dxa"/>
                  <w:tcBorders>
                    <w:tl2br w:val="nil"/>
                    <w:tr2bl w:val="nil"/>
                  </w:tcBorders>
                  <w:vAlign w:val="center"/>
                </w:tcPr>
                <w:p w14:paraId="068EAE05">
                  <w:pPr>
                    <w:keepNext w:val="0"/>
                    <w:keepLines w:val="0"/>
                    <w:pageBreakBefore w:val="0"/>
                    <w:widowControl w:val="0"/>
                    <w:kinsoku/>
                    <w:wordWrap/>
                    <w:overflowPunct/>
                    <w:topLinePunct w:val="0"/>
                    <w:autoSpaceDE/>
                    <w:autoSpaceDN/>
                    <w:bidi w:val="0"/>
                    <w:adjustRightInd/>
                    <w:snapToGrid/>
                    <w:ind w:left="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7．狠抓工业企业污染防治。（2）大力实施工业园区及涉水工业企业污染治理。加快推进全市工业园区污水处理设施建设，确保工业园区实现污水处理设施全覆盖到2020年底前，全市工业用水重复利用率达到70%以上</w:t>
                  </w:r>
                </w:p>
              </w:tc>
              <w:tc>
                <w:tcPr>
                  <w:tcW w:w="1373" w:type="dxa"/>
                  <w:tcBorders>
                    <w:tl2br w:val="nil"/>
                    <w:tr2bl w:val="nil"/>
                  </w:tcBorders>
                  <w:vAlign w:val="center"/>
                </w:tcPr>
                <w:p w14:paraId="5B0D3C37">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污水</w:t>
                  </w:r>
                  <w:r>
                    <w:rPr>
                      <w:rFonts w:hint="eastAsia" w:ascii="Times New Roman" w:hAnsi="Times New Roman" w:eastAsia="宋体" w:cs="Times New Roman"/>
                      <w:b w:val="0"/>
                      <w:bCs w:val="0"/>
                      <w:color w:val="auto"/>
                      <w:sz w:val="21"/>
                      <w:szCs w:val="21"/>
                      <w:highlight w:val="none"/>
                      <w:lang w:val="en-US" w:eastAsia="zh-CN"/>
                    </w:rPr>
                    <w:t>经</w:t>
                  </w:r>
                  <w:r>
                    <w:rPr>
                      <w:rFonts w:hint="default" w:ascii="Times New Roman" w:hAnsi="Times New Roman" w:eastAsia="宋体" w:cs="Times New Roman"/>
                      <w:b w:val="0"/>
                      <w:bCs w:val="0"/>
                      <w:color w:val="auto"/>
                      <w:sz w:val="21"/>
                      <w:szCs w:val="21"/>
                      <w:highlight w:val="none"/>
                      <w:lang w:val="en-US" w:eastAsia="zh-CN"/>
                    </w:rPr>
                    <w:t>预处理池处理后排入园区污水管网</w:t>
                  </w:r>
                  <w:r>
                    <w:rPr>
                      <w:rFonts w:hint="default" w:ascii="Times New Roman" w:hAnsi="Times New Roman" w:eastAsia="宋体" w:cs="Times New Roman"/>
                      <w:b w:val="0"/>
                      <w:bCs w:val="0"/>
                      <w:color w:val="auto"/>
                      <w:sz w:val="21"/>
                      <w:szCs w:val="21"/>
                      <w:highlight w:val="none"/>
                      <w:lang w:eastAsia="zh-CN"/>
                    </w:rPr>
                    <w:t>。污水管网已覆盖</w:t>
                  </w:r>
                  <w:r>
                    <w:rPr>
                      <w:rFonts w:hint="eastAsia" w:ascii="Times New Roman" w:hAnsi="Times New Roman" w:eastAsia="宋体" w:cs="Times New Roman"/>
                      <w:b w:val="0"/>
                      <w:bCs w:val="0"/>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lang w:eastAsia="zh-CN"/>
                    </w:rPr>
                    <w:t>项目区域。</w:t>
                  </w:r>
                </w:p>
              </w:tc>
              <w:tc>
                <w:tcPr>
                  <w:tcW w:w="799" w:type="dxa"/>
                  <w:tcBorders>
                    <w:tl2br w:val="nil"/>
                    <w:tr2bl w:val="nil"/>
                  </w:tcBorders>
                  <w:vAlign w:val="center"/>
                </w:tcPr>
                <w:p w14:paraId="724750FC">
                  <w:pPr>
                    <w:pStyle w:val="92"/>
                    <w:keepNext w:val="0"/>
                    <w:keepLines w:val="0"/>
                    <w:pageBreakBefore w:val="0"/>
                    <w:widowControl w:val="0"/>
                    <w:kinsoku/>
                    <w:wordWrap/>
                    <w:overflowPunct/>
                    <w:topLinePunct w:val="0"/>
                    <w:autoSpaceDE/>
                    <w:autoSpaceDN/>
                    <w:bidi w:val="0"/>
                    <w:adjustRightInd/>
                    <w:snapToGrid/>
                    <w:spacing w:line="215" w:lineRule="auto"/>
                    <w:ind w:left="0"/>
                    <w:jc w:val="center"/>
                    <w:textAlignment w:val="auto"/>
                    <w:rPr>
                      <w:rFonts w:hint="default" w:ascii="Times New Roman" w:hAnsi="Times New Roman" w:eastAsia="宋体" w:cs="Times New Roman"/>
                      <w:color w:val="auto"/>
                      <w:spacing w:val="8"/>
                      <w:sz w:val="21"/>
                      <w:szCs w:val="21"/>
                      <w:highlight w:val="none"/>
                      <w:lang w:eastAsia="zh-CN"/>
                    </w:rPr>
                  </w:pPr>
                  <w:r>
                    <w:rPr>
                      <w:rFonts w:hint="default" w:ascii="Times New Roman" w:hAnsi="Times New Roman" w:eastAsia="宋体" w:cs="Times New Roman"/>
                      <w:color w:val="auto"/>
                      <w:spacing w:val="8"/>
                      <w:sz w:val="21"/>
                      <w:szCs w:val="21"/>
                      <w:highlight w:val="none"/>
                      <w:lang w:eastAsia="zh-CN"/>
                    </w:rPr>
                    <w:t>符合</w:t>
                  </w:r>
                </w:p>
              </w:tc>
            </w:tr>
          </w:tbl>
          <w:p w14:paraId="1525447D">
            <w:pPr>
              <w:keepNext w:val="0"/>
              <w:keepLines w:val="0"/>
              <w:suppressLineNumbers w:val="0"/>
              <w:spacing w:before="0" w:beforeAutospacing="0" w:after="0" w:afterAutospacing="0" w:line="131" w:lineRule="exact"/>
              <w:ind w:left="0" w:right="0"/>
              <w:rPr>
                <w:rFonts w:hint="eastAsia" w:ascii="宋体" w:hAnsi="宋体" w:eastAsia="宋体" w:cs="宋体"/>
                <w:color w:val="auto"/>
              </w:rPr>
            </w:pPr>
          </w:p>
          <w:p w14:paraId="77687182">
            <w:pPr>
              <w:pStyle w:val="92"/>
              <w:keepNext w:val="0"/>
              <w:keepLines w:val="0"/>
              <w:suppressLineNumbers w:val="0"/>
              <w:spacing w:before="36" w:beforeAutospacing="0" w:after="0" w:afterAutospacing="0" w:line="360" w:lineRule="auto"/>
              <w:ind w:left="0" w:leftChars="0" w:right="0" w:firstLine="420" w:firstLineChars="175"/>
              <w:jc w:val="both"/>
              <w:rPr>
                <w:rFonts w:hint="default" w:ascii="Times New Roman" w:hAnsi="Times New Roman" w:eastAsia="宋体" w:cs="Times New Roman"/>
                <w:bCs/>
                <w:iCs/>
                <w:color w:val="auto"/>
                <w:kern w:val="2"/>
                <w:sz w:val="24"/>
                <w:szCs w:val="24"/>
                <w:lang w:val="en-US" w:eastAsia="zh-CN" w:bidi="ar-SA"/>
              </w:rPr>
            </w:pPr>
            <w:r>
              <w:rPr>
                <w:rFonts w:hint="default" w:ascii="Times New Roman" w:hAnsi="Times New Roman" w:eastAsia="宋体" w:cs="Times New Roman"/>
                <w:bCs/>
                <w:iCs/>
                <w:color w:val="auto"/>
                <w:kern w:val="2"/>
                <w:sz w:val="24"/>
                <w:szCs w:val="24"/>
                <w:lang w:val="en-US" w:eastAsia="zh-CN" w:bidi="ar-SA"/>
              </w:rPr>
              <w:t>综上所述，本项目符合《国务院关于印发水污染防治行动计划的通知》（国发〔2015〕17号）、《中华人民共和国长江保护法》（2021年3月1日起施行）、《四川省打赢碧水保卫战实施方案》、《四川省人民政府关于印发水污染防治行动计划四川省工作方案的通知》（川府发〔2015〕59号）《涪江流 域（遂宁 段）水环 境治理工 作方案 （试行）》 （遂府函 〔2017〕 155 号）等水污染防治相关法律政策要求。</w:t>
            </w:r>
          </w:p>
          <w:p w14:paraId="066B2B99">
            <w:pPr>
              <w:pStyle w:val="92"/>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val="0"/>
                <w:iCs/>
                <w:color w:val="auto"/>
                <w:kern w:val="2"/>
                <w:sz w:val="24"/>
                <w:szCs w:val="24"/>
                <w:lang w:val="en-US" w:eastAsia="zh-CN" w:bidi="ar-SA"/>
              </w:rPr>
            </w:pPr>
            <w:r>
              <w:rPr>
                <w:rFonts w:hint="default" w:ascii="Times New Roman" w:hAnsi="Times New Roman" w:eastAsia="宋体" w:cs="Times New Roman"/>
                <w:b/>
                <w:bCs w:val="0"/>
                <w:iCs/>
                <w:color w:val="auto"/>
                <w:kern w:val="2"/>
                <w:sz w:val="24"/>
                <w:szCs w:val="24"/>
                <w:lang w:val="en-US" w:eastAsia="zh-CN" w:bidi="ar-SA"/>
              </w:rPr>
              <w:t>5.与土壤污染防治相关政策文件符合性分析</w:t>
            </w:r>
          </w:p>
          <w:p w14:paraId="7D66D231">
            <w:pPr>
              <w:pStyle w:val="92"/>
              <w:keepNext w:val="0"/>
              <w:keepLines w:val="0"/>
              <w:suppressLineNumbers w:val="0"/>
              <w:spacing w:before="36" w:beforeAutospacing="0" w:after="0" w:afterAutospacing="0" w:line="360" w:lineRule="auto"/>
              <w:ind w:left="0" w:leftChars="0" w:right="0" w:firstLine="420" w:firstLineChars="175"/>
              <w:jc w:val="both"/>
              <w:rPr>
                <w:rFonts w:hint="eastAsia" w:ascii="宋体" w:hAnsi="宋体" w:eastAsia="宋体" w:cs="宋体"/>
                <w:bCs/>
                <w:iCs/>
                <w:color w:val="auto"/>
                <w:kern w:val="2"/>
                <w:sz w:val="24"/>
                <w:szCs w:val="24"/>
                <w:lang w:val="en-US" w:eastAsia="zh-CN" w:bidi="ar-SA"/>
              </w:rPr>
            </w:pPr>
            <w:r>
              <w:rPr>
                <w:rFonts w:hint="eastAsia" w:ascii="宋体" w:hAnsi="宋体" w:eastAsia="宋体" w:cs="宋体"/>
                <w:bCs/>
                <w:iCs/>
                <w:color w:val="auto"/>
                <w:kern w:val="2"/>
                <w:sz w:val="24"/>
                <w:szCs w:val="24"/>
                <w:lang w:val="en-US" w:eastAsia="zh-CN" w:bidi="ar-SA"/>
              </w:rPr>
              <w:t>本项目与土壤污染防治政策的符合性分析，见下表。</w:t>
            </w:r>
          </w:p>
          <w:p w14:paraId="73ECB3F1">
            <w:pPr>
              <w:pStyle w:val="92"/>
              <w:keepNext w:val="0"/>
              <w:keepLines w:val="0"/>
              <w:suppressLineNumbers w:val="0"/>
              <w:spacing w:before="36" w:beforeAutospacing="0" w:after="0" w:afterAutospacing="0" w:line="240" w:lineRule="auto"/>
              <w:ind w:left="0" w:leftChars="0" w:right="0" w:firstLine="369" w:firstLineChars="175"/>
              <w:jc w:val="center"/>
              <w:rPr>
                <w:rFonts w:hint="default" w:ascii="Times New Roman" w:hAnsi="Times New Roman" w:eastAsia="宋体" w:cs="Times New Roman"/>
                <w:b/>
                <w:bCs w:val="0"/>
                <w:iCs/>
                <w:color w:val="auto"/>
                <w:kern w:val="2"/>
                <w:sz w:val="21"/>
                <w:szCs w:val="21"/>
                <w:lang w:val="en-US" w:eastAsia="zh-CN" w:bidi="ar-SA"/>
              </w:rPr>
            </w:pPr>
            <w:r>
              <w:rPr>
                <w:rFonts w:hint="default" w:ascii="Times New Roman" w:hAnsi="Times New Roman" w:eastAsia="宋体" w:cs="Times New Roman"/>
                <w:b/>
                <w:bCs w:val="0"/>
                <w:iCs/>
                <w:color w:val="auto"/>
                <w:kern w:val="2"/>
                <w:sz w:val="21"/>
                <w:szCs w:val="21"/>
                <w:lang w:val="en-US" w:eastAsia="zh-CN" w:bidi="ar-SA"/>
              </w:rPr>
              <w:t>表1-</w:t>
            </w:r>
            <w:r>
              <w:rPr>
                <w:rFonts w:hint="eastAsia" w:ascii="Times New Roman" w:hAnsi="Times New Roman" w:eastAsia="宋体" w:cs="Times New Roman"/>
                <w:b/>
                <w:bCs w:val="0"/>
                <w:iCs/>
                <w:color w:val="auto"/>
                <w:kern w:val="2"/>
                <w:sz w:val="21"/>
                <w:szCs w:val="21"/>
                <w:lang w:val="en-US" w:eastAsia="zh-CN" w:bidi="ar-SA"/>
              </w:rPr>
              <w:t>6</w:t>
            </w:r>
            <w:r>
              <w:rPr>
                <w:rFonts w:hint="default" w:ascii="Times New Roman" w:hAnsi="Times New Roman" w:eastAsia="宋体" w:cs="Times New Roman"/>
                <w:b/>
                <w:bCs w:val="0"/>
                <w:iCs/>
                <w:color w:val="auto"/>
                <w:kern w:val="2"/>
                <w:sz w:val="21"/>
                <w:szCs w:val="21"/>
                <w:lang w:val="en-US" w:eastAsia="zh-CN" w:bidi="ar-SA"/>
              </w:rPr>
              <w:t xml:space="preserve">  本项目与土壤污染防治相关政策的符合性分析</w:t>
            </w:r>
          </w:p>
          <w:tbl>
            <w:tblPr>
              <w:tblStyle w:val="86"/>
              <w:tblpPr w:leftFromText="180" w:rightFromText="180" w:vertAnchor="text" w:horzAnchor="page" w:tblpXSpec="center" w:tblpY="65"/>
              <w:tblOverlap w:val="never"/>
              <w:tblW w:w="7758"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334"/>
              <w:gridCol w:w="3734"/>
              <w:gridCol w:w="1971"/>
              <w:gridCol w:w="719"/>
            </w:tblGrid>
            <w:tr w14:paraId="5796F13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11" w:hRule="atLeast"/>
                <w:jc w:val="center"/>
              </w:trPr>
              <w:tc>
                <w:tcPr>
                  <w:tcW w:w="1334" w:type="dxa"/>
                  <w:tcBorders>
                    <w:tl2br w:val="nil"/>
                    <w:tr2bl w:val="nil"/>
                  </w:tcBorders>
                  <w:vAlign w:val="center"/>
                </w:tcPr>
                <w:p w14:paraId="34D9EE54">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3734" w:type="dxa"/>
                  <w:tcBorders>
                    <w:tl2br w:val="nil"/>
                    <w:tr2bl w:val="nil"/>
                  </w:tcBorders>
                  <w:vAlign w:val="center"/>
                </w:tcPr>
                <w:p w14:paraId="60571CC8">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文件相关要求</w:t>
                  </w:r>
                </w:p>
              </w:tc>
              <w:tc>
                <w:tcPr>
                  <w:tcW w:w="1971" w:type="dxa"/>
                  <w:tcBorders>
                    <w:tl2br w:val="nil"/>
                    <w:tr2bl w:val="nil"/>
                  </w:tcBorders>
                  <w:vAlign w:val="center"/>
                </w:tcPr>
                <w:p w14:paraId="77193F46">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719" w:type="dxa"/>
                  <w:tcBorders>
                    <w:tl2br w:val="nil"/>
                    <w:tr2bl w:val="nil"/>
                  </w:tcBorders>
                  <w:vAlign w:val="center"/>
                </w:tcPr>
                <w:p w14:paraId="25ECA10D">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5E88ECD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364" w:hRule="atLeast"/>
                <w:jc w:val="center"/>
              </w:trPr>
              <w:tc>
                <w:tcPr>
                  <w:tcW w:w="1334" w:type="dxa"/>
                  <w:tcBorders>
                    <w:tl2br w:val="nil"/>
                    <w:tr2bl w:val="nil"/>
                  </w:tcBorders>
                  <w:vAlign w:val="center"/>
                </w:tcPr>
                <w:p w14:paraId="6A9DC9E3">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《中华人民共和国土壤污染防治法》</w:t>
                  </w:r>
                </w:p>
              </w:tc>
              <w:tc>
                <w:tcPr>
                  <w:tcW w:w="3734" w:type="dxa"/>
                  <w:tcBorders>
                    <w:tl2br w:val="nil"/>
                    <w:tr2bl w:val="nil"/>
                  </w:tcBorders>
                  <w:vAlign w:val="center"/>
                </w:tcPr>
                <w:p w14:paraId="4AE5D753">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生产、使用、贮存、运输、回收、处置、排放有毒有害物质的单位和个人，应当采取有效措施，防止有毒有害物质渗漏、流失、扬散，避免土壤受到污染。</w:t>
                  </w:r>
                </w:p>
              </w:tc>
              <w:tc>
                <w:tcPr>
                  <w:tcW w:w="1971" w:type="dxa"/>
                  <w:vMerge w:val="restart"/>
                  <w:tcBorders>
                    <w:tl2br w:val="nil"/>
                    <w:tr2bl w:val="nil"/>
                  </w:tcBorders>
                  <w:vAlign w:val="center"/>
                </w:tcPr>
                <w:p w14:paraId="590BDBCB">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本项目排放常规污染物，不排放重点污染物。</w:t>
                  </w:r>
                  <w:r>
                    <w:rPr>
                      <w:rFonts w:hint="eastAsia" w:cs="Times New Roman"/>
                      <w:color w:val="auto"/>
                      <w:sz w:val="21"/>
                      <w:szCs w:val="21"/>
                      <w:lang w:val="en-US" w:eastAsia="zh-CN"/>
                    </w:rPr>
                    <w:t>危废间、液态原料库房地面铺设2mm厚HDPE膜或等效防渗层。液态物料容器下方设置金属托盘，并设置空桶作为备用收容设施，并且设置围堰防止泄漏外溢。</w:t>
                  </w:r>
                  <w:r>
                    <w:rPr>
                      <w:rFonts w:hint="default" w:ascii="Times New Roman" w:hAnsi="Times New Roman" w:eastAsia="宋体" w:cs="Times New Roman"/>
                      <w:color w:val="auto"/>
                      <w:sz w:val="21"/>
                      <w:szCs w:val="21"/>
                    </w:rPr>
                    <w:t>不会造成污染物泄漏进入土壤环境。</w:t>
                  </w:r>
                </w:p>
              </w:tc>
              <w:tc>
                <w:tcPr>
                  <w:tcW w:w="719" w:type="dxa"/>
                  <w:tcBorders>
                    <w:tl2br w:val="nil"/>
                    <w:tr2bl w:val="nil"/>
                  </w:tcBorders>
                  <w:vAlign w:val="center"/>
                </w:tcPr>
                <w:p w14:paraId="7A4EC271">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964641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44" w:hRule="atLeast"/>
                <w:jc w:val="center"/>
              </w:trPr>
              <w:tc>
                <w:tcPr>
                  <w:tcW w:w="1334" w:type="dxa"/>
                  <w:tcBorders>
                    <w:tl2br w:val="nil"/>
                    <w:tr2bl w:val="nil"/>
                  </w:tcBorders>
                  <w:vAlign w:val="center"/>
                </w:tcPr>
                <w:p w14:paraId="431DD21E">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《土壤污染防治行动计划》（即“土十条”）</w:t>
                  </w:r>
                </w:p>
              </w:tc>
              <w:tc>
                <w:tcPr>
                  <w:tcW w:w="3734" w:type="dxa"/>
                  <w:tcBorders>
                    <w:tl2br w:val="nil"/>
                    <w:tr2bl w:val="nil"/>
                  </w:tcBorders>
                  <w:vAlign w:val="center"/>
                </w:tcPr>
                <w:p w14:paraId="17926F3A">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971" w:type="dxa"/>
                  <w:vMerge w:val="continue"/>
                  <w:tcBorders>
                    <w:tl2br w:val="nil"/>
                    <w:tr2bl w:val="nil"/>
                  </w:tcBorders>
                  <w:vAlign w:val="center"/>
                </w:tcPr>
                <w:p w14:paraId="09623187">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color w:val="auto"/>
                      <w:sz w:val="21"/>
                      <w:szCs w:val="21"/>
                    </w:rPr>
                  </w:pPr>
                </w:p>
              </w:tc>
              <w:tc>
                <w:tcPr>
                  <w:tcW w:w="719" w:type="dxa"/>
                  <w:tcBorders>
                    <w:tl2br w:val="nil"/>
                    <w:tr2bl w:val="nil"/>
                  </w:tcBorders>
                  <w:vAlign w:val="center"/>
                </w:tcPr>
                <w:p w14:paraId="35FC385F">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F506BF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735" w:hRule="atLeast"/>
                <w:jc w:val="center"/>
              </w:trPr>
              <w:tc>
                <w:tcPr>
                  <w:tcW w:w="1334" w:type="dxa"/>
                  <w:tcBorders>
                    <w:tl2br w:val="nil"/>
                    <w:tr2bl w:val="nil"/>
                  </w:tcBorders>
                  <w:vAlign w:val="center"/>
                </w:tcPr>
                <w:p w14:paraId="2C67AF60">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《四川省“十四五”土壤污染防治规划》（2022.6）</w:t>
                  </w:r>
                </w:p>
              </w:tc>
              <w:tc>
                <w:tcPr>
                  <w:tcW w:w="3734" w:type="dxa"/>
                  <w:tcBorders>
                    <w:tl2br w:val="nil"/>
                    <w:tr2bl w:val="nil"/>
                  </w:tcBorders>
                  <w:vAlign w:val="center"/>
                </w:tcPr>
                <w:p w14:paraId="2C31C491">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持续加强土壤污染源头防控，以工矿企业污染源为重点，强化重点行业企业、矿产资源开发、固体废物和化肥农药等土壤污染源头监管和重金属污染防治，防止新增土壤污染。</w:t>
                  </w:r>
                </w:p>
              </w:tc>
              <w:tc>
                <w:tcPr>
                  <w:tcW w:w="1971" w:type="dxa"/>
                  <w:vMerge w:val="continue"/>
                  <w:tcBorders>
                    <w:tl2br w:val="nil"/>
                    <w:tr2bl w:val="nil"/>
                  </w:tcBorders>
                  <w:vAlign w:val="center"/>
                </w:tcPr>
                <w:p w14:paraId="6CE605F4">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color w:val="auto"/>
                      <w:sz w:val="21"/>
                      <w:szCs w:val="21"/>
                    </w:rPr>
                  </w:pPr>
                </w:p>
              </w:tc>
              <w:tc>
                <w:tcPr>
                  <w:tcW w:w="719" w:type="dxa"/>
                  <w:tcBorders>
                    <w:tl2br w:val="nil"/>
                    <w:tr2bl w:val="nil"/>
                  </w:tcBorders>
                  <w:vAlign w:val="center"/>
                </w:tcPr>
                <w:p w14:paraId="561F898E">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47CB0EBD">
            <w:pPr>
              <w:keepNext w:val="0"/>
              <w:keepLines w:val="0"/>
              <w:suppressLineNumbers w:val="0"/>
              <w:spacing w:before="0" w:beforeAutospacing="0" w:after="0" w:afterAutospacing="0" w:line="132" w:lineRule="exact"/>
              <w:ind w:left="0" w:right="0"/>
              <w:rPr>
                <w:rFonts w:hint="eastAsia" w:ascii="Times New Roman" w:hAnsi="Times New Roman" w:eastAsia="宋体" w:cs="Times New Roman"/>
                <w:bCs/>
                <w:iCs/>
                <w:color w:val="auto"/>
                <w:kern w:val="2"/>
                <w:sz w:val="24"/>
                <w:szCs w:val="24"/>
                <w:lang w:val="en-US" w:eastAsia="zh-CN" w:bidi="ar-SA"/>
              </w:rPr>
            </w:pPr>
          </w:p>
          <w:p w14:paraId="1460EB67">
            <w:pPr>
              <w:pStyle w:val="92"/>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textAlignment w:val="auto"/>
              <w:rPr>
                <w:rFonts w:hint="eastAsia" w:ascii="Times New Roman" w:hAnsi="Times New Roman" w:eastAsia="宋体" w:cs="Times New Roman"/>
                <w:bCs/>
                <w:iCs/>
                <w:color w:val="auto"/>
                <w:kern w:val="2"/>
                <w:sz w:val="24"/>
                <w:szCs w:val="24"/>
                <w:lang w:val="en-US" w:eastAsia="zh-CN" w:bidi="ar-SA"/>
              </w:rPr>
            </w:pPr>
            <w:r>
              <w:rPr>
                <w:rFonts w:hint="eastAsia" w:ascii="Times New Roman" w:hAnsi="Times New Roman" w:eastAsia="宋体" w:cs="Times New Roman"/>
                <w:bCs/>
                <w:iCs/>
                <w:color w:val="auto"/>
                <w:kern w:val="2"/>
                <w:sz w:val="24"/>
                <w:szCs w:val="24"/>
                <w:lang w:val="en-US" w:eastAsia="zh-CN" w:bidi="ar-SA"/>
              </w:rPr>
              <w:t>综上，本项目与土壤污染防治相关文件要求相符合。</w:t>
            </w:r>
          </w:p>
          <w:p w14:paraId="08B9ADA9">
            <w:pPr>
              <w:pStyle w:val="9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val="0"/>
                <w:iCs/>
                <w:color w:val="auto"/>
                <w:kern w:val="2"/>
                <w:sz w:val="24"/>
                <w:szCs w:val="24"/>
                <w:lang w:val="en-US" w:eastAsia="zh-CN" w:bidi="ar-SA"/>
              </w:rPr>
            </w:pPr>
            <w:r>
              <w:rPr>
                <w:rFonts w:hint="default" w:ascii="Times New Roman" w:hAnsi="Times New Roman" w:eastAsia="宋体" w:cs="Times New Roman"/>
                <w:b/>
                <w:bCs w:val="0"/>
                <w:iCs/>
                <w:color w:val="auto"/>
                <w:kern w:val="2"/>
                <w:sz w:val="24"/>
                <w:szCs w:val="24"/>
                <w:lang w:val="en-US" w:eastAsia="zh-CN" w:bidi="ar-SA"/>
              </w:rPr>
              <w:t>6.与四川省、重庆市长江经济带发展负面清单符合性分析</w:t>
            </w:r>
          </w:p>
          <w:p w14:paraId="2AA74E22">
            <w:pPr>
              <w:pStyle w:val="92"/>
              <w:keepNext w:val="0"/>
              <w:keepLines w:val="0"/>
              <w:suppressLineNumbers w:val="0"/>
              <w:spacing w:before="36" w:beforeAutospacing="0" w:after="0" w:afterAutospacing="0" w:line="360" w:lineRule="auto"/>
              <w:ind w:left="0" w:leftChars="0" w:right="0" w:firstLine="420" w:firstLineChars="175"/>
              <w:jc w:val="both"/>
              <w:rPr>
                <w:rFonts w:hint="default" w:ascii="Times New Roman" w:hAnsi="Times New Roman" w:eastAsia="宋体" w:cs="Times New Roman"/>
                <w:bCs/>
                <w:iCs/>
                <w:color w:val="auto"/>
                <w:kern w:val="2"/>
                <w:sz w:val="24"/>
                <w:szCs w:val="24"/>
                <w:lang w:val="en-US" w:eastAsia="zh-CN" w:bidi="ar-SA"/>
              </w:rPr>
            </w:pPr>
            <w:r>
              <w:rPr>
                <w:rFonts w:hint="default" w:ascii="Times New Roman" w:hAnsi="Times New Roman" w:eastAsia="宋体" w:cs="Times New Roman"/>
                <w:bCs/>
                <w:iCs/>
                <w:color w:val="auto"/>
                <w:kern w:val="2"/>
                <w:sz w:val="24"/>
                <w:szCs w:val="24"/>
                <w:lang w:val="en-US" w:eastAsia="zh-CN" w:bidi="ar-SA"/>
              </w:rPr>
              <w:t>本项目与《四川省、重庆市长江经济带发展负面清单实施细则（试行，2022年版）》（川长江办〔2022〕17号）的符合性如下：</w:t>
            </w:r>
          </w:p>
          <w:p w14:paraId="30BF9A60">
            <w:pPr>
              <w:pStyle w:val="92"/>
              <w:keepNext w:val="0"/>
              <w:keepLines w:val="0"/>
              <w:suppressLineNumbers w:val="0"/>
              <w:spacing w:before="181" w:beforeAutospacing="0" w:after="0" w:afterAutospacing="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val="0"/>
                <w:iCs/>
                <w:color w:val="auto"/>
                <w:kern w:val="2"/>
                <w:sz w:val="21"/>
                <w:szCs w:val="21"/>
                <w:lang w:val="en-US" w:eastAsia="zh-CN" w:bidi="ar-SA"/>
              </w:rPr>
              <w:t>表1-</w:t>
            </w:r>
            <w:r>
              <w:rPr>
                <w:rFonts w:hint="eastAsia" w:ascii="Times New Roman" w:hAnsi="Times New Roman" w:eastAsia="宋体" w:cs="Times New Roman"/>
                <w:b/>
                <w:bCs w:val="0"/>
                <w:iCs/>
                <w:color w:val="auto"/>
                <w:kern w:val="2"/>
                <w:sz w:val="21"/>
                <w:szCs w:val="21"/>
                <w:lang w:val="en-US" w:eastAsia="zh-CN" w:bidi="ar-SA"/>
              </w:rPr>
              <w:t>7</w:t>
            </w:r>
            <w:r>
              <w:rPr>
                <w:rFonts w:hint="default" w:ascii="Times New Roman" w:hAnsi="Times New Roman" w:eastAsia="宋体" w:cs="Times New Roman"/>
                <w:b/>
                <w:bCs w:val="0"/>
                <w:iCs/>
                <w:color w:val="auto"/>
                <w:kern w:val="2"/>
                <w:sz w:val="21"/>
                <w:szCs w:val="21"/>
                <w:lang w:val="en-US" w:eastAsia="zh-CN" w:bidi="ar-SA"/>
              </w:rPr>
              <w:t xml:space="preserve"> 项目与相关规划符合性分析一览表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448"/>
              <w:gridCol w:w="2241"/>
              <w:gridCol w:w="1172"/>
            </w:tblGrid>
            <w:tr w14:paraId="2E86D4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29" w:type="pct"/>
                  <w:tcBorders>
                    <w:tl2br w:val="nil"/>
                    <w:tr2bl w:val="nil"/>
                  </w:tcBorders>
                  <w:noWrap w:val="0"/>
                  <w:vAlign w:val="center"/>
                </w:tcPr>
                <w:p w14:paraId="7B1DA7F8">
                  <w:pPr>
                    <w:adjustRightInd w:val="0"/>
                    <w:snapToGrid w:val="0"/>
                    <w:jc w:val="center"/>
                    <w:outlineLvl w:val="0"/>
                    <w:rPr>
                      <w:b/>
                      <w:bCs w:val="0"/>
                      <w:color w:val="auto"/>
                      <w:sz w:val="21"/>
                      <w:szCs w:val="21"/>
                      <w:highlight w:val="none"/>
                    </w:rPr>
                  </w:pPr>
                  <w:bookmarkStart w:id="3" w:name="_Toc12152"/>
                  <w:r>
                    <w:rPr>
                      <w:rFonts w:hint="eastAsia"/>
                      <w:b/>
                      <w:bCs w:val="0"/>
                      <w:color w:val="auto"/>
                      <w:sz w:val="21"/>
                      <w:szCs w:val="21"/>
                      <w:highlight w:val="none"/>
                    </w:rPr>
                    <w:t>川长江</w:t>
                  </w:r>
                  <w:r>
                    <w:rPr>
                      <w:rFonts w:hint="eastAsia"/>
                      <w:b/>
                      <w:bCs w:val="0"/>
                      <w:color w:val="auto"/>
                      <w:sz w:val="21"/>
                      <w:szCs w:val="21"/>
                      <w:highlight w:val="none"/>
                      <w:lang w:val="en-US" w:eastAsia="zh-CN"/>
                    </w:rPr>
                    <w:t>办</w:t>
                  </w:r>
                  <w:r>
                    <w:rPr>
                      <w:rFonts w:hint="eastAsia"/>
                      <w:b/>
                      <w:bCs w:val="0"/>
                      <w:color w:val="auto"/>
                      <w:sz w:val="21"/>
                      <w:szCs w:val="21"/>
                      <w:highlight w:val="none"/>
                    </w:rPr>
                    <w:t>[2022]17号</w:t>
                  </w:r>
                  <w:r>
                    <w:rPr>
                      <w:b/>
                      <w:bCs w:val="0"/>
                      <w:color w:val="auto"/>
                      <w:sz w:val="21"/>
                      <w:szCs w:val="21"/>
                      <w:highlight w:val="none"/>
                    </w:rPr>
                    <w:t>文件要求</w:t>
                  </w:r>
                  <w:bookmarkEnd w:id="3"/>
                </w:p>
              </w:tc>
              <w:tc>
                <w:tcPr>
                  <w:tcW w:w="1425" w:type="pct"/>
                  <w:tcBorders>
                    <w:tl2br w:val="nil"/>
                    <w:tr2bl w:val="nil"/>
                  </w:tcBorders>
                  <w:noWrap w:val="0"/>
                  <w:vAlign w:val="center"/>
                </w:tcPr>
                <w:p w14:paraId="7966E0E9">
                  <w:pPr>
                    <w:adjustRightInd w:val="0"/>
                    <w:snapToGrid w:val="0"/>
                    <w:jc w:val="center"/>
                    <w:outlineLvl w:val="0"/>
                    <w:rPr>
                      <w:b/>
                      <w:bCs w:val="0"/>
                      <w:color w:val="auto"/>
                      <w:sz w:val="21"/>
                      <w:szCs w:val="21"/>
                      <w:highlight w:val="none"/>
                    </w:rPr>
                  </w:pPr>
                  <w:bookmarkStart w:id="4" w:name="_Toc10894"/>
                  <w:r>
                    <w:rPr>
                      <w:b/>
                      <w:bCs w:val="0"/>
                      <w:color w:val="auto"/>
                      <w:sz w:val="21"/>
                      <w:szCs w:val="21"/>
                      <w:highlight w:val="none"/>
                    </w:rPr>
                    <w:t>本项目情况</w:t>
                  </w:r>
                  <w:bookmarkEnd w:id="4"/>
                </w:p>
              </w:tc>
              <w:tc>
                <w:tcPr>
                  <w:tcW w:w="745" w:type="pct"/>
                  <w:tcBorders>
                    <w:tl2br w:val="nil"/>
                    <w:tr2bl w:val="nil"/>
                  </w:tcBorders>
                  <w:noWrap w:val="0"/>
                  <w:vAlign w:val="center"/>
                </w:tcPr>
                <w:p w14:paraId="4EB8712C">
                  <w:pPr>
                    <w:adjustRightInd w:val="0"/>
                    <w:snapToGrid w:val="0"/>
                    <w:jc w:val="center"/>
                    <w:outlineLvl w:val="0"/>
                    <w:rPr>
                      <w:rFonts w:hint="default" w:eastAsia="宋体"/>
                      <w:b/>
                      <w:bCs w:val="0"/>
                      <w:color w:val="auto"/>
                      <w:sz w:val="21"/>
                      <w:szCs w:val="21"/>
                      <w:highlight w:val="none"/>
                      <w:lang w:val="en-US" w:eastAsia="zh-CN"/>
                    </w:rPr>
                  </w:pPr>
                  <w:bookmarkStart w:id="5" w:name="_Toc29530"/>
                  <w:r>
                    <w:rPr>
                      <w:rFonts w:hint="eastAsia"/>
                      <w:b/>
                      <w:bCs w:val="0"/>
                      <w:color w:val="auto"/>
                      <w:sz w:val="21"/>
                      <w:szCs w:val="21"/>
                      <w:highlight w:val="none"/>
                      <w:lang w:val="en-US" w:eastAsia="zh-CN"/>
                    </w:rPr>
                    <w:t>是否涉及</w:t>
                  </w:r>
                  <w:bookmarkEnd w:id="5"/>
                </w:p>
              </w:tc>
            </w:tr>
            <w:tr w14:paraId="56A75D0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29" w:type="pct"/>
                  <w:tcBorders>
                    <w:tl2br w:val="nil"/>
                    <w:tr2bl w:val="nil"/>
                  </w:tcBorders>
                  <w:noWrap w:val="0"/>
                  <w:vAlign w:val="center"/>
                </w:tcPr>
                <w:p w14:paraId="7D34F370">
                  <w:pPr>
                    <w:adjustRightInd w:val="0"/>
                    <w:snapToGrid w:val="0"/>
                    <w:outlineLvl w:val="0"/>
                    <w:rPr>
                      <w:color w:val="auto"/>
                      <w:sz w:val="21"/>
                      <w:szCs w:val="21"/>
                    </w:rPr>
                  </w:pPr>
                  <w:bookmarkStart w:id="6" w:name="_Toc22914"/>
                  <w:r>
                    <w:rPr>
                      <w:rFonts w:hint="eastAsia"/>
                      <w:color w:val="auto"/>
                      <w:sz w:val="21"/>
                      <w:szCs w:val="21"/>
                    </w:rPr>
                    <w:t>第九条禁止在饮用水水源准保护区的岸线和河段范围内新建、扩建对水体污染严重的建设项目，禁止改建增加排污量的建设项目。</w:t>
                  </w:r>
                  <w:bookmarkEnd w:id="6"/>
                </w:p>
              </w:tc>
              <w:tc>
                <w:tcPr>
                  <w:tcW w:w="1425" w:type="pct"/>
                  <w:vMerge w:val="restart"/>
                  <w:tcBorders>
                    <w:tl2br w:val="nil"/>
                    <w:tr2bl w:val="nil"/>
                  </w:tcBorders>
                  <w:noWrap w:val="0"/>
                  <w:vAlign w:val="center"/>
                </w:tcPr>
                <w:p w14:paraId="7D368D31">
                  <w:pPr>
                    <w:adjustRightInd w:val="0"/>
                    <w:snapToGrid w:val="0"/>
                    <w:jc w:val="center"/>
                    <w:outlineLvl w:val="0"/>
                    <w:rPr>
                      <w:rFonts w:hint="default" w:eastAsia="宋体"/>
                      <w:bCs/>
                      <w:color w:val="auto"/>
                      <w:sz w:val="21"/>
                      <w:szCs w:val="21"/>
                      <w:highlight w:val="none"/>
                      <w:lang w:val="en-US" w:eastAsia="zh-CN"/>
                    </w:rPr>
                  </w:pPr>
                  <w:bookmarkStart w:id="7" w:name="_Toc22868"/>
                  <w:r>
                    <w:rPr>
                      <w:bCs/>
                      <w:color w:val="auto"/>
                      <w:szCs w:val="21"/>
                    </w:rPr>
                    <w:t>本项目位于</w:t>
                  </w:r>
                  <w:r>
                    <w:rPr>
                      <w:rFonts w:hint="eastAsia"/>
                      <w:bCs/>
                      <w:color w:val="auto"/>
                      <w:szCs w:val="21"/>
                      <w:lang w:eastAsia="zh-CN"/>
                    </w:rPr>
                    <w:t>四川大英经济开发区</w:t>
                  </w:r>
                  <w:r>
                    <w:rPr>
                      <w:rFonts w:hint="eastAsia"/>
                      <w:bCs/>
                      <w:color w:val="auto"/>
                      <w:szCs w:val="21"/>
                    </w:rPr>
                    <w:t>，为</w:t>
                  </w:r>
                  <w:r>
                    <w:rPr>
                      <w:rFonts w:hint="eastAsia"/>
                      <w:bCs/>
                      <w:color w:val="auto"/>
                      <w:szCs w:val="21"/>
                      <w:lang w:val="en-US" w:eastAsia="zh-CN"/>
                    </w:rPr>
                    <w:t>印刷和塑料制品生产项目、不</w:t>
                  </w:r>
                  <w:r>
                    <w:rPr>
                      <w:rFonts w:hint="eastAsia"/>
                      <w:bCs/>
                      <w:color w:val="auto"/>
                      <w:szCs w:val="21"/>
                    </w:rPr>
                    <w:t>在饮用水水源准保护区的岸线和河段范围内。项目产品不属于落后产能和过剩产能。项目工艺技术路线上在物耗、能耗属于国内先进水平。</w:t>
                  </w:r>
                  <w:bookmarkEnd w:id="7"/>
                </w:p>
              </w:tc>
              <w:tc>
                <w:tcPr>
                  <w:tcW w:w="745" w:type="pct"/>
                  <w:tcBorders>
                    <w:tl2br w:val="nil"/>
                    <w:tr2bl w:val="nil"/>
                  </w:tcBorders>
                  <w:noWrap w:val="0"/>
                  <w:vAlign w:val="center"/>
                </w:tcPr>
                <w:p w14:paraId="41D308D8">
                  <w:pPr>
                    <w:adjustRightInd w:val="0"/>
                    <w:snapToGrid w:val="0"/>
                    <w:jc w:val="center"/>
                    <w:outlineLvl w:val="0"/>
                    <w:rPr>
                      <w:rFonts w:hint="eastAsia" w:eastAsia="宋体"/>
                      <w:bCs/>
                      <w:color w:val="auto"/>
                      <w:sz w:val="21"/>
                      <w:szCs w:val="21"/>
                      <w:highlight w:val="none"/>
                      <w:lang w:eastAsia="zh-CN"/>
                    </w:rPr>
                  </w:pPr>
                  <w:bookmarkStart w:id="8" w:name="_Toc10030"/>
                  <w:r>
                    <w:rPr>
                      <w:rFonts w:hint="eastAsia"/>
                      <w:bCs/>
                      <w:color w:val="auto"/>
                      <w:sz w:val="21"/>
                      <w:szCs w:val="21"/>
                      <w:highlight w:val="none"/>
                      <w:lang w:val="en-US" w:eastAsia="zh-CN"/>
                    </w:rPr>
                    <w:t>不涉及</w:t>
                  </w:r>
                  <w:bookmarkEnd w:id="8"/>
                </w:p>
              </w:tc>
            </w:tr>
            <w:tr w14:paraId="73E068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29" w:type="pct"/>
                  <w:tcBorders>
                    <w:tl2br w:val="nil"/>
                    <w:tr2bl w:val="nil"/>
                  </w:tcBorders>
                  <w:noWrap w:val="0"/>
                  <w:vAlign w:val="center"/>
                </w:tcPr>
                <w:p w14:paraId="4741B824">
                  <w:pPr>
                    <w:adjustRightInd w:val="0"/>
                    <w:snapToGrid w:val="0"/>
                    <w:outlineLvl w:val="0"/>
                    <w:rPr>
                      <w:rFonts w:hint="eastAsia"/>
                      <w:bCs/>
                      <w:color w:val="auto"/>
                      <w:sz w:val="21"/>
                      <w:szCs w:val="21"/>
                      <w:highlight w:val="none"/>
                    </w:rPr>
                  </w:pPr>
                  <w:bookmarkStart w:id="9" w:name="_Toc26917"/>
                  <w:r>
                    <w:rPr>
                      <w:rFonts w:hint="eastAsia"/>
                      <w:bCs/>
                      <w:color w:val="auto"/>
                      <w:sz w:val="21"/>
                      <w:szCs w:val="21"/>
                      <w:highlight w:val="none"/>
                    </w:rPr>
                    <w:t>第十条饮用水水源二级保护区的岸线和河段范围内，除遵守准保护区规定外，禁止新建、改建、扩建排放污染物的投资建设项目</w:t>
                  </w:r>
                  <w:r>
                    <w:rPr>
                      <w:rFonts w:hint="eastAsia"/>
                      <w:bCs/>
                      <w:color w:val="auto"/>
                      <w:sz w:val="21"/>
                      <w:szCs w:val="21"/>
                      <w:highlight w:val="none"/>
                      <w:lang w:eastAsia="zh-CN"/>
                    </w:rPr>
                    <w:t>；</w:t>
                  </w:r>
                  <w:r>
                    <w:rPr>
                      <w:rFonts w:hint="eastAsia"/>
                      <w:bCs/>
                      <w:color w:val="auto"/>
                      <w:sz w:val="21"/>
                      <w:szCs w:val="21"/>
                      <w:highlight w:val="none"/>
                    </w:rPr>
                    <w:t>禁止从事对水体有污染的水产养殖等活动。</w:t>
                  </w:r>
                  <w:bookmarkEnd w:id="9"/>
                </w:p>
              </w:tc>
              <w:tc>
                <w:tcPr>
                  <w:tcW w:w="1425" w:type="pct"/>
                  <w:vMerge w:val="continue"/>
                  <w:tcBorders>
                    <w:tl2br w:val="nil"/>
                    <w:tr2bl w:val="nil"/>
                  </w:tcBorders>
                  <w:noWrap w:val="0"/>
                  <w:vAlign w:val="center"/>
                </w:tcPr>
                <w:p w14:paraId="24270E92">
                  <w:pPr>
                    <w:adjustRightInd w:val="0"/>
                    <w:snapToGrid w:val="0"/>
                    <w:jc w:val="center"/>
                    <w:outlineLvl w:val="0"/>
                    <w:rPr>
                      <w:bCs/>
                      <w:color w:val="auto"/>
                      <w:sz w:val="21"/>
                      <w:szCs w:val="21"/>
                      <w:highlight w:val="none"/>
                    </w:rPr>
                  </w:pPr>
                </w:p>
              </w:tc>
              <w:tc>
                <w:tcPr>
                  <w:tcW w:w="745" w:type="pct"/>
                  <w:tcBorders>
                    <w:tl2br w:val="nil"/>
                    <w:tr2bl w:val="nil"/>
                  </w:tcBorders>
                  <w:noWrap w:val="0"/>
                  <w:vAlign w:val="center"/>
                </w:tcPr>
                <w:p w14:paraId="4C64E5C6">
                  <w:pPr>
                    <w:adjustRightInd w:val="0"/>
                    <w:snapToGrid w:val="0"/>
                    <w:jc w:val="center"/>
                    <w:outlineLvl w:val="0"/>
                    <w:rPr>
                      <w:rFonts w:hint="default" w:eastAsia="宋体"/>
                      <w:bCs/>
                      <w:color w:val="auto"/>
                      <w:sz w:val="21"/>
                      <w:szCs w:val="21"/>
                      <w:highlight w:val="none"/>
                      <w:lang w:val="en-US" w:eastAsia="zh-CN"/>
                    </w:rPr>
                  </w:pPr>
                  <w:bookmarkStart w:id="10" w:name="_Toc9821"/>
                  <w:r>
                    <w:rPr>
                      <w:rFonts w:hint="eastAsia"/>
                      <w:bCs/>
                      <w:color w:val="auto"/>
                      <w:sz w:val="21"/>
                      <w:szCs w:val="21"/>
                      <w:highlight w:val="none"/>
                      <w:lang w:val="en-US" w:eastAsia="zh-CN"/>
                    </w:rPr>
                    <w:t>不涉及</w:t>
                  </w:r>
                  <w:bookmarkEnd w:id="10"/>
                </w:p>
              </w:tc>
            </w:tr>
            <w:tr w14:paraId="7FE5E4E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29" w:type="pct"/>
                  <w:tcBorders>
                    <w:tl2br w:val="nil"/>
                    <w:tr2bl w:val="nil"/>
                  </w:tcBorders>
                  <w:noWrap w:val="0"/>
                  <w:vAlign w:val="center"/>
                </w:tcPr>
                <w:p w14:paraId="6CAB76C1">
                  <w:pPr>
                    <w:adjustRightInd w:val="0"/>
                    <w:snapToGrid w:val="0"/>
                    <w:outlineLvl w:val="0"/>
                    <w:rPr>
                      <w:rFonts w:hint="eastAsia"/>
                      <w:bCs/>
                      <w:color w:val="auto"/>
                      <w:sz w:val="21"/>
                      <w:szCs w:val="21"/>
                      <w:highlight w:val="none"/>
                    </w:rPr>
                  </w:pPr>
                  <w:bookmarkStart w:id="11" w:name="_Toc5194"/>
                  <w:r>
                    <w:rPr>
                      <w:rFonts w:hint="eastAsia"/>
                      <w:bCs/>
                      <w:color w:val="auto"/>
                      <w:sz w:val="21"/>
                      <w:szCs w:val="21"/>
                      <w:highlight w:val="none"/>
                    </w:rPr>
                    <w:t>第十八条禁止在长江干支流、重要湖泊岸线一公里范围内新建、扩建化工园区和化工项目。</w:t>
                  </w:r>
                  <w:bookmarkEnd w:id="11"/>
                </w:p>
              </w:tc>
              <w:tc>
                <w:tcPr>
                  <w:tcW w:w="1425" w:type="pct"/>
                  <w:vMerge w:val="continue"/>
                  <w:tcBorders>
                    <w:tl2br w:val="nil"/>
                    <w:tr2bl w:val="nil"/>
                  </w:tcBorders>
                  <w:noWrap w:val="0"/>
                  <w:vAlign w:val="center"/>
                </w:tcPr>
                <w:p w14:paraId="5EF0E3FB">
                  <w:pPr>
                    <w:adjustRightInd w:val="0"/>
                    <w:snapToGrid w:val="0"/>
                    <w:jc w:val="center"/>
                    <w:outlineLvl w:val="0"/>
                    <w:rPr>
                      <w:bCs/>
                      <w:color w:val="auto"/>
                      <w:sz w:val="21"/>
                      <w:szCs w:val="21"/>
                      <w:highlight w:val="none"/>
                    </w:rPr>
                  </w:pPr>
                </w:p>
              </w:tc>
              <w:tc>
                <w:tcPr>
                  <w:tcW w:w="745" w:type="pct"/>
                  <w:tcBorders>
                    <w:tl2br w:val="nil"/>
                    <w:tr2bl w:val="nil"/>
                  </w:tcBorders>
                  <w:noWrap w:val="0"/>
                  <w:vAlign w:val="center"/>
                </w:tcPr>
                <w:p w14:paraId="2835E092">
                  <w:pPr>
                    <w:adjustRightInd w:val="0"/>
                    <w:snapToGrid w:val="0"/>
                    <w:jc w:val="center"/>
                    <w:outlineLvl w:val="0"/>
                    <w:rPr>
                      <w:bCs/>
                      <w:color w:val="auto"/>
                      <w:sz w:val="21"/>
                      <w:szCs w:val="21"/>
                      <w:highlight w:val="none"/>
                    </w:rPr>
                  </w:pPr>
                  <w:bookmarkStart w:id="12" w:name="_Toc3321"/>
                  <w:r>
                    <w:rPr>
                      <w:rFonts w:hint="eastAsia"/>
                      <w:bCs/>
                      <w:color w:val="auto"/>
                      <w:sz w:val="21"/>
                      <w:szCs w:val="21"/>
                      <w:highlight w:val="none"/>
                      <w:lang w:val="en-US" w:eastAsia="zh-CN"/>
                    </w:rPr>
                    <w:t>不涉及</w:t>
                  </w:r>
                  <w:bookmarkEnd w:id="12"/>
                </w:p>
              </w:tc>
            </w:tr>
            <w:tr w14:paraId="6BF0398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jc w:val="center"/>
              </w:trPr>
              <w:tc>
                <w:tcPr>
                  <w:tcW w:w="2829" w:type="pct"/>
                  <w:tcBorders>
                    <w:tl2br w:val="nil"/>
                    <w:tr2bl w:val="nil"/>
                  </w:tcBorders>
                  <w:noWrap w:val="0"/>
                  <w:vAlign w:val="center"/>
                </w:tcPr>
                <w:p w14:paraId="7517AF48">
                  <w:pPr>
                    <w:adjustRightInd w:val="0"/>
                    <w:snapToGrid w:val="0"/>
                    <w:outlineLvl w:val="0"/>
                    <w:rPr>
                      <w:rFonts w:hint="eastAsia"/>
                      <w:bCs/>
                      <w:color w:val="auto"/>
                      <w:sz w:val="21"/>
                      <w:szCs w:val="21"/>
                      <w:highlight w:val="none"/>
                    </w:rPr>
                  </w:pPr>
                  <w:bookmarkStart w:id="13" w:name="_Toc502"/>
                  <w:r>
                    <w:rPr>
                      <w:rFonts w:hint="eastAsia"/>
                      <w:bCs/>
                      <w:color w:val="auto"/>
                      <w:sz w:val="21"/>
                      <w:szCs w:val="21"/>
                      <w:highlight w:val="none"/>
                    </w:rPr>
                    <w:t>第十九条﹑禁止在长江干流岸线三公里范围内和重要支流岸线一公里范围内新建、改建、扩建尾矿库、冶炼渣库、磷石膏库，以提升安全、生态环境保护水平为目的的改建除外。</w:t>
                  </w:r>
                  <w:bookmarkEnd w:id="13"/>
                </w:p>
              </w:tc>
              <w:tc>
                <w:tcPr>
                  <w:tcW w:w="1425" w:type="pct"/>
                  <w:vMerge w:val="continue"/>
                  <w:tcBorders>
                    <w:tl2br w:val="nil"/>
                    <w:tr2bl w:val="nil"/>
                  </w:tcBorders>
                  <w:noWrap w:val="0"/>
                  <w:vAlign w:val="center"/>
                </w:tcPr>
                <w:p w14:paraId="046C72F5">
                  <w:pPr>
                    <w:adjustRightInd w:val="0"/>
                    <w:snapToGrid w:val="0"/>
                    <w:jc w:val="center"/>
                    <w:outlineLvl w:val="0"/>
                    <w:rPr>
                      <w:rFonts w:hint="default" w:eastAsia="宋体"/>
                      <w:bCs/>
                      <w:color w:val="auto"/>
                      <w:sz w:val="21"/>
                      <w:szCs w:val="21"/>
                      <w:highlight w:val="none"/>
                      <w:lang w:val="en-US" w:eastAsia="zh-CN"/>
                    </w:rPr>
                  </w:pPr>
                </w:p>
              </w:tc>
              <w:tc>
                <w:tcPr>
                  <w:tcW w:w="745" w:type="pct"/>
                  <w:tcBorders>
                    <w:tl2br w:val="nil"/>
                    <w:tr2bl w:val="nil"/>
                  </w:tcBorders>
                  <w:noWrap w:val="0"/>
                  <w:vAlign w:val="center"/>
                </w:tcPr>
                <w:p w14:paraId="6CDA0C2C">
                  <w:pPr>
                    <w:adjustRightInd w:val="0"/>
                    <w:snapToGrid w:val="0"/>
                    <w:jc w:val="center"/>
                    <w:outlineLvl w:val="0"/>
                    <w:rPr>
                      <w:bCs/>
                      <w:color w:val="auto"/>
                      <w:sz w:val="21"/>
                      <w:szCs w:val="21"/>
                      <w:highlight w:val="none"/>
                    </w:rPr>
                  </w:pPr>
                  <w:bookmarkStart w:id="14" w:name="_Toc21134"/>
                  <w:r>
                    <w:rPr>
                      <w:rFonts w:hint="eastAsia"/>
                      <w:bCs/>
                      <w:color w:val="auto"/>
                      <w:sz w:val="21"/>
                      <w:szCs w:val="21"/>
                      <w:highlight w:val="none"/>
                      <w:lang w:val="en-US" w:eastAsia="zh-CN"/>
                    </w:rPr>
                    <w:t>不涉及</w:t>
                  </w:r>
                  <w:bookmarkEnd w:id="14"/>
                </w:p>
              </w:tc>
            </w:tr>
            <w:tr w14:paraId="06FD64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29" w:type="pct"/>
                  <w:tcBorders>
                    <w:tl2br w:val="nil"/>
                    <w:tr2bl w:val="nil"/>
                  </w:tcBorders>
                  <w:noWrap w:val="0"/>
                  <w:vAlign w:val="center"/>
                </w:tcPr>
                <w:p w14:paraId="704EC9F7">
                  <w:pPr>
                    <w:adjustRightInd w:val="0"/>
                    <w:snapToGrid w:val="0"/>
                    <w:jc w:val="left"/>
                    <w:outlineLvl w:val="0"/>
                    <w:rPr>
                      <w:bCs/>
                      <w:color w:val="auto"/>
                      <w:sz w:val="21"/>
                      <w:szCs w:val="21"/>
                      <w:highlight w:val="none"/>
                    </w:rPr>
                  </w:pPr>
                  <w:bookmarkStart w:id="15" w:name="_Toc11278"/>
                  <w:r>
                    <w:rPr>
                      <w:rFonts w:hint="eastAsia"/>
                      <w:bCs/>
                      <w:color w:val="auto"/>
                      <w:sz w:val="21"/>
                      <w:szCs w:val="21"/>
                      <w:highlight w:val="none"/>
                    </w:rPr>
                    <w:t>第二十条禁止在生态保护红线区域、永久基本农田集中区域和其他需要特别保护的区域内选址建设尾矿库﹑冶炼渣库、磷石膏库。</w:t>
                  </w:r>
                  <w:bookmarkEnd w:id="15"/>
                </w:p>
              </w:tc>
              <w:tc>
                <w:tcPr>
                  <w:tcW w:w="1425" w:type="pct"/>
                  <w:vMerge w:val="continue"/>
                  <w:tcBorders>
                    <w:tl2br w:val="nil"/>
                    <w:tr2bl w:val="nil"/>
                  </w:tcBorders>
                  <w:noWrap w:val="0"/>
                  <w:vAlign w:val="center"/>
                </w:tcPr>
                <w:p w14:paraId="0CE8FD3D">
                  <w:pPr>
                    <w:adjustRightInd w:val="0"/>
                    <w:snapToGrid w:val="0"/>
                    <w:jc w:val="center"/>
                    <w:outlineLvl w:val="0"/>
                    <w:rPr>
                      <w:rFonts w:hint="default" w:eastAsia="宋体"/>
                      <w:bCs/>
                      <w:color w:val="auto"/>
                      <w:sz w:val="21"/>
                      <w:szCs w:val="21"/>
                      <w:highlight w:val="none"/>
                      <w:lang w:val="en-US" w:eastAsia="zh-CN"/>
                    </w:rPr>
                  </w:pPr>
                </w:p>
              </w:tc>
              <w:tc>
                <w:tcPr>
                  <w:tcW w:w="745" w:type="pct"/>
                  <w:tcBorders>
                    <w:tl2br w:val="nil"/>
                    <w:tr2bl w:val="nil"/>
                  </w:tcBorders>
                  <w:noWrap w:val="0"/>
                  <w:vAlign w:val="center"/>
                </w:tcPr>
                <w:p w14:paraId="7FF9A40B">
                  <w:pPr>
                    <w:adjustRightInd w:val="0"/>
                    <w:snapToGrid w:val="0"/>
                    <w:jc w:val="center"/>
                    <w:outlineLvl w:val="0"/>
                    <w:rPr>
                      <w:bCs/>
                      <w:color w:val="auto"/>
                      <w:sz w:val="21"/>
                      <w:szCs w:val="21"/>
                      <w:highlight w:val="none"/>
                    </w:rPr>
                  </w:pPr>
                  <w:bookmarkStart w:id="16" w:name="_Toc28650"/>
                  <w:r>
                    <w:rPr>
                      <w:rFonts w:hint="eastAsia"/>
                      <w:bCs/>
                      <w:color w:val="auto"/>
                      <w:sz w:val="21"/>
                      <w:szCs w:val="21"/>
                      <w:highlight w:val="none"/>
                      <w:lang w:val="en-US" w:eastAsia="zh-CN"/>
                    </w:rPr>
                    <w:t>不涉及</w:t>
                  </w:r>
                  <w:bookmarkEnd w:id="16"/>
                </w:p>
              </w:tc>
            </w:tr>
            <w:tr w14:paraId="047891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29" w:type="pct"/>
                  <w:tcBorders>
                    <w:tl2br w:val="nil"/>
                    <w:tr2bl w:val="nil"/>
                  </w:tcBorders>
                  <w:noWrap w:val="0"/>
                  <w:vAlign w:val="center"/>
                </w:tcPr>
                <w:p w14:paraId="3FCF70F9">
                  <w:pPr>
                    <w:adjustRightInd w:val="0"/>
                    <w:snapToGrid w:val="0"/>
                    <w:jc w:val="left"/>
                    <w:outlineLvl w:val="0"/>
                    <w:rPr>
                      <w:rFonts w:hint="eastAsia"/>
                      <w:bCs/>
                      <w:color w:val="auto"/>
                      <w:sz w:val="21"/>
                      <w:szCs w:val="21"/>
                      <w:highlight w:val="none"/>
                    </w:rPr>
                  </w:pPr>
                  <w:bookmarkStart w:id="17" w:name="_Toc23730"/>
                  <w:r>
                    <w:rPr>
                      <w:rFonts w:hint="eastAsia"/>
                      <w:bCs/>
                      <w:color w:val="auto"/>
                      <w:sz w:val="21"/>
                      <w:szCs w:val="21"/>
                      <w:highlight w:val="none"/>
                    </w:rPr>
                    <w:t>第二十一条禁止在合规园区外新建、扩建钢铁、石化、化工、焦化、建材、有色、制浆造纸等高污染项目。</w:t>
                  </w:r>
                  <w:bookmarkEnd w:id="17"/>
                </w:p>
              </w:tc>
              <w:tc>
                <w:tcPr>
                  <w:tcW w:w="1425" w:type="pct"/>
                  <w:vMerge w:val="continue"/>
                  <w:tcBorders>
                    <w:tl2br w:val="nil"/>
                    <w:tr2bl w:val="nil"/>
                  </w:tcBorders>
                  <w:noWrap w:val="0"/>
                  <w:vAlign w:val="center"/>
                </w:tcPr>
                <w:p w14:paraId="7ED65B17">
                  <w:pPr>
                    <w:adjustRightInd w:val="0"/>
                    <w:snapToGrid w:val="0"/>
                    <w:jc w:val="center"/>
                    <w:outlineLvl w:val="0"/>
                    <w:rPr>
                      <w:rFonts w:hint="default" w:eastAsia="宋体"/>
                      <w:bCs/>
                      <w:color w:val="auto"/>
                      <w:sz w:val="21"/>
                      <w:szCs w:val="21"/>
                      <w:highlight w:val="none"/>
                      <w:lang w:val="en-US" w:eastAsia="zh-CN"/>
                    </w:rPr>
                  </w:pPr>
                </w:p>
              </w:tc>
              <w:tc>
                <w:tcPr>
                  <w:tcW w:w="745" w:type="pct"/>
                  <w:tcBorders>
                    <w:tl2br w:val="nil"/>
                    <w:tr2bl w:val="nil"/>
                  </w:tcBorders>
                  <w:noWrap w:val="0"/>
                  <w:vAlign w:val="center"/>
                </w:tcPr>
                <w:p w14:paraId="50FF74CD">
                  <w:pPr>
                    <w:adjustRightInd w:val="0"/>
                    <w:snapToGrid w:val="0"/>
                    <w:jc w:val="center"/>
                    <w:outlineLvl w:val="0"/>
                    <w:rPr>
                      <w:bCs/>
                      <w:color w:val="auto"/>
                      <w:sz w:val="21"/>
                      <w:szCs w:val="21"/>
                      <w:highlight w:val="none"/>
                    </w:rPr>
                  </w:pPr>
                  <w:bookmarkStart w:id="18" w:name="_Toc12529"/>
                  <w:r>
                    <w:rPr>
                      <w:rFonts w:hint="eastAsia"/>
                      <w:bCs/>
                      <w:color w:val="auto"/>
                      <w:sz w:val="21"/>
                      <w:szCs w:val="21"/>
                      <w:highlight w:val="none"/>
                      <w:lang w:val="en-US" w:eastAsia="zh-CN"/>
                    </w:rPr>
                    <w:t>不涉及</w:t>
                  </w:r>
                  <w:bookmarkEnd w:id="18"/>
                </w:p>
              </w:tc>
            </w:tr>
            <w:tr w14:paraId="2D0672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jc w:val="center"/>
              </w:trPr>
              <w:tc>
                <w:tcPr>
                  <w:tcW w:w="2829" w:type="pct"/>
                  <w:tcBorders>
                    <w:tl2br w:val="nil"/>
                    <w:tr2bl w:val="nil"/>
                  </w:tcBorders>
                  <w:noWrap w:val="0"/>
                  <w:vAlign w:val="center"/>
                </w:tcPr>
                <w:p w14:paraId="443D10FA">
                  <w:pPr>
                    <w:adjustRightInd w:val="0"/>
                    <w:snapToGrid w:val="0"/>
                    <w:jc w:val="left"/>
                    <w:outlineLvl w:val="0"/>
                    <w:rPr>
                      <w:rFonts w:hint="eastAsia"/>
                      <w:bCs/>
                      <w:color w:val="auto"/>
                      <w:sz w:val="21"/>
                      <w:szCs w:val="21"/>
                      <w:highlight w:val="none"/>
                    </w:rPr>
                  </w:pPr>
                  <w:bookmarkStart w:id="19" w:name="_Toc22875"/>
                  <w:r>
                    <w:rPr>
                      <w:rFonts w:hint="eastAsia"/>
                      <w:bCs/>
                      <w:color w:val="auto"/>
                      <w:sz w:val="21"/>
                      <w:szCs w:val="21"/>
                      <w:highlight w:val="none"/>
                    </w:rPr>
                    <w:t>第二十三条禁止新建、扩建法律法规和相关政策明令禁止的落后产能项目。对《产业结构调整指导目录》中淘汰类项目，禁止投资</w:t>
                  </w:r>
                  <w:r>
                    <w:rPr>
                      <w:rFonts w:hint="eastAsia"/>
                      <w:bCs/>
                      <w:color w:val="auto"/>
                      <w:sz w:val="21"/>
                      <w:szCs w:val="21"/>
                      <w:highlight w:val="none"/>
                      <w:lang w:eastAsia="zh-CN"/>
                    </w:rPr>
                    <w:t>；</w:t>
                  </w:r>
                  <w:r>
                    <w:rPr>
                      <w:rFonts w:hint="eastAsia"/>
                      <w:bCs/>
                      <w:color w:val="auto"/>
                      <w:sz w:val="21"/>
                      <w:szCs w:val="21"/>
                      <w:highlight w:val="none"/>
                    </w:rPr>
                    <w:t>限制类的新建项目，禁止投资，对属于限制类的现有生产能力，允许企业在一定期限内采取措施改造升级。</w:t>
                  </w:r>
                  <w:bookmarkEnd w:id="19"/>
                </w:p>
              </w:tc>
              <w:tc>
                <w:tcPr>
                  <w:tcW w:w="1425" w:type="pct"/>
                  <w:vMerge w:val="continue"/>
                  <w:tcBorders>
                    <w:tl2br w:val="nil"/>
                    <w:tr2bl w:val="nil"/>
                  </w:tcBorders>
                  <w:noWrap w:val="0"/>
                  <w:vAlign w:val="center"/>
                </w:tcPr>
                <w:p w14:paraId="0A2F247C">
                  <w:pPr>
                    <w:adjustRightInd w:val="0"/>
                    <w:snapToGrid w:val="0"/>
                    <w:jc w:val="center"/>
                    <w:outlineLvl w:val="0"/>
                    <w:rPr>
                      <w:rFonts w:hint="default" w:eastAsia="宋体"/>
                      <w:bCs/>
                      <w:color w:val="auto"/>
                      <w:sz w:val="21"/>
                      <w:szCs w:val="21"/>
                      <w:highlight w:val="none"/>
                      <w:lang w:val="en-US" w:eastAsia="zh-CN"/>
                    </w:rPr>
                  </w:pPr>
                </w:p>
              </w:tc>
              <w:tc>
                <w:tcPr>
                  <w:tcW w:w="745" w:type="pct"/>
                  <w:tcBorders>
                    <w:tl2br w:val="nil"/>
                    <w:tr2bl w:val="nil"/>
                  </w:tcBorders>
                  <w:noWrap w:val="0"/>
                  <w:vAlign w:val="center"/>
                </w:tcPr>
                <w:p w14:paraId="16FE442D">
                  <w:pPr>
                    <w:adjustRightInd w:val="0"/>
                    <w:snapToGrid w:val="0"/>
                    <w:jc w:val="center"/>
                    <w:outlineLvl w:val="0"/>
                    <w:rPr>
                      <w:bCs/>
                      <w:color w:val="auto"/>
                      <w:sz w:val="21"/>
                      <w:szCs w:val="21"/>
                      <w:highlight w:val="none"/>
                    </w:rPr>
                  </w:pPr>
                  <w:bookmarkStart w:id="20" w:name="_Toc20955"/>
                  <w:r>
                    <w:rPr>
                      <w:rFonts w:hint="eastAsia"/>
                      <w:bCs/>
                      <w:color w:val="auto"/>
                      <w:sz w:val="21"/>
                      <w:szCs w:val="21"/>
                      <w:highlight w:val="none"/>
                      <w:lang w:val="en-US" w:eastAsia="zh-CN"/>
                    </w:rPr>
                    <w:t>不涉及</w:t>
                  </w:r>
                  <w:bookmarkEnd w:id="20"/>
                </w:p>
              </w:tc>
            </w:tr>
            <w:tr w14:paraId="35B97C8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29" w:type="pct"/>
                  <w:tcBorders>
                    <w:tl2br w:val="nil"/>
                    <w:tr2bl w:val="nil"/>
                  </w:tcBorders>
                  <w:noWrap w:val="0"/>
                  <w:vAlign w:val="center"/>
                </w:tcPr>
                <w:p w14:paraId="02568069">
                  <w:pPr>
                    <w:adjustRightInd w:val="0"/>
                    <w:snapToGrid w:val="0"/>
                    <w:jc w:val="left"/>
                    <w:outlineLvl w:val="0"/>
                    <w:rPr>
                      <w:rFonts w:hint="eastAsia"/>
                      <w:bCs/>
                      <w:color w:val="auto"/>
                      <w:sz w:val="21"/>
                      <w:szCs w:val="21"/>
                      <w:highlight w:val="none"/>
                    </w:rPr>
                  </w:pPr>
                  <w:bookmarkStart w:id="21" w:name="_Toc12180"/>
                  <w:r>
                    <w:rPr>
                      <w:rFonts w:hint="eastAsia"/>
                      <w:bCs/>
                      <w:color w:val="auto"/>
                      <w:sz w:val="21"/>
                      <w:szCs w:val="21"/>
                      <w:highlight w:val="none"/>
                    </w:rPr>
                    <w:t>第二十四条禁止新建、扩建不符合国家产能置换要求的严重过剩产能行业的项目。对于不符合国家产能置换要求的严重过剩产能行业，不得以其他任何名义、任何方式备案新增产能项目。</w:t>
                  </w:r>
                  <w:bookmarkEnd w:id="21"/>
                </w:p>
              </w:tc>
              <w:tc>
                <w:tcPr>
                  <w:tcW w:w="1425" w:type="pct"/>
                  <w:vMerge w:val="continue"/>
                  <w:tcBorders>
                    <w:tl2br w:val="nil"/>
                    <w:tr2bl w:val="nil"/>
                  </w:tcBorders>
                  <w:noWrap w:val="0"/>
                  <w:vAlign w:val="center"/>
                </w:tcPr>
                <w:p w14:paraId="4A0EBB8B">
                  <w:pPr>
                    <w:adjustRightInd w:val="0"/>
                    <w:snapToGrid w:val="0"/>
                    <w:jc w:val="center"/>
                    <w:outlineLvl w:val="0"/>
                    <w:rPr>
                      <w:rFonts w:hint="default" w:eastAsia="宋体"/>
                      <w:bCs/>
                      <w:color w:val="auto"/>
                      <w:sz w:val="21"/>
                      <w:szCs w:val="21"/>
                      <w:highlight w:val="none"/>
                      <w:lang w:val="en-US" w:eastAsia="zh-CN"/>
                    </w:rPr>
                  </w:pPr>
                </w:p>
              </w:tc>
              <w:tc>
                <w:tcPr>
                  <w:tcW w:w="745" w:type="pct"/>
                  <w:tcBorders>
                    <w:tl2br w:val="nil"/>
                    <w:tr2bl w:val="nil"/>
                  </w:tcBorders>
                  <w:noWrap w:val="0"/>
                  <w:vAlign w:val="center"/>
                </w:tcPr>
                <w:p w14:paraId="46CD4735">
                  <w:pPr>
                    <w:adjustRightInd w:val="0"/>
                    <w:snapToGrid w:val="0"/>
                    <w:jc w:val="center"/>
                    <w:outlineLvl w:val="0"/>
                    <w:rPr>
                      <w:bCs/>
                      <w:color w:val="auto"/>
                      <w:sz w:val="21"/>
                      <w:szCs w:val="21"/>
                      <w:highlight w:val="none"/>
                    </w:rPr>
                  </w:pPr>
                  <w:bookmarkStart w:id="22" w:name="_Toc11114"/>
                  <w:r>
                    <w:rPr>
                      <w:rFonts w:hint="eastAsia"/>
                      <w:bCs/>
                      <w:color w:val="auto"/>
                      <w:sz w:val="21"/>
                      <w:szCs w:val="21"/>
                      <w:highlight w:val="none"/>
                      <w:lang w:val="en-US" w:eastAsia="zh-CN"/>
                    </w:rPr>
                    <w:t>不涉及</w:t>
                  </w:r>
                  <w:bookmarkEnd w:id="22"/>
                </w:p>
              </w:tc>
            </w:tr>
            <w:tr w14:paraId="510C44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29" w:type="pct"/>
                  <w:tcBorders>
                    <w:tl2br w:val="nil"/>
                    <w:tr2bl w:val="nil"/>
                  </w:tcBorders>
                  <w:noWrap w:val="0"/>
                  <w:vAlign w:val="center"/>
                </w:tcPr>
                <w:p w14:paraId="09C0AE36">
                  <w:pPr>
                    <w:adjustRightInd w:val="0"/>
                    <w:snapToGrid w:val="0"/>
                    <w:jc w:val="left"/>
                    <w:outlineLvl w:val="0"/>
                    <w:rPr>
                      <w:rFonts w:hint="eastAsia"/>
                      <w:bCs/>
                      <w:color w:val="auto"/>
                      <w:sz w:val="21"/>
                      <w:szCs w:val="21"/>
                      <w:highlight w:val="none"/>
                    </w:rPr>
                  </w:pPr>
                  <w:bookmarkStart w:id="23" w:name="_Toc30938"/>
                  <w:r>
                    <w:rPr>
                      <w:rFonts w:hint="eastAsia"/>
                      <w:bCs/>
                      <w:color w:val="auto"/>
                      <w:sz w:val="21"/>
                      <w:szCs w:val="21"/>
                      <w:highlight w:val="none"/>
                    </w:rPr>
                    <w:t>第二十六条禁止新建、扩建不符合要求的高耗能、高排放、低水平项目。</w:t>
                  </w:r>
                  <w:bookmarkEnd w:id="23"/>
                </w:p>
              </w:tc>
              <w:tc>
                <w:tcPr>
                  <w:tcW w:w="1425" w:type="pct"/>
                  <w:vMerge w:val="continue"/>
                  <w:tcBorders>
                    <w:tl2br w:val="nil"/>
                    <w:tr2bl w:val="nil"/>
                  </w:tcBorders>
                  <w:noWrap w:val="0"/>
                  <w:vAlign w:val="center"/>
                </w:tcPr>
                <w:p w14:paraId="13DFAE6F">
                  <w:pPr>
                    <w:adjustRightInd w:val="0"/>
                    <w:snapToGrid w:val="0"/>
                    <w:jc w:val="center"/>
                    <w:outlineLvl w:val="0"/>
                    <w:rPr>
                      <w:rFonts w:hint="default" w:eastAsia="宋体"/>
                      <w:bCs/>
                      <w:color w:val="auto"/>
                      <w:sz w:val="21"/>
                      <w:szCs w:val="21"/>
                      <w:highlight w:val="none"/>
                      <w:lang w:val="en-US" w:eastAsia="zh-CN"/>
                    </w:rPr>
                  </w:pPr>
                </w:p>
              </w:tc>
              <w:tc>
                <w:tcPr>
                  <w:tcW w:w="745" w:type="pct"/>
                  <w:tcBorders>
                    <w:tl2br w:val="nil"/>
                    <w:tr2bl w:val="nil"/>
                  </w:tcBorders>
                  <w:noWrap w:val="0"/>
                  <w:vAlign w:val="center"/>
                </w:tcPr>
                <w:p w14:paraId="6771D5B6">
                  <w:pPr>
                    <w:adjustRightInd w:val="0"/>
                    <w:snapToGrid w:val="0"/>
                    <w:jc w:val="center"/>
                    <w:outlineLvl w:val="0"/>
                    <w:rPr>
                      <w:bCs/>
                      <w:color w:val="auto"/>
                      <w:sz w:val="21"/>
                      <w:szCs w:val="21"/>
                      <w:highlight w:val="none"/>
                    </w:rPr>
                  </w:pPr>
                  <w:bookmarkStart w:id="24" w:name="_Toc3555"/>
                  <w:r>
                    <w:rPr>
                      <w:rFonts w:hint="eastAsia"/>
                      <w:bCs/>
                      <w:color w:val="auto"/>
                      <w:sz w:val="21"/>
                      <w:szCs w:val="21"/>
                      <w:highlight w:val="none"/>
                      <w:lang w:val="en-US" w:eastAsia="zh-CN"/>
                    </w:rPr>
                    <w:t>不涉及</w:t>
                  </w:r>
                  <w:bookmarkEnd w:id="24"/>
                </w:p>
              </w:tc>
            </w:tr>
          </w:tbl>
          <w:p w14:paraId="0999824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sz w:val="24"/>
                <w:lang w:val="en-US" w:eastAsia="zh-CN"/>
              </w:rPr>
            </w:pPr>
            <w:r>
              <w:rPr>
                <w:rFonts w:hint="eastAsia" w:cs="宋体"/>
                <w:color w:val="auto"/>
                <w:sz w:val="24"/>
                <w:szCs w:val="24"/>
              </w:rPr>
              <w:t>综上，本项目</w:t>
            </w:r>
            <w:r>
              <w:rPr>
                <w:rFonts w:hint="eastAsia" w:cs="宋体"/>
                <w:color w:val="auto"/>
                <w:sz w:val="24"/>
                <w:szCs w:val="24"/>
                <w:lang w:val="en-US" w:eastAsia="zh-CN"/>
              </w:rPr>
              <w:t>不属于</w:t>
            </w:r>
            <w:r>
              <w:rPr>
                <w:rFonts w:hint="eastAsia" w:cs="宋体"/>
                <w:color w:val="auto"/>
                <w:sz w:val="24"/>
                <w:szCs w:val="24"/>
              </w:rPr>
              <w:t>《长江经济带发展负面清单指南（试行，2022年版）》的通知（长江办[2022]7号）</w:t>
            </w:r>
            <w:r>
              <w:rPr>
                <w:rFonts w:hint="eastAsia" w:cs="宋体"/>
                <w:color w:val="auto"/>
                <w:sz w:val="24"/>
                <w:szCs w:val="24"/>
                <w:lang w:val="en-US" w:eastAsia="zh-CN"/>
              </w:rPr>
              <w:t>和</w:t>
            </w:r>
            <w:r>
              <w:rPr>
                <w:rFonts w:hint="eastAsia" w:eastAsia="宋体"/>
                <w:color w:val="auto"/>
                <w:sz w:val="24"/>
                <w:lang w:val="en-US" w:eastAsia="zh-CN"/>
              </w:rPr>
              <w:t>四川省推动长江经济带发展领导小组办公室重庆市推动长江经济带发展领导小组办公室关于印发《四川省、重庆市长江经济带发展负面清单实施细则（试行，2022年版）》的通知（川长江办[2022]17号）中管控项目。</w:t>
            </w:r>
          </w:p>
          <w:p w14:paraId="2F8AF01F">
            <w:pPr>
              <w:tabs>
                <w:tab w:val="left" w:pos="600"/>
              </w:tabs>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kern w:val="0"/>
                <w:sz w:val="24"/>
                <w:lang w:val="en-US" w:eastAsia="zh-CN"/>
              </w:rPr>
              <w:t>7</w:t>
            </w:r>
            <w:r>
              <w:rPr>
                <w:rFonts w:hint="default" w:ascii="Times New Roman" w:hAnsi="Times New Roman" w:eastAsia="宋体" w:cs="Times New Roman"/>
                <w:b/>
                <w:bCs/>
                <w:color w:val="auto"/>
                <w:kern w:val="0"/>
                <w:sz w:val="24"/>
                <w:lang w:val="en-US" w:eastAsia="zh-CN"/>
              </w:rPr>
              <w:t>.与</w:t>
            </w:r>
            <w:r>
              <w:rPr>
                <w:rFonts w:hint="default" w:ascii="Times New Roman" w:hAnsi="Times New Roman" w:cs="Times New Roman"/>
                <w:b/>
                <w:bCs/>
                <w:color w:val="auto"/>
                <w:sz w:val="24"/>
                <w:szCs w:val="24"/>
              </w:rPr>
              <w:t>郪江黄颡鱼国家级水产种质资源保护区的相容性分析</w:t>
            </w:r>
          </w:p>
          <w:p w14:paraId="305C25EE">
            <w:pPr>
              <w:spacing w:line="360" w:lineRule="auto"/>
              <w:ind w:firstLine="480" w:firstLineChars="200"/>
              <w:rPr>
                <w:color w:val="auto"/>
                <w:sz w:val="24"/>
                <w:szCs w:val="24"/>
              </w:rPr>
            </w:pPr>
            <w:r>
              <w:rPr>
                <w:color w:val="auto"/>
                <w:sz w:val="24"/>
                <w:szCs w:val="24"/>
              </w:rPr>
              <w:t>郪江黄颡鱼国家级水产种质资源保护区位于长江流域涪江水系的支流郪江河段，辖4个镇（象山镇、蓬莱镇、隆盛镇、回马镇），根据农业</w:t>
            </w:r>
            <w:r>
              <w:rPr>
                <w:rFonts w:hint="eastAsia"/>
                <w:color w:val="auto"/>
                <w:sz w:val="24"/>
                <w:szCs w:val="24"/>
                <w:lang w:val="en-US" w:eastAsia="zh-CN"/>
              </w:rPr>
              <w:t>农村</w:t>
            </w:r>
            <w:r>
              <w:rPr>
                <w:color w:val="auto"/>
                <w:sz w:val="24"/>
                <w:szCs w:val="24"/>
              </w:rPr>
              <w:t>部《关于调整郪江黄颡鱼等2处国家级水产种质资源保护区面积范围和功能分区的通知》</w:t>
            </w:r>
            <w:r>
              <w:rPr>
                <w:b/>
                <w:color w:val="auto"/>
                <w:sz w:val="24"/>
                <w:szCs w:val="24"/>
              </w:rPr>
              <w:t>调整后的郪江黄颡鱼国家级水产种质资源保护区总面积520公顷，其中核心区面积431.25公顷，实验区面积88.75公顷，范围在东经105°04′23.15″~105°16′3.30″，北纬30°33′8.46″~30°45′49.57″之间</w:t>
            </w:r>
            <w:r>
              <w:rPr>
                <w:color w:val="auto"/>
                <w:sz w:val="24"/>
                <w:szCs w:val="24"/>
              </w:rPr>
              <w:t>，以涉及场镇河段最高警戒水位线为界。根据分区原则结合郪江具体情况将保护区划分为核心区、实验区二个功能区。保护区位于四川省遂宁市大英县和德阳市中江县郪江干流联合镇会仙桥-蓬莱镇康家咀-蓬莱镇张家堰及其支流寸塘口河蓬莱镇赵家湾-窝窝店-寸塘口河河口全长74km，</w:t>
            </w:r>
            <w:r>
              <w:rPr>
                <w:b/>
                <w:bCs/>
                <w:color w:val="auto"/>
                <w:sz w:val="24"/>
                <w:szCs w:val="24"/>
              </w:rPr>
              <w:t>保护区范围全为水域，不涉及陆域。</w:t>
            </w:r>
            <w:r>
              <w:rPr>
                <w:color w:val="auto"/>
                <w:sz w:val="24"/>
                <w:szCs w:val="24"/>
              </w:rPr>
              <w:t>该保护区主要保护对象为黄颡鱼、鳜鱼、中华鳖，</w:t>
            </w:r>
            <w:r>
              <w:rPr>
                <w:bCs/>
                <w:color w:val="auto"/>
                <w:sz w:val="24"/>
                <w:szCs w:val="24"/>
              </w:rPr>
              <w:t>其它</w:t>
            </w:r>
            <w:r>
              <w:rPr>
                <w:color w:val="auto"/>
                <w:sz w:val="24"/>
                <w:szCs w:val="24"/>
              </w:rPr>
              <w:t>保护物种包括南方鲇、鲤、鲫、鲢等经济鱼类。</w:t>
            </w:r>
          </w:p>
          <w:p w14:paraId="313FAC1A">
            <w:pPr>
              <w:spacing w:line="360" w:lineRule="auto"/>
              <w:ind w:firstLine="480" w:firstLineChars="200"/>
              <w:rPr>
                <w:b w:val="0"/>
                <w:bCs/>
                <w:color w:val="auto"/>
                <w:u w:val="none"/>
              </w:rPr>
            </w:pPr>
            <w:r>
              <w:rPr>
                <w:bCs/>
                <w:color w:val="auto"/>
                <w:sz w:val="24"/>
                <w:szCs w:val="24"/>
              </w:rPr>
              <w:t>根据《水产种质资源保护区管理暂行办法》第二十一条规</w:t>
            </w:r>
            <w:r>
              <w:rPr>
                <w:b w:val="0"/>
                <w:bCs/>
                <w:color w:val="auto"/>
                <w:sz w:val="24"/>
                <w:szCs w:val="24"/>
                <w:u w:val="none"/>
              </w:rPr>
              <w:t>定：禁止在水产种质资源保护区内新建排污口。在水产种质资源保护区附近新建、改建、扩建排污口，应当保证保护区水体不受污染。</w:t>
            </w:r>
          </w:p>
          <w:p w14:paraId="30B1E69B">
            <w:pPr>
              <w:spacing w:line="360" w:lineRule="auto"/>
              <w:jc w:val="center"/>
              <w:rPr>
                <w:color w:val="auto"/>
              </w:rPr>
            </w:pPr>
            <w:r>
              <w:rPr>
                <w:color w:val="auto"/>
              </w:rPr>
              <mc:AlternateContent>
                <mc:Choice Requires="wps">
                  <w:drawing>
                    <wp:anchor distT="0" distB="0" distL="114300" distR="114300" simplePos="0" relativeHeight="251663360" behindDoc="0" locked="0" layoutInCell="1" allowOverlap="1">
                      <wp:simplePos x="0" y="0"/>
                      <wp:positionH relativeFrom="column">
                        <wp:posOffset>2754630</wp:posOffset>
                      </wp:positionH>
                      <wp:positionV relativeFrom="paragraph">
                        <wp:posOffset>1471295</wp:posOffset>
                      </wp:positionV>
                      <wp:extent cx="245110" cy="190500"/>
                      <wp:effectExtent l="0" t="0" r="0" b="0"/>
                      <wp:wrapNone/>
                      <wp:docPr id="14" name="文本框 14"/>
                      <wp:cNvGraphicFramePr/>
                      <a:graphic xmlns:a="http://schemas.openxmlformats.org/drawingml/2006/main">
                        <a:graphicData uri="http://schemas.microsoft.com/office/word/2010/wordprocessingShape">
                          <wps:wsp>
                            <wps:cNvSpPr txBox="1"/>
                            <wps:spPr>
                              <a:xfrm rot="2040000">
                                <a:off x="0" y="0"/>
                                <a:ext cx="245110" cy="190500"/>
                              </a:xfrm>
                              <a:prstGeom prst="rect">
                                <a:avLst/>
                              </a:prstGeom>
                              <a:noFill/>
                              <a:ln w="6350">
                                <a:noFill/>
                              </a:ln>
                            </wps:spPr>
                            <wps:txbx>
                              <w:txbxContent>
                                <w:p w14:paraId="7ACB01A2">
                                  <w:pPr>
                                    <w:rPr>
                                      <w:sz w:val="10"/>
                                      <w:szCs w:val="10"/>
                                    </w:rPr>
                                  </w:pPr>
                                  <w:r>
                                    <w:rPr>
                                      <w:rFonts w:ascii="Helvetica" w:hAnsi="Helvetica" w:eastAsia="Helvetica"/>
                                      <w:color w:val="00FFFF"/>
                                      <w:sz w:val="10"/>
                                      <w:szCs w:val="10"/>
                                    </w:rPr>
                                    <w:t>▼</w:t>
                                  </w:r>
                                </w:p>
                              </w:txbxContent>
                            </wps:txbx>
                            <wps:bodyPr upright="1"/>
                          </wps:wsp>
                        </a:graphicData>
                      </a:graphic>
                    </wp:anchor>
                  </w:drawing>
                </mc:Choice>
                <mc:Fallback>
                  <w:pict>
                    <v:shape id="_x0000_s1026" o:spid="_x0000_s1026" o:spt="202" type="#_x0000_t202" style="position:absolute;left:0pt;margin-left:216.9pt;margin-top:115.85pt;height:15pt;width:19.3pt;rotation:2228224f;z-index:251663360;mso-width-relative:page;mso-height-relative:page;" filled="f" stroked="f" coordsize="21600,21600" o:gfxdata="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G9erNoAAAALAQAADwAAAAAAAAABACAAAAAiAAAAZHJzL2Rvd25yZXYueG1s&#10;UEsBAhQAFAAAAAgAh07iQMbQJU29AQAAZgMAAA4AAAAAAAAAAQAgAAAAKQEAAGRycy9lMm9Eb2Mu&#10;eG1sUEsFBgAAAAAGAAYAWQEAAFgFAAAAAA==&#10;">
                      <v:fill on="f" focussize="0,0"/>
                      <v:stroke on="f" weight="0.5pt"/>
                      <v:imagedata o:title=""/>
                      <o:lock v:ext="edit" aspectratio="f"/>
                      <v:textbox>
                        <w:txbxContent>
                          <w:p w14:paraId="7ACB01A2">
                            <w:pPr>
                              <w:rPr>
                                <w:sz w:val="10"/>
                                <w:szCs w:val="10"/>
                              </w:rPr>
                            </w:pPr>
                            <w:r>
                              <w:rPr>
                                <w:rFonts w:ascii="Helvetica" w:hAnsi="Helvetica" w:eastAsia="Helvetica"/>
                                <w:color w:val="00FFFF"/>
                                <w:sz w:val="10"/>
                                <w:szCs w:val="10"/>
                              </w:rPr>
                              <w:t>▼</w:t>
                            </w:r>
                          </w:p>
                        </w:txbxContent>
                      </v:textbox>
                    </v:shape>
                  </w:pict>
                </mc:Fallback>
              </mc:AlternateContent>
            </w:r>
            <w:r>
              <w:rPr>
                <w:color w:val="auto"/>
              </w:rPr>
              <w:drawing>
                <wp:inline distT="0" distB="0" distL="114300" distR="114300">
                  <wp:extent cx="4463415" cy="2876550"/>
                  <wp:effectExtent l="0" t="0" r="13335"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0"/>
                          <a:stretch>
                            <a:fillRect/>
                          </a:stretch>
                        </pic:blipFill>
                        <pic:spPr>
                          <a:xfrm flipH="1">
                            <a:off x="0" y="0"/>
                            <a:ext cx="4463415" cy="2876550"/>
                          </a:xfrm>
                          <a:prstGeom prst="rect">
                            <a:avLst/>
                          </a:prstGeom>
                          <a:noFill/>
                          <a:ln>
                            <a:noFill/>
                          </a:ln>
                        </pic:spPr>
                      </pic:pic>
                    </a:graphicData>
                  </a:graphic>
                </wp:inline>
              </w:drawing>
            </w:r>
            <w:r>
              <w:rPr>
                <w:color w:val="auto"/>
              </w:rPr>
              <mc:AlternateContent>
                <mc:Choice Requires="wps">
                  <w:drawing>
                    <wp:anchor distT="0" distB="0" distL="114300" distR="114300" simplePos="0" relativeHeight="251662336" behindDoc="0" locked="0" layoutInCell="1" allowOverlap="1">
                      <wp:simplePos x="0" y="0"/>
                      <wp:positionH relativeFrom="column">
                        <wp:posOffset>4301490</wp:posOffset>
                      </wp:positionH>
                      <wp:positionV relativeFrom="paragraph">
                        <wp:posOffset>392430</wp:posOffset>
                      </wp:positionV>
                      <wp:extent cx="76200" cy="76200"/>
                      <wp:effectExtent l="0" t="0" r="0" b="0"/>
                      <wp:wrapNone/>
                      <wp:docPr id="13" name="椭圆 13"/>
                      <wp:cNvGraphicFramePr/>
                      <a:graphic xmlns:a="http://schemas.openxmlformats.org/drawingml/2006/main">
                        <a:graphicData uri="http://schemas.microsoft.com/office/word/2010/wordprocessingShape">
                          <wps:wsp>
                            <wps:cNvSpPr/>
                            <wps:spPr>
                              <a:xfrm flipV="1">
                                <a:off x="0" y="0"/>
                                <a:ext cx="76200" cy="76200"/>
                              </a:xfrm>
                              <a:prstGeom prst="ellipse">
                                <a:avLst/>
                              </a:prstGeom>
                              <a:noFill/>
                              <a:ln>
                                <a:noFill/>
                              </a:ln>
                            </wps:spPr>
                            <wps:bodyPr upright="1"/>
                          </wps:wsp>
                        </a:graphicData>
                      </a:graphic>
                    </wp:anchor>
                  </w:drawing>
                </mc:Choice>
                <mc:Fallback>
                  <w:pict>
                    <v:shape id="_x0000_s1026" o:spid="_x0000_s1026" o:spt="3" type="#_x0000_t3" style="position:absolute;left:0pt;flip:y;margin-left:338.7pt;margin-top:30.9pt;height:6pt;width:6pt;z-index:251662336;mso-width-relative:page;mso-height-relative:page;" filled="f" stroked="f" coordsize="21600,21600" o:gfxdata="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23e2LXAAAACQEAAA8AAAAAAAAA&#10;AQAgAAAAIgAAAGRycy9kb3ducmV2LnhtbFBLAQIUABQAAAAIAIdO4kClV7EgoAEAAEIDAAAOAAAA&#10;AAAAAAEAIAAAACYBAABkcnMvZTJvRG9jLnhtbFBLBQYAAAAABgAGAFkBAAA4BQAAAAA=&#10;">
                      <v:fill on="f" focussize="0,0"/>
                      <v:stroke on="f"/>
                      <v:imagedata o:title=""/>
                      <o:lock v:ext="edit" aspectratio="f"/>
                    </v:shape>
                  </w:pict>
                </mc:Fallback>
              </mc:AlternateContent>
            </w:r>
          </w:p>
          <w:p w14:paraId="2757045C">
            <w:pPr>
              <w:spacing w:line="360" w:lineRule="auto"/>
              <w:ind w:firstLine="422" w:firstLineChars="200"/>
              <w:jc w:val="center"/>
              <w:rPr>
                <w:rFonts w:hint="eastAsia"/>
                <w:color w:val="auto"/>
              </w:rPr>
            </w:pPr>
            <w:r>
              <w:rPr>
                <w:rFonts w:hint="eastAsia" w:ascii="Times New Roman" w:hAnsi="Times New Roman" w:eastAsia="宋体" w:cs="Times New Roman"/>
                <w:b/>
                <w:bCs w:val="0"/>
                <w:color w:val="auto"/>
                <w:kern w:val="0"/>
                <w:sz w:val="21"/>
                <w:szCs w:val="21"/>
                <w:lang w:val="en-US" w:eastAsia="zh-CN" w:bidi="ar-SA"/>
              </w:rPr>
              <w:t>图1-1项目与</w:t>
            </w:r>
            <w:r>
              <w:rPr>
                <w:rFonts w:hint="default" w:ascii="Times New Roman" w:hAnsi="Times New Roman" w:eastAsia="宋体" w:cs="Times New Roman"/>
                <w:b/>
                <w:bCs w:val="0"/>
                <w:color w:val="auto"/>
                <w:kern w:val="0"/>
                <w:sz w:val="21"/>
                <w:szCs w:val="21"/>
                <w:lang w:val="en-US" w:eastAsia="zh-CN" w:bidi="ar-SA"/>
              </w:rPr>
              <w:t>种质资源保护区</w:t>
            </w:r>
            <w:r>
              <w:rPr>
                <w:rFonts w:hint="eastAsia" w:ascii="Times New Roman" w:hAnsi="Times New Roman" w:eastAsia="宋体" w:cs="Times New Roman"/>
                <w:b/>
                <w:bCs w:val="0"/>
                <w:color w:val="auto"/>
                <w:kern w:val="0"/>
                <w:sz w:val="21"/>
                <w:szCs w:val="21"/>
                <w:lang w:val="en-US" w:eastAsia="zh-CN" w:bidi="ar-SA"/>
              </w:rPr>
              <w:t>的位置关系图</w:t>
            </w:r>
            <w:r>
              <w:rPr>
                <w:rFonts w:hint="eastAsia" w:ascii="宋体" w:hAnsi="宋体" w:cs="宋体"/>
                <w:color w:val="auto"/>
                <w:sz w:val="18"/>
                <w:szCs w:val="18"/>
              </w:rPr>
              <w:t>（图中▼表示项目位置）</w:t>
            </w:r>
          </w:p>
          <w:p w14:paraId="3FE191E3">
            <w:pPr>
              <w:keepNext w:val="0"/>
              <w:keepLines w:val="0"/>
              <w:pageBreakBefore w:val="0"/>
              <w:widowControl w:val="0"/>
              <w:kinsoku/>
              <w:wordWrap/>
              <w:overflowPunct/>
              <w:topLinePunct w:val="0"/>
              <w:bidi w:val="0"/>
              <w:adjustRightInd/>
              <w:snapToGrid/>
              <w:spacing w:line="360" w:lineRule="auto"/>
              <w:ind w:firstLine="480" w:firstLineChars="200"/>
              <w:textAlignment w:val="auto"/>
              <w:rPr>
                <w:bCs/>
                <w:color w:val="auto"/>
                <w:sz w:val="24"/>
                <w:szCs w:val="24"/>
              </w:rPr>
            </w:pPr>
            <w:r>
              <w:rPr>
                <w:rFonts w:hint="eastAsia"/>
                <w:color w:val="auto"/>
                <w:sz w:val="24"/>
                <w:szCs w:val="24"/>
              </w:rPr>
              <w:t>本</w:t>
            </w:r>
            <w:r>
              <w:rPr>
                <w:color w:val="auto"/>
                <w:sz w:val="24"/>
                <w:szCs w:val="24"/>
              </w:rPr>
              <w:t>项目与保护区具体范围关系如</w:t>
            </w:r>
            <w:r>
              <w:rPr>
                <w:rFonts w:hint="eastAsia"/>
                <w:color w:val="auto"/>
                <w:sz w:val="24"/>
                <w:szCs w:val="24"/>
              </w:rPr>
              <w:t>上</w:t>
            </w:r>
            <w:r>
              <w:rPr>
                <w:color w:val="auto"/>
                <w:sz w:val="24"/>
                <w:szCs w:val="24"/>
              </w:rPr>
              <w:t>图所示。项目污水经厂区</w:t>
            </w:r>
            <w:r>
              <w:rPr>
                <w:rFonts w:hint="eastAsia"/>
                <w:color w:val="auto"/>
                <w:sz w:val="24"/>
                <w:szCs w:val="24"/>
              </w:rPr>
              <w:t>预处理池</w:t>
            </w:r>
            <w:r>
              <w:rPr>
                <w:color w:val="auto"/>
                <w:sz w:val="24"/>
                <w:szCs w:val="24"/>
              </w:rPr>
              <w:t>处理后执行《污水综合排放标准》（GB8978-1996）中三级标准后进入大英</w:t>
            </w:r>
            <w:r>
              <w:rPr>
                <w:rFonts w:hint="eastAsia"/>
                <w:color w:val="auto"/>
                <w:sz w:val="24"/>
                <w:szCs w:val="24"/>
                <w:lang w:val="en-US" w:eastAsia="zh-CN"/>
              </w:rPr>
              <w:t>县</w:t>
            </w:r>
            <w:r>
              <w:rPr>
                <w:color w:val="auto"/>
                <w:sz w:val="24"/>
                <w:szCs w:val="24"/>
              </w:rPr>
              <w:t>工业污水处理厂</w:t>
            </w:r>
            <w:r>
              <w:rPr>
                <w:rFonts w:hint="eastAsia"/>
                <w:color w:val="auto"/>
                <w:sz w:val="24"/>
                <w:szCs w:val="24"/>
              </w:rPr>
              <w:t>，达标后</w:t>
            </w:r>
            <w:r>
              <w:rPr>
                <w:color w:val="auto"/>
                <w:sz w:val="24"/>
                <w:szCs w:val="24"/>
              </w:rPr>
              <w:t>排入郪江</w:t>
            </w:r>
            <w:r>
              <w:rPr>
                <w:rFonts w:hint="eastAsia"/>
                <w:color w:val="auto"/>
                <w:sz w:val="24"/>
                <w:szCs w:val="24"/>
              </w:rPr>
              <w:t>，</w:t>
            </w:r>
            <w:r>
              <w:rPr>
                <w:bCs/>
                <w:color w:val="auto"/>
                <w:sz w:val="24"/>
                <w:szCs w:val="24"/>
              </w:rPr>
              <w:t>该污水处理厂排口设置在保护区外下游，分别距保护区下游边界6.0km，不在郪江黄颡鱼国家级水产种质资源保护区范围内，项目所在工业区排水不会对其造成影响。</w:t>
            </w:r>
          </w:p>
          <w:p w14:paraId="5043602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both"/>
              <w:textAlignment w:val="auto"/>
              <w:rPr>
                <w:rFonts w:hint="eastAsia" w:ascii="宋体" w:hAnsi="宋体" w:eastAsia="宋体" w:cs="宋体"/>
                <w:b/>
                <w:bCs/>
                <w:color w:val="auto"/>
                <w:sz w:val="24"/>
                <w:szCs w:val="24"/>
              </w:rPr>
            </w:pPr>
            <w:r>
              <w:rPr>
                <w:rFonts w:hint="eastAsia" w:ascii="宋体" w:hAnsi="宋体" w:cs="宋体"/>
                <w:b/>
                <w:bCs/>
                <w:iCs/>
                <w:color w:val="auto"/>
                <w:sz w:val="24"/>
                <w:lang w:val="en-US" w:eastAsia="zh-CN"/>
              </w:rPr>
              <w:t>8</w:t>
            </w:r>
            <w:r>
              <w:rPr>
                <w:rFonts w:hint="eastAsia" w:ascii="宋体" w:hAnsi="宋体" w:eastAsia="宋体" w:cs="宋体"/>
                <w:b/>
                <w:bCs/>
                <w:iCs/>
                <w:color w:val="auto"/>
                <w:sz w:val="24"/>
                <w:lang w:val="en-US" w:eastAsia="zh-CN"/>
              </w:rPr>
              <w:t>.</w:t>
            </w:r>
            <w:r>
              <w:rPr>
                <w:rFonts w:hint="eastAsia" w:ascii="宋体" w:hAnsi="宋体" w:eastAsia="宋体" w:cs="宋体"/>
                <w:b/>
                <w:bCs/>
                <w:color w:val="auto"/>
                <w:sz w:val="24"/>
                <w:szCs w:val="24"/>
              </w:rPr>
              <w:t>选址</w:t>
            </w:r>
            <w:r>
              <w:rPr>
                <w:rFonts w:hint="eastAsia" w:ascii="宋体" w:hAnsi="宋体" w:eastAsia="宋体" w:cs="宋体"/>
                <w:b/>
                <w:bCs/>
                <w:color w:val="auto"/>
                <w:sz w:val="24"/>
                <w:szCs w:val="24"/>
                <w:lang w:eastAsia="zh-CN"/>
              </w:rPr>
              <w:t>及外环境关系合理性</w:t>
            </w:r>
            <w:r>
              <w:rPr>
                <w:rFonts w:hint="eastAsia" w:ascii="宋体" w:hAnsi="宋体" w:eastAsia="宋体" w:cs="宋体"/>
                <w:b/>
                <w:bCs/>
                <w:color w:val="auto"/>
                <w:sz w:val="24"/>
                <w:szCs w:val="24"/>
              </w:rPr>
              <w:t>分析</w:t>
            </w:r>
          </w:p>
          <w:p w14:paraId="00EA74AB">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w:t>
            </w:r>
            <w:r>
              <w:rPr>
                <w:rFonts w:hint="eastAsia" w:ascii="Times New Roman" w:hAnsi="Times New Roman" w:eastAsia="宋体" w:cs="Times New Roman"/>
                <w:color w:val="auto"/>
                <w:sz w:val="24"/>
                <w:szCs w:val="24"/>
              </w:rPr>
              <w:t>大英县蓬莱镇采和大道</w:t>
            </w:r>
            <w:r>
              <w:rPr>
                <w:rFonts w:hint="eastAsia" w:ascii="Times New Roman" w:hAnsi="Times New Roman" w:cs="Times New Roman"/>
                <w:color w:val="auto"/>
                <w:sz w:val="24"/>
                <w:szCs w:val="24"/>
                <w:lang w:val="en-US" w:eastAsia="zh-CN"/>
              </w:rPr>
              <w:t>1楼</w:t>
            </w:r>
            <w:r>
              <w:rPr>
                <w:rFonts w:hint="default" w:ascii="Times New Roman" w:hAnsi="Times New Roman" w:eastAsia="宋体" w:cs="Times New Roman"/>
                <w:b w:val="0"/>
                <w:bCs w:val="0"/>
                <w:color w:val="auto"/>
                <w:sz w:val="24"/>
                <w:szCs w:val="24"/>
              </w:rPr>
              <w:t>。厂区道路交通基础设施建设完</w:t>
            </w:r>
            <w:r>
              <w:rPr>
                <w:rFonts w:hint="default" w:ascii="Times New Roman" w:hAnsi="Times New Roman" w:eastAsia="宋体" w:cs="Times New Roman"/>
                <w:color w:val="auto"/>
                <w:sz w:val="24"/>
                <w:szCs w:val="24"/>
              </w:rPr>
              <w:t>善，交通便利，道路、给排水、光纤等设施已经建设完毕，可为本项目提供完备的配套服务。</w:t>
            </w:r>
            <w:r>
              <w:rPr>
                <w:rFonts w:hint="eastAsia" w:ascii="Times New Roman" w:hAnsi="Times New Roman" w:eastAsia="宋体" w:cs="Times New Roman"/>
                <w:color w:val="auto"/>
                <w:sz w:val="24"/>
                <w:szCs w:val="24"/>
              </w:rPr>
              <w:t>项目外环境关系情况为</w:t>
            </w:r>
            <w:r>
              <w:rPr>
                <w:rFonts w:hint="eastAsia" w:ascii="Times New Roman" w:hAnsi="Times New Roman" w:eastAsia="宋体" w:cs="Times New Roman"/>
                <w:color w:val="auto"/>
                <w:sz w:val="24"/>
                <w:szCs w:val="24"/>
                <w:lang w:val="en-US" w:eastAsia="zh-CN"/>
              </w:rPr>
              <w:t>见下表</w:t>
            </w:r>
            <w:r>
              <w:rPr>
                <w:rFonts w:hint="eastAsia"/>
                <w:color w:val="auto"/>
                <w:sz w:val="24"/>
                <w:szCs w:val="24"/>
              </w:rPr>
              <w:t>。</w:t>
            </w:r>
          </w:p>
          <w:p w14:paraId="08B17562">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表</w:t>
            </w:r>
            <w:r>
              <w:rPr>
                <w:rFonts w:hint="eastAsia" w:ascii="Times New Roman" w:hAnsi="Times New Roman" w:eastAsia="宋体" w:cs="Times New Roman"/>
                <w:b/>
                <w:bCs w:val="0"/>
                <w:color w:val="auto"/>
                <w:sz w:val="21"/>
                <w:szCs w:val="21"/>
                <w:lang w:val="en-US" w:eastAsia="zh-CN"/>
              </w:rPr>
              <w:t>1-</w:t>
            </w:r>
            <w:r>
              <w:rPr>
                <w:rFonts w:hint="eastAsia" w:ascii="Times New Roman" w:hAnsi="Times New Roman" w:cs="Times New Roman"/>
                <w:b/>
                <w:bCs w:val="0"/>
                <w:color w:val="auto"/>
                <w:sz w:val="21"/>
                <w:szCs w:val="21"/>
                <w:lang w:val="en-US" w:eastAsia="zh-CN"/>
              </w:rPr>
              <w:t>8</w:t>
            </w:r>
            <w:r>
              <w:rPr>
                <w:rFonts w:hint="default" w:ascii="Times New Roman" w:hAnsi="Times New Roman" w:eastAsia="宋体" w:cs="Times New Roman"/>
                <w:b/>
                <w:bCs w:val="0"/>
                <w:color w:val="auto"/>
                <w:sz w:val="21"/>
                <w:szCs w:val="21"/>
                <w:lang w:val="en-US" w:eastAsia="zh-CN"/>
              </w:rPr>
              <w:t xml:space="preserve">  项目周边外环境关系一览表</w:t>
            </w:r>
          </w:p>
          <w:tbl>
            <w:tblPr>
              <w:tblStyle w:val="26"/>
              <w:tblW w:w="77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3173"/>
              <w:gridCol w:w="1546"/>
              <w:gridCol w:w="2287"/>
            </w:tblGrid>
            <w:tr w14:paraId="49BF7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37DA9673">
                  <w:pPr>
                    <w:spacing w:line="240" w:lineRule="auto"/>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序号</w:t>
                  </w:r>
                </w:p>
              </w:tc>
              <w:tc>
                <w:tcPr>
                  <w:tcW w:w="3173" w:type="dxa"/>
                  <w:tcBorders>
                    <w:tl2br w:val="nil"/>
                    <w:tr2bl w:val="nil"/>
                  </w:tcBorders>
                  <w:noWrap w:val="0"/>
                  <w:vAlign w:val="center"/>
                </w:tcPr>
                <w:p w14:paraId="506FDB61">
                  <w:pPr>
                    <w:spacing w:line="24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名称</w:t>
                  </w:r>
                </w:p>
              </w:tc>
              <w:tc>
                <w:tcPr>
                  <w:tcW w:w="1546" w:type="dxa"/>
                  <w:tcBorders>
                    <w:tl2br w:val="nil"/>
                    <w:tr2bl w:val="nil"/>
                  </w:tcBorders>
                  <w:noWrap w:val="0"/>
                  <w:vAlign w:val="center"/>
                </w:tcPr>
                <w:p w14:paraId="46397994">
                  <w:pPr>
                    <w:spacing w:line="240" w:lineRule="auto"/>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rPr>
                    <w:t>方位</w:t>
                  </w:r>
                  <w:r>
                    <w:rPr>
                      <w:rFonts w:hint="eastAsia" w:ascii="宋体" w:hAnsi="宋体" w:eastAsia="宋体" w:cs="宋体"/>
                      <w:b/>
                      <w:bCs w:val="0"/>
                      <w:color w:val="auto"/>
                      <w:sz w:val="21"/>
                      <w:szCs w:val="21"/>
                      <w:highlight w:val="none"/>
                      <w:lang w:val="en-US" w:eastAsia="zh-CN"/>
                    </w:rPr>
                    <w:t>及距离</w:t>
                  </w:r>
                </w:p>
              </w:tc>
              <w:tc>
                <w:tcPr>
                  <w:tcW w:w="2287" w:type="dxa"/>
                  <w:tcBorders>
                    <w:tl2br w:val="nil"/>
                    <w:tr2bl w:val="nil"/>
                  </w:tcBorders>
                  <w:noWrap w:val="0"/>
                  <w:vAlign w:val="center"/>
                </w:tcPr>
                <w:p w14:paraId="2F76B62A">
                  <w:pPr>
                    <w:spacing w:line="240" w:lineRule="auto"/>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备注</w:t>
                  </w:r>
                </w:p>
              </w:tc>
            </w:tr>
            <w:tr w14:paraId="6C310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68FF2F5C">
                  <w:pPr>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3173" w:type="dxa"/>
                  <w:tcBorders>
                    <w:tl2br w:val="nil"/>
                    <w:tr2bl w:val="nil"/>
                  </w:tcBorders>
                  <w:noWrap w:val="0"/>
                  <w:vAlign w:val="center"/>
                </w:tcPr>
                <w:p w14:paraId="29A2BD86">
                  <w:pPr>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空置厂房</w:t>
                  </w:r>
                </w:p>
              </w:tc>
              <w:tc>
                <w:tcPr>
                  <w:tcW w:w="1546" w:type="dxa"/>
                  <w:tcBorders>
                    <w:tl2br w:val="nil"/>
                    <w:tr2bl w:val="nil"/>
                  </w:tcBorders>
                  <w:noWrap w:val="0"/>
                  <w:vAlign w:val="center"/>
                </w:tcPr>
                <w:p w14:paraId="4007D7DD">
                  <w:pPr>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北侧</w:t>
                  </w:r>
                  <w:r>
                    <w:rPr>
                      <w:rFonts w:hint="default" w:ascii="Times New Roman" w:hAnsi="Times New Roman" w:eastAsia="宋体" w:cs="Times New Roman"/>
                      <w:b w:val="0"/>
                      <w:bCs/>
                      <w:color w:val="auto"/>
                      <w:sz w:val="21"/>
                      <w:szCs w:val="21"/>
                      <w:highlight w:val="none"/>
                    </w:rPr>
                    <w:t>紧邻</w:t>
                  </w:r>
                </w:p>
              </w:tc>
              <w:tc>
                <w:tcPr>
                  <w:tcW w:w="2287" w:type="dxa"/>
                  <w:tcBorders>
                    <w:tl2br w:val="nil"/>
                    <w:tr2bl w:val="nil"/>
                  </w:tcBorders>
                  <w:noWrap w:val="0"/>
                  <w:vAlign w:val="center"/>
                </w:tcPr>
                <w:p w14:paraId="52EC3193">
                  <w:pPr>
                    <w:spacing w:line="240" w:lineRule="auto"/>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空置</w:t>
                  </w:r>
                </w:p>
              </w:tc>
            </w:tr>
            <w:tr w14:paraId="03F83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02" w:type="dxa"/>
                  <w:tcBorders>
                    <w:tl2br w:val="nil"/>
                    <w:tr2bl w:val="nil"/>
                  </w:tcBorders>
                  <w:noWrap w:val="0"/>
                  <w:vAlign w:val="center"/>
                </w:tcPr>
                <w:p w14:paraId="173AE2E6">
                  <w:pPr>
                    <w:spacing w:line="240" w:lineRule="auto"/>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2</w:t>
                  </w:r>
                </w:p>
              </w:tc>
              <w:tc>
                <w:tcPr>
                  <w:tcW w:w="3173" w:type="dxa"/>
                  <w:tcBorders>
                    <w:tl2br w:val="nil"/>
                    <w:tr2bl w:val="nil"/>
                  </w:tcBorders>
                  <w:noWrap w:val="0"/>
                  <w:vAlign w:val="center"/>
                </w:tcPr>
                <w:p w14:paraId="65037ABD">
                  <w:pPr>
                    <w:spacing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val="0"/>
                      <w:bCs/>
                      <w:color w:val="auto"/>
                      <w:sz w:val="21"/>
                      <w:szCs w:val="21"/>
                      <w:highlight w:val="none"/>
                    </w:rPr>
                    <w:t>大英殡仪馆</w:t>
                  </w:r>
                </w:p>
              </w:tc>
              <w:tc>
                <w:tcPr>
                  <w:tcW w:w="1546" w:type="dxa"/>
                  <w:tcBorders>
                    <w:tl2br w:val="nil"/>
                    <w:tr2bl w:val="nil"/>
                  </w:tcBorders>
                  <w:noWrap w:val="0"/>
                  <w:vAlign w:val="center"/>
                </w:tcPr>
                <w:p w14:paraId="748406AB">
                  <w:pPr>
                    <w:spacing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西北</w:t>
                  </w:r>
                  <w:r>
                    <w:rPr>
                      <w:rFonts w:hint="eastAsia" w:cs="Times New Roman"/>
                      <w:b w:val="0"/>
                      <w:bCs/>
                      <w:color w:val="auto"/>
                      <w:sz w:val="21"/>
                      <w:szCs w:val="21"/>
                      <w:highlight w:val="none"/>
                      <w:lang w:val="en-US" w:eastAsia="zh-CN"/>
                    </w:rPr>
                    <w:t>250</w:t>
                  </w:r>
                  <w:r>
                    <w:rPr>
                      <w:rFonts w:hint="default" w:ascii="Times New Roman" w:hAnsi="Times New Roman" w:eastAsia="宋体" w:cs="Times New Roman"/>
                      <w:b w:val="0"/>
                      <w:bCs/>
                      <w:color w:val="auto"/>
                      <w:sz w:val="21"/>
                      <w:szCs w:val="21"/>
                      <w:highlight w:val="none"/>
                      <w:lang w:val="en-US" w:eastAsia="zh-CN"/>
                    </w:rPr>
                    <w:t>m</w:t>
                  </w:r>
                </w:p>
              </w:tc>
              <w:tc>
                <w:tcPr>
                  <w:tcW w:w="2287" w:type="dxa"/>
                  <w:tcBorders>
                    <w:tl2br w:val="nil"/>
                    <w:tr2bl w:val="nil"/>
                  </w:tcBorders>
                  <w:noWrap w:val="0"/>
                  <w:vAlign w:val="center"/>
                </w:tcPr>
                <w:p w14:paraId="171686E6">
                  <w:pPr>
                    <w:spacing w:line="240" w:lineRule="auto"/>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丧葬服务</w:t>
                  </w:r>
                </w:p>
              </w:tc>
            </w:tr>
            <w:tr w14:paraId="64F96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02" w:type="dxa"/>
                  <w:tcBorders>
                    <w:tl2br w:val="nil"/>
                    <w:tr2bl w:val="nil"/>
                  </w:tcBorders>
                  <w:noWrap w:val="0"/>
                  <w:vAlign w:val="center"/>
                </w:tcPr>
                <w:p w14:paraId="2DDEB813">
                  <w:pPr>
                    <w:spacing w:line="240" w:lineRule="auto"/>
                    <w:jc w:val="center"/>
                    <w:rPr>
                      <w:rFonts w:hint="default" w:ascii="Times New Roman" w:hAnsi="Times New Roman" w:eastAsia="宋体" w:cs="Times New Roman"/>
                      <w:b w:val="0"/>
                      <w:bCs/>
                      <w:color w:val="auto"/>
                      <w:sz w:val="21"/>
                      <w:szCs w:val="21"/>
                      <w:highlight w:val="yellow"/>
                      <w:lang w:val="en-US" w:eastAsia="zh-CN"/>
                    </w:rPr>
                  </w:pPr>
                  <w:r>
                    <w:rPr>
                      <w:rFonts w:hint="default" w:ascii="Times New Roman" w:hAnsi="Times New Roman" w:eastAsia="宋体" w:cs="Times New Roman"/>
                      <w:b w:val="0"/>
                      <w:bCs/>
                      <w:color w:val="auto"/>
                      <w:sz w:val="21"/>
                      <w:szCs w:val="21"/>
                      <w:highlight w:val="none"/>
                      <w:lang w:val="en-US" w:eastAsia="zh-CN"/>
                    </w:rPr>
                    <w:t>3</w:t>
                  </w:r>
                </w:p>
              </w:tc>
              <w:tc>
                <w:tcPr>
                  <w:tcW w:w="3173" w:type="dxa"/>
                  <w:tcBorders>
                    <w:tl2br w:val="nil"/>
                    <w:tr2bl w:val="nil"/>
                  </w:tcBorders>
                  <w:noWrap w:val="0"/>
                  <w:vAlign w:val="center"/>
                </w:tcPr>
                <w:p w14:paraId="62D8AA2E">
                  <w:pPr>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郪江</w:t>
                  </w:r>
                </w:p>
              </w:tc>
              <w:tc>
                <w:tcPr>
                  <w:tcW w:w="1546" w:type="dxa"/>
                  <w:tcBorders>
                    <w:tl2br w:val="nil"/>
                    <w:tr2bl w:val="nil"/>
                  </w:tcBorders>
                  <w:noWrap w:val="0"/>
                  <w:vAlign w:val="center"/>
                </w:tcPr>
                <w:p w14:paraId="654A1AF6">
                  <w:pPr>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西侧</w:t>
                  </w:r>
                  <w:r>
                    <w:rPr>
                      <w:rFonts w:hint="eastAsia" w:ascii="Times New Roman" w:hAnsi="Times New Roman" w:eastAsia="宋体" w:cs="Times New Roman"/>
                      <w:b w:val="0"/>
                      <w:bCs/>
                      <w:color w:val="auto"/>
                      <w:sz w:val="21"/>
                      <w:szCs w:val="21"/>
                      <w:highlight w:val="none"/>
                      <w:lang w:val="en-US" w:eastAsia="zh-CN"/>
                    </w:rPr>
                    <w:t>268</w:t>
                  </w:r>
                  <w:r>
                    <w:rPr>
                      <w:rFonts w:hint="default" w:ascii="Times New Roman" w:hAnsi="Times New Roman" w:eastAsia="宋体" w:cs="Times New Roman"/>
                      <w:b w:val="0"/>
                      <w:bCs/>
                      <w:color w:val="auto"/>
                      <w:sz w:val="21"/>
                      <w:szCs w:val="21"/>
                      <w:highlight w:val="none"/>
                    </w:rPr>
                    <w:t>m</w:t>
                  </w:r>
                </w:p>
              </w:tc>
              <w:tc>
                <w:tcPr>
                  <w:tcW w:w="2287" w:type="dxa"/>
                  <w:tcBorders>
                    <w:tl2br w:val="nil"/>
                    <w:tr2bl w:val="nil"/>
                  </w:tcBorders>
                  <w:noWrap w:val="0"/>
                  <w:vAlign w:val="center"/>
                </w:tcPr>
                <w:p w14:paraId="698C4B7D">
                  <w:pPr>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泄洪、灌溉</w:t>
                  </w:r>
                </w:p>
              </w:tc>
            </w:tr>
            <w:tr w14:paraId="6F5D7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02" w:type="dxa"/>
                  <w:tcBorders>
                    <w:tl2br w:val="nil"/>
                    <w:tr2bl w:val="nil"/>
                  </w:tcBorders>
                  <w:noWrap w:val="0"/>
                  <w:vAlign w:val="center"/>
                </w:tcPr>
                <w:p w14:paraId="0C8EAF7B">
                  <w:pPr>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w:t>
                  </w:r>
                </w:p>
              </w:tc>
              <w:tc>
                <w:tcPr>
                  <w:tcW w:w="3173" w:type="dxa"/>
                  <w:tcBorders>
                    <w:tl2br w:val="nil"/>
                    <w:tr2bl w:val="nil"/>
                  </w:tcBorders>
                  <w:noWrap w:val="0"/>
                  <w:vAlign w:val="center"/>
                </w:tcPr>
                <w:p w14:paraId="6563C98A">
                  <w:pPr>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大英九合生物化工有限公司</w:t>
                  </w:r>
                </w:p>
              </w:tc>
              <w:tc>
                <w:tcPr>
                  <w:tcW w:w="1546" w:type="dxa"/>
                  <w:tcBorders>
                    <w:tl2br w:val="nil"/>
                    <w:tr2bl w:val="nil"/>
                  </w:tcBorders>
                  <w:noWrap w:val="0"/>
                  <w:vAlign w:val="center"/>
                </w:tcPr>
                <w:p w14:paraId="68F41124">
                  <w:pPr>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南侧</w:t>
                  </w:r>
                  <w:r>
                    <w:rPr>
                      <w:rFonts w:hint="eastAsia" w:ascii="Times New Roman" w:hAnsi="Times New Roman" w:eastAsia="宋体" w:cs="Times New Roman"/>
                      <w:color w:val="auto"/>
                      <w:sz w:val="21"/>
                      <w:szCs w:val="21"/>
                      <w:highlight w:val="none"/>
                      <w:lang w:val="en-US" w:eastAsia="zh-CN"/>
                    </w:rPr>
                    <w:t>163</w:t>
                  </w:r>
                  <w:r>
                    <w:rPr>
                      <w:rFonts w:hint="default" w:ascii="Times New Roman" w:hAnsi="Times New Roman" w:eastAsia="宋体" w:cs="Times New Roman"/>
                      <w:color w:val="auto"/>
                      <w:sz w:val="21"/>
                      <w:szCs w:val="21"/>
                      <w:highlight w:val="none"/>
                      <w:lang w:val="en-US" w:eastAsia="zh-CN"/>
                    </w:rPr>
                    <w:t>m</w:t>
                  </w:r>
                </w:p>
              </w:tc>
              <w:tc>
                <w:tcPr>
                  <w:tcW w:w="2287" w:type="dxa"/>
                  <w:tcBorders>
                    <w:tl2br w:val="nil"/>
                    <w:tr2bl w:val="nil"/>
                  </w:tcBorders>
                  <w:noWrap w:val="0"/>
                  <w:vAlign w:val="center"/>
                </w:tcPr>
                <w:p w14:paraId="2AC3732C">
                  <w:pPr>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eastAsia="宋体"/>
                      <w:b w:val="0"/>
                      <w:bCs w:val="0"/>
                      <w:color w:val="auto"/>
                      <w:sz w:val="21"/>
                      <w:szCs w:val="21"/>
                      <w:highlight w:val="none"/>
                      <w:lang w:val="en-US" w:eastAsia="zh-CN"/>
                    </w:rPr>
                    <w:t>生物制品制造</w:t>
                  </w:r>
                </w:p>
              </w:tc>
            </w:tr>
            <w:tr w14:paraId="3760C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702" w:type="dxa"/>
                  <w:tcBorders>
                    <w:tl2br w:val="nil"/>
                    <w:tr2bl w:val="nil"/>
                  </w:tcBorders>
                  <w:noWrap w:val="0"/>
                  <w:vAlign w:val="center"/>
                </w:tcPr>
                <w:p w14:paraId="03F600F8">
                  <w:pPr>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5</w:t>
                  </w:r>
                </w:p>
              </w:tc>
              <w:tc>
                <w:tcPr>
                  <w:tcW w:w="3173" w:type="dxa"/>
                  <w:tcBorders>
                    <w:tl2br w:val="nil"/>
                    <w:tr2bl w:val="nil"/>
                  </w:tcBorders>
                  <w:noWrap w:val="0"/>
                  <w:vAlign w:val="center"/>
                </w:tcPr>
                <w:p w14:paraId="0F1E1365">
                  <w:pPr>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四川达盛源化纤有限公司</w:t>
                  </w:r>
                </w:p>
              </w:tc>
              <w:tc>
                <w:tcPr>
                  <w:tcW w:w="1546" w:type="dxa"/>
                  <w:tcBorders>
                    <w:tl2br w:val="nil"/>
                    <w:tr2bl w:val="nil"/>
                  </w:tcBorders>
                  <w:noWrap w:val="0"/>
                  <w:vAlign w:val="center"/>
                </w:tcPr>
                <w:p w14:paraId="199CE8F0">
                  <w:pPr>
                    <w:spacing w:line="240" w:lineRule="auto"/>
                    <w:jc w:val="center"/>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南侧</w:t>
                  </w:r>
                  <w:r>
                    <w:rPr>
                      <w:rFonts w:hint="eastAsia" w:ascii="Times New Roman" w:hAnsi="Times New Roman" w:eastAsia="宋体" w:cs="Times New Roman"/>
                      <w:color w:val="auto"/>
                      <w:sz w:val="21"/>
                      <w:szCs w:val="21"/>
                      <w:highlight w:val="none"/>
                      <w:lang w:val="en-US" w:eastAsia="zh-CN"/>
                    </w:rPr>
                    <w:t>163</w:t>
                  </w:r>
                  <w:r>
                    <w:rPr>
                      <w:rFonts w:hint="default" w:ascii="Times New Roman" w:hAnsi="Times New Roman" w:eastAsia="宋体" w:cs="Times New Roman"/>
                      <w:color w:val="auto"/>
                      <w:sz w:val="21"/>
                      <w:szCs w:val="21"/>
                      <w:highlight w:val="none"/>
                      <w:lang w:val="en-US" w:eastAsia="zh-CN"/>
                    </w:rPr>
                    <w:t>m</w:t>
                  </w:r>
                </w:p>
              </w:tc>
              <w:tc>
                <w:tcPr>
                  <w:tcW w:w="2287" w:type="dxa"/>
                  <w:tcBorders>
                    <w:tl2br w:val="nil"/>
                    <w:tr2bl w:val="nil"/>
                  </w:tcBorders>
                  <w:noWrap w:val="0"/>
                  <w:vAlign w:val="center"/>
                </w:tcPr>
                <w:p w14:paraId="760FAFF5">
                  <w:pPr>
                    <w:spacing w:line="240" w:lineRule="auto"/>
                    <w:jc w:val="center"/>
                    <w:rPr>
                      <w:rFonts w:hint="default" w:ascii="Times New Roman" w:hAnsi="Times New Roman" w:eastAsia="宋体" w:cs="Times New Roman"/>
                      <w:b w:val="0"/>
                      <w:bCs/>
                      <w:color w:val="auto"/>
                      <w:sz w:val="21"/>
                      <w:szCs w:val="21"/>
                      <w:highlight w:val="none"/>
                    </w:rPr>
                  </w:pPr>
                  <w:r>
                    <w:rPr>
                      <w:rFonts w:hint="eastAsia" w:eastAsia="宋体"/>
                      <w:b w:val="0"/>
                      <w:bCs w:val="0"/>
                      <w:color w:val="auto"/>
                      <w:sz w:val="21"/>
                      <w:szCs w:val="21"/>
                      <w:highlight w:val="none"/>
                      <w:lang w:val="en-US" w:eastAsia="zh-CN"/>
                    </w:rPr>
                    <w:t>化纤制造</w:t>
                  </w:r>
                </w:p>
              </w:tc>
            </w:tr>
            <w:tr w14:paraId="0560E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702" w:type="dxa"/>
                  <w:tcBorders>
                    <w:tl2br w:val="nil"/>
                    <w:tr2bl w:val="nil"/>
                  </w:tcBorders>
                  <w:noWrap w:val="0"/>
                  <w:vAlign w:val="center"/>
                </w:tcPr>
                <w:p w14:paraId="663FC864">
                  <w:pPr>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3173" w:type="dxa"/>
                  <w:tcBorders>
                    <w:tl2br w:val="nil"/>
                    <w:tr2bl w:val="nil"/>
                  </w:tcBorders>
                  <w:noWrap w:val="0"/>
                  <w:vAlign w:val="center"/>
                </w:tcPr>
                <w:p w14:paraId="2006A21B">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四川飞亚动力科技有限公司</w:t>
                  </w:r>
                </w:p>
              </w:tc>
              <w:tc>
                <w:tcPr>
                  <w:tcW w:w="1546" w:type="dxa"/>
                  <w:tcBorders>
                    <w:tl2br w:val="nil"/>
                    <w:tr2bl w:val="nil"/>
                  </w:tcBorders>
                  <w:noWrap w:val="0"/>
                  <w:vAlign w:val="center"/>
                </w:tcPr>
                <w:p w14:paraId="4C0D019C">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东南侧434</w:t>
                  </w:r>
                  <w:r>
                    <w:rPr>
                      <w:rFonts w:hint="default" w:ascii="Times New Roman" w:hAnsi="Times New Roman" w:eastAsia="宋体" w:cs="Times New Roman"/>
                      <w:color w:val="auto"/>
                      <w:sz w:val="21"/>
                      <w:szCs w:val="21"/>
                      <w:highlight w:val="none"/>
                      <w:lang w:val="en-US" w:eastAsia="zh-CN"/>
                    </w:rPr>
                    <w:t>m</w:t>
                  </w:r>
                </w:p>
              </w:tc>
              <w:tc>
                <w:tcPr>
                  <w:tcW w:w="2287" w:type="dxa"/>
                  <w:tcBorders>
                    <w:tl2br w:val="nil"/>
                    <w:tr2bl w:val="nil"/>
                  </w:tcBorders>
                  <w:noWrap w:val="0"/>
                  <w:vAlign w:val="center"/>
                </w:tcPr>
                <w:p w14:paraId="0009C243">
                  <w:pPr>
                    <w:spacing w:line="240" w:lineRule="auto"/>
                    <w:jc w:val="center"/>
                    <w:rPr>
                      <w:rFonts w:hint="default" w:ascii="Times New Roman" w:hAnsi="Times New Roman" w:eastAsia="宋体" w:cs="Times New Roman"/>
                      <w:b w:val="0"/>
                      <w:bCs/>
                      <w:color w:val="auto"/>
                      <w:sz w:val="21"/>
                      <w:szCs w:val="21"/>
                      <w:highlight w:val="none"/>
                    </w:rPr>
                  </w:pPr>
                  <w:r>
                    <w:rPr>
                      <w:rFonts w:hint="eastAsia" w:eastAsia="宋体"/>
                      <w:b w:val="0"/>
                      <w:bCs w:val="0"/>
                      <w:color w:val="auto"/>
                      <w:sz w:val="21"/>
                      <w:szCs w:val="21"/>
                      <w:highlight w:val="none"/>
                      <w:lang w:val="en-US" w:eastAsia="zh-CN"/>
                    </w:rPr>
                    <w:t>机械制造</w:t>
                  </w:r>
                </w:p>
              </w:tc>
            </w:tr>
            <w:tr w14:paraId="07F0C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702" w:type="dxa"/>
                  <w:tcBorders>
                    <w:tl2br w:val="nil"/>
                    <w:tr2bl w:val="nil"/>
                  </w:tcBorders>
                  <w:noWrap w:val="0"/>
                  <w:vAlign w:val="center"/>
                </w:tcPr>
                <w:p w14:paraId="571E040D">
                  <w:pPr>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7</w:t>
                  </w:r>
                </w:p>
              </w:tc>
              <w:tc>
                <w:tcPr>
                  <w:tcW w:w="3173" w:type="dxa"/>
                  <w:tcBorders>
                    <w:tl2br w:val="nil"/>
                    <w:tr2bl w:val="nil"/>
                  </w:tcBorders>
                  <w:noWrap w:val="0"/>
                  <w:vAlign w:val="center"/>
                </w:tcPr>
                <w:p w14:paraId="2C3A5CB1">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四川万勃石油机械制造有限公司</w:t>
                  </w:r>
                </w:p>
              </w:tc>
              <w:tc>
                <w:tcPr>
                  <w:tcW w:w="1546" w:type="dxa"/>
                  <w:tcBorders>
                    <w:tl2br w:val="nil"/>
                    <w:tr2bl w:val="nil"/>
                  </w:tcBorders>
                  <w:noWrap w:val="0"/>
                  <w:vAlign w:val="center"/>
                </w:tcPr>
                <w:p w14:paraId="6760AC25">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东南侧413</w:t>
                  </w:r>
                  <w:r>
                    <w:rPr>
                      <w:rFonts w:hint="default" w:ascii="Times New Roman" w:hAnsi="Times New Roman" w:eastAsia="宋体" w:cs="Times New Roman"/>
                      <w:color w:val="auto"/>
                      <w:sz w:val="21"/>
                      <w:szCs w:val="21"/>
                      <w:highlight w:val="none"/>
                      <w:lang w:val="en-US" w:eastAsia="zh-CN"/>
                    </w:rPr>
                    <w:t>m</w:t>
                  </w:r>
                </w:p>
              </w:tc>
              <w:tc>
                <w:tcPr>
                  <w:tcW w:w="2287" w:type="dxa"/>
                  <w:tcBorders>
                    <w:tl2br w:val="nil"/>
                    <w:tr2bl w:val="nil"/>
                  </w:tcBorders>
                  <w:noWrap w:val="0"/>
                  <w:vAlign w:val="center"/>
                </w:tcPr>
                <w:p w14:paraId="45C2A72D">
                  <w:pPr>
                    <w:spacing w:line="240" w:lineRule="auto"/>
                    <w:jc w:val="center"/>
                    <w:rPr>
                      <w:rFonts w:hint="default" w:ascii="Times New Roman" w:hAnsi="Times New Roman" w:eastAsia="宋体" w:cs="Times New Roman"/>
                      <w:b w:val="0"/>
                      <w:bCs/>
                      <w:color w:val="auto"/>
                      <w:sz w:val="21"/>
                      <w:szCs w:val="21"/>
                      <w:highlight w:val="none"/>
                    </w:rPr>
                  </w:pPr>
                  <w:r>
                    <w:rPr>
                      <w:rFonts w:hint="eastAsia" w:eastAsia="宋体"/>
                      <w:b w:val="0"/>
                      <w:bCs w:val="0"/>
                      <w:color w:val="auto"/>
                      <w:sz w:val="21"/>
                      <w:szCs w:val="21"/>
                      <w:highlight w:val="none"/>
                      <w:lang w:val="en-US" w:eastAsia="zh-CN"/>
                    </w:rPr>
                    <w:t>石油机械制造</w:t>
                  </w:r>
                </w:p>
              </w:tc>
            </w:tr>
            <w:tr w14:paraId="16F1F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702" w:type="dxa"/>
                  <w:tcBorders>
                    <w:tl2br w:val="nil"/>
                    <w:tr2bl w:val="nil"/>
                  </w:tcBorders>
                  <w:noWrap w:val="0"/>
                  <w:vAlign w:val="center"/>
                </w:tcPr>
                <w:p w14:paraId="7B733924">
                  <w:pPr>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8</w:t>
                  </w:r>
                </w:p>
              </w:tc>
              <w:tc>
                <w:tcPr>
                  <w:tcW w:w="3173" w:type="dxa"/>
                  <w:tcBorders>
                    <w:tl2br w:val="nil"/>
                    <w:tr2bl w:val="nil"/>
                  </w:tcBorders>
                  <w:noWrap w:val="0"/>
                  <w:vAlign w:val="center"/>
                </w:tcPr>
                <w:p w14:paraId="72956A38">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大英县渝能化纤厂</w:t>
                  </w:r>
                </w:p>
              </w:tc>
              <w:tc>
                <w:tcPr>
                  <w:tcW w:w="1546" w:type="dxa"/>
                  <w:tcBorders>
                    <w:tl2br w:val="nil"/>
                    <w:tr2bl w:val="nil"/>
                  </w:tcBorders>
                  <w:noWrap w:val="0"/>
                  <w:vAlign w:val="center"/>
                </w:tcPr>
                <w:p w14:paraId="3DB7F502">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东南侧241m</w:t>
                  </w:r>
                </w:p>
              </w:tc>
              <w:tc>
                <w:tcPr>
                  <w:tcW w:w="2287" w:type="dxa"/>
                  <w:tcBorders>
                    <w:tl2br w:val="nil"/>
                    <w:tr2bl w:val="nil"/>
                  </w:tcBorders>
                  <w:noWrap w:val="0"/>
                  <w:vAlign w:val="center"/>
                </w:tcPr>
                <w:p w14:paraId="6C0F3F78">
                  <w:pPr>
                    <w:spacing w:line="240" w:lineRule="auto"/>
                    <w:jc w:val="center"/>
                    <w:rPr>
                      <w:rFonts w:hint="default" w:ascii="Times New Roman" w:hAnsi="Times New Roman" w:eastAsia="宋体" w:cs="Times New Roman"/>
                      <w:b w:val="0"/>
                      <w:bCs/>
                      <w:color w:val="auto"/>
                      <w:sz w:val="21"/>
                      <w:szCs w:val="21"/>
                      <w:highlight w:val="none"/>
                    </w:rPr>
                  </w:pPr>
                  <w:r>
                    <w:rPr>
                      <w:rFonts w:hint="eastAsia" w:eastAsia="宋体"/>
                      <w:b w:val="0"/>
                      <w:bCs w:val="0"/>
                      <w:color w:val="auto"/>
                      <w:sz w:val="21"/>
                      <w:szCs w:val="21"/>
                      <w:highlight w:val="none"/>
                      <w:lang w:val="en-US" w:eastAsia="zh-CN"/>
                    </w:rPr>
                    <w:t>化纤制造</w:t>
                  </w:r>
                </w:p>
              </w:tc>
            </w:tr>
            <w:tr w14:paraId="2442B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44273CAB">
                  <w:pPr>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9</w:t>
                  </w:r>
                </w:p>
              </w:tc>
              <w:tc>
                <w:tcPr>
                  <w:tcW w:w="3173" w:type="dxa"/>
                  <w:tcBorders>
                    <w:tl2br w:val="nil"/>
                    <w:tr2bl w:val="nil"/>
                  </w:tcBorders>
                  <w:noWrap w:val="0"/>
                  <w:vAlign w:val="center"/>
                </w:tcPr>
                <w:p w14:paraId="0C34A479">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四川省汇强油脂有限公司</w:t>
                  </w:r>
                  <w:r>
                    <w:rPr>
                      <w:rFonts w:hint="eastAsia" w:ascii="Times New Roman" w:hAnsi="Times New Roman" w:eastAsia="宋体" w:cs="Times New Roman"/>
                      <w:color w:val="auto"/>
                      <w:sz w:val="21"/>
                      <w:szCs w:val="21"/>
                      <w:highlight w:val="none"/>
                      <w:lang w:val="en-US" w:eastAsia="zh-CN"/>
                    </w:rPr>
                    <w:t>（停产）</w:t>
                  </w:r>
                </w:p>
              </w:tc>
              <w:tc>
                <w:tcPr>
                  <w:tcW w:w="1546" w:type="dxa"/>
                  <w:tcBorders>
                    <w:tl2br w:val="nil"/>
                    <w:tr2bl w:val="nil"/>
                  </w:tcBorders>
                  <w:noWrap w:val="0"/>
                  <w:vAlign w:val="center"/>
                </w:tcPr>
                <w:p w14:paraId="320B11D0">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东南侧434m</w:t>
                  </w:r>
                </w:p>
              </w:tc>
              <w:tc>
                <w:tcPr>
                  <w:tcW w:w="2287" w:type="dxa"/>
                  <w:tcBorders>
                    <w:tl2br w:val="nil"/>
                    <w:tr2bl w:val="nil"/>
                  </w:tcBorders>
                  <w:noWrap w:val="0"/>
                  <w:vAlign w:val="center"/>
                </w:tcPr>
                <w:p w14:paraId="4C552ABB">
                  <w:pPr>
                    <w:spacing w:line="240" w:lineRule="auto"/>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停产</w:t>
                  </w:r>
                </w:p>
              </w:tc>
            </w:tr>
            <w:tr w14:paraId="29B44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702" w:type="dxa"/>
                  <w:tcBorders>
                    <w:tl2br w:val="nil"/>
                    <w:tr2bl w:val="nil"/>
                  </w:tcBorders>
                  <w:noWrap w:val="0"/>
                  <w:vAlign w:val="center"/>
                </w:tcPr>
                <w:p w14:paraId="584BD86A">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3173" w:type="dxa"/>
                  <w:tcBorders>
                    <w:tl2br w:val="nil"/>
                    <w:tr2bl w:val="nil"/>
                  </w:tcBorders>
                  <w:noWrap w:val="0"/>
                  <w:vAlign w:val="center"/>
                </w:tcPr>
                <w:p w14:paraId="771AC8E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四川圣拉斯包装制品有限公司</w:t>
                  </w:r>
                </w:p>
              </w:tc>
              <w:tc>
                <w:tcPr>
                  <w:tcW w:w="1546" w:type="dxa"/>
                  <w:tcBorders>
                    <w:tl2br w:val="nil"/>
                    <w:tr2bl w:val="nil"/>
                  </w:tcBorders>
                  <w:noWrap w:val="0"/>
                  <w:vAlign w:val="center"/>
                </w:tcPr>
                <w:p w14:paraId="7FEAAEAA">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东</w:t>
                  </w:r>
                  <w:r>
                    <w:rPr>
                      <w:rFonts w:hint="default" w:ascii="Times New Roman" w:hAnsi="Times New Roman" w:eastAsia="宋体" w:cs="Times New Roman"/>
                      <w:b w:val="0"/>
                      <w:bCs/>
                      <w:color w:val="auto"/>
                      <w:sz w:val="21"/>
                      <w:szCs w:val="21"/>
                      <w:highlight w:val="none"/>
                    </w:rPr>
                    <w:t>侧</w:t>
                  </w:r>
                  <w:r>
                    <w:rPr>
                      <w:rFonts w:hint="eastAsia" w:ascii="Times New Roman" w:hAnsi="Times New Roman" w:eastAsia="宋体" w:cs="Times New Roman"/>
                      <w:b w:val="0"/>
                      <w:bCs/>
                      <w:color w:val="auto"/>
                      <w:sz w:val="21"/>
                      <w:szCs w:val="21"/>
                      <w:highlight w:val="none"/>
                      <w:lang w:val="en-US" w:eastAsia="zh-CN"/>
                    </w:rPr>
                    <w:t>360m</w:t>
                  </w:r>
                </w:p>
              </w:tc>
              <w:tc>
                <w:tcPr>
                  <w:tcW w:w="2287" w:type="dxa"/>
                  <w:tcBorders>
                    <w:tl2br w:val="nil"/>
                    <w:tr2bl w:val="nil"/>
                  </w:tcBorders>
                  <w:noWrap w:val="0"/>
                  <w:vAlign w:val="center"/>
                </w:tcPr>
                <w:p w14:paraId="6F13780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酒类、礼品包装制造</w:t>
                  </w:r>
                </w:p>
              </w:tc>
            </w:tr>
            <w:tr w14:paraId="3CCAF6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7708" w:type="dxa"/>
                  <w:gridSpan w:val="4"/>
                  <w:tcBorders>
                    <w:tl2br w:val="nil"/>
                    <w:tr2bl w:val="nil"/>
                  </w:tcBorders>
                  <w:noWrap w:val="0"/>
                  <w:vAlign w:val="center"/>
                </w:tcPr>
                <w:p w14:paraId="0A8D5B42">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敏感目标</w:t>
                  </w:r>
                </w:p>
              </w:tc>
            </w:tr>
            <w:tr w14:paraId="49E7F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2" w:type="dxa"/>
                  <w:tcBorders>
                    <w:tl2br w:val="nil"/>
                    <w:tr2bl w:val="nil"/>
                  </w:tcBorders>
                  <w:noWrap w:val="0"/>
                  <w:vAlign w:val="center"/>
                </w:tcPr>
                <w:p w14:paraId="58BDC470">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3173" w:type="dxa"/>
                  <w:tcBorders>
                    <w:tl2br w:val="nil"/>
                    <w:tr2bl w:val="nil"/>
                  </w:tcBorders>
                  <w:noWrap w:val="0"/>
                  <w:vAlign w:val="center"/>
                </w:tcPr>
                <w:p w14:paraId="26793F1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rPr>
                    <w:t>散户居民</w:t>
                  </w:r>
                </w:p>
              </w:tc>
              <w:tc>
                <w:tcPr>
                  <w:tcW w:w="1546" w:type="dxa"/>
                  <w:tcBorders>
                    <w:tl2br w:val="nil"/>
                    <w:tr2bl w:val="nil"/>
                  </w:tcBorders>
                  <w:noWrap w:val="0"/>
                  <w:vAlign w:val="center"/>
                </w:tcPr>
                <w:p w14:paraId="717BD2C5">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
                      <w:bCs w:val="0"/>
                      <w:color w:val="auto"/>
                      <w:sz w:val="21"/>
                      <w:szCs w:val="21"/>
                      <w:highlight w:val="none"/>
                      <w:lang w:val="en-US" w:eastAsia="zh-CN"/>
                    </w:rPr>
                    <w:t>西北</w:t>
                  </w:r>
                  <w:r>
                    <w:rPr>
                      <w:rFonts w:hint="default" w:ascii="Times New Roman" w:hAnsi="Times New Roman" w:eastAsia="宋体" w:cs="Times New Roman"/>
                      <w:b/>
                      <w:bCs w:val="0"/>
                      <w:color w:val="auto"/>
                      <w:sz w:val="21"/>
                      <w:szCs w:val="21"/>
                      <w:highlight w:val="none"/>
                    </w:rPr>
                    <w:t>侧</w:t>
                  </w:r>
                  <w:r>
                    <w:rPr>
                      <w:rFonts w:hint="eastAsia" w:cs="Times New Roman"/>
                      <w:b/>
                      <w:bCs w:val="0"/>
                      <w:color w:val="auto"/>
                      <w:sz w:val="21"/>
                      <w:szCs w:val="21"/>
                      <w:highlight w:val="none"/>
                      <w:lang w:val="en-US" w:eastAsia="zh-CN"/>
                    </w:rPr>
                    <w:t>260</w:t>
                  </w:r>
                  <w:r>
                    <w:rPr>
                      <w:rFonts w:hint="default" w:ascii="Times New Roman" w:hAnsi="Times New Roman" w:eastAsia="宋体" w:cs="Times New Roman"/>
                      <w:b/>
                      <w:bCs w:val="0"/>
                      <w:color w:val="auto"/>
                      <w:sz w:val="21"/>
                      <w:szCs w:val="21"/>
                      <w:highlight w:val="none"/>
                    </w:rPr>
                    <w:t>m</w:t>
                  </w:r>
                </w:p>
              </w:tc>
              <w:tc>
                <w:tcPr>
                  <w:tcW w:w="2287" w:type="dxa"/>
                  <w:tcBorders>
                    <w:tl2br w:val="nil"/>
                    <w:tr2bl w:val="nil"/>
                  </w:tcBorders>
                  <w:noWrap w:val="0"/>
                  <w:vAlign w:val="center"/>
                </w:tcPr>
                <w:p w14:paraId="55E5055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2户，约5人</w:t>
                  </w:r>
                </w:p>
              </w:tc>
            </w:tr>
          </w:tbl>
          <w:p w14:paraId="10348182">
            <w:pPr>
              <w:spacing w:line="360" w:lineRule="auto"/>
              <w:ind w:firstLine="480" w:firstLineChars="200"/>
              <w:rPr>
                <w:rFonts w:hint="eastAsia"/>
                <w:color w:val="auto"/>
                <w:sz w:val="24"/>
                <w:szCs w:val="24"/>
              </w:rPr>
            </w:pPr>
            <w:r>
              <w:rPr>
                <w:rFonts w:hint="eastAsia"/>
                <w:color w:val="auto"/>
                <w:sz w:val="24"/>
                <w:szCs w:val="24"/>
              </w:rPr>
              <w:t xml:space="preserve">（2）外环境相容性 </w:t>
            </w:r>
          </w:p>
          <w:p w14:paraId="31E1CF7A">
            <w:pPr>
              <w:widowControl/>
              <w:tabs>
                <w:tab w:val="left" w:pos="1499"/>
              </w:tabs>
              <w:spacing w:line="360" w:lineRule="auto"/>
              <w:ind w:firstLine="480" w:firstLineChars="200"/>
              <w:rPr>
                <w:color w:val="auto"/>
                <w:kern w:val="0"/>
                <w:sz w:val="24"/>
                <w:highlight w:val="yellow"/>
              </w:rPr>
            </w:pPr>
            <w:r>
              <w:rPr>
                <w:color w:val="auto"/>
                <w:kern w:val="0"/>
                <w:sz w:val="24"/>
                <w:highlight w:val="none"/>
              </w:rPr>
              <w:t>项目建设地址位于</w:t>
            </w:r>
            <w:r>
              <w:rPr>
                <w:rFonts w:hint="default"/>
                <w:color w:val="auto"/>
                <w:sz w:val="24"/>
                <w:highlight w:val="none"/>
              </w:rPr>
              <w:t>大英经济开发区</w:t>
            </w:r>
            <w:r>
              <w:rPr>
                <w:color w:val="auto"/>
                <w:kern w:val="0"/>
                <w:sz w:val="24"/>
                <w:highlight w:val="none"/>
              </w:rPr>
              <w:t>，项目所在区域水、电、气等配套设施齐全，地理位置优越，交通便利，原料、成品运输极其方便。由外环境关系分析可知，</w:t>
            </w:r>
            <w:r>
              <w:rPr>
                <w:rFonts w:hint="default" w:ascii="Times New Roman" w:hAnsi="Times New Roman" w:cs="Times New Roman"/>
                <w:color w:val="auto"/>
                <w:kern w:val="0"/>
                <w:sz w:val="24"/>
                <w:highlight w:val="none"/>
              </w:rPr>
              <w:t>项目周</w:t>
            </w:r>
            <w:r>
              <w:rPr>
                <w:rFonts w:hint="eastAsia" w:ascii="Times New Roman" w:hAnsi="Times New Roman" w:cs="Times New Roman"/>
                <w:color w:val="auto"/>
                <w:kern w:val="0"/>
                <w:sz w:val="24"/>
                <w:highlight w:val="none"/>
                <w:lang w:eastAsia="zh-CN"/>
              </w:rPr>
              <w:t>边主要</w:t>
            </w:r>
            <w:r>
              <w:rPr>
                <w:rFonts w:hint="default" w:ascii="Times New Roman" w:hAnsi="Times New Roman" w:cs="Times New Roman"/>
                <w:color w:val="auto"/>
                <w:kern w:val="0"/>
                <w:sz w:val="24"/>
                <w:highlight w:val="none"/>
              </w:rPr>
              <w:t>为</w:t>
            </w:r>
            <w:r>
              <w:rPr>
                <w:rFonts w:hint="eastAsia"/>
                <w:color w:val="auto"/>
                <w:kern w:val="0"/>
                <w:sz w:val="24"/>
                <w:highlight w:val="none"/>
              </w:rPr>
              <w:t>机械</w:t>
            </w:r>
            <w:r>
              <w:rPr>
                <w:rFonts w:hint="eastAsia"/>
                <w:color w:val="auto"/>
                <w:kern w:val="0"/>
                <w:sz w:val="24"/>
                <w:highlight w:val="none"/>
                <w:lang w:val="en-US" w:eastAsia="zh-CN"/>
              </w:rPr>
              <w:t>制造</w:t>
            </w:r>
            <w:r>
              <w:rPr>
                <w:rFonts w:hint="eastAsia"/>
                <w:color w:val="auto"/>
                <w:kern w:val="0"/>
                <w:sz w:val="24"/>
                <w:highlight w:val="none"/>
              </w:rPr>
              <w:t>、</w:t>
            </w:r>
            <w:r>
              <w:rPr>
                <w:rFonts w:hint="eastAsia"/>
                <w:color w:val="auto"/>
                <w:kern w:val="0"/>
                <w:sz w:val="24"/>
                <w:highlight w:val="none"/>
                <w:lang w:val="en-US" w:eastAsia="zh-CN"/>
              </w:rPr>
              <w:t>化纤制造</w:t>
            </w:r>
            <w:r>
              <w:rPr>
                <w:rFonts w:hint="eastAsia"/>
                <w:color w:val="auto"/>
                <w:kern w:val="0"/>
                <w:sz w:val="24"/>
                <w:highlight w:val="none"/>
                <w:lang w:eastAsia="zh-CN"/>
              </w:rPr>
              <w:t>、</w:t>
            </w:r>
            <w:r>
              <w:rPr>
                <w:rFonts w:hint="eastAsia"/>
                <w:color w:val="auto"/>
                <w:kern w:val="0"/>
                <w:sz w:val="24"/>
                <w:highlight w:val="none"/>
                <w:lang w:val="en-US" w:eastAsia="zh-CN"/>
              </w:rPr>
              <w:t>包装产品制造</w:t>
            </w:r>
            <w:r>
              <w:rPr>
                <w:rFonts w:hint="eastAsia"/>
                <w:color w:val="auto"/>
                <w:kern w:val="0"/>
                <w:sz w:val="24"/>
                <w:highlight w:val="none"/>
              </w:rPr>
              <w:t>生产</w:t>
            </w:r>
            <w:r>
              <w:rPr>
                <w:rFonts w:hint="eastAsia"/>
                <w:color w:val="auto"/>
                <w:kern w:val="0"/>
                <w:sz w:val="24"/>
                <w:highlight w:val="none"/>
                <w:lang w:eastAsia="zh-CN"/>
              </w:rPr>
              <w:t>类</w:t>
            </w:r>
            <w:r>
              <w:rPr>
                <w:rFonts w:hint="eastAsia"/>
                <w:color w:val="auto"/>
                <w:kern w:val="0"/>
                <w:sz w:val="24"/>
                <w:highlight w:val="none"/>
              </w:rPr>
              <w:t>企业</w:t>
            </w:r>
            <w:r>
              <w:rPr>
                <w:rFonts w:hint="default" w:ascii="Times New Roman" w:hAnsi="Times New Roman" w:cs="Times New Roman"/>
                <w:color w:val="auto"/>
                <w:kern w:val="0"/>
                <w:sz w:val="24"/>
                <w:highlight w:val="none"/>
              </w:rPr>
              <w:t>，</w:t>
            </w:r>
            <w:r>
              <w:rPr>
                <w:color w:val="auto"/>
                <w:kern w:val="0"/>
                <w:sz w:val="24"/>
                <w:highlight w:val="none"/>
              </w:rPr>
              <w:t>项目用地不属于基本农田保护区，所在地周围无大型公园、风景名胜、军事管理区、重要公共设施、水厂以及水源保护区、学校、医院等环境敏感目标，外环境无重大环境制约因素。</w:t>
            </w:r>
          </w:p>
          <w:p w14:paraId="50C60EF0">
            <w:pPr>
              <w:widowControl/>
              <w:tabs>
                <w:tab w:val="left" w:pos="1499"/>
              </w:tabs>
              <w:spacing w:line="360" w:lineRule="auto"/>
              <w:ind w:firstLine="480" w:firstLineChars="200"/>
              <w:rPr>
                <w:rFonts w:hint="default" w:ascii="Times New Roman" w:hAnsi="Times New Roman" w:cs="Times New Roman"/>
                <w:color w:val="auto"/>
                <w:kern w:val="0"/>
                <w:sz w:val="24"/>
                <w:highlight w:val="none"/>
              </w:rPr>
            </w:pPr>
            <w:r>
              <w:rPr>
                <w:rFonts w:hint="eastAsia" w:cs="Times New Roman"/>
                <w:color w:val="auto"/>
                <w:kern w:val="0"/>
                <w:sz w:val="24"/>
                <w:highlight w:val="none"/>
                <w:lang w:val="en-US" w:eastAsia="zh-CN"/>
              </w:rPr>
              <w:t>项</w:t>
            </w:r>
            <w:r>
              <w:rPr>
                <w:rFonts w:hint="default" w:ascii="Times New Roman" w:hAnsi="Times New Roman" w:cs="Times New Roman"/>
                <w:color w:val="auto"/>
                <w:kern w:val="0"/>
                <w:sz w:val="24"/>
                <w:highlight w:val="none"/>
              </w:rPr>
              <w:t>目产生的污染物在采取相应的治理措施后能够实现达标排放</w:t>
            </w:r>
            <w:r>
              <w:rPr>
                <w:rFonts w:hint="eastAsia" w:ascii="Times New Roman" w:hAnsi="Times New Roman" w:cs="Times New Roman"/>
                <w:color w:val="auto"/>
                <w:kern w:val="0"/>
                <w:sz w:val="24"/>
                <w:highlight w:val="none"/>
                <w:lang w:eastAsia="zh-CN"/>
              </w:rPr>
              <w:t>。根据外环境关系，周边主要保护目标为</w:t>
            </w:r>
            <w:r>
              <w:rPr>
                <w:rFonts w:hint="eastAsia" w:cs="Times New Roman"/>
                <w:color w:val="auto"/>
                <w:sz w:val="24"/>
                <w:highlight w:val="none"/>
                <w:lang w:val="en-US" w:eastAsia="zh-CN"/>
              </w:rPr>
              <w:t>西北</w:t>
            </w:r>
            <w:r>
              <w:rPr>
                <w:rFonts w:hint="eastAsia" w:ascii="Times New Roman" w:hAnsi="Times New Roman" w:cs="Times New Roman"/>
                <w:color w:val="auto"/>
                <w:sz w:val="24"/>
                <w:highlight w:val="none"/>
                <w:lang w:eastAsia="zh-CN"/>
              </w:rPr>
              <w:t>侧</w:t>
            </w:r>
            <w:r>
              <w:rPr>
                <w:rFonts w:hint="eastAsia" w:cs="Times New Roman"/>
                <w:color w:val="auto"/>
                <w:sz w:val="24"/>
                <w:highlight w:val="none"/>
                <w:lang w:val="en-US" w:eastAsia="zh-CN"/>
              </w:rPr>
              <w:t>260</w:t>
            </w:r>
            <w:r>
              <w:rPr>
                <w:rFonts w:hint="eastAsia"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lang w:eastAsia="zh-CN"/>
              </w:rPr>
              <w:t>的</w:t>
            </w:r>
            <w:r>
              <w:rPr>
                <w:rFonts w:hint="eastAsia" w:cs="Times New Roman"/>
                <w:color w:val="auto"/>
                <w:sz w:val="24"/>
                <w:highlight w:val="none"/>
                <w:lang w:val="en-US" w:eastAsia="zh-CN"/>
              </w:rPr>
              <w:t>2户散户居民</w:t>
            </w:r>
            <w:r>
              <w:rPr>
                <w:rFonts w:hint="eastAsia" w:ascii="Times New Roman" w:hAnsi="Times New Roman" w:cs="Times New Roman"/>
                <w:color w:val="auto"/>
                <w:kern w:val="0"/>
                <w:sz w:val="24"/>
                <w:highlight w:val="none"/>
                <w:lang w:eastAsia="zh-CN"/>
              </w:rPr>
              <w:t>属于</w:t>
            </w:r>
            <w:r>
              <w:rPr>
                <w:rFonts w:hint="eastAsia" w:cs="Times New Roman"/>
                <w:color w:val="auto"/>
                <w:kern w:val="0"/>
                <w:sz w:val="24"/>
                <w:highlight w:val="none"/>
                <w:lang w:val="en-US" w:eastAsia="zh-CN"/>
              </w:rPr>
              <w:t>上</w:t>
            </w:r>
            <w:r>
              <w:rPr>
                <w:rFonts w:hint="eastAsia" w:ascii="Times New Roman" w:hAnsi="Times New Roman" w:cs="Times New Roman"/>
                <w:color w:val="auto"/>
                <w:kern w:val="0"/>
                <w:sz w:val="24"/>
                <w:highlight w:val="none"/>
                <w:lang w:eastAsia="zh-CN"/>
              </w:rPr>
              <w:t>风向，且距离项目较远</w:t>
            </w:r>
            <w:r>
              <w:rPr>
                <w:rFonts w:hint="eastAsia"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eastAsia="zh-CN"/>
              </w:rPr>
              <w:t>项目</w:t>
            </w:r>
            <w:r>
              <w:rPr>
                <w:rFonts w:hint="default" w:ascii="Times New Roman" w:hAnsi="Times New Roman" w:cs="Times New Roman"/>
                <w:color w:val="auto"/>
                <w:kern w:val="0"/>
                <w:sz w:val="24"/>
                <w:highlight w:val="none"/>
              </w:rPr>
              <w:t>对</w:t>
            </w:r>
            <w:r>
              <w:rPr>
                <w:rFonts w:hint="eastAsia" w:ascii="Times New Roman" w:hAnsi="Times New Roman" w:cs="Times New Roman"/>
                <w:color w:val="auto"/>
                <w:kern w:val="0"/>
                <w:sz w:val="24"/>
                <w:highlight w:val="none"/>
                <w:lang w:eastAsia="zh-CN"/>
              </w:rPr>
              <w:t>其</w:t>
            </w:r>
            <w:r>
              <w:rPr>
                <w:rFonts w:hint="default" w:ascii="Times New Roman" w:hAnsi="Times New Roman" w:cs="Times New Roman"/>
                <w:color w:val="auto"/>
                <w:kern w:val="0"/>
                <w:sz w:val="24"/>
                <w:highlight w:val="none"/>
              </w:rPr>
              <w:t>环境影响不大。厂区</w:t>
            </w:r>
            <w:r>
              <w:rPr>
                <w:rFonts w:hint="eastAsia" w:ascii="Times New Roman" w:hAnsi="Times New Roman" w:cs="Times New Roman"/>
                <w:color w:val="auto"/>
                <w:kern w:val="0"/>
                <w:sz w:val="24"/>
                <w:highlight w:val="none"/>
                <w:lang w:eastAsia="zh-CN"/>
              </w:rPr>
              <w:t>运营过程</w:t>
            </w:r>
            <w:r>
              <w:rPr>
                <w:rFonts w:hint="default" w:ascii="Times New Roman" w:hAnsi="Times New Roman" w:cs="Times New Roman"/>
                <w:color w:val="auto"/>
                <w:kern w:val="0"/>
                <w:sz w:val="24"/>
                <w:highlight w:val="none"/>
              </w:rPr>
              <w:t>产生的噪声经</w:t>
            </w:r>
            <w:r>
              <w:rPr>
                <w:rFonts w:hint="eastAsia" w:ascii="Times New Roman" w:hAnsi="Times New Roman" w:cs="Times New Roman"/>
                <w:color w:val="auto"/>
                <w:kern w:val="0"/>
                <w:sz w:val="24"/>
                <w:highlight w:val="none"/>
                <w:lang w:eastAsia="zh-CN"/>
              </w:rPr>
              <w:t>采取降噪措施后</w:t>
            </w:r>
            <w:r>
              <w:rPr>
                <w:rFonts w:hint="default" w:ascii="Times New Roman" w:hAnsi="Times New Roman" w:cs="Times New Roman"/>
                <w:color w:val="auto"/>
                <w:kern w:val="0"/>
                <w:sz w:val="24"/>
                <w:highlight w:val="none"/>
              </w:rPr>
              <w:t>，对</w:t>
            </w:r>
            <w:r>
              <w:rPr>
                <w:rFonts w:hint="eastAsia" w:ascii="Times New Roman" w:hAnsi="Times New Roman" w:cs="Times New Roman"/>
                <w:color w:val="auto"/>
                <w:kern w:val="0"/>
                <w:sz w:val="24"/>
                <w:highlight w:val="none"/>
                <w:lang w:eastAsia="zh-CN"/>
              </w:rPr>
              <w:t>周边主要保护目标不会</w:t>
            </w:r>
            <w:r>
              <w:rPr>
                <w:rFonts w:hint="default" w:ascii="Times New Roman" w:hAnsi="Times New Roman" w:cs="Times New Roman"/>
                <w:color w:val="auto"/>
                <w:kern w:val="0"/>
                <w:sz w:val="24"/>
                <w:highlight w:val="none"/>
              </w:rPr>
              <w:t>造成</w:t>
            </w:r>
            <w:r>
              <w:rPr>
                <w:rFonts w:hint="eastAsia" w:ascii="Times New Roman" w:hAnsi="Times New Roman" w:cs="Times New Roman"/>
                <w:color w:val="auto"/>
                <w:kern w:val="0"/>
                <w:sz w:val="24"/>
                <w:highlight w:val="none"/>
                <w:lang w:eastAsia="zh-CN"/>
              </w:rPr>
              <w:t>明显不良</w:t>
            </w:r>
            <w:r>
              <w:rPr>
                <w:rFonts w:hint="default" w:ascii="Times New Roman" w:hAnsi="Times New Roman" w:cs="Times New Roman"/>
                <w:color w:val="auto"/>
                <w:kern w:val="0"/>
                <w:sz w:val="24"/>
                <w:highlight w:val="none"/>
              </w:rPr>
              <w:t>影响。</w:t>
            </w:r>
          </w:p>
          <w:p w14:paraId="2BCDC3A5">
            <w:pPr>
              <w:widowControl/>
              <w:tabs>
                <w:tab w:val="left" w:pos="1499"/>
              </w:tabs>
              <w:spacing w:line="360" w:lineRule="auto"/>
              <w:ind w:firstLine="480" w:firstLineChars="200"/>
              <w:rPr>
                <w:rFonts w:eastAsia="黑体"/>
                <w:color w:val="auto"/>
                <w:highlight w:val="none"/>
              </w:rPr>
            </w:pPr>
            <w:r>
              <w:rPr>
                <w:rFonts w:hint="default" w:ascii="Times New Roman" w:hAnsi="Times New Roman" w:cs="Times New Roman"/>
                <w:color w:val="auto"/>
                <w:kern w:val="0"/>
                <w:sz w:val="24"/>
                <w:highlight w:val="none"/>
              </w:rPr>
              <w:t>综上所述，本项目选址与</w:t>
            </w:r>
            <w:r>
              <w:rPr>
                <w:rFonts w:hint="default"/>
                <w:color w:val="auto"/>
                <w:sz w:val="24"/>
                <w:highlight w:val="none"/>
              </w:rPr>
              <w:t>大英经济开发区</w:t>
            </w:r>
            <w:r>
              <w:rPr>
                <w:rFonts w:hint="default" w:ascii="Times New Roman" w:hAnsi="Times New Roman" w:cs="Times New Roman"/>
                <w:color w:val="auto"/>
                <w:kern w:val="0"/>
                <w:sz w:val="24"/>
                <w:highlight w:val="none"/>
              </w:rPr>
              <w:t>产业定位相容，符合区域规划环评中入园企业环境门槛及环境准入条件要求，符合用地规划要求，外环境无重大环境制约因素，从环保角度看选址合理</w:t>
            </w:r>
            <w:r>
              <w:rPr>
                <w:rFonts w:hint="eastAsia"/>
                <w:color w:val="auto"/>
                <w:sz w:val="24"/>
                <w:szCs w:val="24"/>
                <w:highlight w:val="none"/>
              </w:rPr>
              <w:t>。</w:t>
            </w:r>
          </w:p>
          <w:p w14:paraId="2CA19A7C">
            <w:pPr>
              <w:spacing w:line="360" w:lineRule="auto"/>
              <w:ind w:firstLine="482" w:firstLineChars="200"/>
              <w:rPr>
                <w:rFonts w:hint="eastAsia" w:eastAsia="黑体"/>
                <w:color w:val="auto"/>
                <w:sz w:val="24"/>
                <w:szCs w:val="24"/>
                <w:highlight w:val="none"/>
                <w:lang w:val="en-US" w:eastAsia="zh-CN"/>
              </w:rPr>
            </w:pPr>
            <w:r>
              <w:rPr>
                <w:b/>
                <w:bCs/>
                <w:color w:val="auto"/>
                <w:sz w:val="24"/>
                <w:szCs w:val="24"/>
                <w:highlight w:val="none"/>
              </w:rPr>
              <w:t>综上所述，本项目周边企业环境相容</w:t>
            </w:r>
            <w:r>
              <w:rPr>
                <w:rFonts w:hint="eastAsia"/>
                <w:b/>
                <w:bCs/>
                <w:color w:val="auto"/>
                <w:sz w:val="24"/>
                <w:szCs w:val="24"/>
                <w:highlight w:val="none"/>
                <w:lang w:eastAsia="zh-CN"/>
              </w:rPr>
              <w:t>，</w:t>
            </w:r>
            <w:r>
              <w:rPr>
                <w:b/>
                <w:bCs/>
                <w:color w:val="auto"/>
                <w:sz w:val="24"/>
                <w:szCs w:val="24"/>
                <w:highlight w:val="none"/>
              </w:rPr>
              <w:t>不存在</w:t>
            </w:r>
            <w:r>
              <w:rPr>
                <w:rFonts w:hint="eastAsia"/>
                <w:b/>
                <w:bCs/>
                <w:color w:val="auto"/>
                <w:sz w:val="24"/>
                <w:szCs w:val="24"/>
                <w:highlight w:val="none"/>
                <w:lang w:val="en-US" w:eastAsia="zh-CN"/>
              </w:rPr>
              <w:t>环境</w:t>
            </w:r>
            <w:r>
              <w:rPr>
                <w:b/>
                <w:bCs/>
                <w:color w:val="auto"/>
                <w:sz w:val="24"/>
                <w:szCs w:val="24"/>
                <w:highlight w:val="none"/>
              </w:rPr>
              <w:t>制约因素</w:t>
            </w:r>
            <w:r>
              <w:rPr>
                <w:rFonts w:hint="eastAsia"/>
                <w:b/>
                <w:bCs/>
                <w:color w:val="auto"/>
                <w:sz w:val="24"/>
                <w:szCs w:val="24"/>
                <w:highlight w:val="none"/>
                <w:lang w:eastAsia="zh-CN"/>
              </w:rPr>
              <w:t>。</w:t>
            </w:r>
          </w:p>
          <w:p w14:paraId="29F48B75">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b/>
                <w:color w:val="auto"/>
                <w:sz w:val="24"/>
              </w:rPr>
            </w:pPr>
            <w:r>
              <w:rPr>
                <w:rFonts w:hint="default" w:ascii="Times New Roman" w:hAnsi="Times New Roman" w:cs="Times New Roman"/>
                <w:b/>
                <w:color w:val="auto"/>
                <w:sz w:val="24"/>
                <w:lang w:val="en-US" w:eastAsia="zh-CN"/>
              </w:rPr>
              <w:t>9.</w:t>
            </w:r>
            <w:r>
              <w:rPr>
                <w:rFonts w:hint="default" w:ascii="Times New Roman" w:hAnsi="Times New Roman" w:eastAsia="宋体" w:cs="Times New Roman"/>
                <w:b/>
                <w:color w:val="auto"/>
                <w:sz w:val="24"/>
                <w:lang w:eastAsia="zh-CN"/>
              </w:rPr>
              <w:t>项目与</w:t>
            </w:r>
            <w:r>
              <w:rPr>
                <w:rFonts w:hint="default" w:ascii="Times New Roman" w:hAnsi="Times New Roman" w:cs="Times New Roman"/>
                <w:b/>
                <w:color w:val="auto"/>
                <w:sz w:val="24"/>
                <w:lang w:val="en-US" w:eastAsia="zh-CN"/>
              </w:rPr>
              <w:t>生态环境分区管控</w:t>
            </w:r>
            <w:r>
              <w:rPr>
                <w:rFonts w:hint="default" w:ascii="Times New Roman" w:hAnsi="Times New Roman" w:eastAsia="宋体" w:cs="Times New Roman"/>
                <w:b/>
                <w:color w:val="auto"/>
                <w:sz w:val="24"/>
              </w:rPr>
              <w:t>符合性分析</w:t>
            </w:r>
          </w:p>
          <w:p w14:paraId="45960042">
            <w:pPr>
              <w:pStyle w:val="21"/>
              <w:widowControl w:val="0"/>
              <w:autoSpaceDE w:val="0"/>
              <w:autoSpaceDN w:val="0"/>
              <w:adjustRightInd w:val="0"/>
              <w:spacing w:before="0" w:beforeAutospacing="0" w:after="0" w:afterAutospacing="0" w:line="360" w:lineRule="auto"/>
              <w:ind w:firstLine="482" w:firstLineChars="200"/>
              <w:jc w:val="both"/>
              <w:rPr>
                <w:rFonts w:hint="eastAsia" w:ascii="Times New Roman" w:hAnsi="Times New Roman"/>
                <w:b/>
                <w:bCs/>
                <w:color w:val="auto"/>
                <w:szCs w:val="24"/>
              </w:rPr>
            </w:pPr>
            <w:r>
              <w:rPr>
                <w:rFonts w:hint="eastAsia" w:ascii="Times New Roman" w:hAnsi="Times New Roman"/>
                <w:b/>
                <w:bCs/>
                <w:color w:val="auto"/>
                <w:szCs w:val="24"/>
                <w:lang w:eastAsia="zh-CN"/>
              </w:rPr>
              <w:t>（</w:t>
            </w:r>
            <w:r>
              <w:rPr>
                <w:rFonts w:hint="eastAsia" w:ascii="Times New Roman" w:hAnsi="Times New Roman"/>
                <w:b/>
                <w:bCs/>
                <w:color w:val="auto"/>
                <w:szCs w:val="24"/>
                <w:lang w:val="en-US" w:eastAsia="zh-CN"/>
              </w:rPr>
              <w:t>1</w:t>
            </w:r>
            <w:r>
              <w:rPr>
                <w:rFonts w:hint="eastAsia" w:ascii="Times New Roman" w:hAnsi="Times New Roman"/>
                <w:b/>
                <w:bCs/>
                <w:color w:val="auto"/>
                <w:szCs w:val="24"/>
                <w:lang w:eastAsia="zh-CN"/>
              </w:rPr>
              <w:t>）</w:t>
            </w:r>
            <w:r>
              <w:rPr>
                <w:rFonts w:hint="eastAsia" w:ascii="Times New Roman" w:hAnsi="Times New Roman"/>
                <w:b/>
                <w:bCs/>
                <w:color w:val="auto"/>
                <w:szCs w:val="24"/>
              </w:rPr>
              <w:t>项目与遂环函〔2024〕2 号符合性分析</w:t>
            </w:r>
          </w:p>
          <w:p w14:paraId="08E85B9C">
            <w:pPr>
              <w:pStyle w:val="21"/>
              <w:widowControl w:val="0"/>
              <w:autoSpaceDE w:val="0"/>
              <w:autoSpaceDN w:val="0"/>
              <w:adjustRightInd w:val="0"/>
              <w:spacing w:before="0" w:beforeAutospacing="0" w:after="0" w:afterAutospacing="0" w:line="360" w:lineRule="auto"/>
              <w:ind w:firstLine="480" w:firstLineChars="200"/>
              <w:jc w:val="both"/>
              <w:rPr>
                <w:rFonts w:hint="eastAsia" w:ascii="Times New Roman" w:hAnsi="Times New Roman"/>
                <w:color w:val="auto"/>
                <w:szCs w:val="24"/>
              </w:rPr>
            </w:pPr>
            <w:r>
              <w:rPr>
                <w:rFonts w:hint="eastAsia" w:ascii="Times New Roman" w:hAnsi="Times New Roman"/>
                <w:color w:val="auto"/>
                <w:szCs w:val="24"/>
              </w:rPr>
              <w:t>2024 年 6 月 8 日遂宁市生态环境保护委员会发布了《关于印发遂宁市2023年生态环境分区管控动态更新成果的通知》（遂环函〔2024〕2 号）对原有的“三线一单”管控要求进行了更新，根据遂环函〔2024〕2 号，遂宁市最新生态环境准入要求如下：本项目位于大英工业园区，属于环境综合管控单元工业重点管控单元。</w:t>
            </w:r>
          </w:p>
          <w:p w14:paraId="7FDBC438">
            <w:pPr>
              <w:pStyle w:val="21"/>
              <w:keepNext w:val="0"/>
              <w:keepLines w:val="0"/>
              <w:widowControl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 1-</w:t>
            </w:r>
            <w:r>
              <w:rPr>
                <w:rFonts w:hint="eastAsia" w:ascii="Times New Roman" w:hAnsi="Times New Roman"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eastAsia="zh-CN"/>
              </w:rPr>
              <w:t xml:space="preserve"> 与遂环函〔2024〕2 号文件符合性</w:t>
            </w:r>
          </w:p>
          <w:tbl>
            <w:tblPr>
              <w:tblStyle w:val="26"/>
              <w:tblW w:w="777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3670"/>
              <w:gridCol w:w="2490"/>
              <w:gridCol w:w="916"/>
            </w:tblGrid>
            <w:tr w14:paraId="309B00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2" w:hRule="atLeast"/>
              </w:trPr>
              <w:tc>
                <w:tcPr>
                  <w:tcW w:w="702" w:type="dxa"/>
                  <w:tcBorders>
                    <w:tl2br w:val="nil"/>
                    <w:tr2bl w:val="nil"/>
                  </w:tcBorders>
                  <w:vAlign w:val="center"/>
                </w:tcPr>
                <w:p w14:paraId="219F0CB4">
                  <w:pPr>
                    <w:pStyle w:val="21"/>
                    <w:keepNext w:val="0"/>
                    <w:keepLines w:val="0"/>
                    <w:widowControl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行政区划</w:t>
                  </w:r>
                </w:p>
              </w:tc>
              <w:tc>
                <w:tcPr>
                  <w:tcW w:w="3670" w:type="dxa"/>
                  <w:tcBorders>
                    <w:tl2br w:val="nil"/>
                    <w:tr2bl w:val="nil"/>
                  </w:tcBorders>
                  <w:vAlign w:val="center"/>
                </w:tcPr>
                <w:p w14:paraId="1466391B">
                  <w:pPr>
                    <w:pStyle w:val="21"/>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生态环境管控要求</w:t>
                  </w:r>
                </w:p>
              </w:tc>
              <w:tc>
                <w:tcPr>
                  <w:tcW w:w="2490" w:type="dxa"/>
                  <w:tcBorders>
                    <w:tl2br w:val="nil"/>
                    <w:tr2bl w:val="nil"/>
                  </w:tcBorders>
                  <w:vAlign w:val="center"/>
                </w:tcPr>
                <w:p w14:paraId="7D62C3E1">
                  <w:pPr>
                    <w:pStyle w:val="21"/>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本项目</w:t>
                  </w:r>
                </w:p>
              </w:tc>
              <w:tc>
                <w:tcPr>
                  <w:tcW w:w="916" w:type="dxa"/>
                  <w:tcBorders>
                    <w:tl2br w:val="nil"/>
                    <w:tr2bl w:val="nil"/>
                  </w:tcBorders>
                  <w:vAlign w:val="center"/>
                </w:tcPr>
                <w:p w14:paraId="13A0ADA3">
                  <w:pPr>
                    <w:pStyle w:val="21"/>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符合性</w:t>
                  </w:r>
                </w:p>
              </w:tc>
            </w:tr>
            <w:tr w14:paraId="1BD180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34" w:hRule="atLeast"/>
              </w:trPr>
              <w:tc>
                <w:tcPr>
                  <w:tcW w:w="702" w:type="dxa"/>
                  <w:tcBorders>
                    <w:tl2br w:val="nil"/>
                    <w:tr2bl w:val="nil"/>
                  </w:tcBorders>
                  <w:vAlign w:val="top"/>
                </w:tcPr>
                <w:p w14:paraId="0FDD1C03">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遂宁市</w:t>
                  </w:r>
                </w:p>
              </w:tc>
              <w:tc>
                <w:tcPr>
                  <w:tcW w:w="3670" w:type="dxa"/>
                  <w:tcBorders>
                    <w:tl2br w:val="nil"/>
                    <w:tr2bl w:val="nil"/>
                  </w:tcBorders>
                  <w:vAlign w:val="top"/>
                </w:tcPr>
                <w:p w14:paraId="51396A7C">
                  <w:pPr>
                    <w:pStyle w:val="91"/>
                    <w:keepNext w:val="0"/>
                    <w:keepLines w:val="0"/>
                    <w:suppressLineNumbers w:val="0"/>
                    <w:tabs>
                      <w:tab w:val="left" w:pos="9615"/>
                    </w:tabs>
                    <w:spacing w:before="0" w:beforeAutospacing="0" w:after="0" w:afterAutospacing="0" w:line="240" w:lineRule="auto"/>
                    <w:ind w:left="0" w:right="0"/>
                    <w:jc w:val="both"/>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auto"/>
                      <w:sz w:val="21"/>
                      <w:szCs w:val="21"/>
                      <w:lang w:eastAsia="zh-CN"/>
                    </w:rPr>
                    <w:t>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p w14:paraId="3781B59E">
                  <w:pPr>
                    <w:pStyle w:val="91"/>
                    <w:keepNext w:val="0"/>
                    <w:keepLines w:val="0"/>
                    <w:suppressLineNumbers w:val="0"/>
                    <w:tabs>
                      <w:tab w:val="left" w:pos="9615"/>
                    </w:tabs>
                    <w:spacing w:before="0" w:beforeAutospacing="0" w:after="0" w:afterAutospacing="0" w:line="240" w:lineRule="auto"/>
                    <w:ind w:left="0" w:right="0"/>
                    <w:jc w:val="both"/>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auto"/>
                      <w:sz w:val="21"/>
                      <w:szCs w:val="21"/>
                      <w:lang w:eastAsia="zh-CN"/>
                    </w:rPr>
                    <w:t>锂电产业中锂离子电池行业引入，严格执行其行业资源环境绩效指标准入要求；</w:t>
                  </w:r>
                </w:p>
                <w:p w14:paraId="0B00EB25">
                  <w:pPr>
                    <w:pStyle w:val="91"/>
                    <w:keepNext w:val="0"/>
                    <w:keepLines w:val="0"/>
                    <w:suppressLineNumbers w:val="0"/>
                    <w:tabs>
                      <w:tab w:val="left" w:pos="9615"/>
                    </w:tabs>
                    <w:spacing w:before="0" w:beforeAutospacing="0" w:after="0" w:afterAutospacing="0" w:line="240" w:lineRule="auto"/>
                    <w:ind w:left="0" w:right="0"/>
                    <w:jc w:val="both"/>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auto"/>
                      <w:sz w:val="21"/>
                      <w:szCs w:val="21"/>
                      <w:lang w:eastAsia="zh-CN"/>
                    </w:rPr>
                    <w:t>全市大气污染物排放执行《四川省生态环境厅关于执行大气污染物特别排放限值的公告》相关要求；</w:t>
                  </w:r>
                </w:p>
                <w:p w14:paraId="7EB5337F">
                  <w:pPr>
                    <w:pStyle w:val="91"/>
                    <w:keepNext w:val="0"/>
                    <w:keepLines w:val="0"/>
                    <w:suppressLineNumbers w:val="0"/>
                    <w:tabs>
                      <w:tab w:val="left" w:pos="9615"/>
                    </w:tabs>
                    <w:spacing w:before="0" w:beforeAutospacing="0" w:after="0" w:afterAutospacing="0" w:line="240" w:lineRule="auto"/>
                    <w:ind w:left="0" w:right="0"/>
                    <w:jc w:val="both"/>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4</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auto"/>
                      <w:sz w:val="21"/>
                      <w:szCs w:val="21"/>
                      <w:lang w:eastAsia="zh-CN"/>
                    </w:rPr>
                    <w:t>强化沿江化工企业与园区的污染治理与风险管控，细化突发环境事件风险管控措施，严控流域型环境风险；严格落实《生态环境部 水利部关于建立跨省流域上下游突发水污染事件联防联控机制的指导意见》；</w:t>
                  </w:r>
                </w:p>
                <w:p w14:paraId="2E35D98E">
                  <w:pPr>
                    <w:pStyle w:val="91"/>
                    <w:keepNext w:val="0"/>
                    <w:keepLines w:val="0"/>
                    <w:suppressLineNumbers w:val="0"/>
                    <w:tabs>
                      <w:tab w:val="left" w:pos="9615"/>
                    </w:tabs>
                    <w:spacing w:before="0" w:beforeAutospacing="0" w:after="0" w:afterAutospacing="0" w:line="240" w:lineRule="auto"/>
                    <w:ind w:left="0" w:right="0"/>
                    <w:jc w:val="both"/>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（5）优化中心城区园区布局。</w:t>
                  </w:r>
                </w:p>
                <w:p w14:paraId="724E2B02">
                  <w:pPr>
                    <w:pStyle w:val="91"/>
                    <w:keepNext w:val="0"/>
                    <w:keepLines w:val="0"/>
                    <w:suppressLineNumbers w:val="0"/>
                    <w:tabs>
                      <w:tab w:val="left" w:pos="9615"/>
                    </w:tabs>
                    <w:spacing w:before="0" w:beforeAutospacing="0" w:after="0" w:afterAutospacing="0" w:line="240" w:lineRule="auto"/>
                    <w:ind w:left="0" w:right="0"/>
                    <w:jc w:val="both"/>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（6）深化成都平原、川东北地区大气污染联防联控工作机制，加强川渝地区联防联控。强化重污染天气区域应急联动机制，深化区域重污染天气联合应对。</w:t>
                  </w:r>
                </w:p>
              </w:tc>
              <w:tc>
                <w:tcPr>
                  <w:tcW w:w="2490" w:type="dxa"/>
                  <w:tcBorders>
                    <w:tl2br w:val="nil"/>
                    <w:tr2bl w:val="nil"/>
                  </w:tcBorders>
                  <w:vAlign w:val="top"/>
                </w:tcPr>
                <w:p w14:paraId="796369B4">
                  <w:pPr>
                    <w:pStyle w:val="91"/>
                    <w:keepNext w:val="0"/>
                    <w:keepLines w:val="0"/>
                    <w:suppressLineNumbers w:val="0"/>
                    <w:tabs>
                      <w:tab w:val="left" w:pos="9615"/>
                    </w:tabs>
                    <w:spacing w:before="0" w:beforeAutospacing="0" w:after="0" w:afterAutospacing="0" w:line="240" w:lineRule="auto"/>
                    <w:ind w:left="0" w:right="0"/>
                    <w:jc w:val="both"/>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本项目无重金属排放；（2）本项目不属于锂电产业；（3）本项目大气排放按《四川省生态环境厅关于执行大气污染物特别排放限值的公告》相关要求执行。（4）本项目属于沿江企业，但不属于沿江化工企业；（5）本项目位于园区内；（6）本项目承诺严格遵守重污染天气管控要求。</w:t>
                  </w:r>
                </w:p>
              </w:tc>
              <w:tc>
                <w:tcPr>
                  <w:tcW w:w="916" w:type="dxa"/>
                  <w:tcBorders>
                    <w:tl2br w:val="nil"/>
                    <w:tr2bl w:val="nil"/>
                  </w:tcBorders>
                  <w:vAlign w:val="center"/>
                </w:tcPr>
                <w:p w14:paraId="116C3896">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14:paraId="124D2D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6" w:hRule="atLeast"/>
              </w:trPr>
              <w:tc>
                <w:tcPr>
                  <w:tcW w:w="702" w:type="dxa"/>
                  <w:tcBorders>
                    <w:tl2br w:val="nil"/>
                    <w:tr2bl w:val="nil"/>
                  </w:tcBorders>
                  <w:vAlign w:val="top"/>
                </w:tcPr>
                <w:p w14:paraId="27964265">
                  <w:pPr>
                    <w:pStyle w:val="91"/>
                    <w:keepNext w:val="0"/>
                    <w:keepLines w:val="0"/>
                    <w:suppressLineNumbers w:val="0"/>
                    <w:tabs>
                      <w:tab w:val="left" w:pos="9615"/>
                    </w:tabs>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大英县</w:t>
                  </w:r>
                </w:p>
              </w:tc>
              <w:tc>
                <w:tcPr>
                  <w:tcW w:w="3670" w:type="dxa"/>
                  <w:tcBorders>
                    <w:tl2br w:val="nil"/>
                    <w:tr2bl w:val="nil"/>
                  </w:tcBorders>
                  <w:vAlign w:val="top"/>
                </w:tcPr>
                <w:p w14:paraId="3B434A4C">
                  <w:pPr>
                    <w:pStyle w:val="91"/>
                    <w:keepNext w:val="0"/>
                    <w:keepLines w:val="0"/>
                    <w:suppressLineNumbers w:val="0"/>
                    <w:tabs>
                      <w:tab w:val="left" w:pos="9615"/>
                    </w:tabs>
                    <w:spacing w:before="0" w:beforeAutospacing="0" w:after="0" w:afterAutospacing="0" w:line="240" w:lineRule="auto"/>
                    <w:ind w:left="0" w:right="0"/>
                    <w:jc w:val="both"/>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auto"/>
                      <w:sz w:val="21"/>
                      <w:szCs w:val="21"/>
                      <w:lang w:eastAsia="zh-CN"/>
                    </w:rPr>
                    <w:t xml:space="preserve">加强郪江流域污染治理、农业面源污染治 理，严格控制化肥农药使用量，科学划定禁养区， 积极推广畜禽清洁养殖和畜禽粪污无害化、资源化处理技术； </w:t>
                  </w:r>
                </w:p>
                <w:p w14:paraId="5B884B11">
                  <w:pPr>
                    <w:pStyle w:val="91"/>
                    <w:keepNext w:val="0"/>
                    <w:keepLines w:val="0"/>
                    <w:suppressLineNumbers w:val="0"/>
                    <w:tabs>
                      <w:tab w:val="left" w:pos="9615"/>
                    </w:tabs>
                    <w:spacing w:before="0" w:beforeAutospacing="0" w:after="0" w:afterAutospacing="0" w:line="240" w:lineRule="auto"/>
                    <w:ind w:left="0" w:right="0"/>
                    <w:jc w:val="both"/>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（2）现有涉及五类重金属排放的企业，严控污染物 排放；</w:t>
                  </w:r>
                </w:p>
                <w:p w14:paraId="7961CDBC">
                  <w:pPr>
                    <w:pStyle w:val="91"/>
                    <w:keepNext w:val="0"/>
                    <w:keepLines w:val="0"/>
                    <w:suppressLineNumbers w:val="0"/>
                    <w:tabs>
                      <w:tab w:val="left" w:pos="9615"/>
                    </w:tabs>
                    <w:spacing w:before="0" w:beforeAutospacing="0" w:after="0" w:afterAutospacing="0" w:line="240" w:lineRule="auto"/>
                    <w:ind w:left="0" w:right="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 xml:space="preserve"> （3）加强污染地块环境风险防控管理</w:t>
                  </w:r>
                  <w:r>
                    <w:rPr>
                      <w:rFonts w:hint="eastAsia" w:ascii="Times New Roman" w:hAnsi="Times New Roman" w:cs="Times New Roman"/>
                      <w:color w:val="auto"/>
                      <w:sz w:val="21"/>
                      <w:szCs w:val="21"/>
                      <w:lang w:eastAsia="zh-CN"/>
                    </w:rPr>
                    <w:t>。</w:t>
                  </w:r>
                </w:p>
              </w:tc>
              <w:tc>
                <w:tcPr>
                  <w:tcW w:w="2490" w:type="dxa"/>
                  <w:tcBorders>
                    <w:tl2br w:val="nil"/>
                    <w:tr2bl w:val="nil"/>
                  </w:tcBorders>
                  <w:vAlign w:val="top"/>
                </w:tcPr>
                <w:p w14:paraId="60B3709F">
                  <w:pPr>
                    <w:pStyle w:val="91"/>
                    <w:keepNext w:val="0"/>
                    <w:keepLines w:val="0"/>
                    <w:suppressLineNumbers w:val="0"/>
                    <w:tabs>
                      <w:tab w:val="left" w:pos="9615"/>
                    </w:tabs>
                    <w:spacing w:before="0" w:beforeAutospacing="0" w:after="0" w:afterAutospacing="0" w:line="240" w:lineRule="auto"/>
                    <w:ind w:left="0" w:right="0"/>
                    <w:jc w:val="both"/>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（1）本项目位于工业园区，不涉及农业面源和畜禽养殖。（2）本项目属于印刷</w:t>
                  </w:r>
                  <w:r>
                    <w:rPr>
                      <w:rFonts w:hint="eastAsia" w:ascii="Times New Roman" w:hAnsi="Times New Roman" w:cs="Times New Roman"/>
                      <w:color w:val="auto"/>
                      <w:sz w:val="21"/>
                      <w:szCs w:val="21"/>
                      <w:lang w:val="en-US" w:eastAsia="zh-CN"/>
                    </w:rPr>
                    <w:t>及塑料制品生产项目</w:t>
                  </w:r>
                  <w:r>
                    <w:rPr>
                      <w:rFonts w:hint="default" w:ascii="Times New Roman" w:hAnsi="Times New Roman" w:eastAsia="宋体" w:cs="Times New Roman"/>
                      <w:color w:val="auto"/>
                      <w:sz w:val="21"/>
                      <w:szCs w:val="21"/>
                    </w:rPr>
                    <w:t>，项目生产过程中无五类重金属排放。（3）本项目地块不属于污染地块</w:t>
                  </w:r>
                </w:p>
              </w:tc>
              <w:tc>
                <w:tcPr>
                  <w:tcW w:w="916" w:type="dxa"/>
                  <w:tcBorders>
                    <w:tl2br w:val="nil"/>
                    <w:tr2bl w:val="nil"/>
                  </w:tcBorders>
                  <w:vAlign w:val="center"/>
                </w:tcPr>
                <w:p w14:paraId="2A808F74">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bl>
          <w:p w14:paraId="261DD681">
            <w:pPr>
              <w:pStyle w:val="21"/>
              <w:widowControl w:val="0"/>
              <w:autoSpaceDE w:val="0"/>
              <w:autoSpaceDN w:val="0"/>
              <w:adjustRightInd w:val="0"/>
              <w:spacing w:before="0" w:beforeAutospacing="0" w:after="0" w:afterAutospacing="0" w:line="360" w:lineRule="auto"/>
              <w:ind w:firstLine="480" w:firstLineChars="200"/>
              <w:jc w:val="both"/>
              <w:rPr>
                <w:rFonts w:hint="eastAsia" w:ascii="Times New Roman" w:hAnsi="Times New Roman"/>
                <w:color w:val="auto"/>
                <w:szCs w:val="24"/>
              </w:rPr>
            </w:pPr>
          </w:p>
          <w:p w14:paraId="2A87F1DA">
            <w:pPr>
              <w:pStyle w:val="21"/>
              <w:widowControl w:val="0"/>
              <w:autoSpaceDE w:val="0"/>
              <w:autoSpaceDN w:val="0"/>
              <w:adjustRightInd w:val="0"/>
              <w:spacing w:before="0" w:beforeAutospacing="0" w:after="0" w:afterAutospacing="0" w:line="360" w:lineRule="auto"/>
              <w:jc w:val="both"/>
              <w:rPr>
                <w:rFonts w:hint="eastAsia" w:ascii="Times New Roman" w:hAnsi="Times New Roman"/>
                <w:color w:val="auto"/>
                <w:szCs w:val="24"/>
              </w:rPr>
            </w:pPr>
            <w:r>
              <w:rPr>
                <w:color w:val="auto"/>
                <w:sz w:val="24"/>
              </w:rPr>
              <mc:AlternateContent>
                <mc:Choice Requires="wps">
                  <w:drawing>
                    <wp:anchor distT="0" distB="0" distL="114300" distR="114300" simplePos="0" relativeHeight="251659264" behindDoc="0" locked="0" layoutInCell="1" allowOverlap="1">
                      <wp:simplePos x="0" y="0"/>
                      <wp:positionH relativeFrom="column">
                        <wp:posOffset>476885</wp:posOffset>
                      </wp:positionH>
                      <wp:positionV relativeFrom="paragraph">
                        <wp:posOffset>1368425</wp:posOffset>
                      </wp:positionV>
                      <wp:extent cx="725170" cy="249555"/>
                      <wp:effectExtent l="6350" t="6350" r="506730" b="487045"/>
                      <wp:wrapNone/>
                      <wp:docPr id="3" name="矩形标注 3"/>
                      <wp:cNvGraphicFramePr/>
                      <a:graphic xmlns:a="http://schemas.openxmlformats.org/drawingml/2006/main">
                        <a:graphicData uri="http://schemas.microsoft.com/office/word/2010/wordprocessingShape">
                          <wps:wsp>
                            <wps:cNvSpPr/>
                            <wps:spPr>
                              <a:xfrm>
                                <a:off x="1315085" y="2085975"/>
                                <a:ext cx="725170" cy="249555"/>
                              </a:xfrm>
                              <a:prstGeom prst="wedgeRectCallout">
                                <a:avLst>
                                  <a:gd name="adj1" fmla="val 111646"/>
                                  <a:gd name="adj2" fmla="val 232188"/>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3D5A5C6">
                                  <w:pPr>
                                    <w:jc w:val="center"/>
                                    <w:rPr>
                                      <w:rFonts w:hint="eastAsia" w:eastAsia="宋体"/>
                                      <w:color w:val="FF0000"/>
                                      <w:lang w:val="en-US" w:eastAsia="zh-CN"/>
                                    </w:rPr>
                                  </w:pPr>
                                  <w:r>
                                    <w:rPr>
                                      <w:rFonts w:hint="eastAsia"/>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7.55pt;margin-top:107.75pt;height:19.65pt;width:57.1pt;z-index:251659264;v-text-anchor:middle;mso-width-relative:page;mso-height-relative:page;" filled="f" stroked="t" coordsize="21600,21600" o:gfxdata="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GfuyaPaAAAACgEAAA8AAAAAAAAAAQAgAAAA&#10;IgAAAGRycy9kb3ducmV2LnhtbFBLAQIUABQAAAAIAIdO4kC8/ksltAIAAEYFAAAOAAAAAAAAAAEA&#10;IAAAACkBAABkcnMvZTJvRG9jLnhtbFBLBQYAAAAABgAGAFkBAABPBgAAAAA=&#10;" adj="34916,60953">
                      <v:fill on="f" focussize="0,0"/>
                      <v:stroke weight="1pt" color="#FF0000 [2404]" miterlimit="8" joinstyle="miter"/>
                      <v:imagedata o:title=""/>
                      <o:lock v:ext="edit" aspectratio="f"/>
                      <v:textbox>
                        <w:txbxContent>
                          <w:p w14:paraId="63D5A5C6">
                            <w:pPr>
                              <w:jc w:val="center"/>
                              <w:rPr>
                                <w:rFonts w:hint="eastAsia" w:eastAsia="宋体"/>
                                <w:color w:val="FF0000"/>
                                <w:lang w:val="en-US" w:eastAsia="zh-CN"/>
                              </w:rPr>
                            </w:pPr>
                            <w:r>
                              <w:rPr>
                                <w:rFonts w:hint="eastAsia"/>
                                <w:color w:val="FF0000"/>
                                <w:lang w:val="en-US" w:eastAsia="zh-CN"/>
                              </w:rPr>
                              <w:t>本项目</w:t>
                            </w:r>
                          </w:p>
                        </w:txbxContent>
                      </v:textbox>
                    </v:shape>
                  </w:pict>
                </mc:Fallback>
              </mc:AlternateContent>
            </w:r>
            <w:r>
              <w:rPr>
                <w:rFonts w:hint="eastAsia" w:ascii="Times New Roman" w:hAnsi="Times New Roman"/>
                <w:color w:val="auto"/>
              </w:rPr>
              <w:drawing>
                <wp:inline distT="0" distB="0" distL="114300" distR="114300">
                  <wp:extent cx="5010785" cy="3420745"/>
                  <wp:effectExtent l="0" t="0" r="18415" b="8255"/>
                  <wp:docPr id="4" name="图片 7" descr="D:/229499752/WPS云盘/论文文献/文献等/生态环境分区管控成果更新/遂宁资料/遂宁市生态环境分区管控成果动态更新专题说明/遂宁市2023年图集/13遂宁市环境管控单元图.jpg13遂宁市环境管控单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D:/229499752/WPS云盘/论文文献/文献等/生态环境分区管控成果更新/遂宁资料/遂宁市生态环境分区管控成果动态更新专题说明/遂宁市2023年图集/13遂宁市环境管控单元图.jpg13遂宁市环境管控单元图"/>
                          <pic:cNvPicPr>
                            <a:picLocks noChangeAspect="1"/>
                          </pic:cNvPicPr>
                        </pic:nvPicPr>
                        <pic:blipFill>
                          <a:blip r:embed="rId11"/>
                          <a:srcRect t="6" b="6"/>
                          <a:stretch>
                            <a:fillRect/>
                          </a:stretch>
                        </pic:blipFill>
                        <pic:spPr>
                          <a:xfrm>
                            <a:off x="0" y="0"/>
                            <a:ext cx="5010785" cy="3420745"/>
                          </a:xfrm>
                          <a:prstGeom prst="rect">
                            <a:avLst/>
                          </a:prstGeom>
                          <a:noFill/>
                          <a:ln>
                            <a:noFill/>
                          </a:ln>
                        </pic:spPr>
                      </pic:pic>
                    </a:graphicData>
                  </a:graphic>
                </wp:inline>
              </w:drawing>
            </w:r>
          </w:p>
          <w:p w14:paraId="45295369">
            <w:pPr>
              <w:pStyle w:val="21"/>
              <w:widowControl w:val="0"/>
              <w:autoSpaceDE w:val="0"/>
              <w:autoSpaceDN w:val="0"/>
              <w:adjustRightInd w:val="0"/>
              <w:spacing w:before="0" w:beforeAutospacing="0" w:after="0" w:afterAutospacing="0" w:line="360" w:lineRule="auto"/>
              <w:ind w:firstLine="422" w:firstLineChars="200"/>
              <w:jc w:val="center"/>
              <w:rPr>
                <w:rFonts w:hint="eastAsia" w:ascii="Times New Roman" w:hAnsi="Times New Roman"/>
                <w:b/>
                <w:bCs/>
                <w:color w:val="auto"/>
                <w:szCs w:val="24"/>
              </w:rPr>
            </w:pPr>
            <w:r>
              <w:rPr>
                <w:rFonts w:hint="default" w:ascii="Times New Roman" w:hAnsi="Times New Roman" w:cs="Times New Roman"/>
                <w:b/>
                <w:bCs/>
                <w:color w:val="auto"/>
                <w:sz w:val="21"/>
                <w:szCs w:val="21"/>
              </w:rPr>
              <w:t>图 1 项目与遂宁市环境综合管控单元的位置关系图</w:t>
            </w:r>
          </w:p>
          <w:p w14:paraId="4BB99743">
            <w:pPr>
              <w:pStyle w:val="21"/>
              <w:widowControl w:val="0"/>
              <w:autoSpaceDE w:val="0"/>
              <w:autoSpaceDN w:val="0"/>
              <w:adjustRightInd w:val="0"/>
              <w:spacing w:before="0" w:beforeAutospacing="0" w:after="0" w:afterAutospacing="0" w:line="360" w:lineRule="auto"/>
              <w:ind w:firstLine="480" w:firstLineChars="200"/>
              <w:jc w:val="both"/>
              <w:rPr>
                <w:rFonts w:hint="eastAsia" w:ascii="Times New Roman" w:hAnsi="Times New Roman"/>
                <w:color w:val="auto"/>
                <w:szCs w:val="24"/>
              </w:rPr>
            </w:pPr>
            <w:r>
              <w:rPr>
                <w:rFonts w:hint="eastAsia" w:ascii="Times New Roman" w:hAnsi="Times New Roman"/>
                <w:color w:val="auto"/>
                <w:szCs w:val="24"/>
              </w:rPr>
              <w:t>根据以上分析，本项目的建设符合遂府发〔2021〕74 号文件要求。</w:t>
            </w:r>
          </w:p>
          <w:p w14:paraId="39532A48">
            <w:pPr>
              <w:pStyle w:val="21"/>
              <w:widowControl w:val="0"/>
              <w:autoSpaceDE w:val="0"/>
              <w:autoSpaceDN w:val="0"/>
              <w:adjustRightInd w:val="0"/>
              <w:spacing w:before="0" w:beforeAutospacing="0" w:after="0" w:afterAutospacing="0" w:line="360" w:lineRule="auto"/>
              <w:ind w:firstLine="482" w:firstLineChars="200"/>
              <w:jc w:val="both"/>
              <w:rPr>
                <w:rFonts w:hint="default" w:ascii="Times New Roman" w:hAnsi="Times New Roman" w:cs="Times New Roman"/>
                <w:b/>
                <w:bCs/>
                <w:color w:val="auto"/>
                <w:szCs w:val="24"/>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项目与川环办函〔2021〕469 号文件符合性分析</w:t>
            </w:r>
          </w:p>
          <w:p w14:paraId="6734196C">
            <w:pPr>
              <w:pStyle w:val="21"/>
              <w:widowControl w:val="0"/>
              <w:autoSpaceDE w:val="0"/>
              <w:autoSpaceDN w:val="0"/>
              <w:adjustRightInd w:val="0"/>
              <w:spacing w:before="0" w:beforeAutospacing="0" w:after="0" w:afterAutospacing="0" w:line="360" w:lineRule="auto"/>
              <w:ind w:firstLine="480" w:firstLineChars="200"/>
              <w:jc w:val="both"/>
              <w:rPr>
                <w:rFonts w:ascii="Times New Roman" w:hAnsi="Times New Roman"/>
                <w:color w:val="auto"/>
                <w:szCs w:val="24"/>
              </w:rPr>
            </w:pPr>
            <w:r>
              <w:rPr>
                <w:rFonts w:hint="eastAsia" w:ascii="Times New Roman" w:hAnsi="Times New Roman"/>
                <w:color w:val="auto"/>
                <w:szCs w:val="24"/>
              </w:rPr>
              <w:t>根据《四川省生态环境厅办公室关于印发&lt;产业园区规划环评“三线一单”符合性分析技术要点（试行）</w:t>
            </w:r>
            <w:r>
              <w:rPr>
                <w:rFonts w:ascii="Times New Roman" w:hAnsi="Times New Roman"/>
                <w:color w:val="auto"/>
                <w:szCs w:val="24"/>
              </w:rPr>
              <w:t>&gt;</w:t>
            </w:r>
            <w:r>
              <w:rPr>
                <w:rFonts w:hint="eastAsia" w:ascii="Times New Roman" w:hAnsi="Times New Roman"/>
                <w:color w:val="auto"/>
                <w:szCs w:val="24"/>
              </w:rPr>
              <w:t>和&lt;项目环评“三线一单”符合性分析技术要点（试行）</w:t>
            </w:r>
            <w:r>
              <w:rPr>
                <w:rFonts w:ascii="Times New Roman" w:hAnsi="Times New Roman"/>
                <w:color w:val="auto"/>
                <w:szCs w:val="24"/>
              </w:rPr>
              <w:t>&gt;</w:t>
            </w:r>
            <w:r>
              <w:rPr>
                <w:rFonts w:hint="eastAsia" w:ascii="Times New Roman" w:hAnsi="Times New Roman"/>
                <w:color w:val="auto"/>
                <w:szCs w:val="24"/>
              </w:rPr>
              <w:t>的</w:t>
            </w:r>
            <w:r>
              <w:rPr>
                <w:rFonts w:hint="default" w:ascii="Times New Roman" w:hAnsi="Times New Roman" w:cs="Times New Roman"/>
                <w:color w:val="auto"/>
                <w:szCs w:val="24"/>
              </w:rPr>
              <w:t>通知》（川环办函〔2021〕469号）</w:t>
            </w:r>
            <w:r>
              <w:rPr>
                <w:rFonts w:hint="eastAsia" w:ascii="Times New Roman" w:hAnsi="Times New Roman"/>
                <w:color w:val="auto"/>
                <w:szCs w:val="24"/>
              </w:rPr>
              <w:t>，本项目与区域</w:t>
            </w:r>
            <w:r>
              <w:rPr>
                <w:rFonts w:hint="eastAsia" w:ascii="Times New Roman" w:hAnsi="Times New Roman"/>
                <w:color w:val="auto"/>
                <w:szCs w:val="24"/>
                <w:lang w:eastAsia="zh-CN"/>
              </w:rPr>
              <w:t>生态环境分区管控</w:t>
            </w:r>
            <w:r>
              <w:rPr>
                <w:rFonts w:hint="eastAsia" w:ascii="Times New Roman" w:hAnsi="Times New Roman"/>
                <w:color w:val="auto"/>
                <w:szCs w:val="24"/>
              </w:rPr>
              <w:t>符合性分析如下：</w:t>
            </w:r>
          </w:p>
          <w:p w14:paraId="4F388A2F">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查阅四川省生态环境分区管控符合性分析系统，</w:t>
            </w:r>
            <w:r>
              <w:rPr>
                <w:rFonts w:hint="eastAsia" w:cs="Times New Roman"/>
                <w:color w:val="auto"/>
                <w:kern w:val="0"/>
                <w:sz w:val="24"/>
                <w:szCs w:val="24"/>
                <w:lang w:val="en-US" w:eastAsia="zh-CN" w:bidi="ar-SA"/>
              </w:rPr>
              <w:t>本单位</w:t>
            </w:r>
            <w:r>
              <w:rPr>
                <w:rFonts w:hint="default" w:ascii="Times New Roman" w:hAnsi="Times New Roman" w:eastAsia="宋体" w:cs="Times New Roman"/>
                <w:color w:val="auto"/>
                <w:kern w:val="0"/>
                <w:sz w:val="24"/>
                <w:szCs w:val="24"/>
                <w:lang w:val="en-US" w:eastAsia="zh-CN" w:bidi="ar-SA"/>
              </w:rPr>
              <w:t>位于遂宁市大英县环境综合管控单元工业重点管控单元（管控单元名称：大英县工业集中发展区（含经开区），管控单元编号：ZH51092320002）</w:t>
            </w:r>
          </w:p>
          <w:p w14:paraId="1681F55B">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项目与管控单元相对位置如下图所示：（图中▼表示项目位置）</w:t>
            </w:r>
          </w:p>
          <w:p w14:paraId="353D4A6A">
            <w:pPr>
              <w:pStyle w:val="21"/>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宋体"/>
                <w:b/>
                <w:bCs/>
                <w:color w:val="auto"/>
                <w:sz w:val="21"/>
                <w:szCs w:val="21"/>
                <w:lang w:eastAsia="zh-CN"/>
              </w:rPr>
            </w:pPr>
            <w:r>
              <w:rPr>
                <w:rFonts w:hint="default" w:ascii="Helvetica" w:hAnsi="Helvetica" w:eastAsia="Helvetica"/>
                <w:color w:val="auto"/>
                <w:sz w:val="28"/>
                <w:szCs w:val="24"/>
              </w:rPr>
              <w:drawing>
                <wp:inline distT="0" distB="0" distL="114300" distR="114300">
                  <wp:extent cx="4911725" cy="3472815"/>
                  <wp:effectExtent l="0" t="0" r="3175" b="1333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4911725" cy="3472815"/>
                          </a:xfrm>
                          <a:prstGeom prst="rect">
                            <a:avLst/>
                          </a:prstGeom>
                          <a:noFill/>
                          <a:ln>
                            <a:noFill/>
                          </a:ln>
                        </pic:spPr>
                      </pic:pic>
                    </a:graphicData>
                  </a:graphic>
                </wp:inline>
              </w:drawing>
            </w:r>
          </w:p>
          <w:p w14:paraId="221095C2">
            <w:pPr>
              <w:pStyle w:val="21"/>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图1-</w:t>
            </w:r>
            <w:r>
              <w:rPr>
                <w:rFonts w:hint="eastAsia" w:ascii="Times New Roman" w:hAnsi="Times New Roman"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本项目与管控单元相对位置图</w:t>
            </w:r>
          </w:p>
          <w:p w14:paraId="1C1AE0F0">
            <w:pPr>
              <w:pStyle w:val="21"/>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eastAsia" w:ascii="宋体" w:hAnsi="宋体" w:eastAsia="宋体" w:cs="宋体"/>
                <w:color w:val="auto"/>
                <w:kern w:val="2"/>
                <w:szCs w:val="24"/>
                <w:highlight w:val="yellow"/>
              </w:rPr>
            </w:pPr>
            <w:r>
              <w:rPr>
                <w:rFonts w:hint="eastAsia" w:ascii="宋体" w:hAnsi="宋体" w:eastAsia="宋体" w:cs="宋体"/>
                <w:color w:val="auto"/>
                <w:szCs w:val="24"/>
                <w:highlight w:val="none"/>
              </w:rPr>
              <w:t>本项目建设地点为</w:t>
            </w:r>
            <w:r>
              <w:rPr>
                <w:rFonts w:hint="default"/>
                <w:color w:val="auto"/>
                <w:sz w:val="24"/>
                <w:lang w:val="en-US"/>
              </w:rPr>
              <w:t>大英县蓬莱镇工业集中发展区采和大道1楼</w:t>
            </w:r>
            <w:r>
              <w:rPr>
                <w:rFonts w:hint="default" w:ascii="Times New Roman" w:hAnsi="Times New Roman" w:eastAsia="宋体" w:cs="Times New Roman"/>
                <w:color w:val="auto"/>
                <w:szCs w:val="24"/>
                <w:highlight w:val="none"/>
              </w:rPr>
              <w:t>。经四川政务服务网—四川省“生态环境分区管控符合性分析”数据分析系统查询，本项目涉及环境管控单元</w:t>
            </w:r>
            <w:r>
              <w:rPr>
                <w:rFonts w:hint="eastAsia" w:ascii="Times New Roman" w:hAnsi="Times New Roman" w:cs="Times New Roman"/>
                <w:color w:val="auto"/>
                <w:szCs w:val="24"/>
                <w:highlight w:val="none"/>
                <w:lang w:val="en-US" w:eastAsia="zh-CN"/>
              </w:rPr>
              <w:t>6</w:t>
            </w:r>
            <w:r>
              <w:rPr>
                <w:rFonts w:hint="default" w:ascii="Times New Roman" w:hAnsi="Times New Roman" w:eastAsia="宋体" w:cs="Times New Roman"/>
                <w:color w:val="auto"/>
                <w:szCs w:val="24"/>
                <w:highlight w:val="none"/>
              </w:rPr>
              <w:t>个，系统查询截图如下：</w:t>
            </w:r>
          </w:p>
          <w:p w14:paraId="45C8BC36">
            <w:pPr>
              <w:pStyle w:val="21"/>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宋体" w:eastAsia="宋体" w:cs="宋体"/>
                <w:color w:val="auto"/>
                <w:highlight w:val="yellow"/>
              </w:rPr>
            </w:pPr>
            <w:r>
              <w:rPr>
                <w:color w:val="auto"/>
              </w:rPr>
              <w:drawing>
                <wp:inline distT="0" distB="0" distL="114300" distR="114300">
                  <wp:extent cx="5075555" cy="4299585"/>
                  <wp:effectExtent l="0" t="0" r="10795" b="571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5075555" cy="4299585"/>
                          </a:xfrm>
                          <a:prstGeom prst="rect">
                            <a:avLst/>
                          </a:prstGeom>
                          <a:noFill/>
                          <a:ln>
                            <a:noFill/>
                          </a:ln>
                        </pic:spPr>
                      </pic:pic>
                    </a:graphicData>
                  </a:graphic>
                </wp:inline>
              </w:drawing>
            </w:r>
          </w:p>
          <w:p w14:paraId="67E2ACB9">
            <w:pPr>
              <w:pStyle w:val="21"/>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sz w:val="21"/>
                <w:szCs w:val="21"/>
                <w:highlight w:val="yellow"/>
              </w:rPr>
            </w:pPr>
            <w:r>
              <w:rPr>
                <w:rFonts w:hint="default" w:ascii="Times New Roman" w:hAnsi="Times New Roman" w:eastAsia="宋体" w:cs="Times New Roman"/>
                <w:b/>
                <w:bCs/>
                <w:color w:val="auto"/>
                <w:sz w:val="21"/>
                <w:szCs w:val="21"/>
                <w:highlight w:val="none"/>
                <w:lang w:eastAsia="zh-CN"/>
              </w:rPr>
              <w:t>图</w:t>
            </w:r>
            <w:r>
              <w:rPr>
                <w:rFonts w:hint="default" w:ascii="Times New Roman" w:hAnsi="Times New Roman" w:eastAsia="宋体" w:cs="Times New Roman"/>
                <w:b/>
                <w:bCs/>
                <w:color w:val="auto"/>
                <w:sz w:val="21"/>
                <w:szCs w:val="21"/>
                <w:highlight w:val="none"/>
                <w:lang w:val="en-US" w:eastAsia="zh-CN"/>
              </w:rPr>
              <w:t>1-</w:t>
            </w:r>
            <w:r>
              <w:rPr>
                <w:rFonts w:hint="eastAsia" w:ascii="Times New Roman" w:hAnsi="Times New Roman"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项目生态环境分区管控符合性分析系统查询截图</w:t>
            </w:r>
          </w:p>
          <w:p w14:paraId="7EDB50B2">
            <w:pPr>
              <w:pStyle w:val="21"/>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sz w:val="21"/>
                <w:szCs w:val="21"/>
                <w:highlight w:val="yellow"/>
              </w:rPr>
            </w:pPr>
            <w:r>
              <w:rPr>
                <w:rFonts w:hint="default" w:ascii="Times New Roman" w:hAnsi="Times New Roman" w:eastAsia="宋体" w:cs="Times New Roman"/>
                <w:b/>
                <w:bCs/>
                <w:color w:val="auto"/>
                <w:sz w:val="21"/>
                <w:szCs w:val="21"/>
                <w:highlight w:val="none"/>
                <w:lang w:eastAsia="zh-CN"/>
              </w:rPr>
              <w:t>表1-</w:t>
            </w:r>
            <w:r>
              <w:rPr>
                <w:rFonts w:hint="eastAsia" w:ascii="Times New Roman" w:hAnsi="Times New Roman"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项目</w:t>
            </w:r>
            <w:r>
              <w:rPr>
                <w:rFonts w:hint="eastAsia" w:ascii="Times New Roman" w:hAnsi="Times New Roman" w:eastAsia="宋体" w:cs="Times New Roman"/>
                <w:b/>
                <w:bCs/>
                <w:color w:val="auto"/>
                <w:sz w:val="21"/>
                <w:szCs w:val="21"/>
                <w:highlight w:val="none"/>
                <w:lang w:eastAsia="zh-CN"/>
              </w:rPr>
              <w:t>涉及管控</w:t>
            </w:r>
            <w:r>
              <w:rPr>
                <w:rFonts w:hint="default" w:ascii="Times New Roman" w:hAnsi="Times New Roman" w:eastAsia="宋体" w:cs="Times New Roman"/>
                <w:b/>
                <w:bCs/>
                <w:color w:val="auto"/>
                <w:sz w:val="21"/>
                <w:szCs w:val="21"/>
                <w:highlight w:val="none"/>
                <w:lang w:eastAsia="zh-CN"/>
              </w:rPr>
              <w:t>单元类别一览表</w:t>
            </w:r>
          </w:p>
          <w:tbl>
            <w:tblPr>
              <w:tblStyle w:val="25"/>
              <w:tblW w:w="4991"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705"/>
              <w:gridCol w:w="1010"/>
              <w:gridCol w:w="896"/>
              <w:gridCol w:w="1478"/>
              <w:gridCol w:w="1584"/>
            </w:tblGrid>
            <w:tr w14:paraId="473C51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3" w:hRule="atLeast"/>
                <w:tblHeader/>
              </w:trPr>
              <w:tc>
                <w:tcPr>
                  <w:tcW w:w="748" w:type="pct"/>
                  <w:tcBorders>
                    <w:tl2br w:val="nil"/>
                    <w:tr2bl w:val="nil"/>
                  </w:tcBorders>
                  <w:noWrap w:val="0"/>
                  <w:vAlign w:val="center"/>
                </w:tcPr>
                <w:p w14:paraId="18CF1CCA">
                  <w:pPr>
                    <w:widowControl/>
                    <w:spacing w:line="240" w:lineRule="auto"/>
                    <w:ind w:firstLine="0" w:firstLineChars="0"/>
                    <w:jc w:val="center"/>
                    <w:rPr>
                      <w:rStyle w:val="27"/>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环境管控单元编码</w:t>
                  </w:r>
                </w:p>
              </w:tc>
              <w:tc>
                <w:tcPr>
                  <w:tcW w:w="1086" w:type="pct"/>
                  <w:tcBorders>
                    <w:tl2br w:val="nil"/>
                    <w:tr2bl w:val="nil"/>
                  </w:tcBorders>
                  <w:noWrap w:val="0"/>
                  <w:vAlign w:val="center"/>
                </w:tcPr>
                <w:p w14:paraId="70163DAA">
                  <w:pPr>
                    <w:widowControl/>
                    <w:spacing w:line="240" w:lineRule="auto"/>
                    <w:ind w:firstLine="0" w:firstLineChars="0"/>
                    <w:jc w:val="center"/>
                    <w:rPr>
                      <w:rStyle w:val="27"/>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环境管控单元名称</w:t>
                  </w:r>
                </w:p>
              </w:tc>
              <w:tc>
                <w:tcPr>
                  <w:tcW w:w="643" w:type="pct"/>
                  <w:tcBorders>
                    <w:tl2br w:val="nil"/>
                    <w:tr2bl w:val="nil"/>
                  </w:tcBorders>
                  <w:noWrap w:val="0"/>
                  <w:vAlign w:val="center"/>
                </w:tcPr>
                <w:p w14:paraId="665E879C">
                  <w:pPr>
                    <w:widowControl/>
                    <w:spacing w:line="240" w:lineRule="auto"/>
                    <w:ind w:firstLine="0" w:firstLineChars="0"/>
                    <w:jc w:val="center"/>
                    <w:rPr>
                      <w:rStyle w:val="27"/>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所属市（州）</w:t>
                  </w:r>
                </w:p>
              </w:tc>
              <w:tc>
                <w:tcPr>
                  <w:tcW w:w="570" w:type="pct"/>
                  <w:tcBorders>
                    <w:tl2br w:val="nil"/>
                    <w:tr2bl w:val="nil"/>
                  </w:tcBorders>
                  <w:noWrap w:val="0"/>
                  <w:vAlign w:val="center"/>
                </w:tcPr>
                <w:p w14:paraId="6720D83C">
                  <w:pPr>
                    <w:widowControl/>
                    <w:spacing w:line="240" w:lineRule="auto"/>
                    <w:ind w:firstLine="0" w:firstLineChars="0"/>
                    <w:jc w:val="center"/>
                    <w:rPr>
                      <w:rStyle w:val="27"/>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所属区县</w:t>
                  </w:r>
                </w:p>
              </w:tc>
              <w:tc>
                <w:tcPr>
                  <w:tcW w:w="941" w:type="pct"/>
                  <w:tcBorders>
                    <w:tl2br w:val="nil"/>
                    <w:tr2bl w:val="nil"/>
                  </w:tcBorders>
                  <w:noWrap w:val="0"/>
                  <w:vAlign w:val="center"/>
                </w:tcPr>
                <w:p w14:paraId="7D3236A3">
                  <w:pPr>
                    <w:widowControl/>
                    <w:spacing w:line="240" w:lineRule="auto"/>
                    <w:ind w:firstLine="0" w:firstLineChars="0"/>
                    <w:jc w:val="center"/>
                    <w:rPr>
                      <w:rStyle w:val="27"/>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准入清单类型</w:t>
                  </w:r>
                </w:p>
              </w:tc>
              <w:tc>
                <w:tcPr>
                  <w:tcW w:w="1009" w:type="pct"/>
                  <w:tcBorders>
                    <w:tl2br w:val="nil"/>
                    <w:tr2bl w:val="nil"/>
                  </w:tcBorders>
                  <w:noWrap w:val="0"/>
                  <w:vAlign w:val="center"/>
                </w:tcPr>
                <w:p w14:paraId="73DF13B8">
                  <w:pPr>
                    <w:widowControl/>
                    <w:spacing w:line="240" w:lineRule="auto"/>
                    <w:ind w:firstLine="0" w:firstLineChars="0"/>
                    <w:jc w:val="center"/>
                    <w:rPr>
                      <w:rStyle w:val="27"/>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管控类型</w:t>
                  </w:r>
                </w:p>
              </w:tc>
            </w:tr>
            <w:tr w14:paraId="6D46EB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8" w:hRule="atLeast"/>
                <w:tblHeader/>
              </w:trPr>
              <w:tc>
                <w:tcPr>
                  <w:tcW w:w="748" w:type="pct"/>
                  <w:tcBorders>
                    <w:tl2br w:val="nil"/>
                    <w:tr2bl w:val="nil"/>
                  </w:tcBorders>
                  <w:noWrap w:val="0"/>
                  <w:vAlign w:val="center"/>
                </w:tcPr>
                <w:p w14:paraId="5BB3F29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YS5109232210002</w:t>
                  </w:r>
                </w:p>
              </w:tc>
              <w:tc>
                <w:tcPr>
                  <w:tcW w:w="1086" w:type="pct"/>
                  <w:tcBorders>
                    <w:tl2br w:val="nil"/>
                    <w:tr2bl w:val="nil"/>
                  </w:tcBorders>
                  <w:noWrap w:val="0"/>
                  <w:vAlign w:val="center"/>
                </w:tcPr>
                <w:p w14:paraId="22C8208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郪江-大英县-郪江口-控制单元</w:t>
                  </w:r>
                </w:p>
              </w:tc>
              <w:tc>
                <w:tcPr>
                  <w:tcW w:w="643" w:type="pct"/>
                  <w:tcBorders>
                    <w:tl2br w:val="nil"/>
                    <w:tr2bl w:val="nil"/>
                  </w:tcBorders>
                  <w:noWrap w:val="0"/>
                  <w:vAlign w:val="center"/>
                </w:tcPr>
                <w:p w14:paraId="7557340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遂宁市</w:t>
                  </w:r>
                </w:p>
              </w:tc>
              <w:tc>
                <w:tcPr>
                  <w:tcW w:w="570" w:type="pct"/>
                  <w:tcBorders>
                    <w:tl2br w:val="nil"/>
                    <w:tr2bl w:val="nil"/>
                  </w:tcBorders>
                  <w:noWrap w:val="0"/>
                  <w:vAlign w:val="center"/>
                </w:tcPr>
                <w:p w14:paraId="6F4F2E8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w:t>
                  </w:r>
                </w:p>
              </w:tc>
              <w:tc>
                <w:tcPr>
                  <w:tcW w:w="941" w:type="pct"/>
                  <w:tcBorders>
                    <w:tl2br w:val="nil"/>
                    <w:tr2bl w:val="nil"/>
                  </w:tcBorders>
                  <w:noWrap w:val="0"/>
                  <w:vAlign w:val="center"/>
                </w:tcPr>
                <w:p w14:paraId="4FD7A59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水环境管控分区</w:t>
                  </w:r>
                </w:p>
              </w:tc>
              <w:tc>
                <w:tcPr>
                  <w:tcW w:w="1009" w:type="pct"/>
                  <w:tcBorders>
                    <w:tl2br w:val="nil"/>
                    <w:tr2bl w:val="nil"/>
                  </w:tcBorders>
                  <w:noWrap w:val="0"/>
                  <w:vAlign w:val="center"/>
                </w:tcPr>
                <w:p w14:paraId="53F6C21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水环境工业污染重点管控区</w:t>
                  </w:r>
                </w:p>
              </w:tc>
            </w:tr>
            <w:tr w14:paraId="34C967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25" w:hRule="atLeast"/>
                <w:tblHeader/>
              </w:trPr>
              <w:tc>
                <w:tcPr>
                  <w:tcW w:w="748" w:type="pct"/>
                  <w:tcBorders>
                    <w:tl2br w:val="nil"/>
                    <w:tr2bl w:val="nil"/>
                  </w:tcBorders>
                  <w:noWrap w:val="0"/>
                  <w:vAlign w:val="center"/>
                </w:tcPr>
                <w:p w14:paraId="68A9FC3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YS5109232310001</w:t>
                  </w:r>
                </w:p>
              </w:tc>
              <w:tc>
                <w:tcPr>
                  <w:tcW w:w="1086" w:type="pct"/>
                  <w:tcBorders>
                    <w:tl2br w:val="nil"/>
                    <w:tr2bl w:val="nil"/>
                  </w:tcBorders>
                  <w:noWrap w:val="0"/>
                  <w:vAlign w:val="center"/>
                </w:tcPr>
                <w:p w14:paraId="7367CF5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大英县工业集中发展区</w:t>
                  </w:r>
                  <w:r>
                    <w:rPr>
                      <w:rStyle w:val="27"/>
                      <w:rFonts w:hint="eastAsia" w:ascii="Times New Roman" w:hAnsi="Times New Roman" w:eastAsia="宋体" w:cs="Times New Roman"/>
                      <w:color w:val="auto"/>
                      <w:kern w:val="2"/>
                      <w:sz w:val="21"/>
                      <w:szCs w:val="21"/>
                      <w:lang w:val="en-US" w:eastAsia="zh-CN" w:bidi="ar-SA"/>
                    </w:rPr>
                    <w:t>（</w:t>
                  </w:r>
                  <w:r>
                    <w:rPr>
                      <w:rStyle w:val="27"/>
                      <w:rFonts w:hint="default" w:ascii="Times New Roman" w:hAnsi="Times New Roman" w:eastAsia="宋体" w:cs="Times New Roman"/>
                      <w:color w:val="auto"/>
                      <w:kern w:val="2"/>
                      <w:sz w:val="21"/>
                      <w:szCs w:val="21"/>
                      <w:lang w:val="en-US" w:eastAsia="zh-CN" w:bidi="ar-SA"/>
                    </w:rPr>
                    <w:t>含经开区</w:t>
                  </w:r>
                  <w:r>
                    <w:rPr>
                      <w:rStyle w:val="27"/>
                      <w:rFonts w:hint="eastAsia" w:ascii="Times New Roman" w:hAnsi="Times New Roman" w:eastAsia="宋体" w:cs="Times New Roman"/>
                      <w:color w:val="auto"/>
                      <w:kern w:val="2"/>
                      <w:sz w:val="21"/>
                      <w:szCs w:val="21"/>
                      <w:lang w:val="en-US" w:eastAsia="zh-CN" w:bidi="ar-SA"/>
                    </w:rPr>
                    <w:t>）</w:t>
                  </w:r>
                </w:p>
              </w:tc>
              <w:tc>
                <w:tcPr>
                  <w:tcW w:w="643" w:type="pct"/>
                  <w:tcBorders>
                    <w:tl2br w:val="nil"/>
                    <w:tr2bl w:val="nil"/>
                  </w:tcBorders>
                  <w:noWrap w:val="0"/>
                  <w:vAlign w:val="center"/>
                </w:tcPr>
                <w:p w14:paraId="5A11B43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遂宁市</w:t>
                  </w:r>
                </w:p>
              </w:tc>
              <w:tc>
                <w:tcPr>
                  <w:tcW w:w="570" w:type="pct"/>
                  <w:tcBorders>
                    <w:tl2br w:val="nil"/>
                    <w:tr2bl w:val="nil"/>
                  </w:tcBorders>
                  <w:noWrap w:val="0"/>
                  <w:vAlign w:val="center"/>
                </w:tcPr>
                <w:p w14:paraId="454AF3A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w:t>
                  </w:r>
                </w:p>
              </w:tc>
              <w:tc>
                <w:tcPr>
                  <w:tcW w:w="941" w:type="pct"/>
                  <w:tcBorders>
                    <w:tl2br w:val="nil"/>
                    <w:tr2bl w:val="nil"/>
                  </w:tcBorders>
                  <w:noWrap w:val="0"/>
                  <w:vAlign w:val="center"/>
                </w:tcPr>
                <w:p w14:paraId="1D3C129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大气环境管控分区</w:t>
                  </w:r>
                </w:p>
              </w:tc>
              <w:tc>
                <w:tcPr>
                  <w:tcW w:w="1009" w:type="pct"/>
                  <w:tcBorders>
                    <w:tl2br w:val="nil"/>
                    <w:tr2bl w:val="nil"/>
                  </w:tcBorders>
                  <w:noWrap w:val="0"/>
                  <w:vAlign w:val="center"/>
                </w:tcPr>
                <w:p w14:paraId="36C561D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大气环境高排放重点管控区</w:t>
                  </w:r>
                </w:p>
              </w:tc>
            </w:tr>
            <w:tr w14:paraId="769277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3" w:hRule="atLeast"/>
                <w:tblHeader/>
              </w:trPr>
              <w:tc>
                <w:tcPr>
                  <w:tcW w:w="748" w:type="pct"/>
                  <w:tcBorders>
                    <w:tl2br w:val="nil"/>
                    <w:tr2bl w:val="nil"/>
                  </w:tcBorders>
                  <w:noWrap w:val="0"/>
                  <w:vAlign w:val="center"/>
                </w:tcPr>
                <w:p w14:paraId="23E8777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YS5109232530001</w:t>
                  </w:r>
                </w:p>
              </w:tc>
              <w:tc>
                <w:tcPr>
                  <w:tcW w:w="1086" w:type="pct"/>
                  <w:tcBorders>
                    <w:tl2br w:val="nil"/>
                    <w:tr2bl w:val="nil"/>
                  </w:tcBorders>
                  <w:noWrap w:val="0"/>
                  <w:vAlign w:val="center"/>
                </w:tcPr>
                <w:p w14:paraId="0933CC2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大英县城镇开发边界</w:t>
                  </w:r>
                </w:p>
              </w:tc>
              <w:tc>
                <w:tcPr>
                  <w:tcW w:w="643" w:type="pct"/>
                  <w:tcBorders>
                    <w:tl2br w:val="nil"/>
                    <w:tr2bl w:val="nil"/>
                  </w:tcBorders>
                  <w:noWrap w:val="0"/>
                  <w:vAlign w:val="center"/>
                </w:tcPr>
                <w:p w14:paraId="783A406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遂宁市</w:t>
                  </w:r>
                </w:p>
              </w:tc>
              <w:tc>
                <w:tcPr>
                  <w:tcW w:w="570" w:type="pct"/>
                  <w:tcBorders>
                    <w:tl2br w:val="nil"/>
                    <w:tr2bl w:val="nil"/>
                  </w:tcBorders>
                  <w:noWrap w:val="0"/>
                  <w:vAlign w:val="center"/>
                </w:tcPr>
                <w:p w14:paraId="3F53E7A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w:t>
                  </w:r>
                </w:p>
              </w:tc>
              <w:tc>
                <w:tcPr>
                  <w:tcW w:w="941" w:type="pct"/>
                  <w:tcBorders>
                    <w:tl2br w:val="nil"/>
                    <w:tr2bl w:val="nil"/>
                  </w:tcBorders>
                  <w:noWrap w:val="0"/>
                  <w:vAlign w:val="center"/>
                </w:tcPr>
                <w:p w14:paraId="7A9E012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资源管控分区</w:t>
                  </w:r>
                </w:p>
              </w:tc>
              <w:tc>
                <w:tcPr>
                  <w:tcW w:w="1009" w:type="pct"/>
                  <w:tcBorders>
                    <w:tl2br w:val="nil"/>
                    <w:tr2bl w:val="nil"/>
                  </w:tcBorders>
                  <w:noWrap w:val="0"/>
                  <w:vAlign w:val="center"/>
                </w:tcPr>
                <w:p w14:paraId="44D6D8B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土地资源重点管控区</w:t>
                  </w:r>
                </w:p>
              </w:tc>
            </w:tr>
            <w:tr w14:paraId="278B31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3" w:hRule="atLeast"/>
                <w:tblHeader/>
              </w:trPr>
              <w:tc>
                <w:tcPr>
                  <w:tcW w:w="748" w:type="pct"/>
                  <w:tcBorders>
                    <w:tl2br w:val="nil"/>
                    <w:tr2bl w:val="nil"/>
                  </w:tcBorders>
                  <w:noWrap w:val="0"/>
                  <w:vAlign w:val="center"/>
                </w:tcPr>
                <w:p w14:paraId="1398908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YS5109232540002</w:t>
                  </w:r>
                </w:p>
              </w:tc>
              <w:tc>
                <w:tcPr>
                  <w:tcW w:w="1086" w:type="pct"/>
                  <w:tcBorders>
                    <w:tl2br w:val="nil"/>
                    <w:tr2bl w:val="nil"/>
                  </w:tcBorders>
                  <w:noWrap w:val="0"/>
                  <w:vAlign w:val="center"/>
                </w:tcPr>
                <w:p w14:paraId="0DCAF8C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四川大英经济开发区</w:t>
                  </w:r>
                </w:p>
              </w:tc>
              <w:tc>
                <w:tcPr>
                  <w:tcW w:w="643" w:type="pct"/>
                  <w:tcBorders>
                    <w:tl2br w:val="nil"/>
                    <w:tr2bl w:val="nil"/>
                  </w:tcBorders>
                  <w:noWrap w:val="0"/>
                  <w:vAlign w:val="center"/>
                </w:tcPr>
                <w:p w14:paraId="2CE4628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遂宁市</w:t>
                  </w:r>
                </w:p>
              </w:tc>
              <w:tc>
                <w:tcPr>
                  <w:tcW w:w="570" w:type="pct"/>
                  <w:tcBorders>
                    <w:tl2br w:val="nil"/>
                    <w:tr2bl w:val="nil"/>
                  </w:tcBorders>
                  <w:noWrap w:val="0"/>
                  <w:vAlign w:val="center"/>
                </w:tcPr>
                <w:p w14:paraId="02D6010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w:t>
                  </w:r>
                </w:p>
              </w:tc>
              <w:tc>
                <w:tcPr>
                  <w:tcW w:w="941" w:type="pct"/>
                  <w:tcBorders>
                    <w:tl2br w:val="nil"/>
                    <w:tr2bl w:val="nil"/>
                  </w:tcBorders>
                  <w:noWrap w:val="0"/>
                  <w:vAlign w:val="center"/>
                </w:tcPr>
                <w:p w14:paraId="379D6C0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资源管控分区</w:t>
                  </w:r>
                </w:p>
              </w:tc>
              <w:tc>
                <w:tcPr>
                  <w:tcW w:w="1009" w:type="pct"/>
                  <w:tcBorders>
                    <w:tl2br w:val="nil"/>
                    <w:tr2bl w:val="nil"/>
                  </w:tcBorders>
                  <w:noWrap w:val="0"/>
                  <w:vAlign w:val="center"/>
                </w:tcPr>
                <w:p w14:paraId="1AC04C7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高污染燃料禁燃区</w:t>
                  </w:r>
                </w:p>
              </w:tc>
            </w:tr>
            <w:tr w14:paraId="1C8BF8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3" w:hRule="atLeast"/>
                <w:tblHeader/>
              </w:trPr>
              <w:tc>
                <w:tcPr>
                  <w:tcW w:w="748" w:type="pct"/>
                  <w:tcBorders>
                    <w:tl2br w:val="nil"/>
                    <w:tr2bl w:val="nil"/>
                  </w:tcBorders>
                  <w:noWrap w:val="0"/>
                  <w:vAlign w:val="center"/>
                </w:tcPr>
                <w:p w14:paraId="15DD767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YS5109232550001</w:t>
                  </w:r>
                </w:p>
              </w:tc>
              <w:tc>
                <w:tcPr>
                  <w:tcW w:w="1086" w:type="pct"/>
                  <w:tcBorders>
                    <w:tl2br w:val="nil"/>
                    <w:tr2bl w:val="nil"/>
                  </w:tcBorders>
                  <w:noWrap w:val="0"/>
                  <w:vAlign w:val="center"/>
                </w:tcPr>
                <w:p w14:paraId="7CCBA08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大英县自然资源重点管控区</w:t>
                  </w:r>
                </w:p>
              </w:tc>
              <w:tc>
                <w:tcPr>
                  <w:tcW w:w="643" w:type="pct"/>
                  <w:tcBorders>
                    <w:tl2br w:val="nil"/>
                    <w:tr2bl w:val="nil"/>
                  </w:tcBorders>
                  <w:noWrap w:val="0"/>
                  <w:vAlign w:val="center"/>
                </w:tcPr>
                <w:p w14:paraId="79AF9F1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遂宁市</w:t>
                  </w:r>
                </w:p>
              </w:tc>
              <w:tc>
                <w:tcPr>
                  <w:tcW w:w="570" w:type="pct"/>
                  <w:tcBorders>
                    <w:tl2br w:val="nil"/>
                    <w:tr2bl w:val="nil"/>
                  </w:tcBorders>
                  <w:noWrap w:val="0"/>
                  <w:vAlign w:val="center"/>
                </w:tcPr>
                <w:p w14:paraId="3A7A480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w:t>
                  </w:r>
                </w:p>
              </w:tc>
              <w:tc>
                <w:tcPr>
                  <w:tcW w:w="941" w:type="pct"/>
                  <w:tcBorders>
                    <w:tl2br w:val="nil"/>
                    <w:tr2bl w:val="nil"/>
                  </w:tcBorders>
                  <w:noWrap w:val="0"/>
                  <w:vAlign w:val="center"/>
                </w:tcPr>
                <w:p w14:paraId="46C2284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资源管控分区</w:t>
                  </w:r>
                </w:p>
              </w:tc>
              <w:tc>
                <w:tcPr>
                  <w:tcW w:w="1009" w:type="pct"/>
                  <w:tcBorders>
                    <w:tl2br w:val="nil"/>
                    <w:tr2bl w:val="nil"/>
                  </w:tcBorders>
                  <w:noWrap w:val="0"/>
                  <w:vAlign w:val="center"/>
                </w:tcPr>
                <w:p w14:paraId="022438A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自然资源重点管控区</w:t>
                  </w:r>
                </w:p>
              </w:tc>
            </w:tr>
            <w:tr w14:paraId="4F3DF8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35" w:hRule="atLeast"/>
                <w:tblHeader/>
              </w:trPr>
              <w:tc>
                <w:tcPr>
                  <w:tcW w:w="748" w:type="pct"/>
                  <w:tcBorders>
                    <w:tl2br w:val="nil"/>
                    <w:tr2bl w:val="nil"/>
                  </w:tcBorders>
                  <w:noWrap w:val="0"/>
                  <w:vAlign w:val="center"/>
                </w:tcPr>
                <w:p w14:paraId="7E4EA40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ZH51092320002</w:t>
                  </w:r>
                </w:p>
              </w:tc>
              <w:tc>
                <w:tcPr>
                  <w:tcW w:w="1086" w:type="pct"/>
                  <w:tcBorders>
                    <w:tl2br w:val="nil"/>
                    <w:tr2bl w:val="nil"/>
                  </w:tcBorders>
                  <w:noWrap w:val="0"/>
                  <w:vAlign w:val="center"/>
                </w:tcPr>
                <w:p w14:paraId="06C59AA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大英县工业集中发展区</w:t>
                  </w:r>
                  <w:r>
                    <w:rPr>
                      <w:rStyle w:val="27"/>
                      <w:rFonts w:hint="eastAsia" w:ascii="Times New Roman" w:hAnsi="Times New Roman" w:eastAsia="宋体" w:cs="Times New Roman"/>
                      <w:color w:val="auto"/>
                      <w:kern w:val="2"/>
                      <w:sz w:val="21"/>
                      <w:szCs w:val="21"/>
                      <w:lang w:val="en-US" w:eastAsia="zh-CN" w:bidi="ar-SA"/>
                    </w:rPr>
                    <w:t>（</w:t>
                  </w:r>
                  <w:r>
                    <w:rPr>
                      <w:rStyle w:val="27"/>
                      <w:rFonts w:hint="default" w:ascii="Times New Roman" w:hAnsi="Times New Roman" w:eastAsia="宋体" w:cs="Times New Roman"/>
                      <w:color w:val="auto"/>
                      <w:kern w:val="2"/>
                      <w:sz w:val="21"/>
                      <w:szCs w:val="21"/>
                      <w:lang w:val="en-US" w:eastAsia="zh-CN" w:bidi="ar-SA"/>
                    </w:rPr>
                    <w:t>含经开区</w:t>
                  </w:r>
                  <w:r>
                    <w:rPr>
                      <w:rStyle w:val="27"/>
                      <w:rFonts w:hint="eastAsia" w:ascii="Times New Roman" w:hAnsi="Times New Roman" w:eastAsia="宋体" w:cs="Times New Roman"/>
                      <w:color w:val="auto"/>
                      <w:kern w:val="2"/>
                      <w:sz w:val="21"/>
                      <w:szCs w:val="21"/>
                      <w:lang w:val="en-US" w:eastAsia="zh-CN" w:bidi="ar-SA"/>
                    </w:rPr>
                    <w:t>）</w:t>
                  </w:r>
                </w:p>
              </w:tc>
              <w:tc>
                <w:tcPr>
                  <w:tcW w:w="643" w:type="pct"/>
                  <w:tcBorders>
                    <w:tl2br w:val="nil"/>
                    <w:tr2bl w:val="nil"/>
                  </w:tcBorders>
                  <w:noWrap w:val="0"/>
                  <w:vAlign w:val="center"/>
                </w:tcPr>
                <w:p w14:paraId="3C9220D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遂宁市</w:t>
                  </w:r>
                </w:p>
              </w:tc>
              <w:tc>
                <w:tcPr>
                  <w:tcW w:w="570" w:type="pct"/>
                  <w:tcBorders>
                    <w:tl2br w:val="nil"/>
                    <w:tr2bl w:val="nil"/>
                  </w:tcBorders>
                  <w:noWrap w:val="0"/>
                  <w:vAlign w:val="center"/>
                </w:tcPr>
                <w:p w14:paraId="702C682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w:t>
                  </w:r>
                </w:p>
              </w:tc>
              <w:tc>
                <w:tcPr>
                  <w:tcW w:w="941" w:type="pct"/>
                  <w:tcBorders>
                    <w:tl2br w:val="nil"/>
                    <w:tr2bl w:val="nil"/>
                  </w:tcBorders>
                  <w:noWrap w:val="0"/>
                  <w:vAlign w:val="center"/>
                </w:tcPr>
                <w:p w14:paraId="67109F6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环境综合管控单元</w:t>
                  </w:r>
                </w:p>
              </w:tc>
              <w:tc>
                <w:tcPr>
                  <w:tcW w:w="1009" w:type="pct"/>
                  <w:tcBorders>
                    <w:tl2br w:val="nil"/>
                    <w:tr2bl w:val="nil"/>
                  </w:tcBorders>
                  <w:noWrap w:val="0"/>
                  <w:vAlign w:val="center"/>
                </w:tcPr>
                <w:p w14:paraId="12D0F2B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环境综合管控单元工业重点管控单元</w:t>
                  </w:r>
                </w:p>
              </w:tc>
            </w:tr>
          </w:tbl>
          <w:p w14:paraId="485B89D3">
            <w:pPr>
              <w:keepNext w:val="0"/>
              <w:keepLines w:val="0"/>
              <w:widowControl/>
              <w:suppressLineNumbers w:val="0"/>
              <w:tabs>
                <w:tab w:val="left" w:pos="1499"/>
              </w:tabs>
              <w:spacing w:before="0" w:beforeAutospacing="0" w:after="0" w:afterAutospacing="0" w:line="360" w:lineRule="auto"/>
              <w:ind w:left="0" w:right="0"/>
              <w:rPr>
                <w:rFonts w:hint="eastAsia" w:ascii="宋体" w:hAnsi="宋体" w:eastAsia="宋体" w:cs="宋体"/>
                <w:color w:val="auto"/>
                <w:sz w:val="28"/>
              </w:rPr>
            </w:pPr>
          </w:p>
        </w:tc>
      </w:tr>
    </w:tbl>
    <w:p w14:paraId="25CE9051">
      <w:pPr>
        <w:rPr>
          <w:rFonts w:hint="eastAsia" w:eastAsia="宋体"/>
          <w:vanish/>
          <w:color w:val="auto"/>
          <w:lang w:eastAsia="zh-CN"/>
        </w:rPr>
      </w:pPr>
    </w:p>
    <w:p w14:paraId="59B8BD92">
      <w:pPr>
        <w:spacing w:line="360" w:lineRule="auto"/>
        <w:outlineLvl w:val="0"/>
        <w:rPr>
          <w:rFonts w:eastAsia="黑体"/>
          <w:color w:val="auto"/>
          <w:sz w:val="30"/>
        </w:rPr>
      </w:pPr>
    </w:p>
    <w:p w14:paraId="0A957561">
      <w:pPr>
        <w:spacing w:line="360" w:lineRule="auto"/>
        <w:outlineLvl w:val="0"/>
        <w:rPr>
          <w:rFonts w:eastAsia="黑体"/>
          <w:color w:val="auto"/>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2F8E6101">
      <w:pPr>
        <w:widowControl/>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w:t>
      </w:r>
      <w:r>
        <w:rPr>
          <w:rFonts w:hint="eastAsia" w:cs="Times New Roman"/>
          <w:b/>
          <w:bCs/>
          <w:color w:val="auto"/>
          <w:sz w:val="21"/>
          <w:szCs w:val="21"/>
          <w:highlight w:val="none"/>
          <w:lang w:val="en-US" w:eastAsia="zh-CN"/>
        </w:rPr>
        <w:t>11</w:t>
      </w:r>
      <w:r>
        <w:rPr>
          <w:rFonts w:hint="default" w:ascii="Times New Roman" w:hAnsi="Times New Roman" w:cs="Times New Roman"/>
          <w:b/>
          <w:bCs/>
          <w:color w:val="auto"/>
          <w:sz w:val="21"/>
          <w:szCs w:val="21"/>
          <w:highlight w:val="none"/>
        </w:rPr>
        <w:t xml:space="preserve">  </w:t>
      </w:r>
      <w:r>
        <w:rPr>
          <w:rFonts w:hint="eastAsia" w:cs="Times New Roman"/>
          <w:b/>
          <w:bCs/>
          <w:color w:val="auto"/>
          <w:kern w:val="0"/>
          <w:sz w:val="21"/>
          <w:szCs w:val="21"/>
          <w:lang w:val="en-US" w:eastAsia="zh-CN"/>
        </w:rPr>
        <w:t>与</w:t>
      </w:r>
      <w:r>
        <w:rPr>
          <w:rFonts w:hint="eastAsia" w:cs="Times New Roman"/>
          <w:b/>
          <w:bCs/>
          <w:color w:val="auto"/>
          <w:sz w:val="21"/>
          <w:szCs w:val="21"/>
          <w:highlight w:val="none"/>
          <w:lang w:eastAsia="zh-CN"/>
        </w:rPr>
        <w:t>“</w:t>
      </w:r>
      <w:r>
        <w:rPr>
          <w:rFonts w:hint="eastAsia" w:cs="Times New Roman"/>
          <w:b/>
          <w:bCs/>
          <w:color w:val="auto"/>
          <w:sz w:val="21"/>
          <w:szCs w:val="21"/>
          <w:highlight w:val="none"/>
          <w:lang w:val="en-US" w:eastAsia="zh-CN"/>
        </w:rPr>
        <w:t>生态环境分区管控</w:t>
      </w:r>
      <w:r>
        <w:rPr>
          <w:rFonts w:hint="eastAsia"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符合性分析一览表</w:t>
      </w:r>
    </w:p>
    <w:tbl>
      <w:tblPr>
        <w:tblStyle w:val="79"/>
        <w:tblW w:w="1330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0"/>
        <w:gridCol w:w="773"/>
        <w:gridCol w:w="484"/>
        <w:gridCol w:w="1316"/>
        <w:gridCol w:w="8427"/>
        <w:gridCol w:w="1715"/>
      </w:tblGrid>
      <w:tr w14:paraId="565E2B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363" w:type="dxa"/>
            <w:gridSpan w:val="2"/>
            <w:tcBorders>
              <w:tl2br w:val="nil"/>
              <w:tr2bl w:val="nil"/>
            </w:tcBorders>
            <w:noWrap w:val="0"/>
            <w:vAlign w:val="center"/>
          </w:tcPr>
          <w:p w14:paraId="41BD7EC1">
            <w:pPr>
              <w:pStyle w:val="78"/>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0"/>
                <w:sz w:val="21"/>
                <w:szCs w:val="21"/>
                <w:highlight w:val="none"/>
              </w:rPr>
              <w:t>环境管控单元名称</w:t>
            </w:r>
          </w:p>
        </w:tc>
        <w:tc>
          <w:tcPr>
            <w:tcW w:w="1800" w:type="dxa"/>
            <w:gridSpan w:val="2"/>
            <w:tcBorders>
              <w:tl2br w:val="nil"/>
              <w:tr2bl w:val="nil"/>
            </w:tcBorders>
            <w:noWrap w:val="0"/>
            <w:vAlign w:val="center"/>
          </w:tcPr>
          <w:p w14:paraId="595CC064">
            <w:pPr>
              <w:pStyle w:val="78"/>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0"/>
                <w:sz w:val="21"/>
                <w:szCs w:val="21"/>
              </w:rPr>
              <w:t>管控类别</w:t>
            </w:r>
          </w:p>
        </w:tc>
        <w:tc>
          <w:tcPr>
            <w:tcW w:w="8427" w:type="dxa"/>
            <w:tcBorders>
              <w:tl2br w:val="nil"/>
              <w:tr2bl w:val="nil"/>
            </w:tcBorders>
            <w:noWrap w:val="0"/>
            <w:vAlign w:val="center"/>
          </w:tcPr>
          <w:p w14:paraId="1D28E02A">
            <w:pPr>
              <w:pStyle w:val="78"/>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0"/>
                <w:sz w:val="21"/>
                <w:szCs w:val="21"/>
              </w:rPr>
              <w:t>单元特性管控要求</w:t>
            </w:r>
          </w:p>
        </w:tc>
        <w:tc>
          <w:tcPr>
            <w:tcW w:w="1715" w:type="dxa"/>
            <w:tcBorders>
              <w:tl2br w:val="nil"/>
              <w:tr2bl w:val="nil"/>
            </w:tcBorders>
            <w:noWrap w:val="0"/>
            <w:vAlign w:val="center"/>
          </w:tcPr>
          <w:p w14:paraId="49907388">
            <w:pPr>
              <w:pStyle w:val="78"/>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0"/>
                <w:sz w:val="21"/>
                <w:szCs w:val="21"/>
              </w:rPr>
              <w:t>项目情况</w:t>
            </w:r>
          </w:p>
        </w:tc>
      </w:tr>
      <w:tr w14:paraId="296BF6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590" w:type="dxa"/>
            <w:vMerge w:val="restart"/>
            <w:tcBorders>
              <w:tl2br w:val="nil"/>
              <w:tr2bl w:val="nil"/>
            </w:tcBorders>
            <w:noWrap w:val="0"/>
            <w:vAlign w:val="center"/>
          </w:tcPr>
          <w:p w14:paraId="57136B1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ZH51092320002</w:t>
            </w:r>
          </w:p>
        </w:tc>
        <w:tc>
          <w:tcPr>
            <w:tcW w:w="773" w:type="dxa"/>
            <w:vMerge w:val="restart"/>
            <w:tcBorders>
              <w:tl2br w:val="nil"/>
              <w:tr2bl w:val="nil"/>
            </w:tcBorders>
            <w:noWrap w:val="0"/>
            <w:vAlign w:val="center"/>
          </w:tcPr>
          <w:p w14:paraId="4C715A7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大英县工业集中发展区（含经开区）</w:t>
            </w:r>
          </w:p>
        </w:tc>
        <w:tc>
          <w:tcPr>
            <w:tcW w:w="484" w:type="dxa"/>
            <w:vMerge w:val="restart"/>
            <w:tcBorders>
              <w:tl2br w:val="nil"/>
              <w:tr2bl w:val="nil"/>
            </w:tcBorders>
            <w:noWrap w:val="0"/>
            <w:vAlign w:val="top"/>
          </w:tcPr>
          <w:p w14:paraId="61390C7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p>
          <w:p w14:paraId="017F387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p>
          <w:p w14:paraId="4BE526B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p>
          <w:p w14:paraId="15B6D87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p>
          <w:p w14:paraId="4AC0601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p>
          <w:p w14:paraId="7F7B0C4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p>
          <w:p w14:paraId="32D369E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p>
          <w:p w14:paraId="63806CF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p>
          <w:p w14:paraId="25A09ED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p>
          <w:p w14:paraId="70A2C0A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普适性 清单管控要求</w:t>
            </w:r>
          </w:p>
        </w:tc>
        <w:tc>
          <w:tcPr>
            <w:tcW w:w="1316" w:type="dxa"/>
            <w:tcBorders>
              <w:tl2br w:val="nil"/>
              <w:tr2bl w:val="nil"/>
            </w:tcBorders>
            <w:noWrap w:val="0"/>
            <w:vAlign w:val="center"/>
          </w:tcPr>
          <w:p w14:paraId="22088C51">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空间布局约束</w:t>
            </w:r>
          </w:p>
        </w:tc>
        <w:tc>
          <w:tcPr>
            <w:tcW w:w="8427" w:type="dxa"/>
            <w:tcBorders>
              <w:tl2br w:val="nil"/>
              <w:tr2bl w:val="nil"/>
            </w:tcBorders>
            <w:noWrap w:val="0"/>
            <w:vAlign w:val="center"/>
          </w:tcPr>
          <w:p w14:paraId="26400983">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禁止开发建设活动的要求</w:t>
            </w:r>
          </w:p>
          <w:p w14:paraId="699CDA07">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1.禁止引入不符合园区用地性质或产业规划的工业企业。</w:t>
            </w:r>
          </w:p>
          <w:p w14:paraId="45F34DEE">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2.禁止在长江干支流、重要湖泊岸线一公里范围内新建、扩建化工园区和化工项目。</w:t>
            </w:r>
          </w:p>
          <w:p w14:paraId="22838D3C">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3.禁止在长江流域河湖管理范围内倾倒、填埋、堆放、弃置、处理固体废物。</w:t>
            </w:r>
          </w:p>
          <w:p w14:paraId="5F5ECD99">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4.未通过认定的化工园区，不得新建、改扩建化工项目（安全、环保、节能和智能化改造项目除外），按属地原则依法依规妥善做好未通过认定化工园区及园内企业的转型、关闭、处置及监管工作。</w:t>
            </w:r>
          </w:p>
          <w:p w14:paraId="51484D8F">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限制开发建设活动的要求</w:t>
            </w:r>
          </w:p>
          <w:p w14:paraId="1D8D7049">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1.严控新建、扩建“两高”项目，对现存企业执行最严格排放标准和总量控制要求。</w:t>
            </w:r>
          </w:p>
          <w:p w14:paraId="6EFAA4AF">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2.长江干流及主要支流1公里范围内，严控新建石油化工、煤化工、涉磷、造纸、印染、制革等项目。</w:t>
            </w:r>
          </w:p>
          <w:p w14:paraId="5408B8FC">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不符合空间布局要求活动的退出要求</w:t>
            </w:r>
          </w:p>
          <w:p w14:paraId="6A106311">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现有属于禁止引入产业门类的企业，应按相关规定限期整</w:t>
            </w:r>
            <w:r>
              <w:rPr>
                <w:rStyle w:val="27"/>
                <w:rFonts w:hint="eastAsia" w:eastAsia="宋体" w:cs="Times New Roman"/>
                <w:color w:val="auto"/>
                <w:kern w:val="0"/>
                <w:sz w:val="21"/>
                <w:szCs w:val="21"/>
                <w:lang w:val="en-US" w:eastAsia="zh-CN" w:bidi="ar-SA"/>
              </w:rPr>
              <w:t>改</w:t>
            </w:r>
            <w:r>
              <w:rPr>
                <w:rStyle w:val="27"/>
                <w:rFonts w:hint="default" w:ascii="Times New Roman" w:hAnsi="Times New Roman" w:eastAsia="宋体" w:cs="Times New Roman"/>
                <w:color w:val="auto"/>
                <w:kern w:val="0"/>
                <w:sz w:val="21"/>
                <w:szCs w:val="21"/>
                <w:lang w:val="en-US" w:eastAsia="zh-CN" w:bidi="ar-SA"/>
              </w:rPr>
              <w:t>或退出。</w:t>
            </w:r>
          </w:p>
          <w:p w14:paraId="22514973">
            <w:pPr>
              <w:pStyle w:val="78"/>
              <w:widowControl w:val="0"/>
              <w:spacing w:line="360" w:lineRule="auto"/>
              <w:ind w:firstLine="0" w:firstLineChars="0"/>
              <w:jc w:val="both"/>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其他空间布局约束要求</w:t>
            </w:r>
          </w:p>
        </w:tc>
        <w:tc>
          <w:tcPr>
            <w:tcW w:w="1715" w:type="dxa"/>
            <w:tcBorders>
              <w:tl2br w:val="nil"/>
              <w:tr2bl w:val="nil"/>
            </w:tcBorders>
            <w:noWrap w:val="0"/>
            <w:vAlign w:val="center"/>
          </w:tcPr>
          <w:p w14:paraId="27DE5912">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本项目属于</w:t>
            </w:r>
            <w:r>
              <w:rPr>
                <w:rStyle w:val="27"/>
                <w:rFonts w:hint="eastAsia" w:eastAsia="宋体" w:cs="Times New Roman"/>
                <w:color w:val="auto"/>
                <w:kern w:val="2"/>
                <w:sz w:val="21"/>
                <w:szCs w:val="21"/>
                <w:lang w:val="en-US" w:eastAsia="zh-CN" w:bidi="ar-SA"/>
              </w:rPr>
              <w:t>印刷及塑料制品生产项目</w:t>
            </w:r>
            <w:r>
              <w:rPr>
                <w:rStyle w:val="27"/>
                <w:rFonts w:hint="default" w:ascii="Times New Roman" w:hAnsi="Times New Roman" w:eastAsia="宋体" w:cs="Times New Roman"/>
                <w:color w:val="auto"/>
                <w:kern w:val="2"/>
                <w:sz w:val="21"/>
                <w:szCs w:val="21"/>
                <w:lang w:val="en-US" w:eastAsia="zh-CN" w:bidi="ar-SA"/>
              </w:rPr>
              <w:t>，项目的建设不属于禁止开发情况，因此项目的建设符合空间布局约束要求。</w:t>
            </w:r>
          </w:p>
        </w:tc>
      </w:tr>
      <w:tr w14:paraId="56F3DB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590" w:type="dxa"/>
            <w:vMerge w:val="continue"/>
            <w:tcBorders>
              <w:tl2br w:val="nil"/>
              <w:tr2bl w:val="nil"/>
            </w:tcBorders>
            <w:noWrap w:val="0"/>
            <w:vAlign w:val="center"/>
          </w:tcPr>
          <w:p w14:paraId="034BB23A">
            <w:pPr>
              <w:pStyle w:val="78"/>
              <w:widowControl/>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p>
        </w:tc>
        <w:tc>
          <w:tcPr>
            <w:tcW w:w="773" w:type="dxa"/>
            <w:vMerge w:val="continue"/>
            <w:tcBorders>
              <w:tl2br w:val="nil"/>
              <w:tr2bl w:val="nil"/>
            </w:tcBorders>
            <w:noWrap w:val="0"/>
            <w:vAlign w:val="center"/>
          </w:tcPr>
          <w:p w14:paraId="07003987">
            <w:pPr>
              <w:pStyle w:val="78"/>
              <w:widowControl/>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p>
        </w:tc>
        <w:tc>
          <w:tcPr>
            <w:tcW w:w="484" w:type="dxa"/>
            <w:vMerge w:val="continue"/>
            <w:tcBorders>
              <w:tl2br w:val="nil"/>
              <w:tr2bl w:val="nil"/>
            </w:tcBorders>
            <w:noWrap w:val="0"/>
            <w:vAlign w:val="top"/>
          </w:tcPr>
          <w:p w14:paraId="6DE2E1F9">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p>
        </w:tc>
        <w:tc>
          <w:tcPr>
            <w:tcW w:w="1316" w:type="dxa"/>
            <w:tcBorders>
              <w:tl2br w:val="nil"/>
              <w:tr2bl w:val="nil"/>
            </w:tcBorders>
            <w:noWrap w:val="0"/>
            <w:vAlign w:val="center"/>
          </w:tcPr>
          <w:p w14:paraId="3D221C9B">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Style w:val="27"/>
                <w:rFonts w:hint="default" w:ascii="Times New Roman" w:hAnsi="Times New Roman" w:eastAsia="宋体" w:cs="Times New Roman"/>
                <w:color w:val="auto"/>
                <w:kern w:val="0"/>
                <w:sz w:val="21"/>
                <w:szCs w:val="21"/>
                <w:lang w:val="en-US" w:eastAsia="zh-CN" w:bidi="ar-SA"/>
              </w:rPr>
              <w:t>污染物排放管控</w:t>
            </w:r>
          </w:p>
        </w:tc>
        <w:tc>
          <w:tcPr>
            <w:tcW w:w="8427" w:type="dxa"/>
            <w:tcBorders>
              <w:tl2br w:val="nil"/>
              <w:tr2bl w:val="nil"/>
            </w:tcBorders>
            <w:noWrap w:val="0"/>
            <w:vAlign w:val="center"/>
          </w:tcPr>
          <w:p w14:paraId="527CC4DA">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highlight w:val="none"/>
                <w:lang w:val="en-US" w:eastAsia="zh-CN" w:bidi="ar-SA"/>
              </w:rPr>
            </w:pPr>
            <w:r>
              <w:rPr>
                <w:rStyle w:val="27"/>
                <w:rFonts w:hint="default" w:ascii="Times New Roman" w:hAnsi="Times New Roman" w:eastAsia="宋体" w:cs="Times New Roman"/>
                <w:color w:val="auto"/>
                <w:kern w:val="0"/>
                <w:sz w:val="21"/>
                <w:szCs w:val="21"/>
                <w:highlight w:val="none"/>
                <w:lang w:val="en-US" w:eastAsia="zh-CN" w:bidi="ar-SA"/>
              </w:rPr>
              <w:t>允许排放量要求</w:t>
            </w:r>
          </w:p>
          <w:p w14:paraId="515F35A0">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highlight w:val="none"/>
                <w:lang w:val="en-US" w:eastAsia="zh-CN" w:bidi="ar-SA"/>
              </w:rPr>
            </w:pPr>
            <w:r>
              <w:rPr>
                <w:rStyle w:val="27"/>
                <w:rFonts w:hint="default" w:ascii="Times New Roman" w:hAnsi="Times New Roman" w:eastAsia="宋体" w:cs="Times New Roman"/>
                <w:color w:val="auto"/>
                <w:kern w:val="0"/>
                <w:sz w:val="21"/>
                <w:szCs w:val="21"/>
                <w:highlight w:val="none"/>
                <w:lang w:val="en-US" w:eastAsia="zh-CN" w:bidi="ar-SA"/>
              </w:rPr>
              <w:t>/</w:t>
            </w:r>
          </w:p>
          <w:p w14:paraId="4EE9AB75">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highlight w:val="none"/>
                <w:lang w:val="en-US" w:eastAsia="zh-CN" w:bidi="ar-SA"/>
              </w:rPr>
            </w:pPr>
            <w:r>
              <w:rPr>
                <w:rStyle w:val="27"/>
                <w:rFonts w:hint="default" w:ascii="Times New Roman" w:hAnsi="Times New Roman" w:eastAsia="宋体" w:cs="Times New Roman"/>
                <w:color w:val="auto"/>
                <w:kern w:val="0"/>
                <w:sz w:val="21"/>
                <w:szCs w:val="21"/>
                <w:highlight w:val="none"/>
                <w:lang w:val="en-US" w:eastAsia="zh-CN" w:bidi="ar-SA"/>
              </w:rPr>
              <w:t>现有源提标升级改造</w:t>
            </w:r>
          </w:p>
          <w:p w14:paraId="323789A8">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highlight w:val="none"/>
                <w:lang w:val="en-US" w:eastAsia="zh-CN" w:bidi="ar-SA"/>
              </w:rPr>
            </w:pPr>
            <w:r>
              <w:rPr>
                <w:rStyle w:val="27"/>
                <w:rFonts w:hint="default" w:ascii="Times New Roman" w:hAnsi="Times New Roman" w:eastAsia="宋体" w:cs="Times New Roman"/>
                <w:color w:val="auto"/>
                <w:kern w:val="0"/>
                <w:sz w:val="21"/>
                <w:szCs w:val="21"/>
                <w:highlight w:val="none"/>
                <w:lang w:val="en-US" w:eastAsia="zh-CN" w:bidi="ar-SA"/>
              </w:rPr>
              <w:t>1.污水收集处理率达100%。</w:t>
            </w:r>
          </w:p>
          <w:p w14:paraId="51182E5F">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highlight w:val="none"/>
                <w:lang w:val="en-US" w:eastAsia="zh-CN" w:bidi="ar-SA"/>
              </w:rPr>
            </w:pPr>
            <w:r>
              <w:rPr>
                <w:rStyle w:val="27"/>
                <w:rFonts w:hint="default" w:ascii="Times New Roman" w:hAnsi="Times New Roman" w:eastAsia="宋体" w:cs="Times New Roman"/>
                <w:color w:val="auto"/>
                <w:kern w:val="0"/>
                <w:sz w:val="21"/>
                <w:szCs w:val="21"/>
                <w:highlight w:val="none"/>
                <w:lang w:val="en-US" w:eastAsia="zh-CN" w:bidi="ar-SA"/>
              </w:rPr>
              <w:t>2.园区污水处理厂达《城镇污水处理厂污染物排放标准》一级A标或更高标准。</w:t>
            </w:r>
          </w:p>
          <w:p w14:paraId="662C006B">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highlight w:val="none"/>
                <w:lang w:val="en-US" w:eastAsia="zh-CN" w:bidi="ar-SA"/>
              </w:rPr>
            </w:pPr>
            <w:r>
              <w:rPr>
                <w:rStyle w:val="27"/>
                <w:rFonts w:hint="default" w:ascii="Times New Roman" w:hAnsi="Times New Roman" w:eastAsia="宋体" w:cs="Times New Roman"/>
                <w:color w:val="auto"/>
                <w:kern w:val="0"/>
                <w:sz w:val="21"/>
                <w:szCs w:val="21"/>
                <w:highlight w:val="none"/>
                <w:lang w:val="en-US" w:eastAsia="zh-CN" w:bidi="ar-SA"/>
              </w:rPr>
              <w:t>3.加快推进危险化学品生产企业搬迁改造工程。</w:t>
            </w:r>
          </w:p>
          <w:p w14:paraId="513F5FB6">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highlight w:val="none"/>
                <w:lang w:val="en-US" w:eastAsia="zh-CN" w:bidi="ar-SA"/>
              </w:rPr>
            </w:pPr>
            <w:r>
              <w:rPr>
                <w:rStyle w:val="27"/>
                <w:rFonts w:hint="default" w:ascii="Times New Roman" w:hAnsi="Times New Roman" w:eastAsia="宋体" w:cs="Times New Roman"/>
                <w:color w:val="auto"/>
                <w:kern w:val="0"/>
                <w:sz w:val="21"/>
                <w:szCs w:val="21"/>
                <w:highlight w:val="none"/>
                <w:lang w:val="en-US" w:eastAsia="zh-CN" w:bidi="ar-SA"/>
              </w:rPr>
              <w:t>4.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3BD55427">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highlight w:val="none"/>
                <w:lang w:val="en-US" w:eastAsia="zh-CN" w:bidi="ar-SA"/>
              </w:rPr>
            </w:pPr>
            <w:r>
              <w:rPr>
                <w:rStyle w:val="27"/>
                <w:rFonts w:hint="default" w:ascii="Times New Roman" w:hAnsi="Times New Roman" w:eastAsia="宋体" w:cs="Times New Roman"/>
                <w:color w:val="auto"/>
                <w:kern w:val="0"/>
                <w:sz w:val="21"/>
                <w:szCs w:val="21"/>
                <w:highlight w:val="none"/>
                <w:lang w:val="en-US" w:eastAsia="zh-CN" w:bidi="ar-SA"/>
              </w:rPr>
              <w:t>其他污染物排放管控要求</w:t>
            </w:r>
          </w:p>
          <w:p w14:paraId="1D2F49D7">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highlight w:val="none"/>
                <w:lang w:val="en-US" w:eastAsia="zh-CN" w:bidi="ar-SA"/>
              </w:rPr>
            </w:pPr>
            <w:r>
              <w:rPr>
                <w:rStyle w:val="27"/>
                <w:rFonts w:hint="default" w:ascii="Times New Roman" w:hAnsi="Times New Roman" w:eastAsia="宋体" w:cs="Times New Roman"/>
                <w:color w:val="auto"/>
                <w:kern w:val="0"/>
                <w:sz w:val="21"/>
                <w:szCs w:val="21"/>
                <w:highlight w:val="none"/>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14:paraId="47AEDE6E">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highlight w:val="none"/>
                <w:lang w:val="en-US" w:eastAsia="zh-CN" w:bidi="ar-SA"/>
              </w:rPr>
            </w:pPr>
            <w:r>
              <w:rPr>
                <w:rStyle w:val="27"/>
                <w:rFonts w:hint="default" w:ascii="Times New Roman" w:hAnsi="Times New Roman" w:eastAsia="宋体" w:cs="Times New Roman"/>
                <w:color w:val="auto"/>
                <w:kern w:val="0"/>
                <w:sz w:val="21"/>
                <w:szCs w:val="21"/>
                <w:highlight w:val="none"/>
                <w:lang w:val="en-US" w:eastAsia="zh-CN" w:bidi="ar-SA"/>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14:paraId="4CDEDE4C">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highlight w:val="none"/>
                <w:lang w:val="en-US" w:eastAsia="zh-CN" w:bidi="ar-SA"/>
              </w:rPr>
            </w:pPr>
            <w:r>
              <w:rPr>
                <w:rStyle w:val="27"/>
                <w:rFonts w:hint="default" w:ascii="Times New Roman" w:hAnsi="Times New Roman" w:eastAsia="宋体" w:cs="Times New Roman"/>
                <w:color w:val="auto"/>
                <w:kern w:val="0"/>
                <w:sz w:val="21"/>
                <w:szCs w:val="21"/>
                <w:highlight w:val="none"/>
                <w:lang w:val="en-US" w:eastAsia="zh-CN" w:bidi="ar-SA"/>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14:paraId="5380F4BF">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highlight w:val="none"/>
                <w:lang w:val="en-US" w:eastAsia="zh-CN" w:bidi="ar-SA"/>
              </w:rPr>
            </w:pPr>
            <w:r>
              <w:rPr>
                <w:rStyle w:val="27"/>
                <w:rFonts w:hint="default" w:ascii="Times New Roman" w:hAnsi="Times New Roman" w:eastAsia="宋体" w:cs="Times New Roman"/>
                <w:color w:val="auto"/>
                <w:kern w:val="0"/>
                <w:sz w:val="21"/>
                <w:szCs w:val="21"/>
                <w:highlight w:val="none"/>
                <w:lang w:val="en-US" w:eastAsia="zh-CN" w:bidi="ar-SA"/>
              </w:rPr>
              <w:t>4.化工园区应按照分类收集，分质处理的要求，配备专业化工生产废水集中处理设施（独立建设或依托骨干企业）及专管或明管输送的配套管网，化工生产废水纳管率达到100%。入河排污口设置应符合相关规定。</w:t>
            </w:r>
          </w:p>
          <w:p w14:paraId="14556CB2">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highlight w:val="none"/>
                <w:lang w:val="en-US" w:eastAsia="zh-CN" w:bidi="ar-SA"/>
              </w:rPr>
            </w:pPr>
            <w:r>
              <w:rPr>
                <w:rStyle w:val="27"/>
                <w:rFonts w:hint="default" w:ascii="Times New Roman" w:hAnsi="Times New Roman" w:eastAsia="宋体" w:cs="Times New Roman"/>
                <w:color w:val="auto"/>
                <w:kern w:val="0"/>
                <w:sz w:val="21"/>
                <w:szCs w:val="21"/>
                <w:highlight w:val="none"/>
                <w:lang w:val="en-US" w:eastAsia="zh-CN" w:bidi="ar-SA"/>
              </w:rPr>
              <w:t>5.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14518704">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highlight w:val="none"/>
                <w:lang w:val="en-US" w:eastAsia="zh-CN" w:bidi="ar-SA"/>
              </w:rPr>
            </w:pPr>
            <w:r>
              <w:rPr>
                <w:rStyle w:val="27"/>
                <w:rFonts w:hint="default" w:ascii="Times New Roman" w:hAnsi="Times New Roman" w:eastAsia="宋体" w:cs="Times New Roman"/>
                <w:color w:val="auto"/>
                <w:kern w:val="0"/>
                <w:sz w:val="21"/>
                <w:szCs w:val="21"/>
                <w:highlight w:val="none"/>
                <w:lang w:val="en-US" w:eastAsia="zh-CN" w:bidi="ar-SA"/>
              </w:rPr>
              <w:t>6.白酒行业参考执行更新后的四川省白酒行业资源环境绩效指标要求。</w:t>
            </w:r>
          </w:p>
          <w:p w14:paraId="36D40070">
            <w:pPr>
              <w:pStyle w:val="78"/>
              <w:widowControl w:val="0"/>
              <w:spacing w:line="360" w:lineRule="auto"/>
              <w:ind w:firstLine="0" w:firstLineChars="0"/>
              <w:jc w:val="both"/>
              <w:rPr>
                <w:rStyle w:val="27"/>
                <w:rFonts w:hint="default" w:ascii="Times New Roman" w:hAnsi="Times New Roman" w:eastAsia="宋体" w:cs="Times New Roman"/>
                <w:color w:val="auto"/>
                <w:kern w:val="2"/>
                <w:sz w:val="21"/>
                <w:szCs w:val="21"/>
                <w:highlight w:val="none"/>
                <w:lang w:val="en-US" w:eastAsia="zh-CN" w:bidi="ar-SA"/>
              </w:rPr>
            </w:pPr>
            <w:r>
              <w:rPr>
                <w:rStyle w:val="27"/>
                <w:rFonts w:hint="default" w:ascii="Times New Roman" w:hAnsi="Times New Roman" w:eastAsia="宋体" w:cs="Times New Roman"/>
                <w:color w:val="auto"/>
                <w:kern w:val="0"/>
                <w:sz w:val="21"/>
                <w:szCs w:val="21"/>
                <w:highlight w:val="none"/>
                <w:lang w:val="en-US" w:eastAsia="zh-CN" w:bidi="ar-SA"/>
              </w:rPr>
              <w:t>7.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tc>
        <w:tc>
          <w:tcPr>
            <w:tcW w:w="1715" w:type="dxa"/>
            <w:tcBorders>
              <w:tl2br w:val="nil"/>
              <w:tr2bl w:val="nil"/>
            </w:tcBorders>
            <w:noWrap w:val="0"/>
            <w:vAlign w:val="center"/>
          </w:tcPr>
          <w:p w14:paraId="5216FCB7">
            <w:pPr>
              <w:pStyle w:val="78"/>
              <w:widowControl w:val="0"/>
              <w:spacing w:line="360" w:lineRule="auto"/>
              <w:ind w:firstLine="0" w:firstLineChars="0"/>
              <w:jc w:val="both"/>
              <w:rPr>
                <w:rStyle w:val="27"/>
                <w:rFonts w:hint="default" w:ascii="Times New Roman" w:hAnsi="Times New Roman" w:eastAsia="宋体" w:cs="Times New Roman"/>
                <w:color w:val="auto"/>
                <w:kern w:val="2"/>
                <w:sz w:val="21"/>
                <w:szCs w:val="21"/>
                <w:highlight w:val="none"/>
                <w:lang w:val="en-US" w:eastAsia="zh-CN" w:bidi="ar-SA"/>
              </w:rPr>
            </w:pPr>
            <w:r>
              <w:rPr>
                <w:rStyle w:val="27"/>
                <w:rFonts w:hint="eastAsia" w:ascii="Times New Roman" w:hAnsi="Times New Roman" w:eastAsia="宋体" w:cs="Times New Roman"/>
                <w:color w:val="auto"/>
                <w:kern w:val="0"/>
                <w:sz w:val="21"/>
                <w:szCs w:val="21"/>
                <w:highlight w:val="none"/>
                <w:lang w:val="en-US" w:eastAsia="zh-CN" w:bidi="ar-SA"/>
              </w:rPr>
              <w:t>根据本项目实际情况，本项目生活废水排</w:t>
            </w:r>
            <w:r>
              <w:rPr>
                <w:rStyle w:val="27"/>
                <w:rFonts w:hint="default" w:ascii="Times New Roman" w:hAnsi="Times New Roman" w:eastAsia="宋体" w:cs="Times New Roman"/>
                <w:color w:val="auto"/>
                <w:kern w:val="0"/>
                <w:sz w:val="21"/>
                <w:szCs w:val="21"/>
                <w:highlight w:val="none"/>
                <w:lang w:val="en-US" w:eastAsia="zh-CN" w:bidi="ar-SA"/>
              </w:rPr>
              <w:t>入市政污水管网送大英工业废水处理厂处理本项目</w:t>
            </w:r>
            <w:r>
              <w:rPr>
                <w:rStyle w:val="27"/>
                <w:rFonts w:hint="eastAsia" w:eastAsia="宋体" w:cs="Times New Roman"/>
                <w:color w:val="auto"/>
                <w:kern w:val="0"/>
                <w:sz w:val="21"/>
                <w:szCs w:val="21"/>
                <w:highlight w:val="none"/>
                <w:lang w:val="en-US" w:eastAsia="zh-CN" w:bidi="ar-SA"/>
              </w:rPr>
              <w:t>注塑、印刷</w:t>
            </w:r>
            <w:r>
              <w:rPr>
                <w:rStyle w:val="27"/>
                <w:rFonts w:hint="default" w:ascii="Times New Roman" w:hAnsi="Times New Roman" w:eastAsia="宋体" w:cs="Times New Roman"/>
                <w:color w:val="auto"/>
                <w:kern w:val="0"/>
                <w:sz w:val="21"/>
                <w:szCs w:val="21"/>
                <w:highlight w:val="none"/>
                <w:lang w:val="en-US" w:eastAsia="zh-CN" w:bidi="ar-SA"/>
              </w:rPr>
              <w:t>过程中产生的</w:t>
            </w:r>
            <w:r>
              <w:rPr>
                <w:rStyle w:val="27"/>
                <w:rFonts w:hint="eastAsia" w:eastAsia="宋体" w:cs="Times New Roman"/>
                <w:color w:val="auto"/>
                <w:kern w:val="0"/>
                <w:sz w:val="21"/>
                <w:szCs w:val="21"/>
                <w:highlight w:val="none"/>
                <w:lang w:val="en-US" w:eastAsia="zh-CN" w:bidi="ar-SA"/>
              </w:rPr>
              <w:t>有机废气</w:t>
            </w:r>
            <w:r>
              <w:rPr>
                <w:rStyle w:val="27"/>
                <w:rFonts w:hint="default" w:ascii="Times New Roman" w:hAnsi="Times New Roman" w:eastAsia="宋体" w:cs="Times New Roman"/>
                <w:color w:val="auto"/>
                <w:kern w:val="0"/>
                <w:sz w:val="21"/>
                <w:szCs w:val="21"/>
                <w:highlight w:val="none"/>
                <w:lang w:val="en-US" w:eastAsia="zh-CN" w:bidi="ar-SA"/>
              </w:rPr>
              <w:t>总量替代由辖区主管部门分配，项目废气排放满足相关政策和标准要求。</w:t>
            </w:r>
          </w:p>
        </w:tc>
      </w:tr>
      <w:tr w14:paraId="77AAEF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590" w:type="dxa"/>
            <w:vMerge w:val="continue"/>
            <w:tcBorders>
              <w:tl2br w:val="nil"/>
              <w:tr2bl w:val="nil"/>
            </w:tcBorders>
            <w:noWrap w:val="0"/>
            <w:vAlign w:val="center"/>
          </w:tcPr>
          <w:p w14:paraId="2200F94D">
            <w:pPr>
              <w:pStyle w:val="78"/>
              <w:widowControl/>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p>
        </w:tc>
        <w:tc>
          <w:tcPr>
            <w:tcW w:w="773" w:type="dxa"/>
            <w:vMerge w:val="continue"/>
            <w:tcBorders>
              <w:tl2br w:val="nil"/>
              <w:tr2bl w:val="nil"/>
            </w:tcBorders>
            <w:noWrap w:val="0"/>
            <w:vAlign w:val="center"/>
          </w:tcPr>
          <w:p w14:paraId="5A5257FC">
            <w:pPr>
              <w:pStyle w:val="78"/>
              <w:widowControl/>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p>
        </w:tc>
        <w:tc>
          <w:tcPr>
            <w:tcW w:w="484" w:type="dxa"/>
            <w:vMerge w:val="continue"/>
            <w:tcBorders>
              <w:tl2br w:val="nil"/>
              <w:tr2bl w:val="nil"/>
            </w:tcBorders>
            <w:noWrap w:val="0"/>
            <w:vAlign w:val="top"/>
          </w:tcPr>
          <w:p w14:paraId="7CE0D118">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p>
        </w:tc>
        <w:tc>
          <w:tcPr>
            <w:tcW w:w="1316" w:type="dxa"/>
            <w:tcBorders>
              <w:tl2br w:val="nil"/>
              <w:tr2bl w:val="nil"/>
            </w:tcBorders>
            <w:noWrap w:val="0"/>
            <w:vAlign w:val="center"/>
          </w:tcPr>
          <w:p w14:paraId="414C34E9">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Style w:val="27"/>
                <w:rFonts w:hint="default" w:ascii="Times New Roman" w:hAnsi="Times New Roman" w:eastAsia="宋体" w:cs="Times New Roman"/>
                <w:color w:val="auto"/>
                <w:kern w:val="0"/>
                <w:sz w:val="21"/>
                <w:szCs w:val="21"/>
                <w:lang w:val="en-US" w:eastAsia="zh-CN" w:bidi="ar-SA"/>
              </w:rPr>
              <w:t>环境风险防控</w:t>
            </w:r>
          </w:p>
        </w:tc>
        <w:tc>
          <w:tcPr>
            <w:tcW w:w="8427" w:type="dxa"/>
            <w:tcBorders>
              <w:tl2br w:val="nil"/>
              <w:tr2bl w:val="nil"/>
            </w:tcBorders>
            <w:noWrap w:val="0"/>
            <w:vAlign w:val="center"/>
          </w:tcPr>
          <w:p w14:paraId="262CE901">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联防联控要求</w:t>
            </w:r>
          </w:p>
          <w:p w14:paraId="090DBF80">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加强成都平原经济区信息共享和联动合作，协力推进产业和能源结构优化调整，加强大气污染源头防控，加强潼遂合作。</w:t>
            </w:r>
          </w:p>
          <w:p w14:paraId="71D2C8C7">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其他环境风险防控要求</w:t>
            </w:r>
          </w:p>
          <w:p w14:paraId="012CDC49">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1.企业环境风险防控要求：涉及有毒有害、易燃易爆物质的新建、改扩建项目，严控准入要求。</w:t>
            </w:r>
          </w:p>
          <w:p w14:paraId="59A8F25E">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园区环境风险防控要求：构建三级环境风险防控体系，强化危化品泄漏应急处置措施，确保风险可控。针对化工园区进一步强化风险防控。化工园区应具有安全风险监控体系、建立生态环境监测监控体系、建立必要的突发环境事件应急体系。</w:t>
            </w:r>
          </w:p>
          <w:p w14:paraId="4B2957C2">
            <w:pPr>
              <w:pStyle w:val="78"/>
              <w:widowControl w:val="0"/>
              <w:spacing w:line="360" w:lineRule="auto"/>
              <w:ind w:firstLine="0" w:firstLineChars="0"/>
              <w:jc w:val="both"/>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3.用地环境风险防控要求：化工、电镀等行业企业拆除生产设施设备、构筑物和污染治理设施，要事先制定残留污染物清理和安全处置方案，要严格按照有关规定实施安全处理处置，防范拆除活动污染土壤。</w:t>
            </w:r>
          </w:p>
        </w:tc>
        <w:tc>
          <w:tcPr>
            <w:tcW w:w="1715" w:type="dxa"/>
            <w:tcBorders>
              <w:tl2br w:val="nil"/>
              <w:tr2bl w:val="nil"/>
            </w:tcBorders>
            <w:noWrap w:val="0"/>
            <w:vAlign w:val="center"/>
          </w:tcPr>
          <w:p w14:paraId="0C8FEB0D">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本项目属</w:t>
            </w:r>
            <w:r>
              <w:rPr>
                <w:rStyle w:val="27"/>
                <w:rFonts w:hint="eastAsia" w:eastAsia="宋体" w:cs="Times New Roman"/>
                <w:color w:val="auto"/>
                <w:kern w:val="2"/>
                <w:sz w:val="21"/>
                <w:szCs w:val="21"/>
                <w:lang w:val="en-US" w:eastAsia="zh-CN" w:bidi="ar-SA"/>
              </w:rPr>
              <w:t>印刷机塑料制品生产项目</w:t>
            </w:r>
            <w:r>
              <w:rPr>
                <w:rStyle w:val="27"/>
                <w:rFonts w:hint="default" w:ascii="Times New Roman" w:hAnsi="Times New Roman" w:eastAsia="宋体" w:cs="Times New Roman"/>
                <w:color w:val="auto"/>
                <w:kern w:val="2"/>
                <w:sz w:val="21"/>
                <w:szCs w:val="21"/>
                <w:lang w:val="en-US" w:eastAsia="zh-CN" w:bidi="ar-SA"/>
              </w:rPr>
              <w:t>，项目环境风险潜势为I级，属于低风险项目，项目的建设满足环境风险管控要求</w:t>
            </w:r>
          </w:p>
        </w:tc>
      </w:tr>
      <w:tr w14:paraId="022916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90" w:type="dxa"/>
            <w:vMerge w:val="continue"/>
            <w:tcBorders>
              <w:tl2br w:val="nil"/>
              <w:tr2bl w:val="nil"/>
            </w:tcBorders>
            <w:noWrap w:val="0"/>
            <w:vAlign w:val="center"/>
          </w:tcPr>
          <w:p w14:paraId="2BC6E8DE">
            <w:pPr>
              <w:pStyle w:val="78"/>
              <w:widowControl/>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p>
        </w:tc>
        <w:tc>
          <w:tcPr>
            <w:tcW w:w="773" w:type="dxa"/>
            <w:vMerge w:val="continue"/>
            <w:tcBorders>
              <w:tl2br w:val="nil"/>
              <w:tr2bl w:val="nil"/>
            </w:tcBorders>
            <w:noWrap w:val="0"/>
            <w:vAlign w:val="center"/>
          </w:tcPr>
          <w:p w14:paraId="235C05F1">
            <w:pPr>
              <w:pStyle w:val="78"/>
              <w:widowControl/>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p>
        </w:tc>
        <w:tc>
          <w:tcPr>
            <w:tcW w:w="484" w:type="dxa"/>
            <w:vMerge w:val="continue"/>
            <w:tcBorders>
              <w:tl2br w:val="nil"/>
              <w:tr2bl w:val="nil"/>
            </w:tcBorders>
            <w:noWrap w:val="0"/>
            <w:vAlign w:val="top"/>
          </w:tcPr>
          <w:p w14:paraId="6D3204FF">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p>
        </w:tc>
        <w:tc>
          <w:tcPr>
            <w:tcW w:w="1316" w:type="dxa"/>
            <w:tcBorders>
              <w:tl2br w:val="nil"/>
              <w:tr2bl w:val="nil"/>
            </w:tcBorders>
            <w:noWrap w:val="0"/>
            <w:vAlign w:val="center"/>
          </w:tcPr>
          <w:p w14:paraId="4ED52D11">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Style w:val="27"/>
                <w:rFonts w:hint="default" w:ascii="Times New Roman" w:hAnsi="Times New Roman" w:eastAsia="宋体" w:cs="Times New Roman"/>
                <w:color w:val="auto"/>
                <w:kern w:val="0"/>
                <w:sz w:val="21"/>
                <w:szCs w:val="21"/>
                <w:lang w:val="en-US" w:eastAsia="zh-CN" w:bidi="ar-SA"/>
              </w:rPr>
              <w:t>资源开发利用效率要求</w:t>
            </w:r>
          </w:p>
        </w:tc>
        <w:tc>
          <w:tcPr>
            <w:tcW w:w="8427" w:type="dxa"/>
            <w:tcBorders>
              <w:tl2br w:val="nil"/>
              <w:tr2bl w:val="nil"/>
            </w:tcBorders>
            <w:noWrap w:val="0"/>
            <w:vAlign w:val="center"/>
          </w:tcPr>
          <w:p w14:paraId="67DD4DA8">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水资源利用总量要求</w:t>
            </w:r>
          </w:p>
          <w:p w14:paraId="5BF51D6F">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1.到2025年，万元工业增加值用水量下降到32.0m3/万元，重复利用率提高到84%；</w:t>
            </w:r>
          </w:p>
          <w:p w14:paraId="14CCB3DE">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2.至2030年，万元工业增加值用水量进一步减少为28.0m3/万元，重复利用率提高到85%；</w:t>
            </w:r>
          </w:p>
          <w:p w14:paraId="67D9F4B6">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3.新、改扩建项目水耗指标满足《四川省省级生态工业园区指标》综合类生态工业园区要求。</w:t>
            </w:r>
          </w:p>
          <w:p w14:paraId="6EB9B1FF">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地下水开采要求</w:t>
            </w:r>
          </w:p>
          <w:p w14:paraId="15BD9229">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全面建设节水型社会，达到合理高效用水。</w:t>
            </w:r>
          </w:p>
          <w:p w14:paraId="783C74C0">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能源利用总量及效率要求</w:t>
            </w:r>
          </w:p>
          <w:p w14:paraId="4A7F8A1A">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1.扩大高污染燃料禁燃区范围，在市、县（区）、镇（乡）建成区全面实施“煤改气”“煤改电”。</w:t>
            </w:r>
          </w:p>
          <w:p w14:paraId="455FA4D6">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2.新、改扩建项目能耗指标满足《四川省省级生态工业园区指标》综合类生态工业园区要求。</w:t>
            </w:r>
          </w:p>
          <w:p w14:paraId="0575147B">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3.实施新建项目与煤炭消费总量控制挂钩机制，耗煤建设项目实行煤炭消耗等量减量替代。</w:t>
            </w:r>
          </w:p>
          <w:p w14:paraId="2250C9B3">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4.提高煤炭利用效率和天然气利用占比，工业领域有序推进“煤改电”和“煤改气”。</w:t>
            </w:r>
          </w:p>
          <w:p w14:paraId="5EC485C2">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5.到2030年，能源消费总量控制在1000万吨标准煤以内。</w:t>
            </w:r>
          </w:p>
          <w:p w14:paraId="1A897E5C">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禁燃区要求</w:t>
            </w:r>
          </w:p>
          <w:p w14:paraId="576F0C0C">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1.禁燃区内禁止燃烧以下高污染燃料：</w:t>
            </w:r>
          </w:p>
          <w:p w14:paraId="426D7F45">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（1）煤炭及其制品（包括原煤、散煤、煤矸石、煤泥、煤 粉、水浆煤、型煤、焦炭、兰炭、油类等常规燃料）。</w:t>
            </w:r>
          </w:p>
          <w:p w14:paraId="011FDECB">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（2）石油焦、油页岩、原油、重油、渣油、煤焦油。</w:t>
            </w:r>
          </w:p>
          <w:p w14:paraId="5C93FED3">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（3）非专用锅炉或未配置高效除尘设施的专用锅炉燃用的 生物质成型燃料。</w:t>
            </w:r>
          </w:p>
          <w:p w14:paraId="79B1E2EA">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2.禁燃区内禁止新建、扩建燃用高污染燃料的锅炉、炉窑、 炉灶等燃烧设施（集中供热、电厂锅炉除外）。</w:t>
            </w:r>
          </w:p>
          <w:p w14:paraId="450B005C">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3.自2020年1月1日起，禁燃区内禁止销售高污染燃料。</w:t>
            </w:r>
          </w:p>
          <w:p w14:paraId="5DF78B38">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4.加强对集中供热、电厂锅炉、10蒸吨/时以上的在用燃煤锅炉以及改用清洁能源前的在用锅炉等燃烧设施的监管，确保达标排放。</w:t>
            </w:r>
          </w:p>
          <w:p w14:paraId="1B04774A">
            <w:pPr>
              <w:pStyle w:val="78"/>
              <w:widowControl w:val="0"/>
              <w:spacing w:line="360" w:lineRule="auto"/>
              <w:ind w:firstLine="0" w:firstLineChars="0"/>
              <w:jc w:val="both"/>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其他资源利用效率要求</w:t>
            </w:r>
          </w:p>
        </w:tc>
        <w:tc>
          <w:tcPr>
            <w:tcW w:w="1715" w:type="dxa"/>
            <w:tcBorders>
              <w:tl2br w:val="nil"/>
              <w:tr2bl w:val="nil"/>
            </w:tcBorders>
            <w:noWrap w:val="0"/>
            <w:vAlign w:val="center"/>
          </w:tcPr>
          <w:p w14:paraId="2436D8E3">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本项目属</w:t>
            </w:r>
            <w:r>
              <w:rPr>
                <w:rStyle w:val="27"/>
                <w:rFonts w:hint="eastAsia" w:eastAsia="宋体" w:cs="Times New Roman"/>
                <w:color w:val="auto"/>
                <w:kern w:val="2"/>
                <w:sz w:val="21"/>
                <w:szCs w:val="21"/>
                <w:lang w:val="en-US" w:eastAsia="zh-CN" w:bidi="ar-SA"/>
              </w:rPr>
              <w:t>印刷机塑料制品生产项目</w:t>
            </w:r>
            <w:r>
              <w:rPr>
                <w:rStyle w:val="27"/>
                <w:rFonts w:hint="default" w:ascii="Times New Roman" w:hAnsi="Times New Roman" w:eastAsia="宋体" w:cs="Times New Roman"/>
                <w:color w:val="auto"/>
                <w:kern w:val="2"/>
                <w:sz w:val="21"/>
                <w:szCs w:val="21"/>
                <w:lang w:val="en-US" w:eastAsia="zh-CN" w:bidi="ar-SA"/>
              </w:rPr>
              <w:t>，项目不开采资源，无高污染燃料使用。</w:t>
            </w:r>
          </w:p>
        </w:tc>
      </w:tr>
      <w:tr w14:paraId="5C2C6B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8" w:hRule="atLeast"/>
        </w:trPr>
        <w:tc>
          <w:tcPr>
            <w:tcW w:w="590" w:type="dxa"/>
            <w:vMerge w:val="restart"/>
            <w:tcBorders>
              <w:tl2br w:val="nil"/>
              <w:tr2bl w:val="nil"/>
            </w:tcBorders>
            <w:noWrap w:val="0"/>
            <w:vAlign w:val="center"/>
          </w:tcPr>
          <w:p w14:paraId="4C75A22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YS5109232210002</w:t>
            </w:r>
          </w:p>
        </w:tc>
        <w:tc>
          <w:tcPr>
            <w:tcW w:w="773" w:type="dxa"/>
            <w:vMerge w:val="restart"/>
            <w:tcBorders>
              <w:tl2br w:val="nil"/>
              <w:tr2bl w:val="nil"/>
            </w:tcBorders>
            <w:noWrap w:val="0"/>
            <w:vAlign w:val="center"/>
          </w:tcPr>
          <w:p w14:paraId="5EFDC99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郪江-大英县-郪江口-控制单元</w:t>
            </w:r>
          </w:p>
        </w:tc>
        <w:tc>
          <w:tcPr>
            <w:tcW w:w="484" w:type="dxa"/>
            <w:vMerge w:val="restart"/>
            <w:tcBorders>
              <w:tl2br w:val="nil"/>
              <w:tr2bl w:val="nil"/>
            </w:tcBorders>
            <w:noWrap w:val="0"/>
            <w:vAlign w:val="top"/>
          </w:tcPr>
          <w:p w14:paraId="38ED9AE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单元级清单管控要求</w:t>
            </w:r>
          </w:p>
        </w:tc>
        <w:tc>
          <w:tcPr>
            <w:tcW w:w="1316" w:type="dxa"/>
            <w:tcBorders>
              <w:tl2br w:val="nil"/>
              <w:tr2bl w:val="nil"/>
            </w:tcBorders>
            <w:noWrap w:val="0"/>
            <w:vAlign w:val="center"/>
          </w:tcPr>
          <w:p w14:paraId="0C2CE20D">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空间布局约束</w:t>
            </w:r>
          </w:p>
        </w:tc>
        <w:tc>
          <w:tcPr>
            <w:tcW w:w="8427" w:type="dxa"/>
            <w:tcBorders>
              <w:tl2br w:val="nil"/>
              <w:tr2bl w:val="nil"/>
            </w:tcBorders>
            <w:noWrap w:val="0"/>
            <w:vAlign w:val="center"/>
          </w:tcPr>
          <w:p w14:paraId="2C9C5230">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580611A3">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p>
          <w:p w14:paraId="71F68808">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71A787E9">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严控磷铵、黄磷等产业违规新增产能加快退出不符合产业政策和环保要求、不满足安全生产条件的涉磷企业</w:t>
            </w:r>
          </w:p>
          <w:p w14:paraId="2A62B1F7">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允许开发建设活动的要求</w:t>
            </w:r>
          </w:p>
          <w:p w14:paraId="4B4ACF8C">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p>
          <w:p w14:paraId="02C41E19">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49D2FAB5">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p>
          <w:p w14:paraId="6B02D26B">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049E60A5">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p>
        </w:tc>
        <w:tc>
          <w:tcPr>
            <w:tcW w:w="1715" w:type="dxa"/>
            <w:tcBorders>
              <w:tl2br w:val="nil"/>
              <w:tr2bl w:val="nil"/>
            </w:tcBorders>
            <w:noWrap w:val="0"/>
            <w:vAlign w:val="center"/>
          </w:tcPr>
          <w:p w14:paraId="76DF235C">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本项目不属于禁止开发建设的项目，满足空间布局约束要求。</w:t>
            </w:r>
          </w:p>
        </w:tc>
      </w:tr>
      <w:tr w14:paraId="5F1E3D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590" w:type="dxa"/>
            <w:vMerge w:val="continue"/>
            <w:tcBorders>
              <w:tl2br w:val="nil"/>
              <w:tr2bl w:val="nil"/>
            </w:tcBorders>
            <w:noWrap w:val="0"/>
            <w:vAlign w:val="center"/>
          </w:tcPr>
          <w:p w14:paraId="42FF4EB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p>
        </w:tc>
        <w:tc>
          <w:tcPr>
            <w:tcW w:w="773" w:type="dxa"/>
            <w:vMerge w:val="continue"/>
            <w:tcBorders>
              <w:tl2br w:val="nil"/>
              <w:tr2bl w:val="nil"/>
            </w:tcBorders>
            <w:noWrap w:val="0"/>
            <w:vAlign w:val="center"/>
          </w:tcPr>
          <w:p w14:paraId="4C822FA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p>
        </w:tc>
        <w:tc>
          <w:tcPr>
            <w:tcW w:w="484" w:type="dxa"/>
            <w:vMerge w:val="continue"/>
            <w:tcBorders>
              <w:tl2br w:val="nil"/>
              <w:tr2bl w:val="nil"/>
            </w:tcBorders>
            <w:noWrap w:val="0"/>
            <w:vAlign w:val="top"/>
          </w:tcPr>
          <w:p w14:paraId="39B513F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p>
        </w:tc>
        <w:tc>
          <w:tcPr>
            <w:tcW w:w="1316" w:type="dxa"/>
            <w:tcBorders>
              <w:tl2br w:val="nil"/>
              <w:tr2bl w:val="nil"/>
            </w:tcBorders>
            <w:noWrap w:val="0"/>
            <w:vAlign w:val="center"/>
          </w:tcPr>
          <w:p w14:paraId="693548A4">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污染物排放管控</w:t>
            </w:r>
          </w:p>
        </w:tc>
        <w:tc>
          <w:tcPr>
            <w:tcW w:w="8427" w:type="dxa"/>
            <w:tcBorders>
              <w:tl2br w:val="nil"/>
              <w:tr2bl w:val="nil"/>
            </w:tcBorders>
            <w:noWrap w:val="0"/>
            <w:vAlign w:val="center"/>
          </w:tcPr>
          <w:p w14:paraId="7C3E3854">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城镇污水污染控制措施要求</w:t>
            </w:r>
          </w:p>
          <w:p w14:paraId="0B8FFDFE">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工业废水污染控制措施要求</w:t>
            </w:r>
          </w:p>
          <w:p w14:paraId="334F8219">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1、深入实施工业企业污水处理设施升级改造，全面实现工业废水达标排放。2、强化工业集聚区污水治理，推进工业污水集中处理设施及配套收集系统建设与提标升级改造，大力推进现有污水收集、处理设施问题排查及整治；完善园区及企业雨污分流系统，全面推进医药、化工等行业初期雨水收集处理，推动有条件的园区实施入园企业“一企一管、明管输送、实时监测”。3、化工园区应按照分类收集，分质处理的要求，配备专业化工生产废水集中处理设施（独立建设或依托骨干企业）及专管或明管输送的配套管网，化工生产废水纳管率达到100%；入河排污口设置应符合相关规定。4、加强工业园区集中污水处理设施运行监管，强企业废水预处理和排水管理，鼓励纳管企业与园区污水处理厂运营单位通过签订委托处理合同等方式协同处理废水。5、加强新化学物质环境管理，严格执行《新化学物质环境管理登记办法》,落实企业新化学物质环境风险防控主体责任。落实国家《优先控制化学品名录（第一批）》《优先控制化学品名录（第二批）》《重点管控新污染物清单（2023年版）》环境风险管控措施。</w:t>
            </w:r>
          </w:p>
          <w:p w14:paraId="5D9EC535">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农业面源水污染控制措施要求</w:t>
            </w:r>
          </w:p>
          <w:p w14:paraId="4137D948">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p>
          <w:p w14:paraId="7775BE82">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船舶港口水污染控制措施要求</w:t>
            </w:r>
          </w:p>
          <w:p w14:paraId="2A8FB0ED">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p>
          <w:p w14:paraId="7FB44BAA">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饮用水水源和其它特殊水体保护要求</w:t>
            </w:r>
          </w:p>
        </w:tc>
        <w:tc>
          <w:tcPr>
            <w:tcW w:w="1715" w:type="dxa"/>
            <w:tcBorders>
              <w:tl2br w:val="nil"/>
              <w:tr2bl w:val="nil"/>
            </w:tcBorders>
            <w:noWrap w:val="0"/>
            <w:vAlign w:val="center"/>
          </w:tcPr>
          <w:p w14:paraId="1B37D58C">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本项目各项污染物经治理达标后排放，满足</w:t>
            </w:r>
            <w:r>
              <w:rPr>
                <w:rFonts w:hint="default" w:ascii="Times New Roman" w:hAnsi="Times New Roman" w:eastAsia="宋体" w:cs="Times New Roman"/>
                <w:color w:val="auto"/>
                <w:sz w:val="21"/>
                <w:szCs w:val="21"/>
              </w:rPr>
              <w:t>污染物排放管控</w:t>
            </w:r>
            <w:r>
              <w:rPr>
                <w:rFonts w:hint="default" w:ascii="Times New Roman" w:hAnsi="Times New Roman" w:eastAsia="宋体" w:cs="Times New Roman"/>
                <w:color w:val="auto"/>
                <w:kern w:val="0"/>
                <w:sz w:val="21"/>
                <w:szCs w:val="21"/>
                <w:lang w:val="en-US" w:eastAsia="zh-CN"/>
              </w:rPr>
              <w:t>要求。</w:t>
            </w:r>
          </w:p>
        </w:tc>
      </w:tr>
      <w:tr w14:paraId="5D7DF9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continue"/>
            <w:tcBorders>
              <w:tl2br w:val="nil"/>
              <w:tr2bl w:val="nil"/>
            </w:tcBorders>
            <w:noWrap w:val="0"/>
            <w:vAlign w:val="center"/>
          </w:tcPr>
          <w:p w14:paraId="3F5783D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YS5109232210002</w:t>
            </w:r>
          </w:p>
        </w:tc>
        <w:tc>
          <w:tcPr>
            <w:tcW w:w="773" w:type="dxa"/>
            <w:vMerge w:val="continue"/>
            <w:tcBorders>
              <w:tl2br w:val="nil"/>
              <w:tr2bl w:val="nil"/>
            </w:tcBorders>
            <w:noWrap w:val="0"/>
            <w:vAlign w:val="center"/>
          </w:tcPr>
          <w:p w14:paraId="12B15E9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郪江-大英县-郪江口-控制单元</w:t>
            </w:r>
          </w:p>
        </w:tc>
        <w:tc>
          <w:tcPr>
            <w:tcW w:w="484" w:type="dxa"/>
            <w:vMerge w:val="continue"/>
            <w:tcBorders>
              <w:tl2br w:val="nil"/>
              <w:tr2bl w:val="nil"/>
            </w:tcBorders>
            <w:noWrap w:val="0"/>
            <w:vAlign w:val="top"/>
          </w:tcPr>
          <w:p w14:paraId="676347A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空间布局约束：</w:t>
            </w:r>
          </w:p>
          <w:p w14:paraId="62DAC9D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6288C5C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22794C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129B0C6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A842DF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1D1806B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926FFF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4D5428B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4D9DFB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污染物排放管控：</w:t>
            </w:r>
          </w:p>
          <w:p w14:paraId="419B91F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允许排放量要求</w:t>
            </w:r>
          </w:p>
          <w:p w14:paraId="5A2D4BA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9D85F6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现有源提标升级改造</w:t>
            </w:r>
          </w:p>
          <w:p w14:paraId="1A6A3EB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EB88AA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其他污染物排放管控要求</w:t>
            </w:r>
          </w:p>
          <w:p w14:paraId="73A82A8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D03538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环境风险防控：</w:t>
            </w:r>
          </w:p>
          <w:p w14:paraId="72CEE81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联防联控要求</w:t>
            </w:r>
          </w:p>
          <w:p w14:paraId="01B8798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59DF72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其他环境风险防控要求</w:t>
            </w:r>
          </w:p>
          <w:p w14:paraId="31A5AAD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31ED89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资源开发利用效率要求：</w:t>
            </w:r>
          </w:p>
          <w:p w14:paraId="21C0BFF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水资源利用总量要求</w:t>
            </w:r>
          </w:p>
          <w:p w14:paraId="19D26DC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A868CC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地下水开采要求</w:t>
            </w:r>
          </w:p>
          <w:p w14:paraId="72FFBCA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A8D05A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能源利用总量及效率要求</w:t>
            </w:r>
          </w:p>
          <w:p w14:paraId="4C2E155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5296EC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禁燃区要求</w:t>
            </w:r>
          </w:p>
          <w:p w14:paraId="5F939B2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2AF4AD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其他资源利用效率要求</w:t>
            </w:r>
          </w:p>
          <w:p w14:paraId="4D23EBF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tc>
        <w:tc>
          <w:tcPr>
            <w:tcW w:w="1316" w:type="dxa"/>
            <w:tcBorders>
              <w:tl2br w:val="nil"/>
              <w:tr2bl w:val="nil"/>
            </w:tcBorders>
            <w:noWrap w:val="0"/>
            <w:vAlign w:val="center"/>
          </w:tcPr>
          <w:p w14:paraId="15158646">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环境风险防控</w:t>
            </w:r>
          </w:p>
        </w:tc>
        <w:tc>
          <w:tcPr>
            <w:tcW w:w="8427" w:type="dxa"/>
            <w:tcBorders>
              <w:tl2br w:val="nil"/>
              <w:tr2bl w:val="nil"/>
            </w:tcBorders>
            <w:noWrap w:val="0"/>
            <w:vAlign w:val="center"/>
          </w:tcPr>
          <w:p w14:paraId="465DC871">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在长江干支流岸线一公里范围内新建、扩建化工园区和化工项目。按要求设置生态隔离带，建设相应的防护工程。合理设置与抗风险能力相匹配的事故调蓄设施和环境应急措施；化工园区应建设园区事故废水防控系统，做好事故废水的收集、暂存和处理，并在污水处理厂排口下游配置水质自动监测设施等预警设施，强化风险预警。强化工业园区环境风险防控工作，突出全防全控，完善各项环境风险防范制度，确保将风险防范纳入日常环境管理制度体系。加强执法监督，实现对工业园区、重点工矿企业和主要环境风险类型的动态监控。</w:t>
            </w:r>
          </w:p>
        </w:tc>
        <w:tc>
          <w:tcPr>
            <w:tcW w:w="1715" w:type="dxa"/>
            <w:tcBorders>
              <w:tl2br w:val="nil"/>
              <w:tr2bl w:val="nil"/>
            </w:tcBorders>
            <w:noWrap w:val="0"/>
            <w:vAlign w:val="center"/>
          </w:tcPr>
          <w:p w14:paraId="1C3BFDA0">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本项目符合</w:t>
            </w:r>
            <w:r>
              <w:rPr>
                <w:rStyle w:val="27"/>
                <w:rFonts w:hint="default" w:ascii="Times New Roman" w:hAnsi="Times New Roman" w:eastAsia="宋体" w:cs="Times New Roman"/>
                <w:color w:val="auto"/>
                <w:kern w:val="2"/>
                <w:sz w:val="21"/>
                <w:szCs w:val="21"/>
                <w:lang w:val="en-US" w:eastAsia="zh-CN" w:bidi="ar-SA"/>
              </w:rPr>
              <w:t>环境风险防控</w:t>
            </w:r>
            <w:r>
              <w:rPr>
                <w:rFonts w:hint="default" w:ascii="Times New Roman" w:hAnsi="Times New Roman" w:eastAsia="宋体" w:cs="Times New Roman"/>
                <w:color w:val="auto"/>
                <w:sz w:val="21"/>
                <w:szCs w:val="21"/>
              </w:rPr>
              <w:t>要求。</w:t>
            </w:r>
          </w:p>
        </w:tc>
      </w:tr>
      <w:tr w14:paraId="489F9A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continue"/>
            <w:tcBorders>
              <w:tl2br w:val="nil"/>
              <w:tr2bl w:val="nil"/>
            </w:tcBorders>
            <w:noWrap w:val="0"/>
            <w:vAlign w:val="center"/>
          </w:tcPr>
          <w:p w14:paraId="2A3E9CD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YS5109232210002</w:t>
            </w:r>
          </w:p>
        </w:tc>
        <w:tc>
          <w:tcPr>
            <w:tcW w:w="773" w:type="dxa"/>
            <w:vMerge w:val="continue"/>
            <w:tcBorders>
              <w:tl2br w:val="nil"/>
              <w:tr2bl w:val="nil"/>
            </w:tcBorders>
            <w:noWrap w:val="0"/>
            <w:vAlign w:val="center"/>
          </w:tcPr>
          <w:p w14:paraId="007BAC5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郪江-大英县-郪江口-控制单元</w:t>
            </w:r>
          </w:p>
        </w:tc>
        <w:tc>
          <w:tcPr>
            <w:tcW w:w="484" w:type="dxa"/>
            <w:vMerge w:val="continue"/>
            <w:tcBorders>
              <w:tl2br w:val="nil"/>
              <w:tr2bl w:val="nil"/>
            </w:tcBorders>
            <w:noWrap w:val="0"/>
            <w:vAlign w:val="top"/>
          </w:tcPr>
          <w:p w14:paraId="1818549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空间布局约束：</w:t>
            </w:r>
          </w:p>
          <w:p w14:paraId="77D5552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79D0D4A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C83E40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15D2975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513FB9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2340674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CB2D3E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4656BCA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BEBFC0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污染物排放管控：</w:t>
            </w:r>
          </w:p>
          <w:p w14:paraId="6A80E25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允许排放量要求</w:t>
            </w:r>
          </w:p>
          <w:p w14:paraId="48BB481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9D955A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现有源提标升级改造</w:t>
            </w:r>
          </w:p>
          <w:p w14:paraId="0C9D82C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465F97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其他污染物排放管控要求</w:t>
            </w:r>
          </w:p>
          <w:p w14:paraId="4E8C32F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B903CC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环境风险防控：</w:t>
            </w:r>
          </w:p>
          <w:p w14:paraId="32BB212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联防联控要求</w:t>
            </w:r>
          </w:p>
          <w:p w14:paraId="719D4F0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3790BE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其他环境风险防控要求</w:t>
            </w:r>
          </w:p>
          <w:p w14:paraId="1EC9F53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2937C8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资源开发利用效率要求：</w:t>
            </w:r>
          </w:p>
          <w:p w14:paraId="71F9F23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水资源利用总量要求</w:t>
            </w:r>
          </w:p>
          <w:p w14:paraId="04A27A8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2CCAD5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地下水开采要求</w:t>
            </w:r>
          </w:p>
          <w:p w14:paraId="2680957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7768F7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能源利用总量及效率要求</w:t>
            </w:r>
          </w:p>
          <w:p w14:paraId="6599C0E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0DABD2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禁燃区要求</w:t>
            </w:r>
          </w:p>
          <w:p w14:paraId="5E4E21F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173FA4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其他资源利用效率要求</w:t>
            </w:r>
          </w:p>
          <w:p w14:paraId="046DAF3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tc>
        <w:tc>
          <w:tcPr>
            <w:tcW w:w="1316" w:type="dxa"/>
            <w:tcBorders>
              <w:tl2br w:val="nil"/>
              <w:tr2bl w:val="nil"/>
            </w:tcBorders>
            <w:noWrap w:val="0"/>
            <w:vAlign w:val="center"/>
          </w:tcPr>
          <w:p w14:paraId="6E0FDA6E">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资源开发效率要求</w:t>
            </w:r>
          </w:p>
        </w:tc>
        <w:tc>
          <w:tcPr>
            <w:tcW w:w="8427" w:type="dxa"/>
            <w:tcBorders>
              <w:tl2br w:val="nil"/>
              <w:tr2bl w:val="nil"/>
            </w:tcBorders>
            <w:noWrap w:val="0"/>
            <w:vAlign w:val="center"/>
          </w:tcPr>
          <w:p w14:paraId="6D16964A">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加强高耗水行业用水定额管理，以水定产，严格控制高耗水新建、改建、扩建项目。</w:t>
            </w:r>
          </w:p>
        </w:tc>
        <w:tc>
          <w:tcPr>
            <w:tcW w:w="1715" w:type="dxa"/>
            <w:tcBorders>
              <w:tl2br w:val="nil"/>
              <w:tr2bl w:val="nil"/>
            </w:tcBorders>
            <w:noWrap w:val="0"/>
            <w:vAlign w:val="center"/>
          </w:tcPr>
          <w:p w14:paraId="3064D192">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本项目符合资源开发效率要求。</w:t>
            </w:r>
          </w:p>
        </w:tc>
      </w:tr>
      <w:tr w14:paraId="4585B6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restart"/>
            <w:tcBorders>
              <w:tl2br w:val="nil"/>
              <w:tr2bl w:val="nil"/>
            </w:tcBorders>
            <w:noWrap w:val="0"/>
            <w:vAlign w:val="center"/>
          </w:tcPr>
          <w:p w14:paraId="3837512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YS5109232310001</w:t>
            </w:r>
          </w:p>
        </w:tc>
        <w:tc>
          <w:tcPr>
            <w:tcW w:w="773" w:type="dxa"/>
            <w:vMerge w:val="restart"/>
            <w:tcBorders>
              <w:tl2br w:val="nil"/>
              <w:tr2bl w:val="nil"/>
            </w:tcBorders>
            <w:noWrap w:val="0"/>
            <w:vAlign w:val="center"/>
          </w:tcPr>
          <w:p w14:paraId="5632641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大英县工业集中发展区(含经开区)</w:t>
            </w:r>
          </w:p>
        </w:tc>
        <w:tc>
          <w:tcPr>
            <w:tcW w:w="484" w:type="dxa"/>
            <w:vMerge w:val="continue"/>
            <w:tcBorders>
              <w:tl2br w:val="nil"/>
              <w:tr2bl w:val="nil"/>
            </w:tcBorders>
            <w:noWrap w:val="0"/>
            <w:vAlign w:val="top"/>
          </w:tcPr>
          <w:p w14:paraId="019EC10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空间布局约束：</w:t>
            </w:r>
          </w:p>
          <w:p w14:paraId="1A9B64C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732A802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AF0883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0303FA5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5B4856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4320DCD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810779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1622262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667CAF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污染物排放管控：</w:t>
            </w:r>
          </w:p>
          <w:p w14:paraId="5FBCC57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允许排放量要求</w:t>
            </w:r>
          </w:p>
          <w:p w14:paraId="531AAB9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B0EED9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现有源提标升级改造</w:t>
            </w:r>
          </w:p>
          <w:p w14:paraId="2BE2FDE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2E1BF5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其他污染物排放管控要求</w:t>
            </w:r>
          </w:p>
          <w:p w14:paraId="260FB5E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FF03F5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环境风险防控：</w:t>
            </w:r>
          </w:p>
          <w:p w14:paraId="5B5E112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联防联控要求</w:t>
            </w:r>
          </w:p>
          <w:p w14:paraId="14FC26E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0D3D68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其他环境风险防控要求</w:t>
            </w:r>
          </w:p>
          <w:p w14:paraId="634BC00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D33232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资源开发利用效率要求：</w:t>
            </w:r>
          </w:p>
          <w:p w14:paraId="25D41DE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水资源利用总量要求</w:t>
            </w:r>
          </w:p>
          <w:p w14:paraId="221412C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F4419B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地下水开采要求</w:t>
            </w:r>
          </w:p>
          <w:p w14:paraId="0ED7967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CE3C40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能源利用总量及效率要求</w:t>
            </w:r>
          </w:p>
          <w:p w14:paraId="4697BB1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D5823E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禁燃区要求</w:t>
            </w:r>
          </w:p>
          <w:p w14:paraId="250E033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0BDE1D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其他资源利用效率要求</w:t>
            </w:r>
          </w:p>
          <w:p w14:paraId="7598010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tc>
        <w:tc>
          <w:tcPr>
            <w:tcW w:w="1316" w:type="dxa"/>
            <w:tcBorders>
              <w:tl2br w:val="nil"/>
              <w:tr2bl w:val="nil"/>
            </w:tcBorders>
            <w:noWrap w:val="0"/>
            <w:vAlign w:val="center"/>
          </w:tcPr>
          <w:p w14:paraId="29810F16">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空间布局约束</w:t>
            </w:r>
          </w:p>
        </w:tc>
        <w:tc>
          <w:tcPr>
            <w:tcW w:w="8427" w:type="dxa"/>
            <w:tcBorders>
              <w:tl2br w:val="nil"/>
              <w:tr2bl w:val="nil"/>
            </w:tcBorders>
            <w:noWrap w:val="0"/>
            <w:vAlign w:val="center"/>
          </w:tcPr>
          <w:p w14:paraId="1A80E9BC">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753D4D15">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p w14:paraId="4618AE08">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70E240C7">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p w14:paraId="5B88A0C6">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允许开发建设活动的要求</w:t>
            </w:r>
          </w:p>
          <w:p w14:paraId="07A2FE3D">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p w14:paraId="5F091EFB">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6BD2D1E1">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p w14:paraId="49B2332D">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1743C539">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c>
          <w:tcPr>
            <w:tcW w:w="1715" w:type="dxa"/>
            <w:tcBorders>
              <w:tl2br w:val="nil"/>
              <w:tr2bl w:val="nil"/>
            </w:tcBorders>
            <w:noWrap w:val="0"/>
            <w:vAlign w:val="center"/>
          </w:tcPr>
          <w:p w14:paraId="149C15B9">
            <w:pPr>
              <w:pStyle w:val="78"/>
              <w:widowControl/>
              <w:shd w:val="clear" w:color="auto" w:fill="FFFFFF"/>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本项目不属于禁止开发建设的项目，满足空间布局约束要求。</w:t>
            </w:r>
          </w:p>
        </w:tc>
      </w:tr>
      <w:tr w14:paraId="36CA4D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continue"/>
            <w:tcBorders>
              <w:tl2br w:val="nil"/>
              <w:tr2bl w:val="nil"/>
            </w:tcBorders>
            <w:noWrap w:val="0"/>
            <w:vAlign w:val="center"/>
          </w:tcPr>
          <w:p w14:paraId="41DDDC5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YS5109232310001</w:t>
            </w:r>
          </w:p>
        </w:tc>
        <w:tc>
          <w:tcPr>
            <w:tcW w:w="773" w:type="dxa"/>
            <w:vMerge w:val="continue"/>
            <w:tcBorders>
              <w:tl2br w:val="nil"/>
              <w:tr2bl w:val="nil"/>
            </w:tcBorders>
            <w:noWrap w:val="0"/>
            <w:vAlign w:val="center"/>
          </w:tcPr>
          <w:p w14:paraId="7F0AE8F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大英县工业集中发展区(含经开区)</w:t>
            </w:r>
          </w:p>
        </w:tc>
        <w:tc>
          <w:tcPr>
            <w:tcW w:w="484" w:type="dxa"/>
            <w:vMerge w:val="continue"/>
            <w:tcBorders>
              <w:tl2br w:val="nil"/>
              <w:tr2bl w:val="nil"/>
            </w:tcBorders>
            <w:noWrap w:val="0"/>
            <w:vAlign w:val="top"/>
          </w:tcPr>
          <w:p w14:paraId="2CC9C6C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空间布局约束：</w:t>
            </w:r>
          </w:p>
          <w:p w14:paraId="41FBF31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7990021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6534B3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4C16229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13233A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5A36342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4C649E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3E43D8F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6A18D3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污染物排放管控：</w:t>
            </w:r>
          </w:p>
          <w:p w14:paraId="7C17358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允许排放量要求</w:t>
            </w:r>
          </w:p>
          <w:p w14:paraId="7BC4E7B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3A8DDB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现有源提标升级改造</w:t>
            </w:r>
          </w:p>
          <w:p w14:paraId="6B326BC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427B0B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其他污染物排放管控要求</w:t>
            </w:r>
          </w:p>
          <w:p w14:paraId="3542BC5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53CC7C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环境风险防控：</w:t>
            </w:r>
          </w:p>
          <w:p w14:paraId="1E55D02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联防联控要求</w:t>
            </w:r>
          </w:p>
          <w:p w14:paraId="42615BD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561110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其他环境风险防控要求</w:t>
            </w:r>
          </w:p>
          <w:p w14:paraId="4F44ABA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69F6E0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资源开发利用效率要求：</w:t>
            </w:r>
          </w:p>
          <w:p w14:paraId="0D6E195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水资源利用总量要求</w:t>
            </w:r>
          </w:p>
          <w:p w14:paraId="3FEF954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CF6847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地下水开采要求</w:t>
            </w:r>
          </w:p>
          <w:p w14:paraId="01423D6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BAC9E7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能源利用总量及效率要求</w:t>
            </w:r>
          </w:p>
          <w:p w14:paraId="62F3B50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5DAF8A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禁燃区要求</w:t>
            </w:r>
          </w:p>
          <w:p w14:paraId="35B65D4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983E7E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其他资源利用效率要求</w:t>
            </w:r>
          </w:p>
          <w:p w14:paraId="4929935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tc>
        <w:tc>
          <w:tcPr>
            <w:tcW w:w="1316" w:type="dxa"/>
            <w:tcBorders>
              <w:tl2br w:val="nil"/>
              <w:tr2bl w:val="nil"/>
            </w:tcBorders>
            <w:noWrap w:val="0"/>
            <w:vAlign w:val="center"/>
          </w:tcPr>
          <w:p w14:paraId="26479812">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污染物排放管控</w:t>
            </w:r>
          </w:p>
        </w:tc>
        <w:tc>
          <w:tcPr>
            <w:tcW w:w="8427" w:type="dxa"/>
            <w:tcBorders>
              <w:tl2br w:val="nil"/>
              <w:tr2bl w:val="nil"/>
            </w:tcBorders>
            <w:noWrap w:val="0"/>
            <w:vAlign w:val="center"/>
          </w:tcPr>
          <w:p w14:paraId="59B03E73">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大气环境质量执行标准</w:t>
            </w:r>
          </w:p>
          <w:p w14:paraId="0083D037">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《环境空气质量标准》（GB3095-2012）：二级</w:t>
            </w:r>
          </w:p>
          <w:p w14:paraId="0302699B">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区域大气污染物削减/替代要求</w:t>
            </w:r>
          </w:p>
          <w:p w14:paraId="633E53A0">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p w14:paraId="44306C3B">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燃煤和其他能源大气污染控制要求</w:t>
            </w:r>
          </w:p>
          <w:p w14:paraId="0917F367">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p w14:paraId="04484666">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工业废气污染控制要求</w:t>
            </w:r>
          </w:p>
          <w:p w14:paraId="1CFE2C12">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1、全面淘汰10蒸吨/小时及以下燃煤锅炉，原则上不再新建35蒸吨/小时及以下的燃煤锅炉，推进县级及以上城市建成区淘汰35蒸吨/小时及以下燃煤锅炉，以工业余热、电厂热力、清洁能源等替代煤炭。</w:t>
            </w:r>
          </w:p>
          <w:p w14:paraId="37385820">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025B106D">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机动车船大气污染控制要求</w:t>
            </w:r>
          </w:p>
          <w:p w14:paraId="1E42E3A0">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p w14:paraId="37DE4052">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扬尘污染控制要求</w:t>
            </w:r>
          </w:p>
          <w:p w14:paraId="7D0DB6A5">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p w14:paraId="668AA81F">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农业生产经营活动大气污染控制要求</w:t>
            </w:r>
          </w:p>
          <w:p w14:paraId="13659589">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p w14:paraId="72BEE236">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重点行业企业专项治理要求</w:t>
            </w:r>
          </w:p>
          <w:p w14:paraId="2E43DE68">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14:paraId="23A075F5">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其他大气污染物排放管控要求</w:t>
            </w:r>
          </w:p>
          <w:p w14:paraId="32D96B4D">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c>
          <w:tcPr>
            <w:tcW w:w="1715" w:type="dxa"/>
            <w:tcBorders>
              <w:tl2br w:val="nil"/>
              <w:tr2bl w:val="nil"/>
            </w:tcBorders>
            <w:noWrap w:val="0"/>
            <w:vAlign w:val="center"/>
          </w:tcPr>
          <w:p w14:paraId="00133BE5">
            <w:pPr>
              <w:pStyle w:val="78"/>
              <w:widowControl/>
              <w:shd w:val="clear" w:color="auto" w:fill="FFFFFF"/>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本项目各项污染物经治理达标后排放，满足</w:t>
            </w:r>
            <w:r>
              <w:rPr>
                <w:rFonts w:hint="default" w:ascii="Times New Roman" w:hAnsi="Times New Roman" w:eastAsia="宋体" w:cs="Times New Roman"/>
                <w:color w:val="auto"/>
                <w:sz w:val="21"/>
                <w:szCs w:val="21"/>
              </w:rPr>
              <w:t>污染物排放管控</w:t>
            </w:r>
            <w:r>
              <w:rPr>
                <w:rFonts w:hint="default" w:ascii="Times New Roman" w:hAnsi="Times New Roman" w:eastAsia="宋体" w:cs="Times New Roman"/>
                <w:color w:val="auto"/>
                <w:kern w:val="0"/>
                <w:sz w:val="21"/>
                <w:szCs w:val="21"/>
                <w:lang w:val="en-US" w:eastAsia="zh-CN"/>
              </w:rPr>
              <w:t>要求。</w:t>
            </w:r>
          </w:p>
        </w:tc>
      </w:tr>
      <w:tr w14:paraId="4C36B6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continue"/>
            <w:tcBorders>
              <w:tl2br w:val="nil"/>
              <w:tr2bl w:val="nil"/>
            </w:tcBorders>
            <w:noWrap w:val="0"/>
            <w:vAlign w:val="center"/>
          </w:tcPr>
          <w:p w14:paraId="4CD6241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YS5109232310001</w:t>
            </w:r>
          </w:p>
        </w:tc>
        <w:tc>
          <w:tcPr>
            <w:tcW w:w="773" w:type="dxa"/>
            <w:vMerge w:val="continue"/>
            <w:tcBorders>
              <w:tl2br w:val="nil"/>
              <w:tr2bl w:val="nil"/>
            </w:tcBorders>
            <w:noWrap w:val="0"/>
            <w:vAlign w:val="center"/>
          </w:tcPr>
          <w:p w14:paraId="5D7B829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大英县工业集中发展区(含经开区)</w:t>
            </w:r>
          </w:p>
        </w:tc>
        <w:tc>
          <w:tcPr>
            <w:tcW w:w="484" w:type="dxa"/>
            <w:vMerge w:val="continue"/>
            <w:tcBorders>
              <w:tl2br w:val="nil"/>
              <w:tr2bl w:val="nil"/>
            </w:tcBorders>
            <w:noWrap w:val="0"/>
            <w:vAlign w:val="top"/>
          </w:tcPr>
          <w:p w14:paraId="0ACF612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空间布局约束：</w:t>
            </w:r>
          </w:p>
          <w:p w14:paraId="4048B76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2AABC8A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1EDDA4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17ECBA9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192C21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11C3759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1354FE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492B349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AE9AF9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污染物排放管控：</w:t>
            </w:r>
          </w:p>
          <w:p w14:paraId="6C1AAED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允许排放量要求</w:t>
            </w:r>
          </w:p>
          <w:p w14:paraId="0125221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1DDF61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现有源提标升级改造</w:t>
            </w:r>
          </w:p>
          <w:p w14:paraId="2C45981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0D8BA1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其他污染物排放管控要求</w:t>
            </w:r>
          </w:p>
          <w:p w14:paraId="3E29C26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C8DE27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环境风险防控：</w:t>
            </w:r>
          </w:p>
          <w:p w14:paraId="73F8BFF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联防联控要求</w:t>
            </w:r>
          </w:p>
          <w:p w14:paraId="70F7A41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71CA39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其他环境风险防控要求</w:t>
            </w:r>
          </w:p>
          <w:p w14:paraId="6AFB3E0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B21B54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资源开发利用效率要求：</w:t>
            </w:r>
          </w:p>
          <w:p w14:paraId="7F5A114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水资源利用总量要求</w:t>
            </w:r>
          </w:p>
          <w:p w14:paraId="2F4263B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EA6874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地下水开采要求</w:t>
            </w:r>
          </w:p>
          <w:p w14:paraId="45BF2E6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59AAA3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能源利用总量及效率要求</w:t>
            </w:r>
          </w:p>
          <w:p w14:paraId="096C41D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AA0D45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禁燃区要求</w:t>
            </w:r>
          </w:p>
          <w:p w14:paraId="2C36AB7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77A386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其他资源利用效率要求</w:t>
            </w:r>
          </w:p>
          <w:p w14:paraId="45C8F3C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tc>
        <w:tc>
          <w:tcPr>
            <w:tcW w:w="1316" w:type="dxa"/>
            <w:tcBorders>
              <w:tl2br w:val="nil"/>
              <w:tr2bl w:val="nil"/>
            </w:tcBorders>
            <w:noWrap w:val="0"/>
            <w:vAlign w:val="center"/>
          </w:tcPr>
          <w:p w14:paraId="622E0438">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环境风险防控</w:t>
            </w:r>
          </w:p>
        </w:tc>
        <w:tc>
          <w:tcPr>
            <w:tcW w:w="8427" w:type="dxa"/>
            <w:vMerge w:val="restart"/>
            <w:tcBorders>
              <w:tl2br w:val="nil"/>
              <w:tr2bl w:val="nil"/>
            </w:tcBorders>
            <w:noWrap w:val="0"/>
            <w:vAlign w:val="center"/>
          </w:tcPr>
          <w:p w14:paraId="3A2C6594">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c>
          <w:tcPr>
            <w:tcW w:w="1715" w:type="dxa"/>
            <w:tcBorders>
              <w:tl2br w:val="nil"/>
              <w:tr2bl w:val="nil"/>
            </w:tcBorders>
            <w:noWrap w:val="0"/>
            <w:vAlign w:val="center"/>
          </w:tcPr>
          <w:p w14:paraId="15F7B25B">
            <w:pPr>
              <w:pStyle w:val="78"/>
              <w:widowControl/>
              <w:shd w:val="clear" w:color="auto" w:fill="FFFFFF"/>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r>
      <w:tr w14:paraId="219FCD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continue"/>
            <w:tcBorders>
              <w:tl2br w:val="nil"/>
              <w:tr2bl w:val="nil"/>
            </w:tcBorders>
            <w:noWrap w:val="0"/>
            <w:vAlign w:val="center"/>
          </w:tcPr>
          <w:p w14:paraId="03ACC98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YS5109232310001</w:t>
            </w:r>
          </w:p>
        </w:tc>
        <w:tc>
          <w:tcPr>
            <w:tcW w:w="773" w:type="dxa"/>
            <w:vMerge w:val="continue"/>
            <w:tcBorders>
              <w:tl2br w:val="nil"/>
              <w:tr2bl w:val="nil"/>
            </w:tcBorders>
            <w:noWrap w:val="0"/>
            <w:vAlign w:val="center"/>
          </w:tcPr>
          <w:p w14:paraId="6F6B712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大英县工业集中发展区(含经开区)</w:t>
            </w:r>
          </w:p>
        </w:tc>
        <w:tc>
          <w:tcPr>
            <w:tcW w:w="484" w:type="dxa"/>
            <w:vMerge w:val="continue"/>
            <w:tcBorders>
              <w:tl2br w:val="nil"/>
              <w:tr2bl w:val="nil"/>
            </w:tcBorders>
            <w:noWrap w:val="0"/>
            <w:vAlign w:val="top"/>
          </w:tcPr>
          <w:p w14:paraId="0373DC6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空间布局约束：</w:t>
            </w:r>
          </w:p>
          <w:p w14:paraId="3EACF91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3596A77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712E68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1901114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7BB52B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7CA3A7C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ECFA2A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3D536DA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EFC322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污染物排放管控：</w:t>
            </w:r>
          </w:p>
          <w:p w14:paraId="0ACA35A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允许排放量要求</w:t>
            </w:r>
          </w:p>
          <w:p w14:paraId="2B1F812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CCF3A4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现有源提标升级改造</w:t>
            </w:r>
          </w:p>
          <w:p w14:paraId="7E0A90A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8F9005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其他污染物排放管控要求</w:t>
            </w:r>
          </w:p>
          <w:p w14:paraId="5C59711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9C52BD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环境风险防控：</w:t>
            </w:r>
          </w:p>
          <w:p w14:paraId="5028831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联防联控要求</w:t>
            </w:r>
          </w:p>
          <w:p w14:paraId="0868064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91E95B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其他环境风险防控要求</w:t>
            </w:r>
          </w:p>
          <w:p w14:paraId="20BFAE9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5CCFD9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资源开发利用效率要求：</w:t>
            </w:r>
          </w:p>
          <w:p w14:paraId="695656B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水资源利用总量要求</w:t>
            </w:r>
          </w:p>
          <w:p w14:paraId="2834C0A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58D91B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地下水开采要求</w:t>
            </w:r>
          </w:p>
          <w:p w14:paraId="59173B6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2185DD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能源利用总量及效率要求</w:t>
            </w:r>
          </w:p>
          <w:p w14:paraId="038A677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696D28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禁燃区要求</w:t>
            </w:r>
          </w:p>
          <w:p w14:paraId="567ADA4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4150CC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其他资源利用效率要求</w:t>
            </w:r>
          </w:p>
          <w:p w14:paraId="05178E7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tc>
        <w:tc>
          <w:tcPr>
            <w:tcW w:w="1316" w:type="dxa"/>
            <w:tcBorders>
              <w:tl2br w:val="nil"/>
              <w:tr2bl w:val="nil"/>
            </w:tcBorders>
            <w:noWrap w:val="0"/>
            <w:vAlign w:val="center"/>
          </w:tcPr>
          <w:p w14:paraId="775D20DD">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资源开发效率要求</w:t>
            </w:r>
          </w:p>
        </w:tc>
        <w:tc>
          <w:tcPr>
            <w:tcW w:w="8427" w:type="dxa"/>
            <w:vMerge w:val="continue"/>
            <w:tcBorders>
              <w:tl2br w:val="nil"/>
              <w:tr2bl w:val="nil"/>
            </w:tcBorders>
            <w:noWrap w:val="0"/>
            <w:vAlign w:val="center"/>
          </w:tcPr>
          <w:p w14:paraId="20C9FDEB">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c>
          <w:tcPr>
            <w:tcW w:w="1715" w:type="dxa"/>
            <w:tcBorders>
              <w:tl2br w:val="nil"/>
              <w:tr2bl w:val="nil"/>
            </w:tcBorders>
            <w:noWrap w:val="0"/>
            <w:vAlign w:val="center"/>
          </w:tcPr>
          <w:p w14:paraId="7E712342">
            <w:pPr>
              <w:pStyle w:val="78"/>
              <w:widowControl/>
              <w:shd w:val="clear" w:color="auto" w:fill="FFFFFF"/>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r>
      <w:tr w14:paraId="287A41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590" w:type="dxa"/>
            <w:vMerge w:val="restart"/>
            <w:tcBorders>
              <w:tl2br w:val="nil"/>
              <w:tr2bl w:val="nil"/>
            </w:tcBorders>
            <w:noWrap w:val="0"/>
            <w:vAlign w:val="center"/>
          </w:tcPr>
          <w:p w14:paraId="419E017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YS5109232530001</w:t>
            </w:r>
          </w:p>
        </w:tc>
        <w:tc>
          <w:tcPr>
            <w:tcW w:w="773" w:type="dxa"/>
            <w:vMerge w:val="restart"/>
            <w:tcBorders>
              <w:tl2br w:val="nil"/>
              <w:tr2bl w:val="nil"/>
            </w:tcBorders>
            <w:noWrap w:val="0"/>
            <w:vAlign w:val="center"/>
          </w:tcPr>
          <w:p w14:paraId="015A825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大英县城镇开发边界</w:t>
            </w:r>
          </w:p>
        </w:tc>
        <w:tc>
          <w:tcPr>
            <w:tcW w:w="484" w:type="dxa"/>
            <w:vMerge w:val="continue"/>
            <w:tcBorders>
              <w:tl2br w:val="nil"/>
              <w:tr2bl w:val="nil"/>
            </w:tcBorders>
            <w:noWrap w:val="0"/>
            <w:vAlign w:val="top"/>
          </w:tcPr>
          <w:p w14:paraId="02DD66F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空间布局约束：</w:t>
            </w:r>
          </w:p>
          <w:p w14:paraId="6FE7B12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0E23E78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AD8BB7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7273DD1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1CCA7E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41C558D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A9753D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0BB652D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1ABA87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污染物排放管控：</w:t>
            </w:r>
          </w:p>
          <w:p w14:paraId="493784B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允许排放量要求</w:t>
            </w:r>
          </w:p>
          <w:p w14:paraId="0B80A05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C0DCD2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现有源提标升级改造</w:t>
            </w:r>
          </w:p>
          <w:p w14:paraId="21D04C3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80BC10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其他污染物排放管控要求</w:t>
            </w:r>
          </w:p>
          <w:p w14:paraId="1B17860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12C1EB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环境风险防控：</w:t>
            </w:r>
          </w:p>
          <w:p w14:paraId="533FEC6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联防联控要求</w:t>
            </w:r>
          </w:p>
          <w:p w14:paraId="15CC947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46EC16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其他环境风险防控要求</w:t>
            </w:r>
          </w:p>
          <w:p w14:paraId="45F6218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C8F1C7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资源开发利用效率要求：</w:t>
            </w:r>
          </w:p>
          <w:p w14:paraId="75568E4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水资源利用总量要求</w:t>
            </w:r>
          </w:p>
          <w:p w14:paraId="78E08D8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567D80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地下水开采要求</w:t>
            </w:r>
          </w:p>
          <w:p w14:paraId="443904F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CE7C9B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能源利用总量及效率要求</w:t>
            </w:r>
          </w:p>
          <w:p w14:paraId="3DD8385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A55FE7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禁燃区要求</w:t>
            </w:r>
          </w:p>
          <w:p w14:paraId="4567E35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85ACFC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其他资源利用效率要求</w:t>
            </w:r>
          </w:p>
          <w:p w14:paraId="76C018B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tc>
        <w:tc>
          <w:tcPr>
            <w:tcW w:w="1316" w:type="dxa"/>
            <w:tcBorders>
              <w:tl2br w:val="nil"/>
              <w:tr2bl w:val="nil"/>
            </w:tcBorders>
            <w:noWrap w:val="0"/>
            <w:vAlign w:val="center"/>
          </w:tcPr>
          <w:p w14:paraId="36BF5F82">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空间布局约束</w:t>
            </w:r>
          </w:p>
        </w:tc>
        <w:tc>
          <w:tcPr>
            <w:tcW w:w="8427" w:type="dxa"/>
            <w:tcBorders>
              <w:tl2br w:val="nil"/>
              <w:tr2bl w:val="nil"/>
            </w:tcBorders>
            <w:noWrap w:val="0"/>
            <w:vAlign w:val="center"/>
          </w:tcPr>
          <w:p w14:paraId="04D0B24A">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1.以城镇开发建设现状为基础，综合考虑资源承载能力、人口分布、经济布局、城乡统筹、城镇无序蔓延科学预留一定比例的留白区，为未来发展留有开发空间城镇建设和发展不得违法违规侵占河道、湖面、滩地2.城镇开发边界调整报国土空间规划原审批机关审批</w:t>
            </w:r>
          </w:p>
        </w:tc>
        <w:tc>
          <w:tcPr>
            <w:tcW w:w="1715" w:type="dxa"/>
            <w:tcBorders>
              <w:tl2br w:val="nil"/>
              <w:tr2bl w:val="nil"/>
            </w:tcBorders>
            <w:noWrap w:val="0"/>
            <w:vAlign w:val="center"/>
          </w:tcPr>
          <w:p w14:paraId="7179667F">
            <w:pPr>
              <w:pStyle w:val="78"/>
              <w:widowControl/>
              <w:shd w:val="clear" w:color="auto" w:fill="FFFFFF"/>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本项目不属于禁止开发建设的项目，满足空间布局约束要求。</w:t>
            </w:r>
          </w:p>
        </w:tc>
      </w:tr>
      <w:tr w14:paraId="464E17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continue"/>
            <w:tcBorders>
              <w:tl2br w:val="nil"/>
              <w:tr2bl w:val="nil"/>
            </w:tcBorders>
            <w:noWrap w:val="0"/>
            <w:vAlign w:val="center"/>
          </w:tcPr>
          <w:p w14:paraId="01DC8F4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YS5109232530001</w:t>
            </w:r>
          </w:p>
        </w:tc>
        <w:tc>
          <w:tcPr>
            <w:tcW w:w="773" w:type="dxa"/>
            <w:vMerge w:val="continue"/>
            <w:tcBorders>
              <w:tl2br w:val="nil"/>
              <w:tr2bl w:val="nil"/>
            </w:tcBorders>
            <w:noWrap w:val="0"/>
            <w:vAlign w:val="center"/>
          </w:tcPr>
          <w:p w14:paraId="3AB9DCA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大英县城镇开发边界</w:t>
            </w:r>
          </w:p>
        </w:tc>
        <w:tc>
          <w:tcPr>
            <w:tcW w:w="484" w:type="dxa"/>
            <w:vMerge w:val="continue"/>
            <w:tcBorders>
              <w:tl2br w:val="nil"/>
              <w:tr2bl w:val="nil"/>
            </w:tcBorders>
            <w:noWrap w:val="0"/>
            <w:vAlign w:val="top"/>
          </w:tcPr>
          <w:p w14:paraId="362E1ED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空间布局约束：</w:t>
            </w:r>
          </w:p>
          <w:p w14:paraId="59C2916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6DB12C4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2B2B1B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1875440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D37881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7519B08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B806CD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129C098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13912F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污染物排放管控：</w:t>
            </w:r>
          </w:p>
          <w:p w14:paraId="730FEEF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允许排放量要求</w:t>
            </w:r>
          </w:p>
          <w:p w14:paraId="26F9530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20439A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现有源提标升级改造</w:t>
            </w:r>
          </w:p>
          <w:p w14:paraId="6E8012B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7CC598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其他污染物排放管控要求</w:t>
            </w:r>
          </w:p>
          <w:p w14:paraId="64EBEBE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16494A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环境风险防控：</w:t>
            </w:r>
          </w:p>
          <w:p w14:paraId="18E5CDB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联防联控要求</w:t>
            </w:r>
          </w:p>
          <w:p w14:paraId="2DEEA3C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E95BFE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其他环境风险防控要求</w:t>
            </w:r>
          </w:p>
          <w:p w14:paraId="00639AE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F942E6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资源开发利用效率要求：</w:t>
            </w:r>
          </w:p>
          <w:p w14:paraId="291A6C7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水资源利用总量要求</w:t>
            </w:r>
          </w:p>
          <w:p w14:paraId="5D70A99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EF91D7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地下水开采要求</w:t>
            </w:r>
          </w:p>
          <w:p w14:paraId="15DE092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A16BAE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能源利用总量及效率要求</w:t>
            </w:r>
          </w:p>
          <w:p w14:paraId="209A22E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AD5D0C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禁燃区要求</w:t>
            </w:r>
          </w:p>
          <w:p w14:paraId="2A881E4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6D96B0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其他资源利用效率要求</w:t>
            </w:r>
          </w:p>
          <w:p w14:paraId="6435F05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tc>
        <w:tc>
          <w:tcPr>
            <w:tcW w:w="1316" w:type="dxa"/>
            <w:tcBorders>
              <w:tl2br w:val="nil"/>
              <w:tr2bl w:val="nil"/>
            </w:tcBorders>
            <w:noWrap w:val="0"/>
            <w:vAlign w:val="center"/>
          </w:tcPr>
          <w:p w14:paraId="317AF2CC">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污染物排放管控</w:t>
            </w:r>
          </w:p>
        </w:tc>
        <w:tc>
          <w:tcPr>
            <w:tcW w:w="8427" w:type="dxa"/>
            <w:vMerge w:val="restart"/>
            <w:tcBorders>
              <w:tl2br w:val="nil"/>
              <w:tr2bl w:val="nil"/>
            </w:tcBorders>
            <w:noWrap w:val="0"/>
            <w:vAlign w:val="center"/>
          </w:tcPr>
          <w:p w14:paraId="52832F41">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c>
          <w:tcPr>
            <w:tcW w:w="1715" w:type="dxa"/>
            <w:tcBorders>
              <w:tl2br w:val="nil"/>
              <w:tr2bl w:val="nil"/>
            </w:tcBorders>
            <w:noWrap w:val="0"/>
            <w:vAlign w:val="center"/>
          </w:tcPr>
          <w:p w14:paraId="5970CD5B">
            <w:pPr>
              <w:pStyle w:val="78"/>
              <w:widowControl/>
              <w:shd w:val="clear" w:color="auto" w:fill="FFFFFF"/>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r>
      <w:tr w14:paraId="47D8E6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continue"/>
            <w:tcBorders>
              <w:tl2br w:val="nil"/>
              <w:tr2bl w:val="nil"/>
            </w:tcBorders>
            <w:noWrap w:val="0"/>
            <w:vAlign w:val="center"/>
          </w:tcPr>
          <w:p w14:paraId="46F598E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YS5109232530001</w:t>
            </w:r>
          </w:p>
        </w:tc>
        <w:tc>
          <w:tcPr>
            <w:tcW w:w="773" w:type="dxa"/>
            <w:vMerge w:val="continue"/>
            <w:tcBorders>
              <w:tl2br w:val="nil"/>
              <w:tr2bl w:val="nil"/>
            </w:tcBorders>
            <w:noWrap w:val="0"/>
            <w:vAlign w:val="center"/>
          </w:tcPr>
          <w:p w14:paraId="0EB33D3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大英县城镇开发边界</w:t>
            </w:r>
          </w:p>
        </w:tc>
        <w:tc>
          <w:tcPr>
            <w:tcW w:w="484" w:type="dxa"/>
            <w:vMerge w:val="continue"/>
            <w:tcBorders>
              <w:tl2br w:val="nil"/>
              <w:tr2bl w:val="nil"/>
            </w:tcBorders>
            <w:noWrap w:val="0"/>
            <w:vAlign w:val="top"/>
          </w:tcPr>
          <w:p w14:paraId="706AED7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空间布局约束：</w:t>
            </w:r>
          </w:p>
          <w:p w14:paraId="7F26770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1DBCA14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316479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3DF4FEF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6F7289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37648A7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F72603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14F433B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88E5EA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污染物排放管控：</w:t>
            </w:r>
          </w:p>
          <w:p w14:paraId="57A8144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允许排放量要求</w:t>
            </w:r>
          </w:p>
          <w:p w14:paraId="533365D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7A18C8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现有源提标升级改造</w:t>
            </w:r>
          </w:p>
          <w:p w14:paraId="2C4949B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C78598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其他污染物排放管控要求</w:t>
            </w:r>
          </w:p>
          <w:p w14:paraId="7C8BC1F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859FAA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环境风险防控：</w:t>
            </w:r>
          </w:p>
          <w:p w14:paraId="713E698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联防联控要求</w:t>
            </w:r>
          </w:p>
          <w:p w14:paraId="056DD46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F20B42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其他环境风险防控要求</w:t>
            </w:r>
          </w:p>
          <w:p w14:paraId="09108CC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8084E7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资源开发利用效率要求：</w:t>
            </w:r>
          </w:p>
          <w:p w14:paraId="23040BC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水资源利用总量要求</w:t>
            </w:r>
          </w:p>
          <w:p w14:paraId="6A1FAAF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312BB2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地下水开采要求</w:t>
            </w:r>
          </w:p>
          <w:p w14:paraId="42B059A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4FD723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能源利用总量及效率要求</w:t>
            </w:r>
          </w:p>
          <w:p w14:paraId="248551E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2B5299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禁燃区要求</w:t>
            </w:r>
          </w:p>
          <w:p w14:paraId="1183942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A67FC9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其他资源利用效率要求</w:t>
            </w:r>
          </w:p>
          <w:p w14:paraId="0D0962D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tc>
        <w:tc>
          <w:tcPr>
            <w:tcW w:w="1316" w:type="dxa"/>
            <w:tcBorders>
              <w:tl2br w:val="nil"/>
              <w:tr2bl w:val="nil"/>
            </w:tcBorders>
            <w:noWrap w:val="0"/>
            <w:vAlign w:val="center"/>
          </w:tcPr>
          <w:p w14:paraId="6DD5DAB1">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环境风险防控</w:t>
            </w:r>
          </w:p>
        </w:tc>
        <w:tc>
          <w:tcPr>
            <w:tcW w:w="8427" w:type="dxa"/>
            <w:vMerge w:val="continue"/>
            <w:tcBorders>
              <w:tl2br w:val="nil"/>
              <w:tr2bl w:val="nil"/>
            </w:tcBorders>
            <w:noWrap w:val="0"/>
            <w:vAlign w:val="center"/>
          </w:tcPr>
          <w:p w14:paraId="03B4E0C3">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c>
          <w:tcPr>
            <w:tcW w:w="1715" w:type="dxa"/>
            <w:tcBorders>
              <w:tl2br w:val="nil"/>
              <w:tr2bl w:val="nil"/>
            </w:tcBorders>
            <w:noWrap w:val="0"/>
            <w:vAlign w:val="center"/>
          </w:tcPr>
          <w:p w14:paraId="7C76036B">
            <w:pPr>
              <w:pStyle w:val="78"/>
              <w:widowControl/>
              <w:shd w:val="clear" w:color="auto" w:fill="FFFFFF"/>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r>
      <w:tr w14:paraId="66BD10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continue"/>
            <w:tcBorders>
              <w:tl2br w:val="nil"/>
              <w:tr2bl w:val="nil"/>
            </w:tcBorders>
            <w:noWrap w:val="0"/>
            <w:vAlign w:val="center"/>
          </w:tcPr>
          <w:p w14:paraId="194F254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YS5109232530001</w:t>
            </w:r>
          </w:p>
        </w:tc>
        <w:tc>
          <w:tcPr>
            <w:tcW w:w="773" w:type="dxa"/>
            <w:vMerge w:val="continue"/>
            <w:tcBorders>
              <w:tl2br w:val="nil"/>
              <w:tr2bl w:val="nil"/>
            </w:tcBorders>
            <w:noWrap w:val="0"/>
            <w:vAlign w:val="center"/>
          </w:tcPr>
          <w:p w14:paraId="577553D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大英县城镇开发边界</w:t>
            </w:r>
          </w:p>
        </w:tc>
        <w:tc>
          <w:tcPr>
            <w:tcW w:w="484" w:type="dxa"/>
            <w:vMerge w:val="continue"/>
            <w:tcBorders>
              <w:tl2br w:val="nil"/>
              <w:tr2bl w:val="nil"/>
            </w:tcBorders>
            <w:noWrap w:val="0"/>
            <w:vAlign w:val="top"/>
          </w:tcPr>
          <w:p w14:paraId="137DE39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空间布局约束：</w:t>
            </w:r>
          </w:p>
          <w:p w14:paraId="7368349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435B8FD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9BB605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5FEB116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A059B0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28A704A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A87614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148CF4B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7D124C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污染物排放管控：</w:t>
            </w:r>
          </w:p>
          <w:p w14:paraId="30D134B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允许排放量要求</w:t>
            </w:r>
          </w:p>
          <w:p w14:paraId="229293A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D12CCC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现有源提标升级改造</w:t>
            </w:r>
          </w:p>
          <w:p w14:paraId="50BCFF9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6A589A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其他污染物排放管控要求</w:t>
            </w:r>
          </w:p>
          <w:p w14:paraId="723290F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1AB257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环境风险防控：</w:t>
            </w:r>
          </w:p>
          <w:p w14:paraId="5A55BAA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联防联控要求</w:t>
            </w:r>
          </w:p>
          <w:p w14:paraId="33C8AD5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2636B0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其他环境风险防控要求</w:t>
            </w:r>
          </w:p>
          <w:p w14:paraId="212659A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498AB8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资源开发利用效率要求：</w:t>
            </w:r>
          </w:p>
          <w:p w14:paraId="35DB084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水资源利用总量要求</w:t>
            </w:r>
          </w:p>
          <w:p w14:paraId="79D9E1E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CA4C14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地下水开采要求</w:t>
            </w:r>
          </w:p>
          <w:p w14:paraId="0B4333A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09737F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能源利用总量及效率要求</w:t>
            </w:r>
          </w:p>
          <w:p w14:paraId="033FB32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B8F0DD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禁燃区要求</w:t>
            </w:r>
          </w:p>
          <w:p w14:paraId="0E5838D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F3C14F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其他资源利用效率要求</w:t>
            </w:r>
          </w:p>
          <w:p w14:paraId="19F00B6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tc>
        <w:tc>
          <w:tcPr>
            <w:tcW w:w="1316" w:type="dxa"/>
            <w:tcBorders>
              <w:tl2br w:val="nil"/>
              <w:tr2bl w:val="nil"/>
            </w:tcBorders>
            <w:noWrap w:val="0"/>
            <w:vAlign w:val="center"/>
          </w:tcPr>
          <w:p w14:paraId="716EA269">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资源开发效率要求</w:t>
            </w:r>
          </w:p>
        </w:tc>
        <w:tc>
          <w:tcPr>
            <w:tcW w:w="8427" w:type="dxa"/>
            <w:tcBorders>
              <w:tl2br w:val="nil"/>
              <w:tr2bl w:val="nil"/>
            </w:tcBorders>
            <w:noWrap w:val="0"/>
            <w:vAlign w:val="center"/>
          </w:tcPr>
          <w:p w14:paraId="5710D1C4">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土地资源开发效率要求</w:t>
            </w:r>
          </w:p>
          <w:p w14:paraId="089D9352">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土地资源开发利用量不得超过土地资源利用上</w:t>
            </w:r>
            <w:r>
              <w:rPr>
                <w:rStyle w:val="27"/>
                <w:rFonts w:hint="eastAsia" w:eastAsia="宋体" w:cs="Times New Roman"/>
                <w:color w:val="auto"/>
                <w:kern w:val="2"/>
                <w:sz w:val="21"/>
                <w:szCs w:val="21"/>
                <w:lang w:val="en-US" w:eastAsia="zh-CN" w:bidi="ar-SA"/>
              </w:rPr>
              <w:t>限</w:t>
            </w:r>
            <w:r>
              <w:rPr>
                <w:rStyle w:val="27"/>
                <w:rFonts w:hint="default" w:ascii="Times New Roman" w:hAnsi="Times New Roman" w:eastAsia="宋体" w:cs="Times New Roman"/>
                <w:color w:val="auto"/>
                <w:kern w:val="2"/>
                <w:sz w:val="21"/>
                <w:szCs w:val="21"/>
                <w:lang w:val="en-US" w:eastAsia="zh-CN" w:bidi="ar-SA"/>
              </w:rPr>
              <w:t>控制性指标。</w:t>
            </w:r>
          </w:p>
          <w:p w14:paraId="0E072695">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能源资源开发效率要求</w:t>
            </w:r>
          </w:p>
          <w:p w14:paraId="3BFAE6A0">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p>
          <w:p w14:paraId="36F19AB7">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其他资源开发效率要求</w:t>
            </w:r>
          </w:p>
        </w:tc>
        <w:tc>
          <w:tcPr>
            <w:tcW w:w="1715" w:type="dxa"/>
            <w:tcBorders>
              <w:tl2br w:val="nil"/>
              <w:tr2bl w:val="nil"/>
            </w:tcBorders>
            <w:noWrap w:val="0"/>
            <w:vAlign w:val="center"/>
          </w:tcPr>
          <w:p w14:paraId="028541D9">
            <w:pPr>
              <w:pStyle w:val="78"/>
              <w:widowControl/>
              <w:shd w:val="clear" w:color="auto" w:fill="FFFFFF"/>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本项目符合资源开发效率要求。</w:t>
            </w:r>
          </w:p>
        </w:tc>
      </w:tr>
      <w:tr w14:paraId="7C83AB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restart"/>
            <w:tcBorders>
              <w:tl2br w:val="nil"/>
              <w:tr2bl w:val="nil"/>
            </w:tcBorders>
            <w:noWrap w:val="0"/>
            <w:vAlign w:val="center"/>
          </w:tcPr>
          <w:p w14:paraId="7876AB6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YS5109232540002</w:t>
            </w:r>
          </w:p>
        </w:tc>
        <w:tc>
          <w:tcPr>
            <w:tcW w:w="773" w:type="dxa"/>
            <w:vMerge w:val="restart"/>
            <w:tcBorders>
              <w:tl2br w:val="nil"/>
              <w:tr2bl w:val="nil"/>
            </w:tcBorders>
            <w:noWrap w:val="0"/>
            <w:vAlign w:val="center"/>
          </w:tcPr>
          <w:p w14:paraId="3CB93C2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四川大英经济开发区</w:t>
            </w:r>
          </w:p>
        </w:tc>
        <w:tc>
          <w:tcPr>
            <w:tcW w:w="484" w:type="dxa"/>
            <w:vMerge w:val="continue"/>
            <w:tcBorders>
              <w:tl2br w:val="nil"/>
              <w:tr2bl w:val="nil"/>
            </w:tcBorders>
            <w:noWrap w:val="0"/>
            <w:vAlign w:val="top"/>
          </w:tcPr>
          <w:p w14:paraId="502DBAB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空间布局约束：</w:t>
            </w:r>
          </w:p>
          <w:p w14:paraId="3585A9A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02C8532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4025E0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152F1F8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D5095C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174F7AA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7C8CD7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7986E43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728286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污染物排放管控：</w:t>
            </w:r>
          </w:p>
          <w:p w14:paraId="0F06361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允许排放量要求</w:t>
            </w:r>
          </w:p>
          <w:p w14:paraId="694CD78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08A22D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现有源提标升级改造</w:t>
            </w:r>
          </w:p>
          <w:p w14:paraId="18EA469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E9D7C4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其他污染物排放管控要求</w:t>
            </w:r>
          </w:p>
          <w:p w14:paraId="5995FC9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1C35B1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环境风险防控：</w:t>
            </w:r>
          </w:p>
          <w:p w14:paraId="2BF0771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联防联控要求</w:t>
            </w:r>
          </w:p>
          <w:p w14:paraId="47A55AA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CF69B0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其他环境风险防控要求</w:t>
            </w:r>
          </w:p>
          <w:p w14:paraId="74F930C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5E6645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资源开发利用效率要求：</w:t>
            </w:r>
          </w:p>
          <w:p w14:paraId="3AA6E97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水资源利用总量要求</w:t>
            </w:r>
          </w:p>
          <w:p w14:paraId="603D48A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E1444C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地下水开采要求</w:t>
            </w:r>
          </w:p>
          <w:p w14:paraId="171FDAC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2DDA17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能源利用总量及效率要求</w:t>
            </w:r>
          </w:p>
          <w:p w14:paraId="3D7DE76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2428B0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禁燃区要求</w:t>
            </w:r>
          </w:p>
          <w:p w14:paraId="73C17D3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93504B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其他资源利用效率要求</w:t>
            </w:r>
          </w:p>
          <w:p w14:paraId="39516DB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tc>
        <w:tc>
          <w:tcPr>
            <w:tcW w:w="1316" w:type="dxa"/>
            <w:tcBorders>
              <w:tl2br w:val="nil"/>
              <w:tr2bl w:val="nil"/>
            </w:tcBorders>
            <w:noWrap w:val="0"/>
            <w:vAlign w:val="center"/>
          </w:tcPr>
          <w:p w14:paraId="31F8E069">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空间布局约束</w:t>
            </w:r>
          </w:p>
        </w:tc>
        <w:tc>
          <w:tcPr>
            <w:tcW w:w="8427" w:type="dxa"/>
            <w:tcBorders>
              <w:tl2br w:val="nil"/>
              <w:tr2bl w:val="nil"/>
            </w:tcBorders>
            <w:noWrap w:val="0"/>
            <w:vAlign w:val="center"/>
          </w:tcPr>
          <w:p w14:paraId="54CF84E3">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坚决遏制“两高一低”项目盲目发展</w:t>
            </w:r>
          </w:p>
        </w:tc>
        <w:tc>
          <w:tcPr>
            <w:tcW w:w="1715" w:type="dxa"/>
            <w:tcBorders>
              <w:tl2br w:val="nil"/>
              <w:tr2bl w:val="nil"/>
            </w:tcBorders>
            <w:noWrap w:val="0"/>
            <w:vAlign w:val="center"/>
          </w:tcPr>
          <w:p w14:paraId="652D77D5">
            <w:pPr>
              <w:pStyle w:val="78"/>
              <w:widowControl/>
              <w:shd w:val="clear" w:color="auto" w:fill="FFFFFF"/>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不属于禁止、</w:t>
            </w:r>
            <w:r>
              <w:rPr>
                <w:rStyle w:val="27"/>
                <w:rFonts w:hint="eastAsia" w:eastAsia="宋体" w:cs="Times New Roman"/>
                <w:color w:val="auto"/>
                <w:kern w:val="2"/>
                <w:sz w:val="21"/>
                <w:szCs w:val="21"/>
                <w:lang w:val="en-US" w:eastAsia="zh-CN" w:bidi="ar-SA"/>
              </w:rPr>
              <w:t>限制</w:t>
            </w:r>
            <w:r>
              <w:rPr>
                <w:rStyle w:val="27"/>
                <w:rFonts w:hint="default" w:ascii="Times New Roman" w:hAnsi="Times New Roman" w:eastAsia="宋体" w:cs="Times New Roman"/>
                <w:color w:val="auto"/>
                <w:kern w:val="2"/>
                <w:sz w:val="21"/>
                <w:szCs w:val="21"/>
                <w:lang w:val="en-US" w:eastAsia="zh-CN" w:bidi="ar-SA"/>
              </w:rPr>
              <w:t>开发建设的活动，属于允许开发建设的活动，本项目符合空间布局要求。</w:t>
            </w:r>
          </w:p>
        </w:tc>
      </w:tr>
      <w:tr w14:paraId="4FE831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continue"/>
            <w:tcBorders>
              <w:tl2br w:val="nil"/>
              <w:tr2bl w:val="nil"/>
            </w:tcBorders>
            <w:noWrap w:val="0"/>
            <w:vAlign w:val="center"/>
          </w:tcPr>
          <w:p w14:paraId="5D4E6A9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YS5109232540002</w:t>
            </w:r>
          </w:p>
        </w:tc>
        <w:tc>
          <w:tcPr>
            <w:tcW w:w="773" w:type="dxa"/>
            <w:vMerge w:val="continue"/>
            <w:tcBorders>
              <w:tl2br w:val="nil"/>
              <w:tr2bl w:val="nil"/>
            </w:tcBorders>
            <w:noWrap w:val="0"/>
            <w:vAlign w:val="center"/>
          </w:tcPr>
          <w:p w14:paraId="665BCEC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四川大英经济开发区</w:t>
            </w:r>
          </w:p>
        </w:tc>
        <w:tc>
          <w:tcPr>
            <w:tcW w:w="484" w:type="dxa"/>
            <w:vMerge w:val="continue"/>
            <w:tcBorders>
              <w:tl2br w:val="nil"/>
              <w:tr2bl w:val="nil"/>
            </w:tcBorders>
            <w:noWrap w:val="0"/>
            <w:vAlign w:val="top"/>
          </w:tcPr>
          <w:p w14:paraId="6A5A560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空间布局约束：</w:t>
            </w:r>
          </w:p>
          <w:p w14:paraId="278E47D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3F387E3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63DF97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3D38958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C55348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72649A8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21847A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50932E3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2C8AD3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污染物排放管控：</w:t>
            </w:r>
          </w:p>
          <w:p w14:paraId="79B0A81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允许排放量要求</w:t>
            </w:r>
          </w:p>
          <w:p w14:paraId="0FD7AC0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FE49AE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现有源提标升级改造</w:t>
            </w:r>
          </w:p>
          <w:p w14:paraId="2743316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56995F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其他污染物排放管控要求</w:t>
            </w:r>
          </w:p>
          <w:p w14:paraId="304E4DC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C9C383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环境风险防控：</w:t>
            </w:r>
          </w:p>
          <w:p w14:paraId="46955EC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联防联控要求</w:t>
            </w:r>
          </w:p>
          <w:p w14:paraId="6BA603B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7AF05A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其他环境风险防控要求</w:t>
            </w:r>
          </w:p>
          <w:p w14:paraId="2D9EBD2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B2B506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资源开发利用效率要求：</w:t>
            </w:r>
          </w:p>
          <w:p w14:paraId="2CA568A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水资源利用总量要求</w:t>
            </w:r>
          </w:p>
          <w:p w14:paraId="1B37CFA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69A15B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地下水开采要求</w:t>
            </w:r>
          </w:p>
          <w:p w14:paraId="07A27B5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3A50EA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能源利用总量及效率要求</w:t>
            </w:r>
          </w:p>
          <w:p w14:paraId="300D2D0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ECDD73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禁燃区要求</w:t>
            </w:r>
          </w:p>
          <w:p w14:paraId="4C9DF00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7E2C79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其他资源利用效率要求</w:t>
            </w:r>
          </w:p>
          <w:p w14:paraId="0B0732A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tc>
        <w:tc>
          <w:tcPr>
            <w:tcW w:w="1316" w:type="dxa"/>
            <w:tcBorders>
              <w:tl2br w:val="nil"/>
              <w:tr2bl w:val="nil"/>
            </w:tcBorders>
            <w:noWrap w:val="0"/>
            <w:vAlign w:val="center"/>
          </w:tcPr>
          <w:p w14:paraId="2CEC40E4">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污染物排放管控</w:t>
            </w:r>
          </w:p>
        </w:tc>
        <w:tc>
          <w:tcPr>
            <w:tcW w:w="8427" w:type="dxa"/>
            <w:vMerge w:val="restart"/>
            <w:tcBorders>
              <w:tl2br w:val="nil"/>
              <w:tr2bl w:val="nil"/>
            </w:tcBorders>
            <w:noWrap w:val="0"/>
            <w:vAlign w:val="center"/>
          </w:tcPr>
          <w:p w14:paraId="29708A63">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c>
          <w:tcPr>
            <w:tcW w:w="1715" w:type="dxa"/>
            <w:tcBorders>
              <w:tl2br w:val="nil"/>
              <w:tr2bl w:val="nil"/>
            </w:tcBorders>
            <w:noWrap w:val="0"/>
            <w:vAlign w:val="center"/>
          </w:tcPr>
          <w:p w14:paraId="46E45E04">
            <w:pPr>
              <w:widowControl/>
              <w:shd w:val="clear" w:color="auto" w:fill="FFFFFF"/>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r>
      <w:tr w14:paraId="5EDD49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continue"/>
            <w:tcBorders>
              <w:tl2br w:val="nil"/>
              <w:tr2bl w:val="nil"/>
            </w:tcBorders>
            <w:noWrap w:val="0"/>
            <w:vAlign w:val="center"/>
          </w:tcPr>
          <w:p w14:paraId="41EA60B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YS5109232540002</w:t>
            </w:r>
          </w:p>
        </w:tc>
        <w:tc>
          <w:tcPr>
            <w:tcW w:w="773" w:type="dxa"/>
            <w:vMerge w:val="continue"/>
            <w:tcBorders>
              <w:tl2br w:val="nil"/>
              <w:tr2bl w:val="nil"/>
            </w:tcBorders>
            <w:noWrap w:val="0"/>
            <w:vAlign w:val="center"/>
          </w:tcPr>
          <w:p w14:paraId="7547D3E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四川大英经济开发区</w:t>
            </w:r>
          </w:p>
        </w:tc>
        <w:tc>
          <w:tcPr>
            <w:tcW w:w="484" w:type="dxa"/>
            <w:vMerge w:val="continue"/>
            <w:tcBorders>
              <w:tl2br w:val="nil"/>
              <w:tr2bl w:val="nil"/>
            </w:tcBorders>
            <w:noWrap w:val="0"/>
            <w:vAlign w:val="top"/>
          </w:tcPr>
          <w:p w14:paraId="7475343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空间布局约束：</w:t>
            </w:r>
          </w:p>
          <w:p w14:paraId="49D40DD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4E10D88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74D29D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20D14FA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CA602B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43D72C1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F4883F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196B09D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657446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污染物排放管控：</w:t>
            </w:r>
          </w:p>
          <w:p w14:paraId="308F4C2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允许排放量要求</w:t>
            </w:r>
          </w:p>
          <w:p w14:paraId="6D91B4B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50E649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现有源提标升级改造</w:t>
            </w:r>
          </w:p>
          <w:p w14:paraId="5B513B2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A5BF28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其他污染物排放管控要求</w:t>
            </w:r>
          </w:p>
          <w:p w14:paraId="0BC4276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6C81F9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环境风险防控：</w:t>
            </w:r>
          </w:p>
          <w:p w14:paraId="1B02285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联防联控要求</w:t>
            </w:r>
          </w:p>
          <w:p w14:paraId="758EE0B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64AFC3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其他环境风险防控要求</w:t>
            </w:r>
          </w:p>
          <w:p w14:paraId="253D143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E7810A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资源开发利用效率要求：</w:t>
            </w:r>
          </w:p>
          <w:p w14:paraId="0F6D732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水资源利用总量要求</w:t>
            </w:r>
          </w:p>
          <w:p w14:paraId="27923C0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C93117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地下水开采要求</w:t>
            </w:r>
          </w:p>
          <w:p w14:paraId="1B45DCA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ECB3AC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能源利用总量及效率要求</w:t>
            </w:r>
          </w:p>
          <w:p w14:paraId="7D188C9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73C279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禁燃区要求</w:t>
            </w:r>
          </w:p>
          <w:p w14:paraId="23A3D17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57B5F1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其他资源利用效率要求</w:t>
            </w:r>
          </w:p>
          <w:p w14:paraId="6C18903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tc>
        <w:tc>
          <w:tcPr>
            <w:tcW w:w="1316" w:type="dxa"/>
            <w:tcBorders>
              <w:tl2br w:val="nil"/>
              <w:tr2bl w:val="nil"/>
            </w:tcBorders>
            <w:noWrap w:val="0"/>
            <w:vAlign w:val="center"/>
          </w:tcPr>
          <w:p w14:paraId="47E7758D">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环境风险防控</w:t>
            </w:r>
          </w:p>
        </w:tc>
        <w:tc>
          <w:tcPr>
            <w:tcW w:w="8427" w:type="dxa"/>
            <w:vMerge w:val="continue"/>
            <w:tcBorders>
              <w:tl2br w:val="nil"/>
              <w:tr2bl w:val="nil"/>
            </w:tcBorders>
            <w:noWrap w:val="0"/>
            <w:vAlign w:val="center"/>
          </w:tcPr>
          <w:p w14:paraId="12E8686E">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c>
          <w:tcPr>
            <w:tcW w:w="1715" w:type="dxa"/>
            <w:tcBorders>
              <w:tl2br w:val="nil"/>
              <w:tr2bl w:val="nil"/>
            </w:tcBorders>
            <w:noWrap w:val="0"/>
            <w:vAlign w:val="center"/>
          </w:tcPr>
          <w:p w14:paraId="16996211">
            <w:pPr>
              <w:widowControl/>
              <w:shd w:val="clear" w:color="auto" w:fill="FFFFFF"/>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r>
      <w:tr w14:paraId="29DA04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continue"/>
            <w:tcBorders>
              <w:tl2br w:val="nil"/>
              <w:tr2bl w:val="nil"/>
            </w:tcBorders>
            <w:noWrap w:val="0"/>
            <w:vAlign w:val="center"/>
          </w:tcPr>
          <w:p w14:paraId="3F715A3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YS5109232540002</w:t>
            </w:r>
          </w:p>
        </w:tc>
        <w:tc>
          <w:tcPr>
            <w:tcW w:w="773" w:type="dxa"/>
            <w:vMerge w:val="continue"/>
            <w:tcBorders>
              <w:tl2br w:val="nil"/>
              <w:tr2bl w:val="nil"/>
            </w:tcBorders>
            <w:noWrap w:val="0"/>
            <w:vAlign w:val="center"/>
          </w:tcPr>
          <w:p w14:paraId="7673327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四川大英经济开发区</w:t>
            </w:r>
          </w:p>
        </w:tc>
        <w:tc>
          <w:tcPr>
            <w:tcW w:w="484" w:type="dxa"/>
            <w:vMerge w:val="continue"/>
            <w:tcBorders>
              <w:tl2br w:val="nil"/>
              <w:tr2bl w:val="nil"/>
            </w:tcBorders>
            <w:noWrap w:val="0"/>
            <w:vAlign w:val="top"/>
          </w:tcPr>
          <w:p w14:paraId="73658C7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空间布局约束：</w:t>
            </w:r>
          </w:p>
          <w:p w14:paraId="67530A0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6C40980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20FBC3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4DC5E8C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C73E9A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7D96C36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F29E92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4E0AF26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FC1AA8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污染物排放管控：</w:t>
            </w:r>
          </w:p>
          <w:p w14:paraId="231A7F1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允许排放量要求</w:t>
            </w:r>
          </w:p>
          <w:p w14:paraId="4535583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771383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现有源提标升级改造</w:t>
            </w:r>
          </w:p>
          <w:p w14:paraId="3130402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7FD713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其他污染物排放管控要求</w:t>
            </w:r>
          </w:p>
          <w:p w14:paraId="6757401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8820A9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环境风险防控：</w:t>
            </w:r>
          </w:p>
          <w:p w14:paraId="4D9B9F0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联防联控要求</w:t>
            </w:r>
          </w:p>
          <w:p w14:paraId="0D3E4A9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67D11D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其他环境风险防控要求</w:t>
            </w:r>
          </w:p>
          <w:p w14:paraId="11AC750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BF92A1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资源开发利用效率要求：</w:t>
            </w:r>
          </w:p>
          <w:p w14:paraId="0D32355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水资源利用总量要求</w:t>
            </w:r>
          </w:p>
          <w:p w14:paraId="03D3424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E1B8A7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地下水开采要求</w:t>
            </w:r>
          </w:p>
          <w:p w14:paraId="09116AB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2FD6E3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能源利用总量及效率要求</w:t>
            </w:r>
          </w:p>
          <w:p w14:paraId="43ADBD4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B89439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禁燃区要求</w:t>
            </w:r>
          </w:p>
          <w:p w14:paraId="0F6BBB6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C439E7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其他资源利用效率要求</w:t>
            </w:r>
          </w:p>
          <w:p w14:paraId="42789EE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tc>
        <w:tc>
          <w:tcPr>
            <w:tcW w:w="1316" w:type="dxa"/>
            <w:tcBorders>
              <w:tl2br w:val="nil"/>
              <w:tr2bl w:val="nil"/>
            </w:tcBorders>
            <w:noWrap w:val="0"/>
            <w:vAlign w:val="center"/>
          </w:tcPr>
          <w:p w14:paraId="53F3811B">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资源开发效率要求</w:t>
            </w:r>
          </w:p>
        </w:tc>
        <w:tc>
          <w:tcPr>
            <w:tcW w:w="8427" w:type="dxa"/>
            <w:tcBorders>
              <w:tl2br w:val="nil"/>
              <w:tr2bl w:val="nil"/>
            </w:tcBorders>
            <w:noWrap w:val="0"/>
            <w:vAlign w:val="center"/>
          </w:tcPr>
          <w:p w14:paraId="28E5D912">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土地资源开发效率要求</w:t>
            </w:r>
          </w:p>
          <w:p w14:paraId="255B234A">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p>
          <w:p w14:paraId="38569A47">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能源资源开发效率要求</w:t>
            </w:r>
          </w:p>
          <w:p w14:paraId="42352698">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能源消耗、污染物排放不得超过能源利用上</w:t>
            </w:r>
            <w:r>
              <w:rPr>
                <w:rStyle w:val="27"/>
                <w:rFonts w:hint="eastAsia" w:eastAsia="宋体" w:cs="Times New Roman"/>
                <w:color w:val="auto"/>
                <w:kern w:val="2"/>
                <w:sz w:val="21"/>
                <w:szCs w:val="21"/>
                <w:lang w:val="en-US" w:eastAsia="zh-CN" w:bidi="ar-SA"/>
              </w:rPr>
              <w:t>限</w:t>
            </w:r>
            <w:r>
              <w:rPr>
                <w:rStyle w:val="27"/>
                <w:rFonts w:hint="default" w:ascii="Times New Roman" w:hAnsi="Times New Roman" w:eastAsia="宋体" w:cs="Times New Roman"/>
                <w:color w:val="auto"/>
                <w:kern w:val="2"/>
                <w:sz w:val="21"/>
                <w:szCs w:val="21"/>
                <w:lang w:val="en-US" w:eastAsia="zh-CN" w:bidi="ar-SA"/>
              </w:rPr>
              <w:t>控制性指标。</w:t>
            </w:r>
          </w:p>
          <w:p w14:paraId="50AC4D4A">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其他资源开发效率要求</w:t>
            </w:r>
          </w:p>
        </w:tc>
        <w:tc>
          <w:tcPr>
            <w:tcW w:w="1715" w:type="dxa"/>
            <w:tcBorders>
              <w:tl2br w:val="nil"/>
              <w:tr2bl w:val="nil"/>
            </w:tcBorders>
            <w:noWrap w:val="0"/>
            <w:vAlign w:val="center"/>
          </w:tcPr>
          <w:p w14:paraId="05A81912">
            <w:pPr>
              <w:pStyle w:val="78"/>
              <w:widowControl/>
              <w:shd w:val="clear" w:color="auto" w:fill="FFFFFF"/>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本项目符合资源开发效率要求</w:t>
            </w:r>
          </w:p>
        </w:tc>
      </w:tr>
      <w:tr w14:paraId="30EF0F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restart"/>
            <w:tcBorders>
              <w:tl2br w:val="nil"/>
              <w:tr2bl w:val="nil"/>
            </w:tcBorders>
            <w:noWrap w:val="0"/>
            <w:vAlign w:val="center"/>
          </w:tcPr>
          <w:p w14:paraId="1B23924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YS5109232550001</w:t>
            </w:r>
          </w:p>
        </w:tc>
        <w:tc>
          <w:tcPr>
            <w:tcW w:w="773" w:type="dxa"/>
            <w:vMerge w:val="restart"/>
            <w:tcBorders>
              <w:tl2br w:val="nil"/>
              <w:tr2bl w:val="nil"/>
            </w:tcBorders>
            <w:noWrap w:val="0"/>
            <w:vAlign w:val="center"/>
          </w:tcPr>
          <w:p w14:paraId="1C0520D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大英县自然资源重点管控区</w:t>
            </w:r>
          </w:p>
        </w:tc>
        <w:tc>
          <w:tcPr>
            <w:tcW w:w="484" w:type="dxa"/>
            <w:vMerge w:val="continue"/>
            <w:tcBorders>
              <w:tl2br w:val="nil"/>
              <w:tr2bl w:val="nil"/>
            </w:tcBorders>
            <w:noWrap w:val="0"/>
            <w:vAlign w:val="top"/>
          </w:tcPr>
          <w:p w14:paraId="14C8627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空间布局约束：</w:t>
            </w:r>
          </w:p>
          <w:p w14:paraId="0E465A2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4639FC0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98099B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345664E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965E19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6443828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653FA3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0BD69C9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47164E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污染物排放管控：</w:t>
            </w:r>
          </w:p>
          <w:p w14:paraId="04ACA7F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允许排放量要求</w:t>
            </w:r>
          </w:p>
          <w:p w14:paraId="0961390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3172B6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现有源提标升级改造</w:t>
            </w:r>
          </w:p>
          <w:p w14:paraId="6B8A229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EE24E8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其他污染物排放管控要求</w:t>
            </w:r>
          </w:p>
          <w:p w14:paraId="730546E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D306AC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环境风险防控：</w:t>
            </w:r>
          </w:p>
          <w:p w14:paraId="2EEB016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联防联控要求</w:t>
            </w:r>
          </w:p>
          <w:p w14:paraId="498B68A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64AA68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其他环境风险防控要求</w:t>
            </w:r>
          </w:p>
          <w:p w14:paraId="759E4CF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F9A35F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资源开发利用效率要求：</w:t>
            </w:r>
          </w:p>
          <w:p w14:paraId="0D93B54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水资源利用总量要求</w:t>
            </w:r>
          </w:p>
          <w:p w14:paraId="2BC0F18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0D96AC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地下水开采要求</w:t>
            </w:r>
          </w:p>
          <w:p w14:paraId="7796767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3C1F22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能源利用总量及效率要求</w:t>
            </w:r>
          </w:p>
          <w:p w14:paraId="7DCBE59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B96947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禁燃区要求</w:t>
            </w:r>
          </w:p>
          <w:p w14:paraId="3C6228D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870AFF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其他资源利用效率要求</w:t>
            </w:r>
          </w:p>
          <w:p w14:paraId="533DE45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tc>
        <w:tc>
          <w:tcPr>
            <w:tcW w:w="1316" w:type="dxa"/>
            <w:tcBorders>
              <w:tl2br w:val="nil"/>
              <w:tr2bl w:val="nil"/>
            </w:tcBorders>
            <w:noWrap w:val="0"/>
            <w:vAlign w:val="center"/>
          </w:tcPr>
          <w:p w14:paraId="19D3B0CC">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空间布局约束</w:t>
            </w:r>
          </w:p>
        </w:tc>
        <w:tc>
          <w:tcPr>
            <w:tcW w:w="8427" w:type="dxa"/>
            <w:vMerge w:val="restart"/>
            <w:tcBorders>
              <w:tl2br w:val="nil"/>
              <w:tr2bl w:val="nil"/>
            </w:tcBorders>
            <w:noWrap w:val="0"/>
            <w:vAlign w:val="center"/>
          </w:tcPr>
          <w:p w14:paraId="14D7B425">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c>
          <w:tcPr>
            <w:tcW w:w="1715" w:type="dxa"/>
            <w:tcBorders>
              <w:tl2br w:val="nil"/>
              <w:tr2bl w:val="nil"/>
            </w:tcBorders>
            <w:noWrap w:val="0"/>
            <w:vAlign w:val="center"/>
          </w:tcPr>
          <w:p w14:paraId="55DA2863">
            <w:pPr>
              <w:widowControl/>
              <w:shd w:val="clear" w:color="auto" w:fill="FFFFFF"/>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r>
      <w:tr w14:paraId="7980DA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continue"/>
            <w:tcBorders>
              <w:tl2br w:val="nil"/>
              <w:tr2bl w:val="nil"/>
            </w:tcBorders>
            <w:noWrap w:val="0"/>
            <w:vAlign w:val="center"/>
          </w:tcPr>
          <w:p w14:paraId="044A302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YS5109232550001</w:t>
            </w:r>
          </w:p>
        </w:tc>
        <w:tc>
          <w:tcPr>
            <w:tcW w:w="773" w:type="dxa"/>
            <w:vMerge w:val="continue"/>
            <w:tcBorders>
              <w:tl2br w:val="nil"/>
              <w:tr2bl w:val="nil"/>
            </w:tcBorders>
            <w:noWrap w:val="0"/>
            <w:vAlign w:val="center"/>
          </w:tcPr>
          <w:p w14:paraId="6D4A054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大英县自然资源重点管控区</w:t>
            </w:r>
          </w:p>
        </w:tc>
        <w:tc>
          <w:tcPr>
            <w:tcW w:w="484" w:type="dxa"/>
            <w:vMerge w:val="continue"/>
            <w:tcBorders>
              <w:tl2br w:val="nil"/>
              <w:tr2bl w:val="nil"/>
            </w:tcBorders>
            <w:noWrap w:val="0"/>
            <w:vAlign w:val="top"/>
          </w:tcPr>
          <w:p w14:paraId="2CFABE6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空间布局约束：</w:t>
            </w:r>
          </w:p>
          <w:p w14:paraId="3B2DCA0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02A56AC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8D866E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1162372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550AB2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7B3A01D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C770B2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113E323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F0B650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污染物排放管控：</w:t>
            </w:r>
          </w:p>
          <w:p w14:paraId="021663A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允许排放量要求</w:t>
            </w:r>
          </w:p>
          <w:p w14:paraId="66CD7E9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254CD3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现有源提标升级改造</w:t>
            </w:r>
          </w:p>
          <w:p w14:paraId="448E813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8DF8EC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其他污染物排放管控要求</w:t>
            </w:r>
          </w:p>
          <w:p w14:paraId="3FC27AE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450C5C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环境风险防控：</w:t>
            </w:r>
          </w:p>
          <w:p w14:paraId="3368FFD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联防联控要求</w:t>
            </w:r>
          </w:p>
          <w:p w14:paraId="61C5AB0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BB68EE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其他环境风险防控要求</w:t>
            </w:r>
          </w:p>
          <w:p w14:paraId="07A22F8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E6ADC1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资源开发利用效率要求：</w:t>
            </w:r>
          </w:p>
          <w:p w14:paraId="76E205D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水资源利用总量要求</w:t>
            </w:r>
          </w:p>
          <w:p w14:paraId="63A4152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58C942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地下水开采要求</w:t>
            </w:r>
          </w:p>
          <w:p w14:paraId="7835FDF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82E3D2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能源利用总量及效率要求</w:t>
            </w:r>
          </w:p>
          <w:p w14:paraId="2E3E070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4C8F710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禁燃区要求</w:t>
            </w:r>
          </w:p>
          <w:p w14:paraId="0375320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61B66F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其他资源利用效率要求</w:t>
            </w:r>
          </w:p>
          <w:p w14:paraId="402F8A5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tc>
        <w:tc>
          <w:tcPr>
            <w:tcW w:w="1316" w:type="dxa"/>
            <w:tcBorders>
              <w:tl2br w:val="nil"/>
              <w:tr2bl w:val="nil"/>
            </w:tcBorders>
            <w:noWrap w:val="0"/>
            <w:vAlign w:val="center"/>
          </w:tcPr>
          <w:p w14:paraId="61B77C62">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污染物排放管控</w:t>
            </w:r>
          </w:p>
        </w:tc>
        <w:tc>
          <w:tcPr>
            <w:tcW w:w="8427" w:type="dxa"/>
            <w:vMerge w:val="continue"/>
            <w:tcBorders>
              <w:tl2br w:val="nil"/>
              <w:tr2bl w:val="nil"/>
            </w:tcBorders>
            <w:noWrap w:val="0"/>
            <w:vAlign w:val="center"/>
          </w:tcPr>
          <w:p w14:paraId="205E90B0">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c>
          <w:tcPr>
            <w:tcW w:w="1715" w:type="dxa"/>
            <w:tcBorders>
              <w:tl2br w:val="nil"/>
              <w:tr2bl w:val="nil"/>
            </w:tcBorders>
            <w:noWrap w:val="0"/>
            <w:vAlign w:val="center"/>
          </w:tcPr>
          <w:p w14:paraId="72AC4ED6">
            <w:pPr>
              <w:widowControl/>
              <w:shd w:val="clear" w:color="auto" w:fill="FFFFFF"/>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r>
      <w:tr w14:paraId="1691D1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continue"/>
            <w:tcBorders>
              <w:tl2br w:val="nil"/>
              <w:tr2bl w:val="nil"/>
            </w:tcBorders>
            <w:noWrap w:val="0"/>
            <w:vAlign w:val="center"/>
          </w:tcPr>
          <w:p w14:paraId="7E0885D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YS5109232550001</w:t>
            </w:r>
          </w:p>
        </w:tc>
        <w:tc>
          <w:tcPr>
            <w:tcW w:w="773" w:type="dxa"/>
            <w:vMerge w:val="continue"/>
            <w:tcBorders>
              <w:tl2br w:val="nil"/>
              <w:tr2bl w:val="nil"/>
            </w:tcBorders>
            <w:noWrap w:val="0"/>
            <w:vAlign w:val="center"/>
          </w:tcPr>
          <w:p w14:paraId="1F0D33F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大英县自然资源重点管控区</w:t>
            </w:r>
          </w:p>
        </w:tc>
        <w:tc>
          <w:tcPr>
            <w:tcW w:w="484" w:type="dxa"/>
            <w:vMerge w:val="continue"/>
            <w:tcBorders>
              <w:tl2br w:val="nil"/>
              <w:tr2bl w:val="nil"/>
            </w:tcBorders>
            <w:noWrap w:val="0"/>
            <w:vAlign w:val="top"/>
          </w:tcPr>
          <w:p w14:paraId="19D1027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空间布局约束：</w:t>
            </w:r>
          </w:p>
          <w:p w14:paraId="0E9D77C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2064596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D95777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64DEDF3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0233AE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20BF2C8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F62AD6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0BD580F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0DE193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污染物排放管控：</w:t>
            </w:r>
          </w:p>
          <w:p w14:paraId="5399D82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允许排放量要求</w:t>
            </w:r>
          </w:p>
          <w:p w14:paraId="712B1F5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2ACCE8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现有源提标升级改造</w:t>
            </w:r>
          </w:p>
          <w:p w14:paraId="4AE9FA0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02B4A8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其他污染物排放管控要求</w:t>
            </w:r>
          </w:p>
          <w:p w14:paraId="18ACD01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D03EB3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环境风险防控：</w:t>
            </w:r>
          </w:p>
          <w:p w14:paraId="4F41D20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联防联控要求</w:t>
            </w:r>
          </w:p>
          <w:p w14:paraId="3198ABB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7B73A0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其他环境风险防控要求</w:t>
            </w:r>
          </w:p>
          <w:p w14:paraId="27236B6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11B39B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资源开发利用效率要求：</w:t>
            </w:r>
          </w:p>
          <w:p w14:paraId="5C242A5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水资源利用总量要求</w:t>
            </w:r>
          </w:p>
          <w:p w14:paraId="0EE37D6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8B743B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地下水开采要求</w:t>
            </w:r>
          </w:p>
          <w:p w14:paraId="26CF077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3C94103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能源利用总量及效率要求</w:t>
            </w:r>
          </w:p>
          <w:p w14:paraId="3056C64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EC4977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禁燃区要求</w:t>
            </w:r>
          </w:p>
          <w:p w14:paraId="4BC4FC7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8C567A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其他资源利用效率要求</w:t>
            </w:r>
          </w:p>
          <w:p w14:paraId="73D47FF7">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tc>
        <w:tc>
          <w:tcPr>
            <w:tcW w:w="1316" w:type="dxa"/>
            <w:tcBorders>
              <w:tl2br w:val="nil"/>
              <w:tr2bl w:val="nil"/>
            </w:tcBorders>
            <w:noWrap w:val="0"/>
            <w:vAlign w:val="center"/>
          </w:tcPr>
          <w:p w14:paraId="54ACE80E">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环境风险防控</w:t>
            </w:r>
          </w:p>
        </w:tc>
        <w:tc>
          <w:tcPr>
            <w:tcW w:w="8427" w:type="dxa"/>
            <w:vMerge w:val="continue"/>
            <w:tcBorders>
              <w:tl2br w:val="nil"/>
              <w:tr2bl w:val="nil"/>
            </w:tcBorders>
            <w:noWrap w:val="0"/>
            <w:vAlign w:val="center"/>
          </w:tcPr>
          <w:p w14:paraId="43126BE3">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c>
          <w:tcPr>
            <w:tcW w:w="1715" w:type="dxa"/>
            <w:tcBorders>
              <w:tl2br w:val="nil"/>
              <w:tr2bl w:val="nil"/>
            </w:tcBorders>
            <w:noWrap w:val="0"/>
            <w:vAlign w:val="center"/>
          </w:tcPr>
          <w:p w14:paraId="5D4A0DC2">
            <w:pPr>
              <w:widowControl/>
              <w:shd w:val="clear" w:color="auto" w:fill="FFFFFF"/>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r>
      <w:tr w14:paraId="3C176A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continue"/>
            <w:tcBorders>
              <w:tl2br w:val="nil"/>
              <w:tr2bl w:val="nil"/>
            </w:tcBorders>
            <w:noWrap w:val="0"/>
            <w:vAlign w:val="center"/>
          </w:tcPr>
          <w:p w14:paraId="62F42C2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YS5109232550001</w:t>
            </w:r>
          </w:p>
        </w:tc>
        <w:tc>
          <w:tcPr>
            <w:tcW w:w="773" w:type="dxa"/>
            <w:vMerge w:val="continue"/>
            <w:tcBorders>
              <w:tl2br w:val="nil"/>
              <w:tr2bl w:val="nil"/>
            </w:tcBorders>
            <w:noWrap w:val="0"/>
            <w:vAlign w:val="center"/>
          </w:tcPr>
          <w:p w14:paraId="4FC8B6B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大英县自然资源重点管控区</w:t>
            </w:r>
          </w:p>
        </w:tc>
        <w:tc>
          <w:tcPr>
            <w:tcW w:w="484" w:type="dxa"/>
            <w:vMerge w:val="continue"/>
            <w:tcBorders>
              <w:tl2br w:val="nil"/>
              <w:tr2bl w:val="nil"/>
            </w:tcBorders>
            <w:noWrap w:val="0"/>
            <w:vAlign w:val="top"/>
          </w:tcPr>
          <w:p w14:paraId="2EA1707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空间布局约束：</w:t>
            </w:r>
          </w:p>
          <w:p w14:paraId="7335FC73">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41F035D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90F24B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218D7945">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5C98D09">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0244495A">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00D1AE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700F84A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FE156B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污染物排放管控：</w:t>
            </w:r>
          </w:p>
          <w:p w14:paraId="4BFBEDD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允许排放量要求</w:t>
            </w:r>
          </w:p>
          <w:p w14:paraId="77CC79E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359B37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现有源提标升级改造</w:t>
            </w:r>
          </w:p>
          <w:p w14:paraId="773CEAD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10B99EAB">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其他污染物排放管控要求</w:t>
            </w:r>
          </w:p>
          <w:p w14:paraId="6E51093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6B6864D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环境风险防控：</w:t>
            </w:r>
          </w:p>
          <w:p w14:paraId="659717AD">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联防联控要求</w:t>
            </w:r>
          </w:p>
          <w:p w14:paraId="679A8D1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2082D3A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其他环境风险防控要求</w:t>
            </w:r>
          </w:p>
          <w:p w14:paraId="0EEA317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BBCFBE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资源开发利用效率要求：</w:t>
            </w:r>
          </w:p>
          <w:p w14:paraId="231A7F0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水资源利用总量要求</w:t>
            </w:r>
          </w:p>
          <w:p w14:paraId="6FFD4A70">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2EA022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地下水开采要求</w:t>
            </w:r>
          </w:p>
          <w:p w14:paraId="400596B2">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5C99A8F6">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能源利用总量及效率要求</w:t>
            </w:r>
          </w:p>
          <w:p w14:paraId="26F7AC2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0C89BF9E">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禁燃区要求</w:t>
            </w:r>
          </w:p>
          <w:p w14:paraId="5DB115BC">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p w14:paraId="7D5E8DCF">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其他资源利用效率要求</w:t>
            </w:r>
          </w:p>
          <w:p w14:paraId="29D91861">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暂无</w:t>
            </w:r>
          </w:p>
        </w:tc>
        <w:tc>
          <w:tcPr>
            <w:tcW w:w="1316" w:type="dxa"/>
            <w:tcBorders>
              <w:tl2br w:val="nil"/>
              <w:tr2bl w:val="nil"/>
            </w:tcBorders>
            <w:noWrap w:val="0"/>
            <w:vAlign w:val="center"/>
          </w:tcPr>
          <w:p w14:paraId="6E9EDF43">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资源开发效率要求</w:t>
            </w:r>
          </w:p>
        </w:tc>
        <w:tc>
          <w:tcPr>
            <w:tcW w:w="8427" w:type="dxa"/>
            <w:tcBorders>
              <w:tl2br w:val="nil"/>
              <w:tr2bl w:val="nil"/>
            </w:tcBorders>
            <w:noWrap w:val="0"/>
            <w:vAlign w:val="center"/>
          </w:tcPr>
          <w:p w14:paraId="7DF4723D">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土地资源开发效率要求</w:t>
            </w:r>
          </w:p>
          <w:p w14:paraId="3E02365F">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p>
          <w:p w14:paraId="2BF90FF9">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能源资源开发效率要求</w:t>
            </w:r>
          </w:p>
          <w:p w14:paraId="75365FC1">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p>
          <w:p w14:paraId="32991B73">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其他资源开发效率要求</w:t>
            </w:r>
          </w:p>
        </w:tc>
        <w:tc>
          <w:tcPr>
            <w:tcW w:w="1715" w:type="dxa"/>
            <w:tcBorders>
              <w:tl2br w:val="nil"/>
              <w:tr2bl w:val="nil"/>
            </w:tcBorders>
            <w:noWrap w:val="0"/>
            <w:vAlign w:val="center"/>
          </w:tcPr>
          <w:p w14:paraId="2ED6C501">
            <w:pPr>
              <w:pStyle w:val="78"/>
              <w:widowControl/>
              <w:shd w:val="clear" w:color="auto" w:fill="FFFFFF"/>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本项目符合资源开发效率要求</w:t>
            </w:r>
          </w:p>
        </w:tc>
      </w:tr>
      <w:tr w14:paraId="74EE90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restart"/>
            <w:tcBorders>
              <w:tl2br w:val="nil"/>
              <w:tr2bl w:val="nil"/>
            </w:tcBorders>
            <w:noWrap w:val="0"/>
            <w:vAlign w:val="center"/>
          </w:tcPr>
          <w:p w14:paraId="663562F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ZH51092320002</w:t>
            </w:r>
          </w:p>
        </w:tc>
        <w:tc>
          <w:tcPr>
            <w:tcW w:w="773" w:type="dxa"/>
            <w:vMerge w:val="restart"/>
            <w:tcBorders>
              <w:tl2br w:val="nil"/>
              <w:tr2bl w:val="nil"/>
            </w:tcBorders>
            <w:noWrap w:val="0"/>
            <w:vAlign w:val="center"/>
          </w:tcPr>
          <w:p w14:paraId="4004FB24">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大英县工业集中发展区（含经开区）</w:t>
            </w:r>
          </w:p>
        </w:tc>
        <w:tc>
          <w:tcPr>
            <w:tcW w:w="484" w:type="dxa"/>
            <w:vMerge w:val="restart"/>
            <w:tcBorders>
              <w:tl2br w:val="nil"/>
              <w:tr2bl w:val="nil"/>
            </w:tcBorders>
            <w:noWrap w:val="0"/>
            <w:vAlign w:val="top"/>
          </w:tcPr>
          <w:p w14:paraId="62130B08">
            <w:pPr>
              <w:pStyle w:val="75"/>
              <w:widowControl/>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p>
        </w:tc>
        <w:tc>
          <w:tcPr>
            <w:tcW w:w="1316" w:type="dxa"/>
            <w:tcBorders>
              <w:tl2br w:val="nil"/>
              <w:tr2bl w:val="nil"/>
            </w:tcBorders>
            <w:noWrap w:val="0"/>
            <w:vAlign w:val="center"/>
          </w:tcPr>
          <w:p w14:paraId="330E2DEE">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空间布局约束</w:t>
            </w:r>
          </w:p>
        </w:tc>
        <w:tc>
          <w:tcPr>
            <w:tcW w:w="8427" w:type="dxa"/>
            <w:tcBorders>
              <w:tl2br w:val="nil"/>
              <w:tr2bl w:val="nil"/>
            </w:tcBorders>
            <w:noWrap w:val="0"/>
            <w:vAlign w:val="center"/>
          </w:tcPr>
          <w:p w14:paraId="656B31E7">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禁止开发建设活动的要求</w:t>
            </w:r>
          </w:p>
          <w:p w14:paraId="70D9E020">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1.禁止新建纯碱、PVC项目</w:t>
            </w:r>
          </w:p>
          <w:p w14:paraId="1644A909">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2.禁止扩大合成氨或实施扩建氮肥项目</w:t>
            </w:r>
          </w:p>
          <w:p w14:paraId="0350FF4E">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3.禁止新引入涉及印染、染整、脱胶工序或产生缫丝、精炼废水的项目</w:t>
            </w:r>
          </w:p>
          <w:p w14:paraId="5CFD5828">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4.禁止引入印制电路板、集成电路制造、平板及柔性显示器件制造等耗、排水量大的项目</w:t>
            </w:r>
          </w:p>
          <w:p w14:paraId="6EB0F644">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5.禁止引进和新建涉及喷漆工艺家具制造（木制品加工）生产项目（使用粉末喷涂、水性涂料及UV涂料以及进入共享喷涂中心除外）</w:t>
            </w:r>
          </w:p>
          <w:p w14:paraId="472FA612">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6.禁止新建燃煤火电、金属冶炼、制浆（含废纸制浆）、屠宰、皮革鞣制、铅蓄电池制造、原油炼制、煤化工及发酵制药项目</w:t>
            </w:r>
          </w:p>
          <w:p w14:paraId="44F94548">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7.梨子坝、马家坝片区禁止新引入化工项目片区铅蓄电池生产企业限制发展，待远期条件成熟时，实现铅、汞、镉、铬、砷重金属污染物“零排放”或搬迁出园区</w:t>
            </w:r>
          </w:p>
          <w:p w14:paraId="4BAA3595">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8.规划区内郪江两侧自防洪堤外源控制线起50m区域纳入生态保护范围，禁止开展采矿、挖沙取土或工业活动</w:t>
            </w:r>
          </w:p>
          <w:p w14:paraId="70FD0980">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9.其他参照遂宁市总体准入要求-工业重点管控单元</w:t>
            </w:r>
          </w:p>
          <w:p w14:paraId="4A44F36B">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限制开发建设活动的要求</w:t>
            </w:r>
          </w:p>
          <w:p w14:paraId="48C49B78">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1.严格限制钢铁、水泥、平板玻璃、有色金属冶炼等高污染、高耗能项目</w:t>
            </w:r>
          </w:p>
          <w:p w14:paraId="1C470C2A">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2.限制引进和新建涉及有机溶剂使用和挥发性有机物排放的低固份油性涂料生产、沥青类防水材料生产、人造板生产等项目；</w:t>
            </w:r>
          </w:p>
          <w:p w14:paraId="665A9231">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3.限制高耗水、高污染企业入驻，严控入河污染物</w:t>
            </w:r>
          </w:p>
          <w:p w14:paraId="566A2F26">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4.其他参照遂宁市总体准入要求-工业重点管控单元</w:t>
            </w:r>
          </w:p>
          <w:p w14:paraId="5ED0B6EB">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允许开发建设活动的要求</w:t>
            </w:r>
          </w:p>
          <w:p w14:paraId="7AAA6819">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p w14:paraId="678F29D7">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不符合空间布局要求活动的退出要求</w:t>
            </w:r>
          </w:p>
          <w:p w14:paraId="01CD40D0">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1.岸线一公里范围内的化工企业：（1）根据《中华人民共和国长江保护法》，禁止在长江干支流岸线一公里范围内新建、扩建化工项目（2） 现存化工企业，符合所在法定保护地管理规定、具有合法手续且污染物排放及环境风险满足管理要求，可继续保留</w:t>
            </w:r>
          </w:p>
          <w:p w14:paraId="002B7042">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2.其他参照遂宁市总体准入要求-工业重点管控单元</w:t>
            </w:r>
          </w:p>
          <w:p w14:paraId="6B2416D2">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其他空间布局约束要求</w:t>
            </w:r>
          </w:p>
          <w:p w14:paraId="0E6E4DDC">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c>
          <w:tcPr>
            <w:tcW w:w="1715" w:type="dxa"/>
            <w:tcBorders>
              <w:tl2br w:val="nil"/>
              <w:tr2bl w:val="nil"/>
            </w:tcBorders>
            <w:noWrap w:val="0"/>
            <w:vAlign w:val="center"/>
          </w:tcPr>
          <w:p w14:paraId="3731AEAE">
            <w:pPr>
              <w:pStyle w:val="78"/>
              <w:widowControl/>
              <w:shd w:val="clear" w:color="auto" w:fill="FFFFFF"/>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本项目不属于禁止开发建设的项目，满足空间布局约束要求。</w:t>
            </w:r>
          </w:p>
        </w:tc>
      </w:tr>
      <w:tr w14:paraId="1BF755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continue"/>
            <w:tcBorders>
              <w:tl2br w:val="nil"/>
              <w:tr2bl w:val="nil"/>
            </w:tcBorders>
            <w:noWrap w:val="0"/>
            <w:vAlign w:val="center"/>
          </w:tcPr>
          <w:p w14:paraId="49998277">
            <w:pPr>
              <w:pStyle w:val="78"/>
              <w:widowControl/>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ZH51092320002</w:t>
            </w:r>
          </w:p>
        </w:tc>
        <w:tc>
          <w:tcPr>
            <w:tcW w:w="773" w:type="dxa"/>
            <w:vMerge w:val="continue"/>
            <w:tcBorders>
              <w:tl2br w:val="nil"/>
              <w:tr2bl w:val="nil"/>
            </w:tcBorders>
            <w:noWrap w:val="0"/>
            <w:vAlign w:val="center"/>
          </w:tcPr>
          <w:p w14:paraId="6EBEE3C3">
            <w:pPr>
              <w:pStyle w:val="78"/>
              <w:widowControl/>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大英县工业集中发展区(含经开区)</w:t>
            </w:r>
          </w:p>
        </w:tc>
        <w:tc>
          <w:tcPr>
            <w:tcW w:w="484" w:type="dxa"/>
            <w:vMerge w:val="continue"/>
            <w:tcBorders>
              <w:tl2br w:val="nil"/>
              <w:tr2bl w:val="nil"/>
            </w:tcBorders>
            <w:noWrap w:val="0"/>
            <w:vAlign w:val="top"/>
          </w:tcPr>
          <w:p w14:paraId="717A64A6">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空间布局约束：</w:t>
            </w:r>
          </w:p>
          <w:p w14:paraId="2436193E">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禁止开发建设活动的要求</w:t>
            </w:r>
          </w:p>
          <w:p w14:paraId="537DA2DB">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1.禁止引入不符合园区用地性质或产业规划的工业企业。</w:t>
            </w:r>
          </w:p>
          <w:p w14:paraId="77A0A0CB">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2.禁止在长江干支流、重要湖泊岸线一公里范围内新建、扩建化工园区和化工项目。</w:t>
            </w:r>
          </w:p>
          <w:p w14:paraId="4E6B532E">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3.禁止在长江流域河湖管理范围内倾倒、填埋、堆放、弃置、处理固体废物。</w:t>
            </w:r>
          </w:p>
          <w:p w14:paraId="6D21DB9C">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4.未通过认定的化工园区，不得新建、改扩建化工项目（安全、环保、节能和智能化改造项目除外），按属地原则依法依规妥善做好未通过认定化工园区及园内企业的转型、关闭、处置及监管工作。</w:t>
            </w:r>
          </w:p>
          <w:p w14:paraId="0F310F28">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限制开发建设活动的要求</w:t>
            </w:r>
          </w:p>
          <w:p w14:paraId="2E05B55F">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1.严控新建、扩建“两高”项目，对现存企业执行最严格排放标准和总量控制要求。</w:t>
            </w:r>
          </w:p>
          <w:p w14:paraId="0C1B28F4">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2.长江干流及主要支流1公里范围内，严控新建石油化工、煤化工、涉磷、造纸、印染、制革等项目。</w:t>
            </w:r>
          </w:p>
          <w:p w14:paraId="2353CE3F">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不符合空间布局要求活动的退出要求</w:t>
            </w:r>
          </w:p>
          <w:p w14:paraId="651F3614">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现有属于禁止引入产业门类的企业，应按相关规定限期整治或退出。</w:t>
            </w:r>
          </w:p>
          <w:p w14:paraId="14AA72EE">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其他空间布局约束要求</w:t>
            </w:r>
          </w:p>
          <w:p w14:paraId="037D13D3">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w:t>
            </w:r>
          </w:p>
          <w:p w14:paraId="4E3A3135">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污染物排放管控：</w:t>
            </w:r>
          </w:p>
          <w:p w14:paraId="3EEFB7DA">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允许排放量要求</w:t>
            </w:r>
          </w:p>
          <w:p w14:paraId="6C07F3C7">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w:t>
            </w:r>
          </w:p>
          <w:p w14:paraId="312BA510">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现有源提标升级改造</w:t>
            </w:r>
          </w:p>
          <w:p w14:paraId="4CC474ED">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1.污水收集处理率达100%。</w:t>
            </w:r>
          </w:p>
          <w:p w14:paraId="401CB5F0">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2.园区污水处理厂达《城镇污水处理厂污染物排放标准》一级A标或更高标准。</w:t>
            </w:r>
          </w:p>
          <w:p w14:paraId="14CC6E75">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3.加快推进危险化学品生产企业搬迁改造工程。</w:t>
            </w:r>
          </w:p>
          <w:p w14:paraId="559E4C7C">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4.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321A1B73">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其他污染物排放管控要求</w:t>
            </w:r>
          </w:p>
          <w:p w14:paraId="53115097">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14:paraId="4D5E7208">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14:paraId="70CE30E2">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14:paraId="74F8CE99">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4.化工园区应按照分类收集，分质处理的要求，配备专业化工生产废水集中处理设施（独立建设或依托骨干企业）及专管或明管输送的配套管网，化工生产废水纳管率达到100%。入河排污口设置应符合相关规定。</w:t>
            </w:r>
          </w:p>
          <w:p w14:paraId="30BCF2DC">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5.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612FCFF7">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6.白酒行业参考执行更新后的四川省白酒行业资源环境绩效指标要求。</w:t>
            </w:r>
          </w:p>
          <w:p w14:paraId="741FF25B">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7.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14:paraId="7FD0B024">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环境风险防控：</w:t>
            </w:r>
          </w:p>
          <w:p w14:paraId="32F4D1CA">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联防联控要求</w:t>
            </w:r>
          </w:p>
          <w:p w14:paraId="725270A4">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加强成都平原经济区信息共享和联动合作，协力推进产业和能源结构优化调整，加强大气污染源头防控，加强潼遂合作。</w:t>
            </w:r>
          </w:p>
          <w:p w14:paraId="7BBC4A61">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其他环境风险防控要求</w:t>
            </w:r>
          </w:p>
          <w:p w14:paraId="460146E3">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1.企业环境风险防控要求：涉及有毒有害、易燃易爆物质的新建、改扩建项目，严控准入要求。</w:t>
            </w:r>
          </w:p>
          <w:p w14:paraId="6B9424A7">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园区环境风险防控要求：构建三级环境风险防控体系，强化危化品泄漏应急处置措施，确保风险可控。针对化工园区进一步强化风险防控。化工园区应具有安全风险监控体系、建立生态环境监测监控体系、建立必要的突发环境事件应急体系。</w:t>
            </w:r>
          </w:p>
          <w:p w14:paraId="68AD5965">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3.用地环境风险防控要求：化工、电镀等行业企业拆除生产设施设备、构筑物和污染治理设施，要事先制定残留污染物清理和安全处置方案，要严格按照有关规定实施安全处理处置，防范拆除活动污染土壤。</w:t>
            </w:r>
          </w:p>
          <w:p w14:paraId="00269026">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资源开发利用效率要求：</w:t>
            </w:r>
          </w:p>
          <w:p w14:paraId="2283ABD8">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水资源利用总量要求</w:t>
            </w:r>
          </w:p>
          <w:p w14:paraId="3CCCAA70">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1.到2025年，万元工业增加值用水量下降到32.0m3/万元，重复利用率提高到84%；</w:t>
            </w:r>
          </w:p>
          <w:p w14:paraId="3BA12EAE">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2.至2030年，万元工业增加值用水量进一步减少为28.0m3/万元，重复利用率提高到85%；</w:t>
            </w:r>
          </w:p>
          <w:p w14:paraId="2FC0A9E6">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3.新、改扩建项目水耗指标满足《四川省省级生态工业园区指标》综合类生态工业园区要求。</w:t>
            </w:r>
          </w:p>
          <w:p w14:paraId="5A286130">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地下水开采要求</w:t>
            </w:r>
          </w:p>
          <w:p w14:paraId="1D8D95D9">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全面建设节水型社会，达到合理高效用水。</w:t>
            </w:r>
          </w:p>
          <w:p w14:paraId="1753714A">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能源利用总量及效率要求</w:t>
            </w:r>
          </w:p>
          <w:p w14:paraId="0BB26CBA">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1.扩大高污染燃料禁燃区范围，在市、县（区）、镇（乡）建成区全面实施“煤改气”“煤改电”。</w:t>
            </w:r>
          </w:p>
          <w:p w14:paraId="0801038B">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2.新、改扩建项目能耗指标满足《四川省省级生态工业园区指标》综合类生态工业园区要求。</w:t>
            </w:r>
          </w:p>
          <w:p w14:paraId="407958A5">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3.实施新建项目与煤炭消费总量控制挂钩机制，耗煤建设项目实行煤炭消耗等量减量替代。</w:t>
            </w:r>
          </w:p>
          <w:p w14:paraId="41FDC711">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4.提高煤炭利用效率和天然气利用占比，工业领域有序推进“煤改电”和“煤改气”。</w:t>
            </w:r>
          </w:p>
          <w:p w14:paraId="3A2C0771">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5.到2030年，能源消费总量控制在1000万吨标准煤以内。</w:t>
            </w:r>
          </w:p>
          <w:p w14:paraId="11FC7946">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禁燃区要求</w:t>
            </w:r>
          </w:p>
          <w:p w14:paraId="6F565BB8">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1.禁燃区内禁止燃烧以下高污染燃料：</w:t>
            </w:r>
          </w:p>
          <w:p w14:paraId="65720E2E">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（1）煤炭及其制品（包括原煤、散煤、煤矸石、煤泥、煤 粉、水浆煤、型煤、焦炭、兰炭、油类等常规燃料）。</w:t>
            </w:r>
          </w:p>
          <w:p w14:paraId="2CCDC473">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（2）石油焦、油页岩、原油、重油、渣油、煤焦油。</w:t>
            </w:r>
          </w:p>
          <w:p w14:paraId="49075D89">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（3）非专用锅炉或未配置高效除尘设施的专用锅炉燃用的 生物质成型燃料。</w:t>
            </w:r>
          </w:p>
          <w:p w14:paraId="2BDEF5A3">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2.禁燃区内禁止新建、扩建燃用高污染燃料的锅炉、炉窑、 炉灶等燃烧设施（集中供热、电厂锅炉除外）。</w:t>
            </w:r>
          </w:p>
          <w:p w14:paraId="4732DE37">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3.自2020年1月1日起，禁燃区内禁止销售高污染燃料。</w:t>
            </w:r>
          </w:p>
          <w:p w14:paraId="04AACACB">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4.加强对集中供热、电厂锅炉、10蒸吨/时以上的在用燃煤锅炉以及改用清洁能源前的在用锅炉等燃烧设施的监管，确保达标排放。</w:t>
            </w:r>
          </w:p>
          <w:p w14:paraId="62F838E9">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其他资源利用效率要求</w:t>
            </w:r>
          </w:p>
          <w:p w14:paraId="521895FA">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w:t>
            </w:r>
          </w:p>
        </w:tc>
        <w:tc>
          <w:tcPr>
            <w:tcW w:w="1316" w:type="dxa"/>
            <w:tcBorders>
              <w:tl2br w:val="nil"/>
              <w:tr2bl w:val="nil"/>
            </w:tcBorders>
            <w:noWrap w:val="0"/>
            <w:vAlign w:val="center"/>
          </w:tcPr>
          <w:p w14:paraId="729583A7">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污染物排放管控</w:t>
            </w:r>
          </w:p>
        </w:tc>
        <w:tc>
          <w:tcPr>
            <w:tcW w:w="8427" w:type="dxa"/>
            <w:tcBorders>
              <w:tl2br w:val="nil"/>
              <w:tr2bl w:val="nil"/>
            </w:tcBorders>
            <w:noWrap w:val="0"/>
            <w:vAlign w:val="center"/>
          </w:tcPr>
          <w:p w14:paraId="2CBE4DA7">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现有源提标升级改造</w:t>
            </w:r>
          </w:p>
          <w:p w14:paraId="78158754">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1.燃煤热电锅炉完成超低排放改造，规模在20蒸吨/时及以上的现有大中型燃煤锅炉应全部实施脱硫，脱硫效率达到70%以上。</w:t>
            </w:r>
          </w:p>
          <w:p w14:paraId="5AED26A0">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2.新建化工项目必须配套建设高效脱硫、脱硝、除尘设施，脱硝效率不低于70%。</w:t>
            </w:r>
          </w:p>
          <w:p w14:paraId="1BBEB627">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3.加强中水回用，逐步将工业污水处理厂中水回用于工业企业的冷却用水等生产性用水，远期回用率达到30%；</w:t>
            </w:r>
          </w:p>
          <w:p w14:paraId="27BD5EE8">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4.其他参照遂宁市总体准入要求-工业重点管控单元。</w:t>
            </w:r>
          </w:p>
          <w:p w14:paraId="5EEEC266">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新增源等量或倍量替代</w:t>
            </w:r>
          </w:p>
          <w:p w14:paraId="1196F105">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参照遂宁市总体准入要求-工业重点管控单元。</w:t>
            </w:r>
          </w:p>
          <w:p w14:paraId="4623B01D">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新增源排放标准限值</w:t>
            </w:r>
          </w:p>
          <w:p w14:paraId="379451E8">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1.项目产生的生产废水由企业自行处理达到《污水综合排放标准》三级或相应的行业排放标准后排入园区污水处理厂处理达《城镇污水处理厂污染物排放标准》一级A标或更严格标准后排放。</w:t>
            </w:r>
          </w:p>
          <w:p w14:paraId="42470DB4">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2.其他参照遂宁市总体准入要求-工业重点管控单元。</w:t>
            </w:r>
          </w:p>
          <w:p w14:paraId="37DBD9EF">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污染物排放绩效水平准入要求</w:t>
            </w:r>
          </w:p>
          <w:p w14:paraId="130E5870">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参照遂宁市总体准入要求-工业重点管控单元。</w:t>
            </w:r>
          </w:p>
          <w:p w14:paraId="40E49F9F">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其他污染物排放管控要求</w:t>
            </w:r>
          </w:p>
          <w:p w14:paraId="68DD0FD5">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c>
          <w:tcPr>
            <w:tcW w:w="1715" w:type="dxa"/>
            <w:tcBorders>
              <w:tl2br w:val="nil"/>
              <w:tr2bl w:val="nil"/>
            </w:tcBorders>
            <w:noWrap w:val="0"/>
            <w:vAlign w:val="center"/>
          </w:tcPr>
          <w:p w14:paraId="77527EFD">
            <w:pPr>
              <w:pStyle w:val="78"/>
              <w:widowControl/>
              <w:shd w:val="clear" w:color="auto" w:fill="FFFFFF"/>
              <w:spacing w:line="240" w:lineRule="auto"/>
              <w:ind w:firstLine="0" w:firstLineChars="0"/>
              <w:jc w:val="center"/>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本项目各项污染物经治理达标后排放，满足污染物排放管控要求。</w:t>
            </w:r>
          </w:p>
        </w:tc>
      </w:tr>
      <w:tr w14:paraId="54355D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continue"/>
            <w:tcBorders>
              <w:tl2br w:val="nil"/>
              <w:tr2bl w:val="nil"/>
            </w:tcBorders>
            <w:noWrap w:val="0"/>
            <w:vAlign w:val="center"/>
          </w:tcPr>
          <w:p w14:paraId="4F558158">
            <w:pPr>
              <w:pStyle w:val="78"/>
              <w:widowControl/>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ZH51092320002</w:t>
            </w:r>
          </w:p>
        </w:tc>
        <w:tc>
          <w:tcPr>
            <w:tcW w:w="773" w:type="dxa"/>
            <w:vMerge w:val="continue"/>
            <w:tcBorders>
              <w:tl2br w:val="nil"/>
              <w:tr2bl w:val="nil"/>
            </w:tcBorders>
            <w:noWrap w:val="0"/>
            <w:vAlign w:val="center"/>
          </w:tcPr>
          <w:p w14:paraId="145D6729">
            <w:pPr>
              <w:pStyle w:val="78"/>
              <w:widowControl/>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大英县工业集中发展区(含经开区)</w:t>
            </w:r>
          </w:p>
        </w:tc>
        <w:tc>
          <w:tcPr>
            <w:tcW w:w="484" w:type="dxa"/>
            <w:vMerge w:val="continue"/>
            <w:tcBorders>
              <w:tl2br w:val="nil"/>
              <w:tr2bl w:val="nil"/>
            </w:tcBorders>
            <w:noWrap w:val="0"/>
            <w:vAlign w:val="top"/>
          </w:tcPr>
          <w:p w14:paraId="4D7834C2">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空间布局约束：</w:t>
            </w:r>
          </w:p>
          <w:p w14:paraId="1C780ADB">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禁止开发建设活动的要求</w:t>
            </w:r>
          </w:p>
          <w:p w14:paraId="2615E7CA">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1.禁止引入不符合园区用地性质或产业规划的工业企业。</w:t>
            </w:r>
          </w:p>
          <w:p w14:paraId="1C170588">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2.禁止在长江干支流、重要湖泊岸线一公里范围内新建、扩建化工园区和化工项目。</w:t>
            </w:r>
          </w:p>
          <w:p w14:paraId="1345412F">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3.禁止在长江流域河湖管理范围内倾倒、填埋、堆放、弃置、处理固体废物。</w:t>
            </w:r>
          </w:p>
          <w:p w14:paraId="363D8D4F">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4.未通过认定的化工园区，不得新建、改扩建化工项目（安全、环保、节能和智能化改造项目除外），按属地原则依法依规妥善做好未通过认定化工园区及园内企业的转型、关闭、处置及监管工作。</w:t>
            </w:r>
          </w:p>
          <w:p w14:paraId="1AD5C168">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限制开发建设活动的要求</w:t>
            </w:r>
          </w:p>
          <w:p w14:paraId="4B4697EE">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1.严控新建、扩建“两高”项目，对现存企业执行最严格排放标准和总量控制要求。</w:t>
            </w:r>
          </w:p>
          <w:p w14:paraId="6F1384EC">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2.长江干流及主要支流1公里范围内，严控新建石油化工、煤化工、涉磷、造纸、印染、制革等项目。</w:t>
            </w:r>
          </w:p>
          <w:p w14:paraId="72D21862">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不符合空间布局要求活动的退出要求</w:t>
            </w:r>
          </w:p>
          <w:p w14:paraId="7BA5580E">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现有属于禁止引入产业门类的企业，应按相关规定限期整治或退出。</w:t>
            </w:r>
          </w:p>
          <w:p w14:paraId="5BDA417F">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其他空间布局约束要求</w:t>
            </w:r>
          </w:p>
          <w:p w14:paraId="5C92A6FC">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w:t>
            </w:r>
          </w:p>
          <w:p w14:paraId="0B019CB1">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污染物排放管控：</w:t>
            </w:r>
          </w:p>
          <w:p w14:paraId="2997F3CD">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允许排放量要求</w:t>
            </w:r>
          </w:p>
          <w:p w14:paraId="0C048600">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w:t>
            </w:r>
          </w:p>
          <w:p w14:paraId="5BB4163C">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现有源提标升级改造</w:t>
            </w:r>
          </w:p>
          <w:p w14:paraId="280AE844">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1.污水收集处理率达100%。</w:t>
            </w:r>
          </w:p>
          <w:p w14:paraId="7EC70F1A">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2.园区污水处理厂达《城镇污水处理厂污染物排放标准》一级A标或更高标准。</w:t>
            </w:r>
          </w:p>
          <w:p w14:paraId="22E11A43">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3.加快推进危险化学品生产企业搬迁改造工程。</w:t>
            </w:r>
          </w:p>
          <w:p w14:paraId="7C26A1ED">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4.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6427090C">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其他污染物排放管控要求</w:t>
            </w:r>
          </w:p>
          <w:p w14:paraId="296718C9">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14:paraId="00D5A512">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14:paraId="150CA978">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14:paraId="32A02649">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4.化工园区应按照分类收集，分质处理的要求，配备专业化工生产废水集中处理设施（独立建设或依托骨干企业）及专管或明管输送的配套管网，化工生产废水纳管率达到100%。入河排污口设置应符合相关规定。</w:t>
            </w:r>
          </w:p>
          <w:p w14:paraId="308410A9">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5.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32B0A5B0">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6.白酒行业参考执行更新后的四川省白酒行业资源环境绩效指标要求。</w:t>
            </w:r>
          </w:p>
          <w:p w14:paraId="299B6AB0">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7.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14:paraId="24BA0872">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环境风险防控：</w:t>
            </w:r>
          </w:p>
          <w:p w14:paraId="3F95F5D0">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联防联控要求</w:t>
            </w:r>
          </w:p>
          <w:p w14:paraId="5F9121F8">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加强成都平原经济区信息共享和联动合作，协力推进产业和能源结构优化调整，加强大气污染源头防控，加强潼遂合作。</w:t>
            </w:r>
          </w:p>
          <w:p w14:paraId="0055AB05">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其他环境风险防控要求</w:t>
            </w:r>
          </w:p>
          <w:p w14:paraId="481866C6">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1.企业环境风险防控要求：涉及有毒有害、易燃易爆物质的新建、改扩建项目，严控准入要求。</w:t>
            </w:r>
          </w:p>
          <w:p w14:paraId="20743021">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园区环境风险防控要求：构建三级环境风险防控体系，强化危化品泄漏应急处置措施，确保风险可控。针对化工园区进一步强化风险防控。化工园区应具有安全风险监控体系、建立生态环境监测监控体系、建立必要的突发环境事件应急体系。</w:t>
            </w:r>
          </w:p>
          <w:p w14:paraId="477A7FB8">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3.用地环境风险防控要求：化工、电镀等行业企业拆除生产设施设备、构筑物和污染治理设施，要事先制定残留污染物清理和安全处置方案，要严格按照有关规定实施安全处理处置，防范拆除活动污染土壤。</w:t>
            </w:r>
          </w:p>
          <w:p w14:paraId="0D7C5756">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资源开发利用效率要求：</w:t>
            </w:r>
          </w:p>
          <w:p w14:paraId="302C1ACD">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水资源利用总量要求</w:t>
            </w:r>
          </w:p>
          <w:p w14:paraId="463A7D34">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1.到2025年，万元工业增加值用水量下降到32.0m3/万元，重复利用率提高到84%；</w:t>
            </w:r>
          </w:p>
          <w:p w14:paraId="20368506">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2.至2030年，万元工业增加值用水量进一步减少为28.0m3/万元，重复利用率提高到85%；</w:t>
            </w:r>
          </w:p>
          <w:p w14:paraId="23BD4EAA">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3.新、改扩建项目水耗指标满足《四川省省级生态工业园区指标》综合类生态工业园区要求。</w:t>
            </w:r>
          </w:p>
          <w:p w14:paraId="7E1E6445">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地下水开采要求</w:t>
            </w:r>
          </w:p>
          <w:p w14:paraId="488734BB">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全面建设节水型社会，达到合理高效用水。</w:t>
            </w:r>
          </w:p>
          <w:p w14:paraId="2169D988">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能源利用总量及效率要求</w:t>
            </w:r>
          </w:p>
          <w:p w14:paraId="0794A002">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1.扩大高污染燃料禁燃区范围，在市、县（区）、镇（乡）建成区全面实施“煤改气”“煤改电”。</w:t>
            </w:r>
          </w:p>
          <w:p w14:paraId="51C9AB7D">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2.新、改扩建项目能耗指标满足《四川省省级生态工业园区指标》综合类生态工业园区要求。</w:t>
            </w:r>
          </w:p>
          <w:p w14:paraId="6B9EB6CF">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3.实施新建项目与煤炭消费总量控制挂钩机制，耗煤建设项目实行煤炭消耗等量减量替代。</w:t>
            </w:r>
          </w:p>
          <w:p w14:paraId="41A1FDFC">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4.提高煤炭利用效率和天然气利用占比，工业领域有序推进“煤改电”和“煤改气”。</w:t>
            </w:r>
          </w:p>
          <w:p w14:paraId="5A0EFBEA">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5.到2030年，能源消费总量控制在1000万吨标准煤以内。</w:t>
            </w:r>
          </w:p>
          <w:p w14:paraId="568784B9">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禁燃区要求</w:t>
            </w:r>
          </w:p>
          <w:p w14:paraId="359C02F3">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1.禁燃区内禁止燃烧以下高污染燃料：</w:t>
            </w:r>
          </w:p>
          <w:p w14:paraId="05282BB1">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（1）煤炭及其制品（包括原煤、散煤、煤矸石、煤泥、煤 粉、水浆煤、型煤、焦炭、兰炭、油类等常规燃料）。</w:t>
            </w:r>
          </w:p>
          <w:p w14:paraId="5C381552">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（2）石油焦、油页岩、原油、重油、渣油、煤焦油。</w:t>
            </w:r>
          </w:p>
          <w:p w14:paraId="3A37D6D1">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（3）非专用锅炉或未配置高效除尘设施的专用锅炉燃用的 生物质成型燃料。</w:t>
            </w:r>
          </w:p>
          <w:p w14:paraId="32FAF44E">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2.禁燃区内禁止新建、扩建燃用高污染燃料的锅炉、炉窑、 炉灶等燃烧设施（集中供热、电厂锅炉除外）。</w:t>
            </w:r>
          </w:p>
          <w:p w14:paraId="2E74E5B9">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3.自2020年1月1日起，禁燃区内禁止销售高污染燃料。</w:t>
            </w:r>
          </w:p>
          <w:p w14:paraId="75A7C662">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4.加强对集中供热、电厂锅炉、10蒸吨/时以上的在用燃煤锅炉以及改用清洁能源前的在用锅炉等燃烧设施的监管，确保达标排放。</w:t>
            </w:r>
          </w:p>
          <w:p w14:paraId="0F8F4C5D">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其他资源利用效率要求</w:t>
            </w:r>
          </w:p>
          <w:p w14:paraId="79ED4E80">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w:t>
            </w:r>
          </w:p>
        </w:tc>
        <w:tc>
          <w:tcPr>
            <w:tcW w:w="1316" w:type="dxa"/>
            <w:tcBorders>
              <w:tl2br w:val="nil"/>
              <w:tr2bl w:val="nil"/>
            </w:tcBorders>
            <w:noWrap w:val="0"/>
            <w:vAlign w:val="center"/>
          </w:tcPr>
          <w:p w14:paraId="641D3341">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环境风险防控</w:t>
            </w:r>
          </w:p>
        </w:tc>
        <w:tc>
          <w:tcPr>
            <w:tcW w:w="8427" w:type="dxa"/>
            <w:tcBorders>
              <w:tl2br w:val="nil"/>
              <w:tr2bl w:val="nil"/>
            </w:tcBorders>
            <w:noWrap w:val="0"/>
            <w:vAlign w:val="center"/>
          </w:tcPr>
          <w:p w14:paraId="003E29EC">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严格管控类农用地管控要求</w:t>
            </w:r>
          </w:p>
          <w:p w14:paraId="207026A2">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参照遂宁市总体准入要求-工业重点管控单元</w:t>
            </w:r>
          </w:p>
          <w:p w14:paraId="3AF67BB4">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安全利用类农用地管控要求</w:t>
            </w:r>
          </w:p>
          <w:p w14:paraId="1D10E27E">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参照遂宁市总体准入要求-工业重点管控单元</w:t>
            </w:r>
          </w:p>
          <w:p w14:paraId="1476F720">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污染地块管控要求</w:t>
            </w:r>
          </w:p>
          <w:p w14:paraId="690DAFD2">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参照遂宁市总体准入要求-工业重点管控单元</w:t>
            </w:r>
          </w:p>
          <w:p w14:paraId="739FF18B">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园区环境风险防控要求</w:t>
            </w:r>
          </w:p>
          <w:p w14:paraId="734FBEE9">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1.距城区500m范围内禁止引入环境风险潜势等级III级及以上的建设项目。</w:t>
            </w:r>
          </w:p>
          <w:p w14:paraId="2F6C8ED3">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2.其他参照遂宁市总体准入要求-工业重点管控单元</w:t>
            </w:r>
          </w:p>
          <w:p w14:paraId="196896C7">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企业环境风险防控要求</w:t>
            </w:r>
          </w:p>
          <w:p w14:paraId="56074A4C">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参照遂宁市总体准入要求-工业重点管控单元</w:t>
            </w:r>
          </w:p>
          <w:p w14:paraId="395900C6">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其他环境风险防控要求</w:t>
            </w:r>
          </w:p>
          <w:p w14:paraId="6AF21E0D">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c>
          <w:tcPr>
            <w:tcW w:w="1715" w:type="dxa"/>
            <w:tcBorders>
              <w:tl2br w:val="nil"/>
              <w:tr2bl w:val="nil"/>
            </w:tcBorders>
            <w:noWrap w:val="0"/>
            <w:vAlign w:val="center"/>
          </w:tcPr>
          <w:p w14:paraId="34BA2EFA">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本项目符合</w:t>
            </w:r>
            <w:r>
              <w:rPr>
                <w:rStyle w:val="27"/>
                <w:rFonts w:hint="default" w:ascii="Times New Roman" w:hAnsi="Times New Roman" w:eastAsia="宋体" w:cs="Times New Roman"/>
                <w:color w:val="auto"/>
                <w:kern w:val="2"/>
                <w:sz w:val="21"/>
                <w:szCs w:val="21"/>
                <w:lang w:val="en-US" w:eastAsia="zh-CN" w:bidi="ar-SA"/>
              </w:rPr>
              <w:t>环境风险防控</w:t>
            </w:r>
            <w:r>
              <w:rPr>
                <w:rFonts w:hint="default" w:ascii="Times New Roman" w:hAnsi="Times New Roman" w:eastAsia="宋体" w:cs="Times New Roman"/>
                <w:color w:val="auto"/>
                <w:sz w:val="21"/>
                <w:szCs w:val="21"/>
              </w:rPr>
              <w:t>要求。</w:t>
            </w:r>
          </w:p>
        </w:tc>
      </w:tr>
      <w:tr w14:paraId="336983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vMerge w:val="continue"/>
            <w:tcBorders>
              <w:tl2br w:val="nil"/>
              <w:tr2bl w:val="nil"/>
            </w:tcBorders>
            <w:noWrap w:val="0"/>
            <w:vAlign w:val="center"/>
          </w:tcPr>
          <w:p w14:paraId="5F8A59A1">
            <w:pPr>
              <w:pStyle w:val="78"/>
              <w:widowControl/>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ZH51092320002</w:t>
            </w:r>
          </w:p>
        </w:tc>
        <w:tc>
          <w:tcPr>
            <w:tcW w:w="773" w:type="dxa"/>
            <w:vMerge w:val="continue"/>
            <w:tcBorders>
              <w:tl2br w:val="nil"/>
              <w:tr2bl w:val="nil"/>
            </w:tcBorders>
            <w:noWrap w:val="0"/>
            <w:vAlign w:val="center"/>
          </w:tcPr>
          <w:p w14:paraId="4A3EC1B2">
            <w:pPr>
              <w:pStyle w:val="78"/>
              <w:widowControl/>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大英县工业集中发展区(含经开区)</w:t>
            </w:r>
          </w:p>
        </w:tc>
        <w:tc>
          <w:tcPr>
            <w:tcW w:w="484" w:type="dxa"/>
            <w:vMerge w:val="continue"/>
            <w:tcBorders>
              <w:tl2br w:val="nil"/>
              <w:tr2bl w:val="nil"/>
            </w:tcBorders>
            <w:noWrap w:val="0"/>
            <w:vAlign w:val="top"/>
          </w:tcPr>
          <w:p w14:paraId="460E17F1">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空间布局约束：</w:t>
            </w:r>
          </w:p>
          <w:p w14:paraId="7FFB0660">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禁止开发建设活动的要求</w:t>
            </w:r>
          </w:p>
          <w:p w14:paraId="0FDDEBEB">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1.禁止引入不符合园区用地性质或产业规划的工业企业。</w:t>
            </w:r>
          </w:p>
          <w:p w14:paraId="640C6E6F">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2.禁止在长江干支流、重要湖泊岸线一公里范围内新建、扩建化工园区和化工项目。</w:t>
            </w:r>
          </w:p>
          <w:p w14:paraId="0C5A03EF">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3.禁止在长江流域河湖管理范围内倾倒、填埋、堆放、弃置、处理固体废物。</w:t>
            </w:r>
          </w:p>
          <w:p w14:paraId="0EE685FC">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4.未通过认定的化工园区，不得新建、改扩建化工项目（安全、环保、节能和智能化改造项目除外），按属地原则依法依规妥善做好未通过认定化工园区及园内企业的转型、关闭、处置及监管工作。</w:t>
            </w:r>
          </w:p>
          <w:p w14:paraId="42B062CA">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限制开发建设活动的要求</w:t>
            </w:r>
          </w:p>
          <w:p w14:paraId="199C8673">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1.严控新建、扩建“两高”项目，对现存企业执行最严格排放标准和总量控制要求。</w:t>
            </w:r>
          </w:p>
          <w:p w14:paraId="41241803">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2.长江干流及主要支流1公里范围内，严控新建石油化工、煤化工、涉磷、造纸、印染、制革等项目。</w:t>
            </w:r>
          </w:p>
          <w:p w14:paraId="36CE3285">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不符合空间布局要求活动的退出要求</w:t>
            </w:r>
          </w:p>
          <w:p w14:paraId="722157D9">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现有属于禁止引入产业门类的企业，应按相关规定限期整治或退出。</w:t>
            </w:r>
          </w:p>
          <w:p w14:paraId="263DD152">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其他空间布局约束要求</w:t>
            </w:r>
          </w:p>
          <w:p w14:paraId="7071A15D">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w:t>
            </w:r>
          </w:p>
          <w:p w14:paraId="049D3D46">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污染物排放管控：</w:t>
            </w:r>
          </w:p>
          <w:p w14:paraId="7BFB383E">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允许排放量要求</w:t>
            </w:r>
          </w:p>
          <w:p w14:paraId="7FA619D6">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w:t>
            </w:r>
          </w:p>
          <w:p w14:paraId="50C2CBBE">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现有源提标升级改造</w:t>
            </w:r>
          </w:p>
          <w:p w14:paraId="7C64D1EA">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1.污水收集处理率达100%。</w:t>
            </w:r>
          </w:p>
          <w:p w14:paraId="76A4B3EF">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2.园区污水处理厂达《城镇污水处理厂污染物排放标准》一级A标或更高标准。</w:t>
            </w:r>
          </w:p>
          <w:p w14:paraId="3A9C9A73">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3.加快推进危险化学品生产企业搬迁改造工程。</w:t>
            </w:r>
          </w:p>
          <w:p w14:paraId="649547D9">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4.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6974B291">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其他污染物排放管控要求</w:t>
            </w:r>
          </w:p>
          <w:p w14:paraId="1B090561">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14:paraId="4209F4EE">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14:paraId="4768ED10">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14:paraId="59D922E5">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4.化工园区应按照分类收集，分质处理的要求，配备专业化工生产废水集中处理设施（独立建设或依托骨干企业）及专管或明管输送的配套管网，化工生产废水纳管率达到100%。入河排污口设置应符合相关规定。</w:t>
            </w:r>
          </w:p>
          <w:p w14:paraId="244ECC09">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5.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30A7D705">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6.白酒行业参考执行更新后的四川省白酒行业资源环境绩效指标要求。</w:t>
            </w:r>
          </w:p>
          <w:p w14:paraId="4A0F07C2">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7.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14:paraId="76FBC220">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环境风险防控：</w:t>
            </w:r>
          </w:p>
          <w:p w14:paraId="1ACBF040">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联防联控要求</w:t>
            </w:r>
          </w:p>
          <w:p w14:paraId="061AE60B">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加强成都平原经济区信息共享和联动合作，协力推进产业和能源结构优化调整，加强大气污染源头防控，加强潼遂合作。</w:t>
            </w:r>
          </w:p>
          <w:p w14:paraId="0DD9A25C">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其他环境风险防控要求</w:t>
            </w:r>
          </w:p>
          <w:p w14:paraId="2EFEE32E">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1.企业环境风险防控要求：涉及有毒有害、易燃易爆物质的新建、改扩建项目，严控准入要求。</w:t>
            </w:r>
          </w:p>
          <w:p w14:paraId="3C0A30FA">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园区环境风险防控要求：构建三级环境风险防控体系，强化危化品泄漏应急处置措施，确保风险可控。针对化工园区进一步强化风险防控。化工园区应具有安全风险监控体系、建立生态环境监测监控体系、建立必要的突发环境事件应急体系。</w:t>
            </w:r>
          </w:p>
          <w:p w14:paraId="5145F4D4">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3.用地环境风险防控要求：化工、电镀等行业企业拆除生产设施设备、构筑物和污染治理设施，要事先制定残留污染物清理和安全处置方案，要严格按照有关规定实施安全处理处置，防范拆除活动污染土壤。</w:t>
            </w:r>
          </w:p>
          <w:p w14:paraId="282C2CBD">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资源开发利用效率要求：</w:t>
            </w:r>
          </w:p>
          <w:p w14:paraId="0935E39F">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水资源利用总量要求</w:t>
            </w:r>
          </w:p>
          <w:p w14:paraId="5ADA32D7">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1.到2025年，万元工业增加值用水量下降到32.0m3/万元，重复利用率提高到84%；</w:t>
            </w:r>
          </w:p>
          <w:p w14:paraId="57AA4982">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2.至2030年，万元工业增加值用水量进一步减少为28.0m3/万元，重复利用率提高到85%；</w:t>
            </w:r>
          </w:p>
          <w:p w14:paraId="1CF67F95">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3.新、改扩建项目水耗指标满足《四川省省级生态工业园区指标》综合类生态工业园区要求。</w:t>
            </w:r>
          </w:p>
          <w:p w14:paraId="6BB43AB9">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地下水开采要求</w:t>
            </w:r>
          </w:p>
          <w:p w14:paraId="6443DCA9">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全面建设节水型社会，达到合理高效用水。</w:t>
            </w:r>
          </w:p>
          <w:p w14:paraId="1F07D823">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能源利用总量及效率要求</w:t>
            </w:r>
          </w:p>
          <w:p w14:paraId="272AA5BB">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1.扩大高污染燃料禁燃区范围，在市、县（区）、镇（乡）建成区全面实施“煤改气”“煤改电”。</w:t>
            </w:r>
          </w:p>
          <w:p w14:paraId="3E8EF682">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2.新、改扩建项目能耗指标满足《四川省省级生态工业园区指标》综合类生态工业园区要求。</w:t>
            </w:r>
          </w:p>
          <w:p w14:paraId="1F61C4BB">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3.实施新建项目与煤炭消费总量控制挂钩机制，耗煤建设项目实行煤炭消耗等量减量替代。</w:t>
            </w:r>
          </w:p>
          <w:p w14:paraId="530B952A">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4.提高煤炭利用效率和天然气利用占比，工业领域有序推进“煤改电”和“煤改气”。</w:t>
            </w:r>
          </w:p>
          <w:p w14:paraId="684CE7E0">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5.到2030年，能源消费总量控制在1000万吨标准煤以内。</w:t>
            </w:r>
          </w:p>
          <w:p w14:paraId="3BD0D56F">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禁燃区要求</w:t>
            </w:r>
          </w:p>
          <w:p w14:paraId="5DA7A199">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1.禁燃区内禁止燃烧以下高污染燃料：</w:t>
            </w:r>
          </w:p>
          <w:p w14:paraId="459D269E">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（1）煤炭及其制品（包括原煤、散煤、煤矸石、煤泥、煤 粉、水浆煤、型煤、焦炭、兰炭、油类等常规燃料）。</w:t>
            </w:r>
          </w:p>
          <w:p w14:paraId="6BB53A67">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（2）石油焦、油页岩、原油、重油、渣油、煤焦油。</w:t>
            </w:r>
          </w:p>
          <w:p w14:paraId="606E7F2D">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（3）非专用锅炉或未配置高效除尘设施的专用锅炉燃用的 生物质成型燃料。</w:t>
            </w:r>
          </w:p>
          <w:p w14:paraId="3C01647E">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2.禁燃区内禁止新建、扩建燃用高污染燃料的锅炉、炉窑、 炉灶等燃烧设施（集中供热、电厂锅炉除外）。</w:t>
            </w:r>
          </w:p>
          <w:p w14:paraId="2C9A0216">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3.自2020年1月1日起，禁燃区内禁止销售高污染燃料。</w:t>
            </w:r>
          </w:p>
          <w:p w14:paraId="258A7B5E">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4.加强对集中供热、电厂锅炉、10蒸吨/时以上的在用燃煤锅炉以及改用清洁能源前的在用锅炉等燃烧设施的监管，确保达标排放。</w:t>
            </w:r>
          </w:p>
          <w:p w14:paraId="284DB8CF">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其他资源利用效率要求</w:t>
            </w:r>
          </w:p>
          <w:p w14:paraId="6D7BA2F4">
            <w:pPr>
              <w:pStyle w:val="78"/>
              <w:widowControl w:val="0"/>
              <w:spacing w:line="360" w:lineRule="auto"/>
              <w:ind w:firstLine="0" w:firstLineChars="0"/>
              <w:jc w:val="both"/>
              <w:rPr>
                <w:rStyle w:val="27"/>
                <w:rFonts w:hint="default" w:ascii="Times New Roman" w:hAnsi="Times New Roman" w:eastAsia="宋体" w:cs="Times New Roman"/>
                <w:color w:val="auto"/>
                <w:kern w:val="0"/>
                <w:sz w:val="21"/>
                <w:szCs w:val="21"/>
                <w:lang w:val="en-US" w:eastAsia="zh-CN" w:bidi="ar-SA"/>
              </w:rPr>
            </w:pPr>
            <w:r>
              <w:rPr>
                <w:rStyle w:val="27"/>
                <w:rFonts w:hint="default" w:ascii="Times New Roman" w:hAnsi="Times New Roman" w:eastAsia="宋体" w:cs="Times New Roman"/>
                <w:color w:val="auto"/>
                <w:kern w:val="0"/>
                <w:sz w:val="21"/>
                <w:szCs w:val="21"/>
                <w:lang w:val="en-US" w:eastAsia="zh-CN" w:bidi="ar-SA"/>
              </w:rPr>
              <w:t>△</w:t>
            </w:r>
          </w:p>
        </w:tc>
        <w:tc>
          <w:tcPr>
            <w:tcW w:w="1316" w:type="dxa"/>
            <w:tcBorders>
              <w:tl2br w:val="nil"/>
              <w:tr2bl w:val="nil"/>
            </w:tcBorders>
            <w:noWrap w:val="0"/>
            <w:vAlign w:val="center"/>
          </w:tcPr>
          <w:p w14:paraId="50DB0CA5">
            <w:pPr>
              <w:pStyle w:val="91"/>
              <w:keepNext w:val="0"/>
              <w:keepLines w:val="0"/>
              <w:suppressLineNumbers w:val="0"/>
              <w:tabs>
                <w:tab w:val="left" w:pos="9615"/>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资源开发效率要求</w:t>
            </w:r>
          </w:p>
        </w:tc>
        <w:tc>
          <w:tcPr>
            <w:tcW w:w="8427" w:type="dxa"/>
            <w:tcBorders>
              <w:tl2br w:val="nil"/>
              <w:tr2bl w:val="nil"/>
            </w:tcBorders>
            <w:noWrap w:val="0"/>
            <w:vAlign w:val="center"/>
          </w:tcPr>
          <w:p w14:paraId="2F1FBEC2">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水资源利用效率要求</w:t>
            </w:r>
          </w:p>
          <w:p w14:paraId="313CD8E1">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参照遂宁市总体准入要求-工业重点管控单元</w:t>
            </w:r>
          </w:p>
          <w:p w14:paraId="70639DFF">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地下水开采要求</w:t>
            </w:r>
          </w:p>
          <w:p w14:paraId="3166DC25">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（1）大英县2030年地下水开采控制控制量保持在0.06亿m</w:t>
            </w:r>
            <w:r>
              <w:rPr>
                <w:rStyle w:val="27"/>
                <w:rFonts w:hint="default" w:ascii="Times New Roman" w:hAnsi="Times New Roman" w:eastAsia="宋体" w:cs="Times New Roman"/>
                <w:color w:val="auto"/>
                <w:kern w:val="2"/>
                <w:sz w:val="21"/>
                <w:szCs w:val="21"/>
                <w:vertAlign w:val="superscript"/>
                <w:lang w:val="en-US" w:eastAsia="zh-CN" w:bidi="ar-SA"/>
              </w:rPr>
              <w:t>3</w:t>
            </w:r>
            <w:r>
              <w:rPr>
                <w:rStyle w:val="27"/>
                <w:rFonts w:hint="default" w:ascii="Times New Roman" w:hAnsi="Times New Roman" w:eastAsia="宋体" w:cs="Times New Roman"/>
                <w:color w:val="auto"/>
                <w:kern w:val="2"/>
                <w:sz w:val="21"/>
                <w:szCs w:val="21"/>
                <w:lang w:val="en-US" w:eastAsia="zh-CN" w:bidi="ar-SA"/>
              </w:rPr>
              <w:t>以内。（2）全面建设节水型社会，达到合理高效用水。</w:t>
            </w:r>
          </w:p>
          <w:p w14:paraId="15C15D74">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能源利用效率要求</w:t>
            </w:r>
          </w:p>
          <w:p w14:paraId="2880171F">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参照遂宁市总体准入要求-工业重点管控单元</w:t>
            </w:r>
          </w:p>
          <w:p w14:paraId="22701C45">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其他资源利用效率要求</w:t>
            </w:r>
          </w:p>
          <w:p w14:paraId="5D1616BB">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禁燃区管控要求：参照遂宁市总体准入要求-工业重点管控单元</w:t>
            </w:r>
          </w:p>
        </w:tc>
        <w:tc>
          <w:tcPr>
            <w:tcW w:w="1715" w:type="dxa"/>
            <w:tcBorders>
              <w:tl2br w:val="nil"/>
              <w:tr2bl w:val="nil"/>
            </w:tcBorders>
            <w:noWrap w:val="0"/>
            <w:vAlign w:val="center"/>
          </w:tcPr>
          <w:p w14:paraId="16A9E1C0">
            <w:pPr>
              <w:pStyle w:val="78"/>
              <w:widowControl/>
              <w:shd w:val="clear" w:color="auto" w:fill="FFFFFF"/>
              <w:spacing w:line="240" w:lineRule="auto"/>
              <w:ind w:firstLine="0" w:firstLineChars="0"/>
              <w:jc w:val="left"/>
              <w:rPr>
                <w:rStyle w:val="2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本项目符合资源开发效率要求。</w:t>
            </w:r>
          </w:p>
        </w:tc>
      </w:tr>
    </w:tbl>
    <w:p w14:paraId="324097C0">
      <w:pPr>
        <w:spacing w:line="360" w:lineRule="auto"/>
        <w:outlineLvl w:val="0"/>
        <w:rPr>
          <w:rFonts w:eastAsia="黑体"/>
          <w:color w:val="auto"/>
          <w:sz w:val="30"/>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start="1"/>
          <w:cols w:space="720" w:num="1"/>
          <w:docGrid w:linePitch="312" w:charSpace="0"/>
        </w:sectPr>
      </w:pPr>
    </w:p>
    <w:p w14:paraId="58BD0639">
      <w:pPr>
        <w:pStyle w:val="21"/>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二、</w:t>
      </w:r>
      <w:r>
        <w:rPr>
          <w:rFonts w:ascii="Times New Roman" w:hAnsi="Times New Roman" w:eastAsia="黑体"/>
          <w:snapToGrid w:val="0"/>
          <w:color w:val="auto"/>
          <w:kern w:val="2"/>
          <w:sz w:val="30"/>
          <w:szCs w:val="30"/>
        </w:rPr>
        <w:t>建设项目</w:t>
      </w:r>
      <w:r>
        <w:rPr>
          <w:rFonts w:ascii="Times New Roman" w:hAnsi="Times New Roman" w:eastAsia="黑体"/>
          <w:snapToGrid w:val="0"/>
          <w:color w:val="auto"/>
          <w:sz w:val="30"/>
          <w:szCs w:val="30"/>
        </w:rPr>
        <w:t>工程分析</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8"/>
        <w:gridCol w:w="8652"/>
      </w:tblGrid>
      <w:tr w14:paraId="341C9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25" w:type="pct"/>
            <w:vAlign w:val="center"/>
          </w:tcPr>
          <w:p w14:paraId="641C423F">
            <w:pPr>
              <w:pStyle w:val="21"/>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4774" w:type="pct"/>
          </w:tcPr>
          <w:p w14:paraId="0C211832">
            <w:pPr>
              <w:keepNext w:val="0"/>
              <w:keepLines w:val="0"/>
              <w:suppressLineNumbers w:val="0"/>
              <w:adjustRightInd w:val="0"/>
              <w:spacing w:before="0" w:beforeAutospacing="0" w:after="0" w:afterAutospacing="0" w:line="360" w:lineRule="auto"/>
              <w:ind w:left="0" w:right="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1.项目由来</w:t>
            </w:r>
          </w:p>
          <w:p w14:paraId="310FCF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6" w:firstLineChars="200"/>
              <w:textAlignment w:val="auto"/>
              <w:rPr>
                <w:rFonts w:hint="default" w:ascii="Times New Roman" w:hAnsi="Times New Roman" w:eastAsia="宋体" w:cs="Times New Roman"/>
                <w:color w:val="auto"/>
                <w:sz w:val="24"/>
                <w:szCs w:val="24"/>
                <w:lang w:val="zh-CN" w:eastAsia="zh-CN"/>
              </w:rPr>
            </w:pPr>
            <w:r>
              <w:rPr>
                <w:rFonts w:hint="eastAsia"/>
                <w:color w:val="auto"/>
                <w:spacing w:val="-6"/>
                <w:sz w:val="24"/>
                <w:lang w:val="en-US" w:eastAsia="zh-CN"/>
              </w:rPr>
              <w:t>四川桓洋智能科技有限公司成立于2018年，选址于大英县蓬莱镇工业集中发展区采和大道1楼，建设“</w:t>
            </w:r>
            <w:r>
              <w:rPr>
                <w:rFonts w:hint="default" w:ascii="Times New Roman" w:hAnsi="Times New Roman" w:eastAsia="宋体" w:cs="Times New Roman"/>
                <w:color w:val="auto"/>
                <w:sz w:val="24"/>
                <w:szCs w:val="24"/>
                <w:lang w:eastAsia="zh-CN"/>
              </w:rPr>
              <w:t>高端塑胶外包装容器制造项目</w:t>
            </w:r>
            <w:r>
              <w:rPr>
                <w:rFonts w:hint="eastAsia"/>
                <w:color w:val="auto"/>
                <w:spacing w:val="-6"/>
                <w:sz w:val="24"/>
                <w:lang w:val="en-US" w:eastAsia="zh-CN"/>
              </w:rPr>
              <w:t>”；于2020年12月4日取得了遂宁市大英生态环境局《关于高端塑胶外包装容器制造项目环境影响报告表的批复》（遂大环函[2020]150号）。并于2022年4月完成竣工环境保护验收并取得验收意见。该项目</w:t>
            </w:r>
            <w:r>
              <w:rPr>
                <w:rFonts w:hint="default" w:ascii="Times New Roman" w:hAnsi="Times New Roman" w:eastAsia="宋体" w:cs="Times New Roman"/>
                <w:color w:val="auto"/>
                <w:sz w:val="24"/>
                <w:szCs w:val="24"/>
                <w:lang w:val="zh-CN" w:eastAsia="zh-CN"/>
              </w:rPr>
              <w:t>主要产品为</w:t>
            </w:r>
            <w:r>
              <w:rPr>
                <w:rFonts w:hint="default" w:ascii="Times New Roman" w:hAnsi="Times New Roman" w:eastAsia="宋体" w:cs="Times New Roman"/>
                <w:color w:val="auto"/>
                <w:sz w:val="24"/>
                <w:szCs w:val="24"/>
                <w:lang w:val="en-US" w:eastAsia="zh-CN"/>
              </w:rPr>
              <w:t>亚克力酒类包装外盒</w:t>
            </w:r>
            <w:r>
              <w:rPr>
                <w:rFonts w:hint="default" w:ascii="Times New Roman" w:hAnsi="Times New Roman" w:eastAsia="宋体" w:cs="Times New Roman"/>
                <w:color w:val="auto"/>
                <w:sz w:val="24"/>
                <w:szCs w:val="24"/>
                <w:lang w:val="zh-CN" w:eastAsia="zh-CN"/>
              </w:rPr>
              <w:t>，建成后</w:t>
            </w:r>
            <w:r>
              <w:rPr>
                <w:rFonts w:hint="eastAsia" w:cs="Times New Roman"/>
                <w:color w:val="auto"/>
                <w:sz w:val="24"/>
                <w:szCs w:val="24"/>
                <w:lang w:val="en-US" w:eastAsia="zh-CN"/>
              </w:rPr>
              <w:t>年产</w:t>
            </w:r>
            <w:r>
              <w:rPr>
                <w:rFonts w:hint="default" w:ascii="Times New Roman" w:hAnsi="Times New Roman" w:eastAsia="宋体" w:cs="Times New Roman"/>
                <w:color w:val="auto"/>
                <w:sz w:val="24"/>
                <w:szCs w:val="24"/>
                <w:lang w:val="zh-CN" w:eastAsia="zh-CN"/>
              </w:rPr>
              <w:t>亚克力酒类包装外盒300万套</w:t>
            </w:r>
            <w:r>
              <w:rPr>
                <w:rFonts w:hint="default" w:ascii="Times New Roman" w:hAnsi="Times New Roman" w:cs="Times New Roman"/>
                <w:color w:val="auto"/>
                <w:sz w:val="24"/>
                <w:szCs w:val="24"/>
                <w:lang w:val="zh-CN" w:eastAsia="zh-CN"/>
              </w:rPr>
              <w:t>。</w:t>
            </w:r>
          </w:p>
          <w:p w14:paraId="7CAE0B0B">
            <w:pPr>
              <w:autoSpaceDE w:val="0"/>
              <w:autoSpaceDN w:val="0"/>
              <w:adjustRightInd w:val="0"/>
              <w:spacing w:line="360" w:lineRule="auto"/>
              <w:ind w:firstLine="456" w:firstLineChars="200"/>
              <w:rPr>
                <w:color w:val="auto"/>
                <w:spacing w:val="-6"/>
                <w:sz w:val="24"/>
              </w:rPr>
            </w:pPr>
            <w:r>
              <w:rPr>
                <w:rFonts w:hint="eastAsia"/>
                <w:color w:val="auto"/>
                <w:spacing w:val="-6"/>
                <w:sz w:val="24"/>
                <w:lang w:val="en-US" w:eastAsia="zh-CN"/>
              </w:rPr>
              <w:t>2024年8月16日取得排污许可登记回执，编号为： 91510923MA67JWY60J002Y 。</w:t>
            </w:r>
          </w:p>
          <w:p w14:paraId="3B70211B">
            <w:pPr>
              <w:pStyle w:val="7"/>
              <w:spacing w:line="360" w:lineRule="auto"/>
              <w:ind w:firstLine="456" w:firstLineChars="200"/>
              <w:rPr>
                <w:rFonts w:hint="default" w:ascii="Times New Roman" w:hAnsi="Times New Roman" w:eastAsia="宋体" w:cs="Times New Roman"/>
                <w:b/>
                <w:bCs/>
                <w:color w:val="auto"/>
                <w:spacing w:val="-4"/>
                <w:sz w:val="24"/>
                <w:highlight w:val="none"/>
                <w:lang w:val="en-US" w:eastAsia="zh-CN"/>
              </w:rPr>
            </w:pPr>
            <w:r>
              <w:rPr>
                <w:rFonts w:hint="default" w:ascii="Times New Roman" w:hAnsi="Times New Roman" w:cs="Times New Roman"/>
                <w:color w:val="auto"/>
                <w:spacing w:val="-6"/>
                <w:sz w:val="24"/>
                <w:highlight w:val="none"/>
              </w:rPr>
              <w:t>为了满足公</w:t>
            </w:r>
            <w:r>
              <w:rPr>
                <w:rFonts w:hint="default" w:ascii="Times New Roman" w:hAnsi="Times New Roman" w:cs="Times New Roman"/>
                <w:color w:val="auto"/>
                <w:spacing w:val="-5"/>
                <w:sz w:val="24"/>
                <w:highlight w:val="none"/>
              </w:rPr>
              <w:t>司</w:t>
            </w:r>
            <w:r>
              <w:rPr>
                <w:rFonts w:hint="default" w:ascii="Times New Roman" w:hAnsi="Times New Roman" w:cs="Times New Roman"/>
                <w:color w:val="auto"/>
                <w:spacing w:val="-3"/>
                <w:sz w:val="24"/>
                <w:highlight w:val="none"/>
              </w:rPr>
              <w:t>发展和市场需求，</w:t>
            </w:r>
            <w:r>
              <w:rPr>
                <w:rFonts w:hint="default" w:ascii="Times New Roman" w:hAnsi="Times New Roman" w:cs="Times New Roman"/>
                <w:color w:val="auto"/>
                <w:spacing w:val="-4"/>
                <w:sz w:val="24"/>
                <w:highlight w:val="none"/>
              </w:rPr>
              <w:t>建设单位拟</w:t>
            </w:r>
            <w:r>
              <w:rPr>
                <w:rFonts w:hint="default" w:ascii="Times New Roman" w:hAnsi="Times New Roman" w:cs="Times New Roman"/>
                <w:color w:val="auto"/>
                <w:spacing w:val="-4"/>
                <w:sz w:val="24"/>
                <w:highlight w:val="none"/>
                <w:lang w:val="en-US" w:eastAsia="zh-CN"/>
              </w:rPr>
              <w:t>投资800万元，新租赁</w:t>
            </w:r>
            <w:r>
              <w:rPr>
                <w:rFonts w:hint="default" w:ascii="Times New Roman" w:hAnsi="Times New Roman" w:cs="Times New Roman"/>
                <w:color w:val="auto"/>
                <w:spacing w:val="-6"/>
                <w:sz w:val="24"/>
                <w:highlight w:val="none"/>
                <w:lang w:val="en-US" w:eastAsia="zh-CN"/>
              </w:rPr>
              <w:t>大英</w:t>
            </w:r>
            <w:r>
              <w:rPr>
                <w:rFonts w:hint="default" w:ascii="Times New Roman" w:hAnsi="Times New Roman" w:cs="Times New Roman"/>
                <w:color w:val="auto"/>
                <w:spacing w:val="-6"/>
                <w:sz w:val="24"/>
                <w:lang w:val="en-US" w:eastAsia="zh-CN"/>
              </w:rPr>
              <w:t>县蓬莱镇工业集中发展区采和大道1楼2#车间标准厂房</w:t>
            </w:r>
            <w:r>
              <w:rPr>
                <w:rFonts w:hint="default" w:ascii="Times New Roman" w:hAnsi="Times New Roman" w:cs="Times New Roman"/>
                <w:b w:val="0"/>
                <w:bCs w:val="0"/>
                <w:color w:val="auto"/>
                <w:sz w:val="24"/>
                <w:szCs w:val="24"/>
                <w:highlight w:val="none"/>
                <w:lang w:val="en-US" w:eastAsia="zh-CN"/>
              </w:rPr>
              <w:t>建设“800万只包装盒印刷及相关配件生产项目”（</w:t>
            </w:r>
            <w:r>
              <w:rPr>
                <w:rFonts w:hint="default" w:ascii="Times New Roman" w:hAnsi="Times New Roman" w:cs="Times New Roman"/>
                <w:color w:val="auto"/>
                <w:spacing w:val="-6"/>
                <w:sz w:val="24"/>
                <w:highlight w:val="none"/>
              </w:rPr>
              <w:t>以下简称“本项目”</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bCs/>
                <w:color w:val="auto"/>
                <w:spacing w:val="-6"/>
                <w:sz w:val="24"/>
                <w:highlight w:val="none"/>
                <w:lang w:val="en-US" w:eastAsia="zh-CN"/>
              </w:rPr>
              <w:t>。</w:t>
            </w:r>
            <w:r>
              <w:rPr>
                <w:rFonts w:hint="default" w:ascii="Times New Roman" w:hAnsi="Times New Roman" w:eastAsia="宋体" w:cs="Times New Roman"/>
                <w:b/>
                <w:bCs/>
                <w:i w:val="0"/>
                <w:iCs w:val="0"/>
                <w:color w:val="auto"/>
                <w:sz w:val="24"/>
                <w:szCs w:val="24"/>
                <w:highlight w:val="none"/>
                <w:lang w:eastAsia="zh-CN"/>
              </w:rPr>
              <w:t>本次</w:t>
            </w:r>
            <w:r>
              <w:rPr>
                <w:rFonts w:hint="default" w:ascii="Times New Roman" w:hAnsi="Times New Roman" w:eastAsia="宋体" w:cs="Times New Roman"/>
                <w:b/>
                <w:bCs/>
                <w:i w:val="0"/>
                <w:iCs w:val="0"/>
                <w:color w:val="auto"/>
                <w:sz w:val="24"/>
                <w:szCs w:val="24"/>
                <w:highlight w:val="none"/>
                <w:lang w:val="en-US" w:eastAsia="zh-CN"/>
              </w:rPr>
              <w:t>改扩建</w:t>
            </w:r>
            <w:r>
              <w:rPr>
                <w:rFonts w:hint="default" w:ascii="Times New Roman" w:hAnsi="Times New Roman" w:eastAsia="宋体" w:cs="Times New Roman"/>
                <w:b/>
                <w:bCs/>
                <w:i w:val="0"/>
                <w:iCs w:val="0"/>
                <w:color w:val="auto"/>
                <w:sz w:val="24"/>
                <w:szCs w:val="24"/>
                <w:highlight w:val="none"/>
                <w:lang w:eastAsia="zh-CN"/>
              </w:rPr>
              <w:t>主要包括以下内容：</w:t>
            </w:r>
            <w:r>
              <w:rPr>
                <w:rFonts w:hint="default" w:ascii="Times New Roman" w:hAnsi="Times New Roman" w:eastAsia="宋体" w:cs="Times New Roman"/>
                <w:b/>
                <w:bCs/>
                <w:i w:val="0"/>
                <w:iCs w:val="0"/>
                <w:color w:val="auto"/>
                <w:sz w:val="24"/>
                <w:szCs w:val="24"/>
                <w:highlight w:val="none"/>
                <w:lang w:val="en-US" w:eastAsia="zh-CN"/>
              </w:rPr>
              <w:t>①</w:t>
            </w:r>
            <w:r>
              <w:rPr>
                <w:rFonts w:hint="default" w:ascii="Times New Roman" w:hAnsi="Times New Roman" w:cs="Times New Roman"/>
                <w:b/>
                <w:bCs/>
                <w:color w:val="auto"/>
                <w:spacing w:val="-6"/>
                <w:sz w:val="24"/>
                <w:highlight w:val="none"/>
                <w:lang w:val="en-US" w:eastAsia="zh-CN"/>
              </w:rPr>
              <w:t>调整现有厂区1#平面布置</w:t>
            </w:r>
            <w:r>
              <w:rPr>
                <w:rFonts w:hint="default" w:ascii="Times New Roman" w:hAnsi="Times New Roman" w:cs="Times New Roman"/>
                <w:b/>
                <w:bCs/>
                <w:color w:val="auto"/>
                <w:spacing w:val="-4"/>
                <w:sz w:val="24"/>
                <w:highlight w:val="none"/>
                <w:lang w:val="en-US" w:eastAsia="zh-CN"/>
              </w:rPr>
              <w:t xml:space="preserve"> ，本项目拟新增1台注塑机安装在现有工程1#车间注塑区，现有工程1#车间烫金区共有12台烫金机，其中5台烫金机拟迁至2#车间，建成后全厂烫金总量不变。②扩大厂区建设范围，</w:t>
            </w:r>
            <w:r>
              <w:rPr>
                <w:rFonts w:hint="default" w:ascii="Times New Roman" w:hAnsi="Times New Roman" w:cs="Times New Roman"/>
                <w:b/>
                <w:bCs/>
                <w:color w:val="auto"/>
                <w:sz w:val="24"/>
                <w:lang w:val="en-US" w:eastAsia="zh-CN"/>
              </w:rPr>
              <w:t>租赁</w:t>
            </w:r>
            <w:r>
              <w:rPr>
                <w:rFonts w:hint="default" w:ascii="Times New Roman" w:hAnsi="Times New Roman" w:cs="Times New Roman"/>
                <w:b/>
                <w:bCs/>
                <w:color w:val="auto"/>
                <w:sz w:val="24"/>
              </w:rPr>
              <w:t>遂宁瑞裕建材有限公司</w:t>
            </w:r>
            <w:r>
              <w:rPr>
                <w:rFonts w:hint="default" w:ascii="Times New Roman" w:hAnsi="Times New Roman" w:cs="Times New Roman"/>
                <w:b/>
                <w:bCs/>
                <w:color w:val="auto"/>
                <w:spacing w:val="-6"/>
                <w:sz w:val="24"/>
                <w:highlight w:val="none"/>
                <w:lang w:val="en-US" w:eastAsia="zh-CN"/>
              </w:rPr>
              <w:t>大英</w:t>
            </w:r>
            <w:r>
              <w:rPr>
                <w:rFonts w:hint="default" w:ascii="Times New Roman" w:hAnsi="Times New Roman" w:cs="Times New Roman"/>
                <w:b/>
                <w:bCs/>
                <w:color w:val="auto"/>
                <w:spacing w:val="-6"/>
                <w:sz w:val="24"/>
                <w:lang w:val="en-US" w:eastAsia="zh-CN"/>
              </w:rPr>
              <w:t>县蓬莱镇工业集中发展区采和大道1楼2#车间</w:t>
            </w:r>
            <w:r>
              <w:rPr>
                <w:rFonts w:hint="default" w:ascii="Times New Roman" w:hAnsi="Times New Roman" w:cs="Times New Roman"/>
                <w:b/>
                <w:bCs/>
                <w:color w:val="auto"/>
                <w:sz w:val="24"/>
              </w:rPr>
              <w:t>已建的生产厂房及生活配套用房</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拟安装CTP制版机</w:t>
            </w:r>
            <w:r>
              <w:rPr>
                <w:rFonts w:hint="default" w:ascii="Times New Roman" w:hAnsi="Times New Roman" w:cs="Times New Roman"/>
                <w:b/>
                <w:bCs/>
                <w:color w:val="auto"/>
                <w:sz w:val="24"/>
                <w:highlight w:val="none"/>
                <w:lang w:val="en-US" w:eastAsia="zh-CN"/>
              </w:rPr>
              <w:t>、罗兰印刷机、丝印机、自动喷码机、全自动覆膜机、光固机、烫金机、冷烫机、全自动模切压纹机、裱糊成型生产线</w:t>
            </w:r>
            <w:r>
              <w:rPr>
                <w:rFonts w:hint="eastAsia" w:ascii="Times New Roman" w:hAnsi="Times New Roman" w:cs="Times New Roman"/>
                <w:b/>
                <w:bCs/>
                <w:color w:val="auto"/>
                <w:sz w:val="24"/>
                <w:highlight w:val="none"/>
                <w:lang w:val="en-US" w:eastAsia="zh-CN"/>
              </w:rPr>
              <w:t>等</w:t>
            </w:r>
            <w:r>
              <w:rPr>
                <w:rFonts w:hint="default" w:ascii="Times New Roman" w:hAnsi="Times New Roman" w:cs="Times New Roman"/>
                <w:b/>
                <w:bCs/>
                <w:color w:val="auto"/>
                <w:sz w:val="24"/>
                <w:highlight w:val="none"/>
                <w:lang w:val="en-US" w:eastAsia="zh-CN"/>
              </w:rPr>
              <w:t>。项目建成后，新增</w:t>
            </w:r>
            <w:r>
              <w:rPr>
                <w:rFonts w:hint="default" w:ascii="Times New Roman" w:hAnsi="Times New Roman" w:eastAsia="宋体" w:cs="Times New Roman"/>
                <w:b/>
                <w:bCs/>
                <w:color w:val="auto"/>
                <w:spacing w:val="-4"/>
                <w:sz w:val="24"/>
                <w:highlight w:val="none"/>
                <w:lang w:val="en-US" w:eastAsia="zh-CN"/>
              </w:rPr>
              <w:t>酒类礼品包装盒750</w:t>
            </w:r>
            <w:r>
              <w:rPr>
                <w:rFonts w:hint="default" w:ascii="Times New Roman" w:hAnsi="Times New Roman" w:cs="Times New Roman"/>
                <w:b/>
                <w:bCs/>
                <w:color w:val="auto"/>
                <w:spacing w:val="-4"/>
                <w:sz w:val="24"/>
                <w:highlight w:val="none"/>
                <w:lang w:val="en-US" w:eastAsia="zh-CN"/>
              </w:rPr>
              <w:t>万只/a，塑纸包装盒40万只/a，木塑包装盒10万只/a</w:t>
            </w:r>
            <w:r>
              <w:rPr>
                <w:rFonts w:hint="eastAsia" w:ascii="Times New Roman" w:hAnsi="Times New Roman" w:cs="Times New Roman"/>
                <w:b/>
                <w:bCs/>
                <w:color w:val="auto"/>
                <w:spacing w:val="-4"/>
                <w:sz w:val="24"/>
                <w:highlight w:val="none"/>
                <w:lang w:val="en-US" w:eastAsia="zh-CN"/>
              </w:rPr>
              <w:t>。③</w:t>
            </w:r>
            <w:r>
              <w:rPr>
                <w:rFonts w:hint="default" w:ascii="Times New Roman" w:hAnsi="Times New Roman" w:eastAsia="宋体" w:cs="Times New Roman"/>
                <w:b/>
                <w:bCs/>
                <w:i w:val="0"/>
                <w:iCs w:val="0"/>
                <w:color w:val="auto"/>
                <w:sz w:val="24"/>
                <w:szCs w:val="24"/>
                <w:lang w:eastAsia="zh-CN"/>
              </w:rPr>
              <w:t>环保设施升级：包括有机废气处理等设施的改造。</w:t>
            </w:r>
          </w:p>
          <w:p w14:paraId="602D7665">
            <w:pPr>
              <w:keepNext w:val="0"/>
              <w:keepLines w:val="0"/>
              <w:suppressLineNumbers w:val="0"/>
              <w:adjustRightInd w:val="0"/>
              <w:spacing w:before="0" w:beforeAutospacing="0" w:after="0" w:afterAutospacing="0" w:line="360" w:lineRule="auto"/>
              <w:ind w:left="0" w:right="0"/>
              <w:rPr>
                <w:rFonts w:hint="default" w:ascii="Times New Roman" w:hAnsi="Times New Roman" w:eastAsia="宋体" w:cs="Times New Roman"/>
                <w:color w:val="auto"/>
                <w:sz w:val="24"/>
                <w:lang w:val="zh-CN" w:eastAsia="zh-CN"/>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项目概况</w:t>
            </w:r>
          </w:p>
          <w:p w14:paraId="2CA42D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项目名称：</w:t>
            </w:r>
            <w:r>
              <w:rPr>
                <w:rFonts w:hint="eastAsia"/>
                <w:color w:val="auto"/>
                <w:sz w:val="24"/>
                <w:lang w:val="en-US" w:eastAsia="zh-CN"/>
              </w:rPr>
              <w:t>800万只包装盒印刷及相关配件生产项目</w:t>
            </w:r>
          </w:p>
          <w:p w14:paraId="4F90A3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b/>
                <w:bCs/>
                <w:color w:val="auto"/>
                <w:sz w:val="24"/>
                <w:szCs w:val="24"/>
                <w:highlight w:val="none"/>
              </w:rPr>
              <w:t>建设单位：</w:t>
            </w:r>
            <w:r>
              <w:rPr>
                <w:rFonts w:hint="eastAsia"/>
                <w:color w:val="auto"/>
                <w:spacing w:val="-6"/>
                <w:sz w:val="24"/>
                <w:lang w:val="en-US" w:eastAsia="zh-CN"/>
              </w:rPr>
              <w:t>四川桓洋智能科技有限公司</w:t>
            </w:r>
          </w:p>
          <w:p w14:paraId="258F2B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val="0"/>
                <w:bCs w:val="0"/>
                <w:color w:val="auto"/>
                <w:spacing w:val="-6"/>
                <w:sz w:val="24"/>
                <w:highlight w:val="none"/>
                <w:vertAlign w:val="superscript"/>
              </w:rPr>
            </w:pPr>
            <w:r>
              <w:rPr>
                <w:rFonts w:hint="default" w:ascii="Times New Roman" w:hAnsi="Times New Roman" w:eastAsia="宋体" w:cs="Times New Roman"/>
                <w:b/>
                <w:bCs/>
                <w:color w:val="auto"/>
                <w:sz w:val="24"/>
                <w:szCs w:val="24"/>
                <w:highlight w:val="none"/>
              </w:rPr>
              <w:t>占地面积：</w:t>
            </w:r>
            <w:r>
              <w:rPr>
                <w:rFonts w:hint="default" w:ascii="Times New Roman" w:hAnsi="Times New Roman" w:eastAsia="宋体" w:cs="Times New Roman"/>
                <w:color w:val="auto"/>
                <w:sz w:val="24"/>
                <w:szCs w:val="24"/>
                <w:highlight w:val="none"/>
                <w:lang w:eastAsia="zh-CN"/>
              </w:rPr>
              <w:t>项目占地</w:t>
            </w:r>
            <w:r>
              <w:rPr>
                <w:rFonts w:hint="eastAsia" w:cs="Times New Roman"/>
                <w:bCs/>
                <w:color w:val="auto"/>
                <w:sz w:val="24"/>
                <w:highlight w:val="none"/>
                <w:lang w:val="en-US" w:eastAsia="zh-CN"/>
              </w:rPr>
              <w:t>12078.6</w:t>
            </w:r>
            <w:r>
              <w:rPr>
                <w:rFonts w:hint="default" w:ascii="Times New Roman" w:hAnsi="Times New Roman" w:eastAsia="宋体" w:cs="Times New Roman"/>
                <w:b w:val="0"/>
                <w:bCs w:val="0"/>
                <w:color w:val="auto"/>
                <w:spacing w:val="-6"/>
                <w:sz w:val="24"/>
                <w:highlight w:val="none"/>
              </w:rPr>
              <w:t>m</w:t>
            </w:r>
            <w:r>
              <w:rPr>
                <w:rFonts w:hint="default" w:ascii="Times New Roman" w:hAnsi="Times New Roman" w:eastAsia="宋体" w:cs="Times New Roman"/>
                <w:b w:val="0"/>
                <w:bCs w:val="0"/>
                <w:color w:val="auto"/>
                <w:spacing w:val="-6"/>
                <w:sz w:val="24"/>
                <w:highlight w:val="none"/>
                <w:vertAlign w:val="superscript"/>
              </w:rPr>
              <w:t>2</w:t>
            </w:r>
          </w:p>
          <w:p w14:paraId="60E02D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建设性质：</w:t>
            </w:r>
            <w:r>
              <w:rPr>
                <w:rFonts w:hint="eastAsia" w:cs="Times New Roman"/>
                <w:b w:val="0"/>
                <w:bCs w:val="0"/>
                <w:color w:val="auto"/>
                <w:sz w:val="24"/>
                <w:szCs w:val="24"/>
                <w:highlight w:val="none"/>
                <w:lang w:val="en-US" w:eastAsia="zh-CN"/>
              </w:rPr>
              <w:t>扩建</w:t>
            </w:r>
          </w:p>
          <w:p w14:paraId="6937CE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1684" w:leftChars="228" w:right="0" w:hanging="1205" w:hanging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建设地点：</w:t>
            </w:r>
            <w:r>
              <w:rPr>
                <w:rFonts w:hint="default" w:ascii="Times New Roman" w:hAnsi="Times New Roman" w:eastAsia="宋体" w:cs="Times New Roman"/>
                <w:b w:val="0"/>
                <w:bCs w:val="0"/>
                <w:color w:val="auto"/>
                <w:sz w:val="24"/>
                <w:szCs w:val="24"/>
                <w:highlight w:val="none"/>
              </w:rPr>
              <w:t>大英县蓬莱镇工业集中发展区采和大道1楼</w:t>
            </w:r>
          </w:p>
          <w:p w14:paraId="668895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项目投资：</w:t>
            </w:r>
            <w:r>
              <w:rPr>
                <w:rFonts w:hint="default" w:ascii="Times New Roman" w:hAnsi="Times New Roman" w:eastAsia="宋体" w:cs="Times New Roman"/>
                <w:color w:val="auto"/>
                <w:sz w:val="24"/>
                <w:szCs w:val="24"/>
                <w:highlight w:val="none"/>
                <w:lang w:eastAsia="zh-CN"/>
              </w:rPr>
              <w:t>总投资</w:t>
            </w:r>
            <w:r>
              <w:rPr>
                <w:rFonts w:hint="eastAsia" w:cs="Times New Roman"/>
                <w:color w:val="auto"/>
                <w:sz w:val="24"/>
                <w:szCs w:val="24"/>
                <w:highlight w:val="none"/>
                <w:lang w:val="en-US" w:eastAsia="zh-CN"/>
              </w:rPr>
              <w:t>800</w:t>
            </w:r>
            <w:r>
              <w:rPr>
                <w:rFonts w:hint="default" w:ascii="Times New Roman" w:hAnsi="Times New Roman" w:eastAsia="宋体" w:cs="Times New Roman"/>
                <w:color w:val="auto"/>
                <w:sz w:val="24"/>
                <w:szCs w:val="24"/>
                <w:highlight w:val="none"/>
                <w:lang w:eastAsia="zh-CN"/>
              </w:rPr>
              <w:t>万元。</w:t>
            </w:r>
          </w:p>
          <w:p w14:paraId="758E05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highlight w:val="none"/>
                <w:lang w:eastAsia="zh-CN"/>
              </w:rPr>
            </w:pPr>
            <w:r>
              <w:rPr>
                <w:rFonts w:hint="eastAsia" w:ascii="宋体" w:hAnsi="宋体" w:eastAsia="宋体" w:cs="宋体"/>
                <w:b/>
                <w:bCs/>
                <w:color w:val="auto"/>
                <w:sz w:val="24"/>
                <w:szCs w:val="24"/>
                <w:highlight w:val="none"/>
                <w:lang w:eastAsia="zh-CN"/>
              </w:rPr>
              <w:t>劳动定员及生产制度：</w:t>
            </w:r>
            <w:r>
              <w:rPr>
                <w:rFonts w:hint="default" w:ascii="Times New Roman" w:hAnsi="Times New Roman" w:eastAsia="宋体" w:cs="Times New Roman"/>
                <w:color w:val="auto"/>
                <w:sz w:val="24"/>
                <w:szCs w:val="24"/>
                <w:highlight w:val="none"/>
                <w:lang w:eastAsia="zh-CN"/>
              </w:rPr>
              <w:t>全年工作日</w:t>
            </w:r>
            <w:r>
              <w:rPr>
                <w:rFonts w:hint="eastAsia"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lang w:eastAsia="zh-CN"/>
              </w:rPr>
              <w:t>天，</w:t>
            </w:r>
            <w:r>
              <w:rPr>
                <w:rFonts w:hint="default" w:ascii="Times New Roman" w:hAnsi="Times New Roman" w:cs="Times New Roman"/>
                <w:color w:val="auto"/>
                <w:sz w:val="24"/>
                <w:szCs w:val="24"/>
                <w:highlight w:val="none"/>
                <w:lang w:eastAsia="zh-CN"/>
              </w:rPr>
              <w:t>每班</w:t>
            </w:r>
            <w:r>
              <w:rPr>
                <w:rFonts w:hint="default" w:ascii="Times New Roman" w:hAnsi="Times New Roman"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eastAsia="zh-CN"/>
              </w:rPr>
              <w:t>小时，</w:t>
            </w:r>
            <w:r>
              <w:rPr>
                <w:rFonts w:hint="default" w:ascii="Times New Roman" w:hAnsi="Times New Roman" w:cs="Times New Roman"/>
                <w:color w:val="auto"/>
                <w:sz w:val="24"/>
                <w:szCs w:val="24"/>
                <w:highlight w:val="none"/>
                <w:lang w:eastAsia="zh-CN"/>
              </w:rPr>
              <w:t>每天</w:t>
            </w:r>
            <w:r>
              <w:rPr>
                <w:rFonts w:hint="default" w:ascii="Times New Roman" w:hAnsi="Times New Roman" w:cs="Times New Roman"/>
                <w:color w:val="auto"/>
                <w:sz w:val="24"/>
                <w:szCs w:val="24"/>
                <w:highlight w:val="none"/>
                <w:lang w:val="en-US" w:eastAsia="zh-CN"/>
              </w:rPr>
              <w:t>2班，</w:t>
            </w:r>
            <w:r>
              <w:rPr>
                <w:rFonts w:hint="default" w:ascii="Times New Roman" w:hAnsi="Times New Roman" w:eastAsia="宋体" w:cs="Times New Roman"/>
                <w:color w:val="auto"/>
                <w:sz w:val="24"/>
                <w:szCs w:val="24"/>
                <w:highlight w:val="none"/>
                <w:lang w:eastAsia="zh-CN"/>
              </w:rPr>
              <w:t>夜间</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22:00~次日6:00</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不生产。</w:t>
            </w:r>
            <w:r>
              <w:rPr>
                <w:rFonts w:hint="eastAsia" w:cs="Times New Roman"/>
                <w:color w:val="auto"/>
                <w:sz w:val="24"/>
                <w:szCs w:val="24"/>
                <w:highlight w:val="none"/>
                <w:lang w:val="en-US" w:eastAsia="zh-CN"/>
              </w:rPr>
              <w:t>厂区现有职工35</w:t>
            </w:r>
            <w:r>
              <w:rPr>
                <w:rFonts w:hint="default" w:ascii="Times New Roman" w:hAnsi="Times New Roman" w:eastAsia="宋体" w:cs="Times New Roman"/>
                <w:color w:val="auto"/>
                <w:sz w:val="24"/>
                <w:szCs w:val="24"/>
                <w:highlight w:val="none"/>
                <w:lang w:eastAsia="zh-CN"/>
              </w:rPr>
              <w:t>人，</w:t>
            </w:r>
            <w:r>
              <w:rPr>
                <w:rFonts w:hint="default" w:ascii="Times New Roman" w:hAnsi="Times New Roman" w:eastAsia="宋体" w:cs="Times New Roman"/>
                <w:color w:val="auto"/>
                <w:sz w:val="24"/>
                <w:szCs w:val="24"/>
                <w:highlight w:val="none"/>
                <w:lang w:val="en-US" w:eastAsia="zh-CN"/>
              </w:rPr>
              <w:t>本次新增职工</w:t>
            </w:r>
            <w:r>
              <w:rPr>
                <w:rFonts w:hint="eastAsia" w:cs="Times New Roman"/>
                <w:color w:val="auto"/>
                <w:sz w:val="24"/>
                <w:szCs w:val="24"/>
                <w:highlight w:val="none"/>
                <w:lang w:val="en-US" w:eastAsia="zh-CN"/>
              </w:rPr>
              <w:t>125</w:t>
            </w:r>
            <w:r>
              <w:rPr>
                <w:rFonts w:hint="eastAsia" w:ascii="Times New Roman" w:hAnsi="Times New Roman" w:eastAsia="宋体" w:cs="Times New Roman"/>
                <w:color w:val="auto"/>
                <w:sz w:val="24"/>
                <w:szCs w:val="24"/>
                <w:highlight w:val="none"/>
                <w:lang w:val="en-US" w:eastAsia="zh-CN"/>
              </w:rPr>
              <w:t>人</w:t>
            </w:r>
            <w:r>
              <w:rPr>
                <w:rFonts w:hint="default" w:ascii="Times New Roman" w:hAnsi="Times New Roman" w:eastAsia="宋体" w:cs="Times New Roman"/>
                <w:color w:val="auto"/>
                <w:sz w:val="24"/>
                <w:szCs w:val="24"/>
                <w:highlight w:val="none"/>
                <w:lang w:eastAsia="zh-CN"/>
              </w:rPr>
              <w:t>。项目设置食堂住宿。</w:t>
            </w:r>
          </w:p>
          <w:p w14:paraId="79107630">
            <w:pPr>
              <w:pStyle w:val="7"/>
              <w:spacing w:line="360" w:lineRule="auto"/>
              <w:ind w:firstLine="466" w:firstLineChars="200"/>
              <w:rPr>
                <w:rFonts w:hint="default" w:ascii="Times New Roman" w:hAnsi="Times New Roman" w:eastAsia="宋体" w:cs="Times New Roman"/>
                <w:color w:val="auto"/>
                <w:sz w:val="28"/>
                <w:szCs w:val="28"/>
                <w:lang w:val="en-US" w:eastAsia="zh-CN"/>
              </w:rPr>
            </w:pPr>
            <w:r>
              <w:rPr>
                <w:b/>
                <w:bCs/>
                <w:color w:val="auto"/>
                <w:spacing w:val="-4"/>
                <w:sz w:val="24"/>
                <w:highlight w:val="none"/>
              </w:rPr>
              <w:t>本项目主要建设内容</w:t>
            </w:r>
            <w:r>
              <w:rPr>
                <w:rFonts w:hint="default" w:ascii="Times New Roman" w:hAnsi="Times New Roman" w:eastAsia="宋体" w:cs="Times New Roman"/>
                <w:b/>
                <w:bCs/>
                <w:color w:val="auto"/>
                <w:sz w:val="24"/>
                <w:szCs w:val="24"/>
                <w:highlight w:val="none"/>
                <w:lang w:eastAsia="zh-CN"/>
              </w:rPr>
              <w:t>及规模</w:t>
            </w:r>
            <w:r>
              <w:rPr>
                <w:color w:val="auto"/>
                <w:spacing w:val="-4"/>
                <w:sz w:val="24"/>
                <w:highlight w:val="none"/>
              </w:rPr>
              <w:t>：</w:t>
            </w:r>
            <w:r>
              <w:rPr>
                <w:rFonts w:hint="eastAsia"/>
                <w:color w:val="auto"/>
                <w:spacing w:val="-4"/>
                <w:sz w:val="24"/>
                <w:highlight w:val="none"/>
                <w:lang w:val="en-US" w:eastAsia="zh-CN"/>
              </w:rPr>
              <w:t>本项目新租赁</w:t>
            </w:r>
            <w:r>
              <w:rPr>
                <w:rFonts w:hint="eastAsia"/>
                <w:color w:val="auto"/>
                <w:spacing w:val="-6"/>
                <w:sz w:val="24"/>
                <w:highlight w:val="none"/>
                <w:lang w:val="en-US" w:eastAsia="zh-CN"/>
              </w:rPr>
              <w:t>大英县</w:t>
            </w:r>
            <w:r>
              <w:rPr>
                <w:rFonts w:hint="eastAsia"/>
                <w:color w:val="auto"/>
                <w:spacing w:val="-6"/>
                <w:sz w:val="24"/>
                <w:lang w:val="en-US" w:eastAsia="zh-CN"/>
              </w:rPr>
              <w:t>蓬莱镇工业集中发展区采和大道1楼2#标准厂房</w:t>
            </w:r>
            <w:r>
              <w:rPr>
                <w:rFonts w:hint="eastAsia" w:cs="Times New Roman"/>
                <w:b w:val="0"/>
                <w:bCs w:val="0"/>
                <w:color w:val="auto"/>
                <w:sz w:val="24"/>
                <w:szCs w:val="24"/>
                <w:highlight w:val="none"/>
                <w:lang w:val="en-US" w:eastAsia="zh-CN"/>
              </w:rPr>
              <w:t>建设“800万只包装盒印刷及相关配件生产项目”（</w:t>
            </w:r>
            <w:r>
              <w:rPr>
                <w:rFonts w:ascii="宋体" w:hAnsi="宋体" w:cs="宋体"/>
                <w:color w:val="auto"/>
                <w:spacing w:val="-6"/>
                <w:sz w:val="24"/>
                <w:highlight w:val="none"/>
              </w:rPr>
              <w:t>以下简称“本项目”</w:t>
            </w:r>
            <w:r>
              <w:rPr>
                <w:rFonts w:hint="eastAsia" w:cs="Times New Roman"/>
                <w:b w:val="0"/>
                <w:bCs w:val="0"/>
                <w:color w:val="auto"/>
                <w:sz w:val="24"/>
                <w:szCs w:val="24"/>
                <w:highlight w:val="none"/>
                <w:lang w:val="en-US" w:eastAsia="zh-CN"/>
              </w:rPr>
              <w:t>）</w:t>
            </w:r>
            <w:r>
              <w:rPr>
                <w:rFonts w:hint="eastAsia"/>
                <w:color w:val="auto"/>
                <w:spacing w:val="-6"/>
                <w:sz w:val="24"/>
                <w:lang w:val="en-US" w:eastAsia="zh-CN"/>
              </w:rPr>
              <w:t>，不新增用地</w:t>
            </w:r>
            <w:r>
              <w:rPr>
                <w:rFonts w:hint="eastAsia"/>
                <w:b w:val="0"/>
                <w:bCs w:val="0"/>
                <w:color w:val="auto"/>
                <w:spacing w:val="-6"/>
                <w:sz w:val="24"/>
                <w:highlight w:val="none"/>
                <w:lang w:val="en-US" w:eastAsia="zh-CN"/>
              </w:rPr>
              <w:t>。</w:t>
            </w:r>
            <w:r>
              <w:rPr>
                <w:rFonts w:hint="eastAsia"/>
                <w:b w:val="0"/>
                <w:bCs w:val="0"/>
                <w:color w:val="auto"/>
                <w:spacing w:val="-4"/>
                <w:sz w:val="24"/>
                <w:highlight w:val="none"/>
                <w:lang w:val="en-US" w:eastAsia="zh-CN"/>
              </w:rPr>
              <w:t xml:space="preserve"> </w:t>
            </w:r>
            <w:r>
              <w:rPr>
                <w:rFonts w:hint="eastAsia"/>
                <w:b w:val="0"/>
                <w:bCs w:val="0"/>
                <w:color w:val="auto"/>
                <w:sz w:val="24"/>
                <w:highlight w:val="none"/>
              </w:rPr>
              <w:t>本次</w:t>
            </w:r>
            <w:r>
              <w:rPr>
                <w:rFonts w:hint="eastAsia"/>
                <w:b w:val="0"/>
                <w:bCs w:val="0"/>
                <w:color w:val="auto"/>
                <w:sz w:val="24"/>
                <w:highlight w:val="none"/>
                <w:lang w:val="en-US" w:eastAsia="zh-CN"/>
              </w:rPr>
              <w:t>扩建</w:t>
            </w:r>
            <w:r>
              <w:rPr>
                <w:rFonts w:ascii="Times New Roman" w:hAnsi="Times New Roman"/>
                <w:b w:val="0"/>
                <w:bCs w:val="0"/>
                <w:color w:val="auto"/>
                <w:sz w:val="24"/>
                <w:highlight w:val="none"/>
                <w:lang w:val="zh-CN"/>
              </w:rPr>
              <w:t>拟新增</w:t>
            </w:r>
            <w:r>
              <w:rPr>
                <w:rFonts w:hint="default" w:ascii="Times New Roman" w:hAnsi="Times New Roman" w:cs="Times New Roman"/>
                <w:b w:val="0"/>
                <w:bCs w:val="0"/>
                <w:color w:val="auto"/>
                <w:sz w:val="24"/>
                <w:highlight w:val="none"/>
                <w:lang w:val="en-US" w:eastAsia="zh-CN"/>
              </w:rPr>
              <w:t>CTP制版机、罗兰印刷机、丝印机、自动喷码机、全自动覆膜机、光固机、烫金机、冷烫机、全自动模切压纹机、裱糊成型生产线</w:t>
            </w:r>
            <w:r>
              <w:rPr>
                <w:rFonts w:hint="eastAsia" w:ascii="Times New Roman" w:hAnsi="Times New Roman" w:cs="Times New Roman"/>
                <w:b w:val="0"/>
                <w:bCs w:val="0"/>
                <w:color w:val="auto"/>
                <w:sz w:val="24"/>
                <w:highlight w:val="none"/>
                <w:lang w:val="en-US" w:eastAsia="zh-CN"/>
              </w:rPr>
              <w:t>等</w:t>
            </w:r>
            <w:r>
              <w:rPr>
                <w:rFonts w:hint="default" w:ascii="Times New Roman" w:hAnsi="Times New Roman" w:cs="Times New Roman"/>
                <w:b w:val="0"/>
                <w:bCs w:val="0"/>
                <w:color w:val="auto"/>
                <w:sz w:val="24"/>
                <w:highlight w:val="none"/>
                <w:lang w:val="en-US" w:eastAsia="zh-CN"/>
              </w:rPr>
              <w:t>。项目建成后，新增</w:t>
            </w:r>
            <w:r>
              <w:rPr>
                <w:rFonts w:hint="default" w:ascii="Times New Roman" w:hAnsi="Times New Roman" w:eastAsia="宋体" w:cs="Times New Roman"/>
                <w:b w:val="0"/>
                <w:bCs w:val="0"/>
                <w:color w:val="auto"/>
                <w:spacing w:val="-4"/>
                <w:sz w:val="24"/>
                <w:highlight w:val="none"/>
                <w:lang w:val="en-US" w:eastAsia="zh-CN"/>
              </w:rPr>
              <w:t>酒类礼品包装盒750</w:t>
            </w:r>
            <w:r>
              <w:rPr>
                <w:rFonts w:hint="default" w:ascii="Times New Roman" w:hAnsi="Times New Roman" w:cs="Times New Roman"/>
                <w:b w:val="0"/>
                <w:bCs w:val="0"/>
                <w:color w:val="auto"/>
                <w:spacing w:val="-4"/>
                <w:sz w:val="24"/>
                <w:highlight w:val="none"/>
                <w:lang w:val="en-US" w:eastAsia="zh-CN"/>
              </w:rPr>
              <w:t>万只/a，塑纸包装盒40万只/a，木塑包装盒10万只/a</w:t>
            </w:r>
            <w:r>
              <w:rPr>
                <w:rFonts w:hint="eastAsia" w:ascii="Times New Roman" w:hAnsi="Times New Roman" w:cs="Times New Roman"/>
                <w:b w:val="0"/>
                <w:bCs w:val="0"/>
                <w:color w:val="auto"/>
                <w:spacing w:val="-4"/>
                <w:sz w:val="24"/>
                <w:highlight w:val="none"/>
                <w:lang w:val="en-US" w:eastAsia="zh-CN"/>
              </w:rPr>
              <w:t>。</w:t>
            </w:r>
            <w:r>
              <w:rPr>
                <w:rFonts w:hint="eastAsia" w:ascii="Times New Roman" w:hAnsi="Times New Roman"/>
                <w:color w:val="auto"/>
                <w:sz w:val="24"/>
                <w:highlight w:val="none"/>
                <w:lang w:val="en-US" w:eastAsia="zh-CN"/>
              </w:rPr>
              <w:t>新增年产值约1000万</w:t>
            </w:r>
            <w:r>
              <w:rPr>
                <w:rFonts w:ascii="Times New Roman" w:hAnsi="Times New Roman"/>
                <w:color w:val="auto"/>
                <w:sz w:val="24"/>
                <w:highlight w:val="none"/>
                <w:lang w:val="zh-CN"/>
              </w:rPr>
              <w:t>。</w:t>
            </w:r>
            <w:r>
              <w:rPr>
                <w:rFonts w:hint="eastAsia" w:ascii="宋体" w:hAnsi="宋体" w:cs="宋体"/>
                <w:color w:val="auto"/>
                <w:spacing w:val="-6"/>
                <w:sz w:val="24"/>
                <w:highlight w:val="none"/>
                <w:lang w:val="en-US" w:eastAsia="zh-CN"/>
              </w:rPr>
              <w:t xml:space="preserve"> </w:t>
            </w:r>
          </w:p>
          <w:p w14:paraId="176C8C0C">
            <w:pPr>
              <w:keepNext w:val="0"/>
              <w:keepLines w:val="0"/>
              <w:suppressLineNumbers w:val="0"/>
              <w:tabs>
                <w:tab w:val="center" w:pos="4218"/>
              </w:tabs>
              <w:adjustRightInd w:val="0"/>
              <w:spacing w:before="0" w:beforeAutospacing="0" w:after="0" w:afterAutospacing="0" w:line="360" w:lineRule="auto"/>
              <w:ind w:left="0" w:right="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lang w:val="zh-CN"/>
              </w:rPr>
              <w:t>项目组成及主要环境问题</w:t>
            </w:r>
            <w:r>
              <w:rPr>
                <w:rFonts w:hint="eastAsia" w:cs="Times New Roman"/>
                <w:b/>
                <w:bCs/>
                <w:color w:val="auto"/>
                <w:sz w:val="24"/>
                <w:lang w:val="zh-CN"/>
              </w:rPr>
              <w:tab/>
            </w:r>
          </w:p>
          <w:p w14:paraId="3D198959">
            <w:pPr>
              <w:autoSpaceDE w:val="0"/>
              <w:autoSpaceDN w:val="0"/>
              <w:adjustRightInd w:val="0"/>
              <w:spacing w:line="360" w:lineRule="auto"/>
              <w:ind w:firstLine="480" w:firstLineChars="200"/>
              <w:jc w:val="left"/>
              <w:rPr>
                <w:color w:val="auto"/>
                <w:sz w:val="24"/>
                <w:highlight w:val="none"/>
              </w:rPr>
            </w:pPr>
            <w:r>
              <w:rPr>
                <w:color w:val="auto"/>
                <w:sz w:val="24"/>
                <w:highlight w:val="none"/>
              </w:rPr>
              <w:t>本项目组成及主要的环境问题见表2-1。</w:t>
            </w:r>
          </w:p>
          <w:p w14:paraId="28EAAA82">
            <w:pPr>
              <w:jc w:val="center"/>
              <w:rPr>
                <w:b/>
                <w:bCs/>
                <w:color w:val="auto"/>
                <w:szCs w:val="21"/>
                <w:highlight w:val="none"/>
              </w:rPr>
            </w:pPr>
            <w:r>
              <w:rPr>
                <w:b/>
                <w:bCs/>
                <w:color w:val="auto"/>
                <w:szCs w:val="21"/>
                <w:highlight w:val="none"/>
              </w:rPr>
              <w:t>表2-1  项目组成及主要环境问题表</w:t>
            </w:r>
          </w:p>
          <w:tbl>
            <w:tblPr>
              <w:tblStyle w:val="25"/>
              <w:tblW w:w="8497" w:type="dxa"/>
              <w:tblInd w:w="-64"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715"/>
              <w:gridCol w:w="1088"/>
              <w:gridCol w:w="3750"/>
              <w:gridCol w:w="900"/>
              <w:gridCol w:w="1270"/>
              <w:gridCol w:w="774"/>
            </w:tblGrid>
            <w:tr w14:paraId="2A8ABCB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c>
                <w:tcPr>
                  <w:tcW w:w="420" w:type="pct"/>
                  <w:vMerge w:val="restart"/>
                  <w:tcBorders>
                    <w:tl2br w:val="nil"/>
                    <w:tr2bl w:val="nil"/>
                  </w:tcBorders>
                  <w:noWrap w:val="0"/>
                  <w:vAlign w:val="center"/>
                </w:tcPr>
                <w:p w14:paraId="621DDFF5">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工程类别</w:t>
                  </w:r>
                </w:p>
              </w:tc>
              <w:tc>
                <w:tcPr>
                  <w:tcW w:w="640" w:type="pct"/>
                  <w:vMerge w:val="restart"/>
                  <w:tcBorders>
                    <w:tl2br w:val="nil"/>
                    <w:tr2bl w:val="nil"/>
                  </w:tcBorders>
                  <w:noWrap w:val="0"/>
                  <w:vAlign w:val="center"/>
                </w:tcPr>
                <w:p w14:paraId="1B91B3F9">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工程</w:t>
                  </w:r>
                  <w:r>
                    <w:rPr>
                      <w:rFonts w:hint="default" w:ascii="Times New Roman" w:hAnsi="Times New Roman" w:eastAsia="宋体" w:cs="Times New Roman"/>
                      <w:b/>
                      <w:bCs/>
                      <w:color w:val="auto"/>
                      <w:sz w:val="21"/>
                      <w:szCs w:val="21"/>
                      <w:highlight w:val="none"/>
                    </w:rPr>
                    <w:t>名称</w:t>
                  </w:r>
                </w:p>
              </w:tc>
              <w:tc>
                <w:tcPr>
                  <w:tcW w:w="2206" w:type="pct"/>
                  <w:vMerge w:val="restart"/>
                  <w:tcBorders>
                    <w:tl2br w:val="nil"/>
                    <w:tr2bl w:val="nil"/>
                  </w:tcBorders>
                  <w:noWrap w:val="0"/>
                  <w:vAlign w:val="center"/>
                </w:tcPr>
                <w:p w14:paraId="7D245965">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建设内容及规模</w:t>
                  </w:r>
                </w:p>
              </w:tc>
              <w:tc>
                <w:tcPr>
                  <w:tcW w:w="1276" w:type="pct"/>
                  <w:gridSpan w:val="2"/>
                  <w:tcBorders>
                    <w:tl2br w:val="nil"/>
                    <w:tr2bl w:val="nil"/>
                  </w:tcBorders>
                  <w:noWrap w:val="0"/>
                  <w:vAlign w:val="center"/>
                </w:tcPr>
                <w:p w14:paraId="51F974FD">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可能产生的环境问题</w:t>
                  </w:r>
                </w:p>
              </w:tc>
              <w:tc>
                <w:tcPr>
                  <w:tcW w:w="455" w:type="pct"/>
                  <w:vMerge w:val="restart"/>
                  <w:tcBorders>
                    <w:tl2br w:val="nil"/>
                    <w:tr2bl w:val="nil"/>
                  </w:tcBorders>
                  <w:noWrap w:val="0"/>
                  <w:vAlign w:val="center"/>
                </w:tcPr>
                <w:p w14:paraId="33E19504">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14:paraId="7AA53BC3">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c>
                <w:tcPr>
                  <w:tcW w:w="420" w:type="pct"/>
                  <w:vMerge w:val="continue"/>
                  <w:tcBorders>
                    <w:tl2br w:val="nil"/>
                    <w:tr2bl w:val="nil"/>
                  </w:tcBorders>
                  <w:noWrap w:val="0"/>
                  <w:vAlign w:val="center"/>
                </w:tcPr>
                <w:p w14:paraId="70C41B6F">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tc>
              <w:tc>
                <w:tcPr>
                  <w:tcW w:w="640" w:type="pct"/>
                  <w:vMerge w:val="continue"/>
                  <w:tcBorders>
                    <w:tl2br w:val="nil"/>
                    <w:tr2bl w:val="nil"/>
                  </w:tcBorders>
                  <w:noWrap w:val="0"/>
                  <w:vAlign w:val="center"/>
                </w:tcPr>
                <w:p w14:paraId="3B79D1EA">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tc>
              <w:tc>
                <w:tcPr>
                  <w:tcW w:w="2206" w:type="pct"/>
                  <w:vMerge w:val="continue"/>
                  <w:tcBorders>
                    <w:tl2br w:val="nil"/>
                    <w:tr2bl w:val="nil"/>
                  </w:tcBorders>
                  <w:noWrap w:val="0"/>
                  <w:vAlign w:val="center"/>
                </w:tcPr>
                <w:p w14:paraId="7C945CE9">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tc>
              <w:tc>
                <w:tcPr>
                  <w:tcW w:w="529" w:type="pct"/>
                  <w:tcBorders>
                    <w:tl2br w:val="nil"/>
                    <w:tr2bl w:val="nil"/>
                  </w:tcBorders>
                  <w:noWrap w:val="0"/>
                  <w:vAlign w:val="center"/>
                </w:tcPr>
                <w:p w14:paraId="0BBD97E1">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施工期</w:t>
                  </w:r>
                </w:p>
              </w:tc>
              <w:tc>
                <w:tcPr>
                  <w:tcW w:w="747" w:type="pct"/>
                  <w:tcBorders>
                    <w:tl2br w:val="nil"/>
                    <w:tr2bl w:val="nil"/>
                  </w:tcBorders>
                  <w:noWrap w:val="0"/>
                  <w:vAlign w:val="center"/>
                </w:tcPr>
                <w:p w14:paraId="4F30A36F">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运营期</w:t>
                  </w:r>
                </w:p>
              </w:tc>
              <w:tc>
                <w:tcPr>
                  <w:tcW w:w="455" w:type="pct"/>
                  <w:vMerge w:val="continue"/>
                  <w:tcBorders>
                    <w:tl2br w:val="nil"/>
                    <w:tr2bl w:val="nil"/>
                  </w:tcBorders>
                  <w:noWrap w:val="0"/>
                  <w:vAlign w:val="center"/>
                </w:tcPr>
                <w:p w14:paraId="411C6B1B">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tc>
            </w:tr>
            <w:tr w14:paraId="4B6E150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391" w:hRule="atLeast"/>
              </w:trPr>
              <w:tc>
                <w:tcPr>
                  <w:tcW w:w="420" w:type="pct"/>
                  <w:vMerge w:val="restart"/>
                  <w:tcBorders>
                    <w:tl2br w:val="nil"/>
                    <w:tr2bl w:val="nil"/>
                  </w:tcBorders>
                  <w:noWrap w:val="0"/>
                  <w:vAlign w:val="center"/>
                </w:tcPr>
                <w:p w14:paraId="7B62FB5D">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640" w:type="pct"/>
                  <w:tcBorders>
                    <w:bottom w:val="single" w:color="auto" w:sz="4" w:space="0"/>
                    <w:tl2br w:val="nil"/>
                    <w:tr2bl w:val="nil"/>
                  </w:tcBorders>
                  <w:noWrap w:val="0"/>
                  <w:vAlign w:val="center"/>
                </w:tcPr>
                <w:p w14:paraId="5FD09339">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1#车间</w:t>
                  </w:r>
                </w:p>
              </w:tc>
              <w:tc>
                <w:tcPr>
                  <w:tcW w:w="2206" w:type="pct"/>
                  <w:tcBorders>
                    <w:bottom w:val="single" w:color="auto" w:sz="4" w:space="0"/>
                    <w:tl2br w:val="nil"/>
                    <w:tr2bl w:val="nil"/>
                  </w:tcBorders>
                  <w:noWrap w:val="0"/>
                  <w:vAlign w:val="center"/>
                </w:tcPr>
                <w:p w14:paraId="2DE94A6C">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right="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现有工程1</w:t>
                  </w:r>
                  <w:r>
                    <w:rPr>
                      <w:rFonts w:hint="eastAsia" w:ascii="Times New Roman" w:hAnsi="Times New Roman" w:cs="Times New Roman"/>
                      <w:b w:val="0"/>
                      <w:bCs w:val="0"/>
                      <w:color w:val="auto"/>
                      <w:sz w:val="21"/>
                      <w:szCs w:val="21"/>
                      <w:highlight w:val="none"/>
                      <w:vertAlign w:val="baseline"/>
                      <w:lang w:val="en-US" w:eastAsia="zh-CN"/>
                    </w:rPr>
                    <w:t>#车间：</w:t>
                  </w:r>
                  <w:r>
                    <w:rPr>
                      <w:rFonts w:hint="eastAsia" w:ascii="Times New Roman" w:hAnsi="Times New Roman" w:eastAsia="宋体" w:cs="Times New Roman"/>
                      <w:b w:val="0"/>
                      <w:bCs w:val="0"/>
                      <w:color w:val="auto"/>
                      <w:sz w:val="21"/>
                      <w:szCs w:val="21"/>
                      <w:highlight w:val="none"/>
                      <w:vertAlign w:val="baseline"/>
                      <w:lang w:val="en-US" w:eastAsia="zh-CN"/>
                    </w:rPr>
                    <w:t>建筑面积约2000m</w:t>
                  </w:r>
                  <w:r>
                    <w:rPr>
                      <w:rFonts w:hint="eastAsia" w:ascii="Times New Roman" w:hAnsi="Times New Roman" w:eastAsia="宋体" w:cs="Times New Roman"/>
                      <w:b w:val="0"/>
                      <w:bCs w:val="0"/>
                      <w:color w:val="auto"/>
                      <w:sz w:val="21"/>
                      <w:szCs w:val="21"/>
                      <w:highlight w:val="none"/>
                      <w:vertAlign w:val="superscript"/>
                      <w:lang w:val="en-US" w:eastAsia="zh-CN"/>
                    </w:rPr>
                    <w:t>2</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lang w:val="en-US" w:eastAsia="zh-CN"/>
                    </w:rPr>
                    <w:t>车间内划分为固废暂存</w:t>
                  </w:r>
                  <w:r>
                    <w:rPr>
                      <w:rFonts w:hint="default" w:ascii="Times New Roman" w:hAnsi="Times New Roman" w:cs="Times New Roman"/>
                      <w:b w:val="0"/>
                      <w:bCs w:val="0"/>
                      <w:color w:val="auto"/>
                      <w:sz w:val="21"/>
                      <w:szCs w:val="21"/>
                      <w:highlight w:val="none"/>
                      <w:lang w:val="en-US" w:eastAsia="zh-CN"/>
                    </w:rPr>
                    <w:t>间</w:t>
                  </w:r>
                  <w:r>
                    <w:rPr>
                      <w:rFonts w:hint="default" w:ascii="Times New Roman" w:hAnsi="Times New Roman" w:eastAsia="宋体" w:cs="Times New Roman"/>
                      <w:b w:val="0"/>
                      <w:bCs w:val="0"/>
                      <w:color w:val="auto"/>
                      <w:sz w:val="21"/>
                      <w:szCs w:val="21"/>
                      <w:highlight w:val="none"/>
                      <w:lang w:val="en-US" w:eastAsia="zh-CN"/>
                    </w:rPr>
                    <w:t>、残次品堆放间、塑胶储存区、成品堆放区、塑胶原料堆放区、注塑区、模具堆放区、模具库房、组装区、烫金</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丝印区等区域</w:t>
                  </w:r>
                  <w:r>
                    <w:rPr>
                      <w:rFonts w:hint="eastAsia" w:ascii="Times New Roman" w:hAnsi="Times New Roman" w:eastAsia="宋体" w:cs="Times New Roman"/>
                      <w:b w:val="0"/>
                      <w:bCs w:val="0"/>
                      <w:color w:val="auto"/>
                      <w:sz w:val="21"/>
                      <w:szCs w:val="21"/>
                      <w:highlight w:val="none"/>
                      <w:lang w:val="en-US" w:eastAsia="zh-CN"/>
                    </w:rPr>
                    <w:t>。</w:t>
                  </w:r>
                </w:p>
                <w:p w14:paraId="15D35B62">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jc w:val="both"/>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本项目在1#车间注塑区内新增1台注塑机（用于本项目塑纸包装盒产品的注塑件部分的生产）。</w:t>
                  </w:r>
                </w:p>
                <w:p w14:paraId="364A47A6">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jc w:val="both"/>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b w:val="0"/>
                      <w:bCs w:val="0"/>
                      <w:color w:val="auto"/>
                      <w:sz w:val="21"/>
                      <w:szCs w:val="21"/>
                      <w:highlight w:val="none"/>
                      <w:lang w:val="en-US" w:eastAsia="zh-CN"/>
                    </w:rPr>
                    <w:t>本项目拟将1#车间现有工程生产设备的12台烫金机中的5台烫金机迁建至2#车间（涉及烫金工艺，全厂烫金总量不变）。</w:t>
                  </w:r>
                </w:p>
              </w:tc>
              <w:tc>
                <w:tcPr>
                  <w:tcW w:w="529" w:type="pct"/>
                  <w:vMerge w:val="restart"/>
                  <w:tcBorders>
                    <w:tl2br w:val="nil"/>
                    <w:tr2bl w:val="nil"/>
                  </w:tcBorders>
                  <w:noWrap w:val="0"/>
                  <w:vAlign w:val="center"/>
                </w:tcPr>
                <w:p w14:paraId="03F0D9A4">
                  <w:pPr>
                    <w:pStyle w:val="9"/>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p w14:paraId="17BAF1E9">
                  <w:pPr>
                    <w:pStyle w:val="9"/>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p w14:paraId="57A17AB2">
                  <w:pPr>
                    <w:pStyle w:val="9"/>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p w14:paraId="7D2D4ED8">
                  <w:pPr>
                    <w:pStyle w:val="9"/>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p w14:paraId="311C42DD">
                  <w:pPr>
                    <w:pStyle w:val="9"/>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p w14:paraId="0C3D6E9D">
                  <w:pPr>
                    <w:pStyle w:val="9"/>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p w14:paraId="44765B3F">
                  <w:pPr>
                    <w:pStyle w:val="9"/>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p w14:paraId="0E4AAA1B">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p w14:paraId="6E85220F">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p w14:paraId="4CD9D689">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p w14:paraId="3FA49B3C">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747" w:type="pct"/>
                  <w:tcBorders>
                    <w:bottom w:val="single" w:color="auto" w:sz="4" w:space="0"/>
                    <w:tl2br w:val="nil"/>
                    <w:tr2bl w:val="nil"/>
                  </w:tcBorders>
                  <w:noWrap w:val="0"/>
                  <w:vAlign w:val="center"/>
                </w:tcPr>
                <w:p w14:paraId="32B2FDFD">
                  <w:pPr>
                    <w:keepNext w:val="0"/>
                    <w:keepLines w:val="0"/>
                    <w:pageBreakBefore w:val="0"/>
                    <w:widowControl w:val="0"/>
                    <w:kinsoku/>
                    <w:wordWrap/>
                    <w:overflowPunct/>
                    <w:topLinePunct w:val="0"/>
                    <w:bidi w:val="0"/>
                    <w:snapToGrid/>
                    <w:spacing w:line="30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p w14:paraId="180C5122">
                  <w:pPr>
                    <w:keepNext w:val="0"/>
                    <w:keepLines w:val="0"/>
                    <w:pageBreakBefore w:val="0"/>
                    <w:widowControl w:val="0"/>
                    <w:kinsoku/>
                    <w:wordWrap/>
                    <w:overflowPunct/>
                    <w:topLinePunct w:val="0"/>
                    <w:bidi w:val="0"/>
                    <w:snapToGrid/>
                    <w:spacing w:line="30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p w14:paraId="2464002A">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p>
              </w:tc>
              <w:tc>
                <w:tcPr>
                  <w:tcW w:w="455" w:type="pct"/>
                  <w:tcBorders>
                    <w:bottom w:val="single" w:color="auto" w:sz="4" w:space="0"/>
                    <w:tl2br w:val="nil"/>
                    <w:tr2bl w:val="nil"/>
                  </w:tcBorders>
                  <w:noWrap w:val="0"/>
                  <w:vAlign w:val="center"/>
                </w:tcPr>
                <w:p w14:paraId="6D42C9C9">
                  <w:pPr>
                    <w:keepNext w:val="0"/>
                    <w:keepLines w:val="0"/>
                    <w:pageBreakBefore w:val="0"/>
                    <w:widowControl w:val="0"/>
                    <w:kinsoku/>
                    <w:wordWrap/>
                    <w:overflowPunct/>
                    <w:topLinePunct w:val="0"/>
                    <w:bidi w:val="0"/>
                    <w:snapToGrid/>
                    <w:spacing w:line="30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依托</w:t>
                  </w:r>
                  <w:r>
                    <w:rPr>
                      <w:rFonts w:hint="default" w:ascii="Times New Roman" w:hAnsi="Times New Roman" w:eastAsia="宋体" w:cs="Times New Roman"/>
                      <w:color w:val="auto"/>
                      <w:sz w:val="21"/>
                      <w:szCs w:val="21"/>
                      <w:highlight w:val="none"/>
                      <w:lang w:val="en-US" w:eastAsia="zh-CN"/>
                    </w:rPr>
                    <w:t>+</w:t>
                  </w:r>
                </w:p>
                <w:p w14:paraId="131134B2">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新增</w:t>
                  </w:r>
                </w:p>
              </w:tc>
            </w:tr>
            <w:tr w14:paraId="7A7CF46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0" w:hRule="atLeast"/>
              </w:trPr>
              <w:tc>
                <w:tcPr>
                  <w:tcW w:w="420" w:type="pct"/>
                  <w:vMerge w:val="continue"/>
                  <w:tcBorders>
                    <w:tl2br w:val="nil"/>
                    <w:tr2bl w:val="nil"/>
                  </w:tcBorders>
                  <w:noWrap w:val="0"/>
                  <w:vAlign w:val="center"/>
                </w:tcPr>
                <w:p w14:paraId="51AAEB67">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tc>
              <w:tc>
                <w:tcPr>
                  <w:tcW w:w="640" w:type="pct"/>
                  <w:tcBorders>
                    <w:top w:val="single" w:color="auto" w:sz="4" w:space="0"/>
                    <w:tl2br w:val="nil"/>
                    <w:tr2bl w:val="nil"/>
                  </w:tcBorders>
                  <w:noWrap w:val="0"/>
                  <w:vAlign w:val="center"/>
                </w:tcPr>
                <w:p w14:paraId="3AC1C9AF">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2#车间</w:t>
                  </w:r>
                </w:p>
              </w:tc>
              <w:tc>
                <w:tcPr>
                  <w:tcW w:w="2206" w:type="pct"/>
                  <w:tcBorders>
                    <w:top w:val="single" w:color="auto" w:sz="4" w:space="0"/>
                    <w:tl2br w:val="nil"/>
                    <w:tr2bl w:val="nil"/>
                  </w:tcBorders>
                  <w:noWrap w:val="0"/>
                  <w:vAlign w:val="center"/>
                </w:tcPr>
                <w:p w14:paraId="7D94EFD2">
                  <w:pPr>
                    <w:keepNext w:val="0"/>
                    <w:keepLines w:val="0"/>
                    <w:pageBreakBefore w:val="0"/>
                    <w:widowControl w:val="0"/>
                    <w:kinsoku/>
                    <w:wordWrap/>
                    <w:overflowPunct/>
                    <w:topLinePunct w:val="0"/>
                    <w:bidi w:val="0"/>
                    <w:snapToGrid/>
                    <w:spacing w:line="30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2#车间</w:t>
                  </w:r>
                  <w:r>
                    <w:rPr>
                      <w:rFonts w:hint="eastAsia" w:ascii="Times New Roman" w:hAnsi="Times New Roman" w:cs="Times New Roman"/>
                      <w:b/>
                      <w:bCs/>
                      <w:color w:val="auto"/>
                      <w:sz w:val="21"/>
                      <w:szCs w:val="21"/>
                      <w:highlight w:val="none"/>
                      <w:lang w:val="en-US" w:eastAsia="zh-CN"/>
                    </w:rPr>
                    <w:t>：</w:t>
                  </w:r>
                  <w:r>
                    <w:rPr>
                      <w:rFonts w:hint="eastAsia" w:ascii="Times New Roman" w:hAnsi="Times New Roman" w:eastAsia="宋体" w:cs="Times New Roman"/>
                      <w:b w:val="0"/>
                      <w:bCs w:val="0"/>
                      <w:color w:val="auto"/>
                      <w:sz w:val="21"/>
                      <w:szCs w:val="21"/>
                      <w:vertAlign w:val="baseline"/>
                      <w:lang w:val="en-US" w:eastAsia="zh-CN"/>
                    </w:rPr>
                    <w:t>建筑面积约</w:t>
                  </w:r>
                  <w:r>
                    <w:rPr>
                      <w:rFonts w:hint="eastAsia" w:cs="Times New Roman"/>
                      <w:bCs/>
                      <w:color w:val="auto"/>
                      <w:sz w:val="21"/>
                      <w:szCs w:val="21"/>
                      <w:highlight w:val="none"/>
                      <w:lang w:val="en-US" w:eastAsia="zh-CN"/>
                    </w:rPr>
                    <w:t>12078.6</w:t>
                  </w:r>
                  <w:r>
                    <w:rPr>
                      <w:rFonts w:hint="eastAsia" w:ascii="Times New Roman" w:hAnsi="Times New Roman" w:eastAsia="宋体" w:cs="Times New Roman"/>
                      <w:b w:val="0"/>
                      <w:bCs w:val="0"/>
                      <w:color w:val="auto"/>
                      <w:sz w:val="21"/>
                      <w:szCs w:val="21"/>
                      <w:vertAlign w:val="baseline"/>
                      <w:lang w:val="en-US" w:eastAsia="zh-CN"/>
                    </w:rPr>
                    <w:t>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cs="Times New Roman"/>
                      <w:b w:val="0"/>
                      <w:bCs w:val="0"/>
                      <w:color w:val="auto"/>
                      <w:sz w:val="21"/>
                      <w:szCs w:val="21"/>
                      <w:highlight w:val="none"/>
                      <w:lang w:val="en-US" w:eastAsia="zh-CN"/>
                    </w:rPr>
                    <w:t>租用遂宁瑞裕建材有限公司已建的生产厂房及生活配套用房，位于大英县蓬莱镇工业集中发展区采和大道1楼2#车间，</w:t>
                  </w:r>
                  <w:r>
                    <w:rPr>
                      <w:rFonts w:hint="eastAsia" w:cs="Times New Roman"/>
                      <w:b w:val="0"/>
                      <w:bCs w:val="0"/>
                      <w:color w:val="auto"/>
                      <w:sz w:val="21"/>
                      <w:szCs w:val="21"/>
                      <w:highlight w:val="none"/>
                      <w:lang w:val="en-US" w:eastAsia="zh-CN"/>
                    </w:rPr>
                    <w:t>依托厂房，</w:t>
                  </w:r>
                  <w:r>
                    <w:rPr>
                      <w:rFonts w:hint="default" w:ascii="Times New Roman" w:hAnsi="Times New Roman" w:eastAsia="宋体" w:cs="Times New Roman"/>
                      <w:color w:val="auto"/>
                      <w:sz w:val="21"/>
                      <w:szCs w:val="21"/>
                      <w:highlight w:val="none"/>
                      <w:lang w:val="en-US" w:eastAsia="zh-CN"/>
                    </w:rPr>
                    <w:t>拟</w:t>
                  </w:r>
                  <w:r>
                    <w:rPr>
                      <w:rFonts w:hint="eastAsia" w:cs="Times New Roman"/>
                      <w:color w:val="auto"/>
                      <w:sz w:val="21"/>
                      <w:szCs w:val="21"/>
                      <w:highlight w:val="none"/>
                      <w:lang w:val="en-US" w:eastAsia="zh-CN"/>
                    </w:rPr>
                    <w:t>新建制版间、冲板间、CTP制版机、罗兰印刷机、丝印机、覆膜机、光固机、裱糊成型生产线，拟将1#车间5台丝印机搬迁至2#车间等</w:t>
                  </w:r>
                </w:p>
              </w:tc>
              <w:tc>
                <w:tcPr>
                  <w:tcW w:w="529" w:type="pct"/>
                  <w:vMerge w:val="continue"/>
                  <w:tcBorders>
                    <w:tl2br w:val="nil"/>
                    <w:tr2bl w:val="nil"/>
                  </w:tcBorders>
                  <w:noWrap w:val="0"/>
                  <w:vAlign w:val="center"/>
                </w:tcPr>
                <w:p w14:paraId="2FA58112">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yellow"/>
                    </w:rPr>
                  </w:pPr>
                </w:p>
              </w:tc>
              <w:tc>
                <w:tcPr>
                  <w:tcW w:w="747" w:type="pct"/>
                  <w:tcBorders>
                    <w:top w:val="single" w:color="auto" w:sz="4" w:space="0"/>
                    <w:tl2br w:val="nil"/>
                    <w:tr2bl w:val="nil"/>
                  </w:tcBorders>
                  <w:noWrap w:val="0"/>
                  <w:vAlign w:val="center"/>
                </w:tcPr>
                <w:p w14:paraId="140351D8">
                  <w:pPr>
                    <w:keepNext w:val="0"/>
                    <w:keepLines w:val="0"/>
                    <w:pageBreakBefore w:val="0"/>
                    <w:widowControl w:val="0"/>
                    <w:kinsoku/>
                    <w:wordWrap/>
                    <w:overflowPunct/>
                    <w:topLinePunct w:val="0"/>
                    <w:bidi w:val="0"/>
                    <w:snapToGrid/>
                    <w:spacing w:line="30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p w14:paraId="2E577DCA">
                  <w:pPr>
                    <w:keepNext w:val="0"/>
                    <w:keepLines w:val="0"/>
                    <w:pageBreakBefore w:val="0"/>
                    <w:widowControl w:val="0"/>
                    <w:kinsoku/>
                    <w:wordWrap/>
                    <w:overflowPunct/>
                    <w:topLinePunct w:val="0"/>
                    <w:bidi w:val="0"/>
                    <w:snapToGrid/>
                    <w:spacing w:line="30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p w14:paraId="66E077C1">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lang w:eastAsia="zh-CN"/>
                    </w:rPr>
                    <w:t>废气</w:t>
                  </w:r>
                </w:p>
              </w:tc>
              <w:tc>
                <w:tcPr>
                  <w:tcW w:w="455" w:type="pct"/>
                  <w:tcBorders>
                    <w:top w:val="single" w:color="auto" w:sz="4" w:space="0"/>
                    <w:tl2br w:val="nil"/>
                    <w:tr2bl w:val="nil"/>
                  </w:tcBorders>
                  <w:noWrap w:val="0"/>
                  <w:vAlign w:val="center"/>
                </w:tcPr>
                <w:p w14:paraId="2D8CAB81">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eastAsia="zh-CN"/>
                    </w:rPr>
                    <w:t>依托厂房新建</w:t>
                  </w:r>
                </w:p>
              </w:tc>
            </w:tr>
            <w:tr w14:paraId="5063B8E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c>
                <w:tcPr>
                  <w:tcW w:w="420" w:type="pct"/>
                  <w:vMerge w:val="restart"/>
                  <w:tcBorders>
                    <w:tl2br w:val="nil"/>
                    <w:tr2bl w:val="nil"/>
                  </w:tcBorders>
                  <w:noWrap w:val="0"/>
                  <w:vAlign w:val="center"/>
                </w:tcPr>
                <w:p w14:paraId="12F63D90">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公用辅助工程</w:t>
                  </w:r>
                </w:p>
              </w:tc>
              <w:tc>
                <w:tcPr>
                  <w:tcW w:w="640" w:type="pct"/>
                  <w:tcBorders>
                    <w:tl2br w:val="nil"/>
                    <w:tr2bl w:val="nil"/>
                  </w:tcBorders>
                  <w:noWrap w:val="0"/>
                  <w:vAlign w:val="center"/>
                </w:tcPr>
                <w:p w14:paraId="0D6E6E58">
                  <w:pPr>
                    <w:pStyle w:val="91"/>
                    <w:keepNext w:val="0"/>
                    <w:keepLines w:val="0"/>
                    <w:pageBreakBefore w:val="0"/>
                    <w:widowControl w:val="0"/>
                    <w:suppressLineNumbers w:val="0"/>
                    <w:tabs>
                      <w:tab w:val="left" w:pos="9615"/>
                    </w:tabs>
                    <w:kinsoku/>
                    <w:wordWrap/>
                    <w:overflowPunct/>
                    <w:topLinePunct w:val="0"/>
                    <w:bidi w:val="0"/>
                    <w:adjustRightInd w:val="0"/>
                    <w:snapToGrid/>
                    <w:spacing w:before="0" w:beforeAutospacing="0" w:after="0" w:afterAutospacing="0" w:line="300" w:lineRule="auto"/>
                    <w:ind w:left="0" w:right="0"/>
                    <w:textAlignment w:val="baseline"/>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rPr>
                    <w:t>供电</w:t>
                  </w:r>
                </w:p>
              </w:tc>
              <w:tc>
                <w:tcPr>
                  <w:tcW w:w="2206" w:type="pct"/>
                  <w:tcBorders>
                    <w:tl2br w:val="nil"/>
                    <w:tr2bl w:val="nil"/>
                  </w:tcBorders>
                  <w:noWrap w:val="0"/>
                  <w:vAlign w:val="center"/>
                </w:tcPr>
                <w:p w14:paraId="54AF25EA">
                  <w:pPr>
                    <w:pStyle w:val="91"/>
                    <w:keepNext w:val="0"/>
                    <w:keepLines w:val="0"/>
                    <w:pageBreakBefore w:val="0"/>
                    <w:widowControl w:val="0"/>
                    <w:suppressLineNumbers w:val="0"/>
                    <w:tabs>
                      <w:tab w:val="left" w:pos="9615"/>
                    </w:tabs>
                    <w:kinsoku/>
                    <w:wordWrap/>
                    <w:overflowPunct/>
                    <w:topLinePunct w:val="0"/>
                    <w:bidi w:val="0"/>
                    <w:adjustRightInd w:val="0"/>
                    <w:snapToGrid/>
                    <w:spacing w:before="0" w:beforeAutospacing="0" w:after="0" w:afterAutospacing="0" w:line="300" w:lineRule="auto"/>
                    <w:ind w:left="0" w:right="0"/>
                    <w:jc w:val="both"/>
                    <w:textAlignment w:val="baseline"/>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依托园区供电系统</w:t>
                  </w:r>
                  <w:r>
                    <w:rPr>
                      <w:rFonts w:hint="eastAsia" w:ascii="Times New Roman" w:hAnsi="Times New Roman" w:cs="Times New Roman"/>
                      <w:color w:val="auto"/>
                      <w:sz w:val="21"/>
                      <w:szCs w:val="21"/>
                      <w:lang w:eastAsia="zh-CN"/>
                    </w:rPr>
                    <w:t>。</w:t>
                  </w:r>
                </w:p>
              </w:tc>
              <w:tc>
                <w:tcPr>
                  <w:tcW w:w="529" w:type="pct"/>
                  <w:vMerge w:val="continue"/>
                  <w:tcBorders>
                    <w:tl2br w:val="nil"/>
                    <w:tr2bl w:val="nil"/>
                  </w:tcBorders>
                  <w:noWrap w:val="0"/>
                  <w:vAlign w:val="center"/>
                </w:tcPr>
                <w:p w14:paraId="3F124754">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p>
              </w:tc>
              <w:tc>
                <w:tcPr>
                  <w:tcW w:w="747" w:type="pct"/>
                  <w:tcBorders>
                    <w:tl2br w:val="nil"/>
                    <w:tr2bl w:val="nil"/>
                  </w:tcBorders>
                  <w:noWrap w:val="0"/>
                  <w:vAlign w:val="center"/>
                </w:tcPr>
                <w:p w14:paraId="2D1A4AC7">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55" w:type="pct"/>
                  <w:tcBorders>
                    <w:tl2br w:val="nil"/>
                    <w:tr2bl w:val="nil"/>
                  </w:tcBorders>
                  <w:noWrap w:val="0"/>
                  <w:vAlign w:val="center"/>
                </w:tcPr>
                <w:p w14:paraId="4475F691">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w:t>
                  </w:r>
                </w:p>
              </w:tc>
            </w:tr>
            <w:tr w14:paraId="15B1778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c>
                <w:tcPr>
                  <w:tcW w:w="420" w:type="pct"/>
                  <w:vMerge w:val="continue"/>
                  <w:tcBorders>
                    <w:tl2br w:val="nil"/>
                    <w:tr2bl w:val="nil"/>
                  </w:tcBorders>
                  <w:noWrap w:val="0"/>
                  <w:vAlign w:val="center"/>
                </w:tcPr>
                <w:p w14:paraId="479461B1">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p>
              </w:tc>
              <w:tc>
                <w:tcPr>
                  <w:tcW w:w="640" w:type="pct"/>
                  <w:tcBorders>
                    <w:tl2br w:val="nil"/>
                    <w:tr2bl w:val="nil"/>
                  </w:tcBorders>
                  <w:noWrap w:val="0"/>
                  <w:vAlign w:val="center"/>
                </w:tcPr>
                <w:p w14:paraId="5876DE42">
                  <w:pPr>
                    <w:pStyle w:val="91"/>
                    <w:keepNext w:val="0"/>
                    <w:keepLines w:val="0"/>
                    <w:pageBreakBefore w:val="0"/>
                    <w:widowControl w:val="0"/>
                    <w:suppressLineNumbers w:val="0"/>
                    <w:tabs>
                      <w:tab w:val="left" w:pos="9615"/>
                    </w:tabs>
                    <w:kinsoku/>
                    <w:wordWrap/>
                    <w:overflowPunct/>
                    <w:topLinePunct w:val="0"/>
                    <w:bidi w:val="0"/>
                    <w:adjustRightInd w:val="0"/>
                    <w:snapToGrid/>
                    <w:spacing w:before="0" w:beforeAutospacing="0" w:after="0" w:afterAutospacing="0" w:line="300" w:lineRule="auto"/>
                    <w:ind w:left="0" w:right="0"/>
                    <w:textAlignment w:val="baseline"/>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rPr>
                    <w:t>供水</w:t>
                  </w:r>
                </w:p>
              </w:tc>
              <w:tc>
                <w:tcPr>
                  <w:tcW w:w="2206" w:type="pct"/>
                  <w:tcBorders>
                    <w:tl2br w:val="nil"/>
                    <w:tr2bl w:val="nil"/>
                  </w:tcBorders>
                  <w:noWrap w:val="0"/>
                  <w:vAlign w:val="center"/>
                </w:tcPr>
                <w:p w14:paraId="63567A93">
                  <w:pPr>
                    <w:pStyle w:val="91"/>
                    <w:keepNext w:val="0"/>
                    <w:keepLines w:val="0"/>
                    <w:pageBreakBefore w:val="0"/>
                    <w:widowControl w:val="0"/>
                    <w:suppressLineNumbers w:val="0"/>
                    <w:tabs>
                      <w:tab w:val="left" w:pos="9615"/>
                    </w:tabs>
                    <w:kinsoku/>
                    <w:wordWrap/>
                    <w:overflowPunct/>
                    <w:topLinePunct w:val="0"/>
                    <w:bidi w:val="0"/>
                    <w:adjustRightInd w:val="0"/>
                    <w:snapToGrid/>
                    <w:spacing w:before="0" w:beforeAutospacing="0" w:after="0" w:afterAutospacing="0" w:line="300" w:lineRule="auto"/>
                    <w:ind w:left="0" w:right="0"/>
                    <w:jc w:val="both"/>
                    <w:textAlignment w:val="baseline"/>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依托园区供水系统</w:t>
                  </w:r>
                  <w:r>
                    <w:rPr>
                      <w:rFonts w:hint="eastAsia" w:ascii="Times New Roman" w:hAnsi="Times New Roman" w:cs="Times New Roman"/>
                      <w:color w:val="auto"/>
                      <w:sz w:val="21"/>
                      <w:szCs w:val="21"/>
                      <w:lang w:eastAsia="zh-CN"/>
                    </w:rPr>
                    <w:t>。</w:t>
                  </w:r>
                </w:p>
              </w:tc>
              <w:tc>
                <w:tcPr>
                  <w:tcW w:w="529" w:type="pct"/>
                  <w:vMerge w:val="continue"/>
                  <w:tcBorders>
                    <w:tl2br w:val="nil"/>
                    <w:tr2bl w:val="nil"/>
                  </w:tcBorders>
                  <w:noWrap w:val="0"/>
                  <w:vAlign w:val="center"/>
                </w:tcPr>
                <w:p w14:paraId="7C6CDA3B">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p>
              </w:tc>
              <w:tc>
                <w:tcPr>
                  <w:tcW w:w="747" w:type="pct"/>
                  <w:tcBorders>
                    <w:tl2br w:val="nil"/>
                    <w:tr2bl w:val="nil"/>
                  </w:tcBorders>
                  <w:noWrap w:val="0"/>
                  <w:vAlign w:val="center"/>
                </w:tcPr>
                <w:p w14:paraId="6026C383">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55" w:type="pct"/>
                  <w:tcBorders>
                    <w:tl2br w:val="nil"/>
                    <w:tr2bl w:val="nil"/>
                  </w:tcBorders>
                  <w:noWrap w:val="0"/>
                  <w:vAlign w:val="center"/>
                </w:tcPr>
                <w:p w14:paraId="0C17E8DE">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w:t>
                  </w:r>
                </w:p>
              </w:tc>
            </w:tr>
            <w:tr w14:paraId="3B00D74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0" w:hRule="atLeast"/>
              </w:trPr>
              <w:tc>
                <w:tcPr>
                  <w:tcW w:w="420" w:type="pct"/>
                  <w:vMerge w:val="continue"/>
                  <w:tcBorders>
                    <w:bottom w:val="single" w:color="auto" w:sz="4" w:space="0"/>
                    <w:tl2br w:val="nil"/>
                    <w:tr2bl w:val="nil"/>
                  </w:tcBorders>
                  <w:noWrap w:val="0"/>
                  <w:vAlign w:val="center"/>
                </w:tcPr>
                <w:p w14:paraId="1FA6141A">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p>
              </w:tc>
              <w:tc>
                <w:tcPr>
                  <w:tcW w:w="640" w:type="pct"/>
                  <w:tcBorders>
                    <w:bottom w:val="single" w:color="auto" w:sz="4" w:space="0"/>
                    <w:tl2br w:val="nil"/>
                    <w:tr2bl w:val="nil"/>
                  </w:tcBorders>
                  <w:noWrap w:val="0"/>
                  <w:vAlign w:val="center"/>
                </w:tcPr>
                <w:p w14:paraId="73EBF244">
                  <w:pPr>
                    <w:pStyle w:val="91"/>
                    <w:keepNext w:val="0"/>
                    <w:keepLines w:val="0"/>
                    <w:pageBreakBefore w:val="0"/>
                    <w:widowControl w:val="0"/>
                    <w:suppressLineNumbers w:val="0"/>
                    <w:tabs>
                      <w:tab w:val="left" w:pos="9615"/>
                    </w:tabs>
                    <w:kinsoku/>
                    <w:wordWrap/>
                    <w:overflowPunct/>
                    <w:topLinePunct w:val="0"/>
                    <w:bidi w:val="0"/>
                    <w:adjustRightInd w:val="0"/>
                    <w:snapToGrid/>
                    <w:spacing w:before="0" w:beforeAutospacing="0" w:after="0" w:afterAutospacing="0" w:line="300" w:lineRule="auto"/>
                    <w:ind w:left="0" w:right="0"/>
                    <w:jc w:val="center"/>
                    <w:textAlignment w:val="baseline"/>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rPr>
                    <w:t>排水</w:t>
                  </w:r>
                </w:p>
              </w:tc>
              <w:tc>
                <w:tcPr>
                  <w:tcW w:w="2206" w:type="pct"/>
                  <w:tcBorders>
                    <w:bottom w:val="single" w:color="auto" w:sz="4" w:space="0"/>
                    <w:tl2br w:val="nil"/>
                    <w:tr2bl w:val="nil"/>
                  </w:tcBorders>
                  <w:noWrap w:val="0"/>
                  <w:vAlign w:val="center"/>
                </w:tcPr>
                <w:p w14:paraId="559CBBF2">
                  <w:pPr>
                    <w:pStyle w:val="91"/>
                    <w:keepNext w:val="0"/>
                    <w:keepLines w:val="0"/>
                    <w:pageBreakBefore w:val="0"/>
                    <w:widowControl w:val="0"/>
                    <w:suppressLineNumbers w:val="0"/>
                    <w:tabs>
                      <w:tab w:val="left" w:pos="9615"/>
                    </w:tabs>
                    <w:kinsoku/>
                    <w:wordWrap/>
                    <w:overflowPunct/>
                    <w:topLinePunct w:val="0"/>
                    <w:bidi w:val="0"/>
                    <w:adjustRightInd w:val="0"/>
                    <w:snapToGrid/>
                    <w:spacing w:before="0" w:beforeAutospacing="0" w:after="0" w:afterAutospacing="0" w:line="300" w:lineRule="auto"/>
                    <w:ind w:left="0" w:right="0"/>
                    <w:jc w:val="both"/>
                    <w:textAlignment w:val="baseline"/>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依托园区排水管网、预处理池</w:t>
                  </w:r>
                  <w:r>
                    <w:rPr>
                      <w:rFonts w:hint="eastAsia" w:ascii="Times New Roman" w:hAnsi="Times New Roman" w:cs="Times New Roman"/>
                      <w:color w:val="auto"/>
                      <w:sz w:val="21"/>
                      <w:szCs w:val="21"/>
                      <w:lang w:eastAsia="zh-CN"/>
                    </w:rPr>
                    <w:t>。</w:t>
                  </w:r>
                </w:p>
              </w:tc>
              <w:tc>
                <w:tcPr>
                  <w:tcW w:w="529" w:type="pct"/>
                  <w:vMerge w:val="continue"/>
                  <w:tcBorders>
                    <w:tl2br w:val="nil"/>
                    <w:tr2bl w:val="nil"/>
                  </w:tcBorders>
                  <w:noWrap w:val="0"/>
                  <w:vAlign w:val="center"/>
                </w:tcPr>
                <w:p w14:paraId="2D1ED6EB">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p>
              </w:tc>
              <w:tc>
                <w:tcPr>
                  <w:tcW w:w="747" w:type="pct"/>
                  <w:tcBorders>
                    <w:tl2br w:val="nil"/>
                    <w:tr2bl w:val="nil"/>
                  </w:tcBorders>
                  <w:noWrap w:val="0"/>
                  <w:vAlign w:val="center"/>
                </w:tcPr>
                <w:p w14:paraId="04817675">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w:t>
                  </w:r>
                </w:p>
              </w:tc>
              <w:tc>
                <w:tcPr>
                  <w:tcW w:w="455" w:type="pct"/>
                  <w:tcBorders>
                    <w:tl2br w:val="nil"/>
                    <w:tr2bl w:val="nil"/>
                  </w:tcBorders>
                  <w:noWrap w:val="0"/>
                  <w:vAlign w:val="center"/>
                </w:tcPr>
                <w:p w14:paraId="0B4F33D1">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w:t>
                  </w:r>
                </w:p>
              </w:tc>
            </w:tr>
            <w:tr w14:paraId="0C7BCC4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6" w:hRule="atLeast"/>
              </w:trPr>
              <w:tc>
                <w:tcPr>
                  <w:tcW w:w="420" w:type="pct"/>
                  <w:vMerge w:val="restart"/>
                  <w:tcBorders>
                    <w:tl2br w:val="nil"/>
                    <w:tr2bl w:val="nil"/>
                  </w:tcBorders>
                  <w:noWrap w:val="0"/>
                  <w:vAlign w:val="center"/>
                </w:tcPr>
                <w:p w14:paraId="37CBC8D9">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办公</w:t>
                  </w:r>
                  <w:r>
                    <w:rPr>
                      <w:rFonts w:hint="eastAsia" w:ascii="Times New Roman" w:hAnsi="Times New Roman" w:cs="Times New Roman"/>
                      <w:color w:val="auto"/>
                      <w:sz w:val="21"/>
                      <w:szCs w:val="21"/>
                      <w:highlight w:val="none"/>
                      <w:lang w:val="en-US" w:eastAsia="zh-CN"/>
                    </w:rPr>
                    <w:t>及生活</w:t>
                  </w:r>
                  <w:r>
                    <w:rPr>
                      <w:rFonts w:hint="default" w:ascii="Times New Roman" w:hAnsi="Times New Roman" w:eastAsia="宋体" w:cs="Times New Roman"/>
                      <w:color w:val="auto"/>
                      <w:sz w:val="21"/>
                      <w:szCs w:val="21"/>
                      <w:highlight w:val="none"/>
                    </w:rPr>
                    <w:t>设施</w:t>
                  </w:r>
                </w:p>
              </w:tc>
              <w:tc>
                <w:tcPr>
                  <w:tcW w:w="640" w:type="pct"/>
                  <w:vMerge w:val="restart"/>
                  <w:tcBorders>
                    <w:tl2br w:val="nil"/>
                    <w:tr2bl w:val="nil"/>
                  </w:tcBorders>
                  <w:noWrap w:val="0"/>
                  <w:vAlign w:val="center"/>
                </w:tcPr>
                <w:p w14:paraId="1D063F1A">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办公区</w:t>
                  </w:r>
                </w:p>
              </w:tc>
              <w:tc>
                <w:tcPr>
                  <w:tcW w:w="2206" w:type="pct"/>
                  <w:tcBorders>
                    <w:bottom w:val="single" w:color="auto" w:sz="4" w:space="0"/>
                    <w:tl2br w:val="nil"/>
                    <w:tr2bl w:val="nil"/>
                  </w:tcBorders>
                  <w:noWrap w:val="0"/>
                  <w:vAlign w:val="center"/>
                </w:tcPr>
                <w:p w14:paraId="516F15F5">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1#办公楼3F为办公室、1F为展厅</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2#办公楼1F设有财务办公室。</w:t>
                  </w:r>
                </w:p>
              </w:tc>
              <w:tc>
                <w:tcPr>
                  <w:tcW w:w="529" w:type="pct"/>
                  <w:vMerge w:val="continue"/>
                  <w:tcBorders>
                    <w:tl2br w:val="nil"/>
                    <w:tr2bl w:val="nil"/>
                  </w:tcBorders>
                  <w:noWrap w:val="0"/>
                  <w:vAlign w:val="center"/>
                </w:tcPr>
                <w:p w14:paraId="5BB78E67">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yellow"/>
                    </w:rPr>
                  </w:pPr>
                </w:p>
              </w:tc>
              <w:tc>
                <w:tcPr>
                  <w:tcW w:w="747" w:type="pct"/>
                  <w:tcBorders>
                    <w:bottom w:val="single" w:color="auto" w:sz="4" w:space="0"/>
                    <w:tl2br w:val="nil"/>
                    <w:tr2bl w:val="nil"/>
                  </w:tcBorders>
                  <w:noWrap w:val="0"/>
                  <w:vAlign w:val="center"/>
                </w:tcPr>
                <w:p w14:paraId="7D5E38BC">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455" w:type="pct"/>
                  <w:tcBorders>
                    <w:bottom w:val="single" w:color="auto" w:sz="4" w:space="0"/>
                    <w:tl2br w:val="nil"/>
                    <w:tr2bl w:val="nil"/>
                  </w:tcBorders>
                  <w:noWrap w:val="0"/>
                  <w:vAlign w:val="center"/>
                </w:tcPr>
                <w:p w14:paraId="7168D5CF">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新建</w:t>
                  </w:r>
                </w:p>
              </w:tc>
            </w:tr>
            <w:tr w14:paraId="3941772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600" w:hRule="atLeast"/>
              </w:trPr>
              <w:tc>
                <w:tcPr>
                  <w:tcW w:w="420" w:type="pct"/>
                  <w:vMerge w:val="continue"/>
                  <w:tcBorders>
                    <w:tl2br w:val="nil"/>
                    <w:tr2bl w:val="nil"/>
                  </w:tcBorders>
                  <w:noWrap w:val="0"/>
                  <w:vAlign w:val="center"/>
                </w:tcPr>
                <w:p w14:paraId="020DEF4E">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yellow"/>
                    </w:rPr>
                  </w:pPr>
                </w:p>
              </w:tc>
              <w:tc>
                <w:tcPr>
                  <w:tcW w:w="640" w:type="pct"/>
                  <w:vMerge w:val="continue"/>
                  <w:tcBorders>
                    <w:bottom w:val="single" w:color="auto" w:sz="4" w:space="0"/>
                    <w:tl2br w:val="nil"/>
                    <w:tr2bl w:val="nil"/>
                  </w:tcBorders>
                  <w:noWrap w:val="0"/>
                  <w:vAlign w:val="center"/>
                </w:tcPr>
                <w:p w14:paraId="66FC101B">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tc>
              <w:tc>
                <w:tcPr>
                  <w:tcW w:w="2206" w:type="pct"/>
                  <w:tcBorders>
                    <w:top w:val="single" w:color="auto" w:sz="4" w:space="0"/>
                    <w:bottom w:val="single" w:color="auto" w:sz="4" w:space="0"/>
                    <w:tl2br w:val="nil"/>
                    <w:tr2bl w:val="nil"/>
                  </w:tcBorders>
                  <w:noWrap w:val="0"/>
                  <w:vAlign w:val="center"/>
                </w:tcPr>
                <w:p w14:paraId="6D110DF6">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2#车间临时办公室约40m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lang w:val="en-US" w:eastAsia="zh-CN"/>
                    </w:rPr>
                    <w:t>位于车间西侧</w:t>
                  </w:r>
                  <w:r>
                    <w:rPr>
                      <w:rFonts w:hint="default" w:ascii="Times New Roman" w:hAnsi="Times New Roman" w:eastAsia="宋体" w:cs="Times New Roman"/>
                      <w:color w:val="auto"/>
                      <w:sz w:val="21"/>
                      <w:szCs w:val="21"/>
                      <w:highlight w:val="none"/>
                      <w:lang w:eastAsia="zh-CN"/>
                    </w:rPr>
                    <w:t>。</w:t>
                  </w:r>
                </w:p>
              </w:tc>
              <w:tc>
                <w:tcPr>
                  <w:tcW w:w="529" w:type="pct"/>
                  <w:vMerge w:val="continue"/>
                  <w:tcBorders>
                    <w:tl2br w:val="nil"/>
                    <w:tr2bl w:val="nil"/>
                  </w:tcBorders>
                  <w:noWrap w:val="0"/>
                  <w:vAlign w:val="center"/>
                </w:tcPr>
                <w:p w14:paraId="5801BC0D">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yellow"/>
                    </w:rPr>
                  </w:pPr>
                </w:p>
              </w:tc>
              <w:tc>
                <w:tcPr>
                  <w:tcW w:w="747" w:type="pct"/>
                  <w:tcBorders>
                    <w:top w:val="single" w:color="auto" w:sz="4" w:space="0"/>
                    <w:bottom w:val="single" w:color="auto" w:sz="4" w:space="0"/>
                    <w:tl2br w:val="nil"/>
                    <w:tr2bl w:val="nil"/>
                  </w:tcBorders>
                  <w:noWrap w:val="0"/>
                  <w:vAlign w:val="center"/>
                </w:tcPr>
                <w:p w14:paraId="586CD9BA">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455" w:type="pct"/>
                  <w:tcBorders>
                    <w:top w:val="single" w:color="auto" w:sz="4" w:space="0"/>
                    <w:bottom w:val="single" w:color="auto" w:sz="4" w:space="0"/>
                    <w:tl2br w:val="nil"/>
                    <w:tr2bl w:val="nil"/>
                  </w:tcBorders>
                  <w:noWrap w:val="0"/>
                  <w:vAlign w:val="center"/>
                </w:tcPr>
                <w:p w14:paraId="2E85AA9F">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r>
            <w:tr w14:paraId="305E5B4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57" w:hRule="atLeast"/>
              </w:trPr>
              <w:tc>
                <w:tcPr>
                  <w:tcW w:w="420" w:type="pct"/>
                  <w:vMerge w:val="continue"/>
                  <w:tcBorders>
                    <w:tl2br w:val="nil"/>
                    <w:tr2bl w:val="nil"/>
                  </w:tcBorders>
                  <w:noWrap w:val="0"/>
                  <w:vAlign w:val="center"/>
                </w:tcPr>
                <w:p w14:paraId="6B370748">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yellow"/>
                    </w:rPr>
                  </w:pPr>
                </w:p>
              </w:tc>
              <w:tc>
                <w:tcPr>
                  <w:tcW w:w="640" w:type="pct"/>
                  <w:tcBorders>
                    <w:top w:val="single" w:color="auto" w:sz="4" w:space="0"/>
                    <w:bottom w:val="single" w:color="auto" w:sz="4" w:space="0"/>
                    <w:tl2br w:val="nil"/>
                    <w:tr2bl w:val="nil"/>
                  </w:tcBorders>
                  <w:noWrap w:val="0"/>
                  <w:vAlign w:val="center"/>
                </w:tcPr>
                <w:p w14:paraId="3093F06C">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宿舍</w:t>
                  </w:r>
                </w:p>
              </w:tc>
              <w:tc>
                <w:tcPr>
                  <w:tcW w:w="2206" w:type="pct"/>
                  <w:tcBorders>
                    <w:top w:val="single" w:color="auto" w:sz="4" w:space="0"/>
                    <w:bottom w:val="single" w:color="auto" w:sz="4" w:space="0"/>
                    <w:tl2br w:val="nil"/>
                    <w:tr2bl w:val="nil"/>
                  </w:tcBorders>
                  <w:noWrap w:val="0"/>
                  <w:vAlign w:val="center"/>
                </w:tcPr>
                <w:p w14:paraId="5235A9F2">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租用2#办公楼1F作为员工宿舍。</w:t>
                  </w:r>
                </w:p>
              </w:tc>
              <w:tc>
                <w:tcPr>
                  <w:tcW w:w="529" w:type="pct"/>
                  <w:vMerge w:val="continue"/>
                  <w:tcBorders>
                    <w:tl2br w:val="nil"/>
                    <w:tr2bl w:val="nil"/>
                  </w:tcBorders>
                  <w:noWrap w:val="0"/>
                  <w:vAlign w:val="center"/>
                </w:tcPr>
                <w:p w14:paraId="282D845E">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yellow"/>
                    </w:rPr>
                  </w:pPr>
                </w:p>
              </w:tc>
              <w:tc>
                <w:tcPr>
                  <w:tcW w:w="747" w:type="pct"/>
                  <w:tcBorders>
                    <w:top w:val="single" w:color="auto" w:sz="4" w:space="0"/>
                    <w:bottom w:val="single" w:color="auto" w:sz="4" w:space="0"/>
                    <w:tl2br w:val="nil"/>
                    <w:tr2bl w:val="nil"/>
                  </w:tcBorders>
                  <w:noWrap w:val="0"/>
                  <w:vAlign w:val="center"/>
                </w:tcPr>
                <w:p w14:paraId="63E19518">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生活污水</w:t>
                  </w:r>
                </w:p>
              </w:tc>
              <w:tc>
                <w:tcPr>
                  <w:tcW w:w="455" w:type="pct"/>
                  <w:tcBorders>
                    <w:top w:val="single" w:color="auto" w:sz="4" w:space="0"/>
                    <w:bottom w:val="single" w:color="auto" w:sz="4" w:space="0"/>
                    <w:tl2br w:val="nil"/>
                    <w:tr2bl w:val="nil"/>
                  </w:tcBorders>
                  <w:noWrap w:val="0"/>
                  <w:vAlign w:val="center"/>
                </w:tcPr>
                <w:p w14:paraId="0F1345B0">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0AC286A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68" w:hRule="atLeast"/>
              </w:trPr>
              <w:tc>
                <w:tcPr>
                  <w:tcW w:w="420" w:type="pct"/>
                  <w:vMerge w:val="continue"/>
                  <w:tcBorders>
                    <w:tl2br w:val="nil"/>
                    <w:tr2bl w:val="nil"/>
                  </w:tcBorders>
                  <w:noWrap w:val="0"/>
                  <w:vAlign w:val="center"/>
                </w:tcPr>
                <w:p w14:paraId="1E2607B2">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yellow"/>
                    </w:rPr>
                  </w:pPr>
                </w:p>
              </w:tc>
              <w:tc>
                <w:tcPr>
                  <w:tcW w:w="640" w:type="pct"/>
                  <w:tcBorders>
                    <w:top w:val="single" w:color="auto" w:sz="4" w:space="0"/>
                    <w:tl2br w:val="nil"/>
                    <w:tr2bl w:val="nil"/>
                  </w:tcBorders>
                  <w:noWrap w:val="0"/>
                  <w:vAlign w:val="center"/>
                </w:tcPr>
                <w:p w14:paraId="56228F78">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食堂</w:t>
                  </w:r>
                </w:p>
              </w:tc>
              <w:tc>
                <w:tcPr>
                  <w:tcW w:w="2206" w:type="pct"/>
                  <w:tcBorders>
                    <w:top w:val="single" w:color="auto" w:sz="4" w:space="0"/>
                    <w:tl2br w:val="nil"/>
                    <w:tr2bl w:val="nil"/>
                  </w:tcBorders>
                  <w:noWrap w:val="0"/>
                  <w:vAlign w:val="center"/>
                </w:tcPr>
                <w:p w14:paraId="2316475E">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jc w:val="both"/>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食堂：位于2#办公楼1F。</w:t>
                  </w:r>
                </w:p>
              </w:tc>
              <w:tc>
                <w:tcPr>
                  <w:tcW w:w="529" w:type="pct"/>
                  <w:vMerge w:val="continue"/>
                  <w:tcBorders>
                    <w:tl2br w:val="nil"/>
                    <w:tr2bl w:val="nil"/>
                  </w:tcBorders>
                  <w:noWrap w:val="0"/>
                  <w:vAlign w:val="center"/>
                </w:tcPr>
                <w:p w14:paraId="635DF8E0">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yellow"/>
                    </w:rPr>
                  </w:pPr>
                </w:p>
              </w:tc>
              <w:tc>
                <w:tcPr>
                  <w:tcW w:w="747" w:type="pct"/>
                  <w:tcBorders>
                    <w:top w:val="single" w:color="auto" w:sz="4" w:space="0"/>
                    <w:bottom w:val="single" w:color="auto" w:sz="4" w:space="0"/>
                    <w:tl2br w:val="nil"/>
                    <w:tr2bl w:val="nil"/>
                  </w:tcBorders>
                  <w:noWrap w:val="0"/>
                  <w:vAlign w:val="center"/>
                </w:tcPr>
                <w:p w14:paraId="33F9CE77">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油烟、含油废水</w:t>
                  </w:r>
                </w:p>
              </w:tc>
              <w:tc>
                <w:tcPr>
                  <w:tcW w:w="455" w:type="pct"/>
                  <w:tcBorders>
                    <w:top w:val="single" w:color="auto" w:sz="4" w:space="0"/>
                    <w:bottom w:val="single" w:color="auto" w:sz="4" w:space="0"/>
                    <w:tl2br w:val="nil"/>
                    <w:tr2bl w:val="nil"/>
                  </w:tcBorders>
                  <w:noWrap w:val="0"/>
                  <w:vAlign w:val="center"/>
                </w:tcPr>
                <w:p w14:paraId="3B4F58C8">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18749F7E">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68" w:hRule="atLeast"/>
              </w:trPr>
              <w:tc>
                <w:tcPr>
                  <w:tcW w:w="420" w:type="pct"/>
                  <w:vMerge w:val="restart"/>
                  <w:tcBorders>
                    <w:tl2br w:val="nil"/>
                    <w:tr2bl w:val="nil"/>
                  </w:tcBorders>
                  <w:noWrap w:val="0"/>
                  <w:vAlign w:val="center"/>
                </w:tcPr>
                <w:p w14:paraId="179E882E">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仓储</w:t>
                  </w:r>
                  <w:r>
                    <w:rPr>
                      <w:rFonts w:hint="default" w:ascii="Times New Roman" w:hAnsi="Times New Roman" w:eastAsia="宋体" w:cs="Times New Roman"/>
                      <w:color w:val="auto"/>
                      <w:sz w:val="21"/>
                      <w:szCs w:val="21"/>
                      <w:lang w:eastAsia="zh-CN"/>
                    </w:rPr>
                    <w:t>工程</w:t>
                  </w:r>
                </w:p>
              </w:tc>
              <w:tc>
                <w:tcPr>
                  <w:tcW w:w="640" w:type="pct"/>
                  <w:tcBorders>
                    <w:bottom w:val="single" w:color="auto" w:sz="4" w:space="0"/>
                    <w:tl2br w:val="nil"/>
                    <w:tr2bl w:val="nil"/>
                  </w:tcBorders>
                  <w:noWrap w:val="0"/>
                  <w:vAlign w:val="center"/>
                </w:tcPr>
                <w:p w14:paraId="1CE4D058">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leftChars="0" w:right="0" w:righ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原材料暂存区</w:t>
                  </w:r>
                </w:p>
              </w:tc>
              <w:tc>
                <w:tcPr>
                  <w:tcW w:w="2206" w:type="pct"/>
                  <w:tcBorders>
                    <w:bottom w:val="single" w:color="auto" w:sz="4" w:space="0"/>
                    <w:tl2br w:val="nil"/>
                    <w:tr2bl w:val="nil"/>
                  </w:tcBorders>
                  <w:noWrap w:val="0"/>
                  <w:vAlign w:val="center"/>
                </w:tcPr>
                <w:p w14:paraId="73E99782">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leftChars="0" w:right="0" w:rightChars="0"/>
                    <w:jc w:val="both"/>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1#车间：依托已建2处</w:t>
                  </w:r>
                  <w:r>
                    <w:rPr>
                      <w:rFonts w:hint="eastAsia" w:ascii="Times New Roman" w:hAnsi="Times New Roman" w:eastAsia="宋体" w:cs="Times New Roman"/>
                      <w:bCs/>
                      <w:color w:val="auto"/>
                      <w:sz w:val="21"/>
                      <w:szCs w:val="21"/>
                      <w:highlight w:val="none"/>
                      <w:lang w:val="en-US" w:eastAsia="zh-CN"/>
                    </w:rPr>
                    <w:t>塑料</w:t>
                  </w:r>
                  <w:r>
                    <w:rPr>
                      <w:rFonts w:hint="default" w:ascii="Times New Roman" w:hAnsi="Times New Roman" w:eastAsia="宋体" w:cs="Times New Roman"/>
                      <w:bCs/>
                      <w:color w:val="auto"/>
                      <w:sz w:val="21"/>
                      <w:szCs w:val="21"/>
                      <w:highlight w:val="none"/>
                      <w:lang w:val="en-US" w:eastAsia="zh-CN"/>
                    </w:rPr>
                    <w:t>原料堆放区</w:t>
                  </w:r>
                  <w:r>
                    <w:rPr>
                      <w:rFonts w:hint="eastAsia" w:ascii="Times New Roman" w:hAnsi="Times New Roman" w:eastAsia="宋体" w:cs="Times New Roman"/>
                      <w:bCs/>
                      <w:color w:val="auto"/>
                      <w:sz w:val="21"/>
                      <w:szCs w:val="21"/>
                      <w:highlight w:val="none"/>
                      <w:lang w:val="en-US" w:eastAsia="zh-CN"/>
                    </w:rPr>
                    <w:t>，位于1#车间南侧</w:t>
                  </w:r>
                  <w:r>
                    <w:rPr>
                      <w:rFonts w:hint="eastAsia" w:ascii="Times New Roman" w:hAnsi="Times New Roman" w:cs="Times New Roman"/>
                      <w:bCs/>
                      <w:color w:val="auto"/>
                      <w:sz w:val="21"/>
                      <w:szCs w:val="21"/>
                      <w:highlight w:val="none"/>
                      <w:lang w:val="en-US" w:eastAsia="zh-CN"/>
                    </w:rPr>
                    <w:t>。</w:t>
                  </w:r>
                </w:p>
                <w:p w14:paraId="640733A9">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leftChars="0" w:right="0" w:rightChars="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2#车间</w:t>
                  </w:r>
                  <w:r>
                    <w:rPr>
                      <w:rFonts w:hint="eastAsia" w:ascii="Times New Roman" w:hAnsi="Times New Roman" w:cs="Times New Roman"/>
                      <w:bCs/>
                      <w:color w:val="auto"/>
                      <w:sz w:val="21"/>
                      <w:szCs w:val="21"/>
                      <w:highlight w:val="none"/>
                      <w:lang w:val="en-US" w:eastAsia="zh-CN"/>
                    </w:rPr>
                    <w:t>：拟</w:t>
                  </w:r>
                  <w:r>
                    <w:rPr>
                      <w:rFonts w:hint="eastAsia" w:ascii="Times New Roman" w:hAnsi="Times New Roman" w:eastAsia="宋体" w:cs="Times New Roman"/>
                      <w:bCs/>
                      <w:color w:val="auto"/>
                      <w:sz w:val="21"/>
                      <w:szCs w:val="21"/>
                      <w:highlight w:val="none"/>
                      <w:lang w:val="en-US" w:eastAsia="zh-CN"/>
                    </w:rPr>
                    <w:t>设置1个原材料仓库位于2#车间北侧。</w:t>
                  </w:r>
                </w:p>
              </w:tc>
              <w:tc>
                <w:tcPr>
                  <w:tcW w:w="529" w:type="pct"/>
                  <w:vMerge w:val="continue"/>
                  <w:tcBorders>
                    <w:tl2br w:val="nil"/>
                    <w:tr2bl w:val="nil"/>
                  </w:tcBorders>
                  <w:noWrap w:val="0"/>
                  <w:vAlign w:val="center"/>
                </w:tcPr>
                <w:p w14:paraId="6DA5CFE5">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p>
              </w:tc>
              <w:tc>
                <w:tcPr>
                  <w:tcW w:w="747" w:type="pct"/>
                  <w:tcBorders>
                    <w:top w:val="single" w:color="auto" w:sz="4" w:space="0"/>
                    <w:bottom w:val="single" w:color="auto" w:sz="4" w:space="0"/>
                    <w:tl2br w:val="nil"/>
                    <w:tr2bl w:val="nil"/>
                  </w:tcBorders>
                  <w:noWrap w:val="0"/>
                  <w:vAlign w:val="center"/>
                </w:tcPr>
                <w:p w14:paraId="742F816A">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55" w:type="pct"/>
                  <w:tcBorders>
                    <w:top w:val="single" w:color="auto" w:sz="4" w:space="0"/>
                    <w:bottom w:val="single" w:color="auto" w:sz="4" w:space="0"/>
                    <w:tl2br w:val="nil"/>
                    <w:tr2bl w:val="nil"/>
                  </w:tcBorders>
                  <w:noWrap w:val="0"/>
                  <w:vAlign w:val="center"/>
                </w:tcPr>
                <w:p w14:paraId="60CBE5A0">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依托+新建</w:t>
                  </w:r>
                </w:p>
              </w:tc>
            </w:tr>
            <w:tr w14:paraId="7C139AF3">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33" w:hRule="atLeast"/>
              </w:trPr>
              <w:tc>
                <w:tcPr>
                  <w:tcW w:w="420" w:type="pct"/>
                  <w:vMerge w:val="continue"/>
                  <w:tcBorders>
                    <w:tl2br w:val="nil"/>
                    <w:tr2bl w:val="nil"/>
                  </w:tcBorders>
                  <w:noWrap w:val="0"/>
                  <w:vAlign w:val="center"/>
                </w:tcPr>
                <w:p w14:paraId="14B3E47D">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p>
              </w:tc>
              <w:tc>
                <w:tcPr>
                  <w:tcW w:w="640" w:type="pct"/>
                  <w:tcBorders>
                    <w:top w:val="single" w:color="auto" w:sz="4" w:space="0"/>
                    <w:bottom w:val="single" w:color="auto" w:sz="4" w:space="0"/>
                    <w:tl2br w:val="nil"/>
                    <w:tr2bl w:val="nil"/>
                  </w:tcBorders>
                  <w:noWrap w:val="0"/>
                  <w:vAlign w:val="center"/>
                </w:tcPr>
                <w:p w14:paraId="5797B312">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leftChars="0" w:right="0" w:right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成品堆放区</w:t>
                  </w:r>
                </w:p>
              </w:tc>
              <w:tc>
                <w:tcPr>
                  <w:tcW w:w="2206" w:type="pct"/>
                  <w:tcBorders>
                    <w:top w:val="single" w:color="auto" w:sz="4" w:space="0"/>
                    <w:bottom w:val="single" w:color="auto" w:sz="4" w:space="0"/>
                    <w:tl2br w:val="nil"/>
                    <w:tr2bl w:val="nil"/>
                  </w:tcBorders>
                  <w:noWrap w:val="0"/>
                  <w:vAlign w:val="center"/>
                </w:tcPr>
                <w:p w14:paraId="0FE2FAAF">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leftChars="0" w:right="0" w:rightChars="0"/>
                    <w:jc w:val="both"/>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依托1#</w:t>
                  </w:r>
                  <w:r>
                    <w:rPr>
                      <w:rFonts w:hint="default" w:ascii="Times New Roman" w:hAnsi="Times New Roman" w:cs="Times New Roman"/>
                      <w:b w:val="0"/>
                      <w:bCs w:val="0"/>
                      <w:color w:val="auto"/>
                      <w:sz w:val="21"/>
                      <w:szCs w:val="21"/>
                      <w:highlight w:val="none"/>
                      <w:lang w:val="en-US" w:eastAsia="zh-CN"/>
                    </w:rPr>
                    <w:t>生产车间</w:t>
                  </w:r>
                  <w:r>
                    <w:rPr>
                      <w:rFonts w:hint="eastAsia" w:ascii="Times New Roman" w:hAnsi="Times New Roman" w:cs="Times New Roman"/>
                      <w:color w:val="auto"/>
                      <w:kern w:val="2"/>
                      <w:sz w:val="21"/>
                      <w:szCs w:val="21"/>
                      <w:highlight w:val="none"/>
                      <w:lang w:val="en-US" w:eastAsia="zh-CN" w:bidi="ar-SA"/>
                    </w:rPr>
                    <w:t>成品堆放区。</w:t>
                  </w:r>
                </w:p>
                <w:p w14:paraId="4DE3E0BA">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leftChars="0" w:right="0" w:rightChars="0"/>
                    <w:jc w:val="both"/>
                    <w:rPr>
                      <w:rFonts w:hint="default" w:ascii="Times New Roman" w:hAnsi="Times New Roman" w:cs="Times New Roman"/>
                      <w:b/>
                      <w:bCs/>
                      <w:color w:val="auto"/>
                      <w:sz w:val="21"/>
                      <w:szCs w:val="21"/>
                      <w:highlight w:val="yellow"/>
                      <w:lang w:val="en-US" w:eastAsia="zh-CN"/>
                    </w:rPr>
                  </w:pPr>
                  <w:r>
                    <w:rPr>
                      <w:rFonts w:hint="eastAsia" w:ascii="Times New Roman" w:hAnsi="Times New Roman" w:cs="Times New Roman"/>
                      <w:b w:val="0"/>
                      <w:bCs w:val="0"/>
                      <w:color w:val="auto"/>
                      <w:sz w:val="21"/>
                      <w:szCs w:val="21"/>
                      <w:highlight w:val="none"/>
                      <w:lang w:val="en-US" w:eastAsia="zh-CN"/>
                    </w:rPr>
                    <w:t>2#</w:t>
                  </w:r>
                  <w:r>
                    <w:rPr>
                      <w:rFonts w:hint="default" w:ascii="Times New Roman" w:hAnsi="Times New Roman" w:cs="Times New Roman"/>
                      <w:b w:val="0"/>
                      <w:bCs w:val="0"/>
                      <w:color w:val="auto"/>
                      <w:sz w:val="21"/>
                      <w:szCs w:val="21"/>
                      <w:highlight w:val="none"/>
                      <w:lang w:val="en-US" w:eastAsia="zh-CN"/>
                    </w:rPr>
                    <w:t>生产车间</w:t>
                  </w:r>
                  <w:r>
                    <w:rPr>
                      <w:rFonts w:hint="eastAsia" w:ascii="Times New Roman" w:hAnsi="Times New Roman" w:cs="Times New Roman"/>
                      <w:b w:val="0"/>
                      <w:bCs w:val="0"/>
                      <w:color w:val="auto"/>
                      <w:sz w:val="21"/>
                      <w:szCs w:val="21"/>
                      <w:highlight w:val="none"/>
                      <w:lang w:val="en-US" w:eastAsia="zh-CN"/>
                    </w:rPr>
                    <w:t>拟新建</w:t>
                  </w:r>
                  <w:r>
                    <w:rPr>
                      <w:rFonts w:hint="default" w:ascii="Times New Roman" w:hAnsi="Times New Roman" w:cs="Times New Roman"/>
                      <w:b w:val="0"/>
                      <w:bCs w:val="0"/>
                      <w:color w:val="auto"/>
                      <w:sz w:val="21"/>
                      <w:szCs w:val="21"/>
                      <w:highlight w:val="none"/>
                      <w:lang w:val="en-US" w:eastAsia="zh-CN"/>
                    </w:rPr>
                    <w:t>1处成品堆放区</w:t>
                  </w:r>
                  <w:r>
                    <w:rPr>
                      <w:rFonts w:hint="eastAsia" w:ascii="Times New Roman" w:hAnsi="Times New Roman" w:cs="Times New Roman"/>
                      <w:b w:val="0"/>
                      <w:bCs w:val="0"/>
                      <w:color w:val="auto"/>
                      <w:sz w:val="21"/>
                      <w:szCs w:val="21"/>
                      <w:highlight w:val="none"/>
                      <w:lang w:val="en-US" w:eastAsia="zh-CN"/>
                    </w:rPr>
                    <w:t>。</w:t>
                  </w:r>
                </w:p>
              </w:tc>
              <w:tc>
                <w:tcPr>
                  <w:tcW w:w="529" w:type="pct"/>
                  <w:vMerge w:val="continue"/>
                  <w:tcBorders>
                    <w:tl2br w:val="nil"/>
                    <w:tr2bl w:val="nil"/>
                  </w:tcBorders>
                  <w:noWrap w:val="0"/>
                  <w:vAlign w:val="center"/>
                </w:tcPr>
                <w:p w14:paraId="0EAB572D">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p>
              </w:tc>
              <w:tc>
                <w:tcPr>
                  <w:tcW w:w="747" w:type="pct"/>
                  <w:tcBorders>
                    <w:top w:val="single" w:color="auto" w:sz="4" w:space="0"/>
                    <w:bottom w:val="single" w:color="auto" w:sz="4" w:space="0"/>
                    <w:tl2br w:val="nil"/>
                    <w:tr2bl w:val="nil"/>
                  </w:tcBorders>
                  <w:noWrap w:val="0"/>
                  <w:vAlign w:val="center"/>
                </w:tcPr>
                <w:p w14:paraId="69E693DF">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55" w:type="pct"/>
                  <w:tcBorders>
                    <w:top w:val="single" w:color="auto" w:sz="4" w:space="0"/>
                    <w:bottom w:val="single" w:color="auto" w:sz="4" w:space="0"/>
                    <w:tl2br w:val="nil"/>
                    <w:tr2bl w:val="nil"/>
                  </w:tcBorders>
                  <w:noWrap w:val="0"/>
                  <w:vAlign w:val="center"/>
                </w:tcPr>
                <w:p w14:paraId="02CD0F57">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依托+新建</w:t>
                  </w:r>
                </w:p>
              </w:tc>
            </w:tr>
            <w:tr w14:paraId="62D029F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62" w:hRule="atLeast"/>
              </w:trPr>
              <w:tc>
                <w:tcPr>
                  <w:tcW w:w="420" w:type="pct"/>
                  <w:vMerge w:val="continue"/>
                  <w:tcBorders>
                    <w:tl2br w:val="nil"/>
                    <w:tr2bl w:val="nil"/>
                  </w:tcBorders>
                  <w:noWrap w:val="0"/>
                  <w:vAlign w:val="center"/>
                </w:tcPr>
                <w:p w14:paraId="70C0E4BB">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p>
              </w:tc>
              <w:tc>
                <w:tcPr>
                  <w:tcW w:w="640" w:type="pct"/>
                  <w:tcBorders>
                    <w:top w:val="single" w:color="auto" w:sz="4" w:space="0"/>
                    <w:bottom w:val="single" w:color="auto" w:sz="4" w:space="0"/>
                    <w:tl2br w:val="nil"/>
                    <w:tr2bl w:val="nil"/>
                  </w:tcBorders>
                  <w:noWrap w:val="0"/>
                  <w:vAlign w:val="center"/>
                </w:tcPr>
                <w:p w14:paraId="47C47566">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leftChars="0" w:right="0" w:rightChars="0"/>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半成品堆放区</w:t>
                  </w:r>
                </w:p>
              </w:tc>
              <w:tc>
                <w:tcPr>
                  <w:tcW w:w="2206" w:type="pct"/>
                  <w:tcBorders>
                    <w:top w:val="single" w:color="auto" w:sz="4" w:space="0"/>
                    <w:bottom w:val="single" w:color="auto" w:sz="4" w:space="0"/>
                    <w:tl2br w:val="nil"/>
                    <w:tr2bl w:val="nil"/>
                  </w:tcBorders>
                  <w:noWrap w:val="0"/>
                  <w:vAlign w:val="center"/>
                </w:tcPr>
                <w:p w14:paraId="3D38A3DF">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leftChars="0" w:right="0" w:rightChars="0"/>
                    <w:jc w:val="both"/>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2#车间南侧设置两处半成品堆放区。</w:t>
                  </w:r>
                </w:p>
              </w:tc>
              <w:tc>
                <w:tcPr>
                  <w:tcW w:w="529" w:type="pct"/>
                  <w:vMerge w:val="continue"/>
                  <w:tcBorders>
                    <w:tl2br w:val="nil"/>
                    <w:tr2bl w:val="nil"/>
                  </w:tcBorders>
                  <w:noWrap w:val="0"/>
                  <w:vAlign w:val="center"/>
                </w:tcPr>
                <w:p w14:paraId="5D515FA9">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p>
              </w:tc>
              <w:tc>
                <w:tcPr>
                  <w:tcW w:w="747" w:type="pct"/>
                  <w:tcBorders>
                    <w:top w:val="single" w:color="auto" w:sz="4" w:space="0"/>
                    <w:tl2br w:val="nil"/>
                    <w:tr2bl w:val="nil"/>
                  </w:tcBorders>
                  <w:noWrap w:val="0"/>
                  <w:vAlign w:val="center"/>
                </w:tcPr>
                <w:p w14:paraId="56BCE563">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55" w:type="pct"/>
                  <w:tcBorders>
                    <w:top w:val="single" w:color="auto" w:sz="4" w:space="0"/>
                    <w:tl2br w:val="nil"/>
                    <w:tr2bl w:val="nil"/>
                  </w:tcBorders>
                  <w:noWrap w:val="0"/>
                  <w:vAlign w:val="center"/>
                </w:tcPr>
                <w:p w14:paraId="556751AE">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新建</w:t>
                  </w:r>
                </w:p>
              </w:tc>
            </w:tr>
            <w:tr w14:paraId="307386D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20" w:hRule="atLeast"/>
              </w:trPr>
              <w:tc>
                <w:tcPr>
                  <w:tcW w:w="420" w:type="pct"/>
                  <w:vMerge w:val="continue"/>
                  <w:tcBorders>
                    <w:tl2br w:val="nil"/>
                    <w:tr2bl w:val="nil"/>
                  </w:tcBorders>
                  <w:noWrap w:val="0"/>
                  <w:vAlign w:val="center"/>
                </w:tcPr>
                <w:p w14:paraId="2C69E584">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p>
              </w:tc>
              <w:tc>
                <w:tcPr>
                  <w:tcW w:w="640" w:type="pct"/>
                  <w:tcBorders>
                    <w:top w:val="single" w:color="auto" w:sz="4" w:space="0"/>
                    <w:tl2br w:val="nil"/>
                    <w:tr2bl w:val="nil"/>
                  </w:tcBorders>
                  <w:noWrap w:val="0"/>
                  <w:vAlign w:val="center"/>
                </w:tcPr>
                <w:p w14:paraId="0BC32D5B">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液态原料库房</w:t>
                  </w:r>
                </w:p>
              </w:tc>
              <w:tc>
                <w:tcPr>
                  <w:tcW w:w="2206" w:type="pct"/>
                  <w:tcBorders>
                    <w:top w:val="single" w:color="auto" w:sz="4" w:space="0"/>
                    <w:tl2br w:val="nil"/>
                    <w:tr2bl w:val="nil"/>
                  </w:tcBorders>
                  <w:noWrap w:val="0"/>
                  <w:vAlign w:val="center"/>
                </w:tcPr>
                <w:p w14:paraId="0EB98DEC">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jc w:val="both"/>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1个，</w:t>
                  </w:r>
                  <w:r>
                    <w:rPr>
                      <w:rFonts w:hint="eastAsia" w:ascii="Times New Roman" w:hAnsi="Times New Roman" w:cs="Times New Roman"/>
                      <w:color w:val="auto"/>
                      <w:sz w:val="21"/>
                      <w:szCs w:val="21"/>
                      <w:highlight w:val="none"/>
                      <w:lang w:val="en-US" w:eastAsia="zh-CN"/>
                    </w:rPr>
                    <w:t>建筑面积10m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vertAlign w:val="baseline"/>
                      <w:lang w:val="en-US" w:eastAsia="zh-CN"/>
                    </w:rPr>
                    <w:t>，位于1#车间北侧</w:t>
                  </w:r>
                  <w:r>
                    <w:rPr>
                      <w:rFonts w:hint="eastAsia" w:ascii="Times New Roman" w:hAnsi="Times New Roman" w:cs="Times New Roman"/>
                      <w:color w:val="auto"/>
                      <w:sz w:val="21"/>
                      <w:szCs w:val="21"/>
                      <w:highlight w:val="none"/>
                      <w:lang w:eastAsia="zh-CN"/>
                    </w:rPr>
                    <w:t>。</w:t>
                  </w:r>
                </w:p>
              </w:tc>
              <w:tc>
                <w:tcPr>
                  <w:tcW w:w="529" w:type="pct"/>
                  <w:vMerge w:val="continue"/>
                  <w:tcBorders>
                    <w:tl2br w:val="nil"/>
                    <w:tr2bl w:val="nil"/>
                  </w:tcBorders>
                  <w:noWrap w:val="0"/>
                  <w:vAlign w:val="center"/>
                </w:tcPr>
                <w:p w14:paraId="67209A65">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p>
              </w:tc>
              <w:tc>
                <w:tcPr>
                  <w:tcW w:w="747" w:type="pct"/>
                  <w:tcBorders>
                    <w:tl2br w:val="nil"/>
                    <w:tr2bl w:val="nil"/>
                  </w:tcBorders>
                  <w:noWrap w:val="0"/>
                  <w:vAlign w:val="center"/>
                </w:tcPr>
                <w:p w14:paraId="690BD099">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455" w:type="pct"/>
                  <w:tcBorders>
                    <w:tl2br w:val="nil"/>
                    <w:tr2bl w:val="nil"/>
                  </w:tcBorders>
                  <w:noWrap w:val="0"/>
                  <w:vAlign w:val="center"/>
                </w:tcPr>
                <w:p w14:paraId="3F191785">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新建</w:t>
                  </w:r>
                </w:p>
              </w:tc>
            </w:tr>
            <w:tr w14:paraId="251535BE">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48" w:hRule="atLeast"/>
              </w:trPr>
              <w:tc>
                <w:tcPr>
                  <w:tcW w:w="420" w:type="pct"/>
                  <w:vMerge w:val="restart"/>
                  <w:tcBorders>
                    <w:tl2br w:val="nil"/>
                    <w:tr2bl w:val="nil"/>
                  </w:tcBorders>
                  <w:noWrap w:val="0"/>
                  <w:vAlign w:val="center"/>
                </w:tcPr>
                <w:p w14:paraId="4C452DCA">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640" w:type="pct"/>
                  <w:vMerge w:val="restart"/>
                  <w:tcBorders>
                    <w:tl2br w:val="nil"/>
                    <w:tr2bl w:val="nil"/>
                  </w:tcBorders>
                  <w:noWrap w:val="0"/>
                  <w:vAlign w:val="center"/>
                </w:tcPr>
                <w:p w14:paraId="210E50CB">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废气治理</w:t>
                  </w:r>
                </w:p>
              </w:tc>
              <w:tc>
                <w:tcPr>
                  <w:tcW w:w="3750" w:type="dxa"/>
                  <w:tcBorders>
                    <w:bottom w:val="single" w:color="auto" w:sz="4" w:space="0"/>
                    <w:tl2br w:val="nil"/>
                    <w:tr2bl w:val="nil"/>
                  </w:tcBorders>
                  <w:noWrap w:val="0"/>
                  <w:vAlign w:val="center"/>
                </w:tcPr>
                <w:p w14:paraId="6756E34E">
                  <w:pPr>
                    <w:spacing w:line="320" w:lineRule="exact"/>
                    <w:rPr>
                      <w:rFonts w:hint="default" w:ascii="Times New Roman" w:hAnsi="Times New Roman" w:eastAsia="宋体" w:cs="Times New Roman"/>
                      <w:color w:val="auto"/>
                      <w:sz w:val="21"/>
                      <w:szCs w:val="21"/>
                      <w:highlight w:val="none"/>
                      <w:lang w:val="en-US"/>
                    </w:rPr>
                  </w:pPr>
                  <w:r>
                    <w:rPr>
                      <w:rFonts w:hint="eastAsia"/>
                      <w:b/>
                      <w:bCs/>
                      <w:color w:val="auto"/>
                      <w:szCs w:val="21"/>
                    </w:rPr>
                    <w:t>1#车间有机废气：</w:t>
                  </w:r>
                  <w:r>
                    <w:rPr>
                      <w:rFonts w:hint="eastAsia"/>
                      <w:b w:val="0"/>
                      <w:bCs w:val="0"/>
                      <w:color w:val="auto"/>
                      <w:szCs w:val="21"/>
                      <w:lang w:eastAsia="zh-CN"/>
                    </w:rPr>
                    <w:t>在</w:t>
                  </w:r>
                  <w:r>
                    <w:rPr>
                      <w:rFonts w:hint="eastAsia"/>
                      <w:b w:val="0"/>
                      <w:bCs w:val="0"/>
                      <w:color w:val="auto"/>
                      <w:szCs w:val="21"/>
                      <w:lang w:val="en-US" w:eastAsia="zh-CN"/>
                    </w:rPr>
                    <w:t>新增的1台注塑机挤</w:t>
                  </w:r>
                  <w:r>
                    <w:rPr>
                      <w:rFonts w:hint="eastAsia"/>
                      <w:b w:val="0"/>
                      <w:bCs w:val="0"/>
                      <w:color w:val="auto"/>
                      <w:szCs w:val="21"/>
                    </w:rPr>
                    <w:t>出口上方分别设置集气罩</w:t>
                  </w:r>
                  <w:r>
                    <w:rPr>
                      <w:rFonts w:hint="eastAsia"/>
                      <w:b w:val="0"/>
                      <w:bCs w:val="0"/>
                      <w:color w:val="auto"/>
                      <w:szCs w:val="21"/>
                      <w:lang w:val="en-US" w:eastAsia="zh-CN"/>
                    </w:rPr>
                    <w:t>，本</w:t>
                  </w:r>
                  <w:r>
                    <w:rPr>
                      <w:rFonts w:hint="eastAsia"/>
                      <w:b w:val="0"/>
                      <w:bCs w:val="0"/>
                      <w:color w:val="auto"/>
                      <w:szCs w:val="21"/>
                    </w:rPr>
                    <w:t>次评价对现有工程</w:t>
                  </w:r>
                  <w:r>
                    <w:rPr>
                      <w:rFonts w:hint="eastAsia"/>
                      <w:b w:val="0"/>
                      <w:bCs w:val="0"/>
                      <w:color w:val="auto"/>
                      <w:szCs w:val="21"/>
                      <w:lang w:val="en-US" w:eastAsia="zh-CN"/>
                    </w:rPr>
                    <w:t>1#车间烫金</w:t>
                  </w:r>
                  <w:r>
                    <w:rPr>
                      <w:rFonts w:hint="eastAsia"/>
                      <w:b w:val="0"/>
                      <w:bCs w:val="0"/>
                      <w:color w:val="auto"/>
                      <w:szCs w:val="21"/>
                    </w:rPr>
                    <w:t>废气采取“以新带老”措施，要求对</w:t>
                  </w:r>
                  <w:r>
                    <w:rPr>
                      <w:rFonts w:hint="eastAsia"/>
                      <w:b w:val="0"/>
                      <w:bCs w:val="0"/>
                      <w:color w:val="auto"/>
                      <w:szCs w:val="21"/>
                      <w:lang w:val="en-US" w:eastAsia="zh-CN"/>
                    </w:rPr>
                    <w:t>烫金机</w:t>
                  </w:r>
                  <w:r>
                    <w:rPr>
                      <w:rFonts w:hint="eastAsia"/>
                      <w:b w:val="0"/>
                      <w:bCs w:val="0"/>
                      <w:color w:val="auto"/>
                      <w:szCs w:val="21"/>
                    </w:rPr>
                    <w:t>增设集尘罩，</w:t>
                  </w:r>
                  <w:r>
                    <w:rPr>
                      <w:rFonts w:hint="eastAsia"/>
                      <w:b w:val="0"/>
                      <w:bCs w:val="0"/>
                      <w:color w:val="auto"/>
                      <w:szCs w:val="21"/>
                      <w:lang w:val="en-US" w:eastAsia="zh-CN"/>
                    </w:rPr>
                    <w:t>注塑有机废气和烫金有机废气经</w:t>
                  </w:r>
                  <w:r>
                    <w:rPr>
                      <w:rFonts w:hint="eastAsia"/>
                      <w:b w:val="0"/>
                      <w:bCs w:val="0"/>
                      <w:color w:val="auto"/>
                      <w:szCs w:val="21"/>
                    </w:rPr>
                    <w:t>集气罩收集后与</w:t>
                  </w:r>
                  <w:r>
                    <w:rPr>
                      <w:rFonts w:hint="eastAsia"/>
                      <w:b w:val="0"/>
                      <w:bCs w:val="0"/>
                      <w:color w:val="auto"/>
                      <w:szCs w:val="21"/>
                      <w:lang w:val="en-US" w:eastAsia="zh-CN"/>
                    </w:rPr>
                    <w:t>现有工程废气（注塑、丝印/热转印、胶粘）一起进入</w:t>
                  </w:r>
                  <w:r>
                    <w:rPr>
                      <w:rFonts w:hint="eastAsia"/>
                      <w:b w:val="0"/>
                      <w:bCs w:val="0"/>
                      <w:color w:val="auto"/>
                      <w:szCs w:val="21"/>
                    </w:rPr>
                    <w:t>两级活性炭吸附装置（TA00</w:t>
                  </w:r>
                  <w:r>
                    <w:rPr>
                      <w:rFonts w:hint="eastAsia"/>
                      <w:b w:val="0"/>
                      <w:bCs w:val="0"/>
                      <w:color w:val="auto"/>
                      <w:szCs w:val="21"/>
                      <w:lang w:val="en-US" w:eastAsia="zh-CN"/>
                    </w:rPr>
                    <w:t>1</w:t>
                  </w:r>
                  <w:r>
                    <w:rPr>
                      <w:rFonts w:hint="eastAsia"/>
                      <w:b w:val="0"/>
                      <w:bCs w:val="0"/>
                      <w:color w:val="auto"/>
                      <w:szCs w:val="21"/>
                    </w:rPr>
                    <w:t>）</w:t>
                  </w:r>
                  <w:r>
                    <w:rPr>
                      <w:rFonts w:hint="eastAsia"/>
                      <w:b w:val="0"/>
                      <w:bCs w:val="0"/>
                      <w:color w:val="auto"/>
                      <w:szCs w:val="21"/>
                      <w:lang w:eastAsia="zh-CN"/>
                    </w:rPr>
                    <w:t>（</w:t>
                  </w:r>
                  <w:r>
                    <w:rPr>
                      <w:rFonts w:hint="eastAsia"/>
                      <w:b w:val="0"/>
                      <w:bCs w:val="0"/>
                      <w:color w:val="auto"/>
                      <w:szCs w:val="21"/>
                      <w:lang w:val="en-US" w:eastAsia="zh-CN"/>
                    </w:rPr>
                    <w:t>含风冷装置</w:t>
                  </w:r>
                  <w:r>
                    <w:rPr>
                      <w:rFonts w:hint="eastAsia"/>
                      <w:b w:val="0"/>
                      <w:bCs w:val="0"/>
                      <w:color w:val="auto"/>
                      <w:szCs w:val="21"/>
                      <w:lang w:eastAsia="zh-CN"/>
                    </w:rPr>
                    <w:t>）</w:t>
                  </w:r>
                  <w:r>
                    <w:rPr>
                      <w:rFonts w:hint="eastAsia"/>
                      <w:b w:val="0"/>
                      <w:bCs w:val="0"/>
                      <w:color w:val="auto"/>
                      <w:szCs w:val="21"/>
                    </w:rPr>
                    <w:t>处理后通过15m排气筒（DA001）排放。</w:t>
                  </w:r>
                </w:p>
              </w:tc>
              <w:tc>
                <w:tcPr>
                  <w:tcW w:w="529" w:type="pct"/>
                  <w:vMerge w:val="continue"/>
                  <w:tcBorders>
                    <w:tl2br w:val="nil"/>
                    <w:tr2bl w:val="nil"/>
                  </w:tcBorders>
                  <w:noWrap w:val="0"/>
                  <w:vAlign w:val="center"/>
                </w:tcPr>
                <w:p w14:paraId="7219873C">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tc>
              <w:tc>
                <w:tcPr>
                  <w:tcW w:w="747" w:type="pct"/>
                  <w:vMerge w:val="restart"/>
                  <w:tcBorders>
                    <w:tl2br w:val="nil"/>
                    <w:tr2bl w:val="nil"/>
                  </w:tcBorders>
                  <w:noWrap w:val="0"/>
                  <w:vAlign w:val="center"/>
                </w:tcPr>
                <w:p w14:paraId="116D4303">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455" w:type="pct"/>
                  <w:vMerge w:val="restart"/>
                  <w:tcBorders>
                    <w:tl2br w:val="nil"/>
                    <w:tr2bl w:val="nil"/>
                  </w:tcBorders>
                  <w:noWrap w:val="0"/>
                  <w:vAlign w:val="center"/>
                </w:tcPr>
                <w:p w14:paraId="7091BAAA">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新建+“以新带老”</w:t>
                  </w:r>
                </w:p>
              </w:tc>
            </w:tr>
            <w:tr w14:paraId="1C3A25F6">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12" w:hRule="atLeast"/>
              </w:trPr>
              <w:tc>
                <w:tcPr>
                  <w:tcW w:w="420" w:type="pct"/>
                  <w:vMerge w:val="continue"/>
                  <w:tcBorders>
                    <w:tl2br w:val="nil"/>
                    <w:tr2bl w:val="nil"/>
                  </w:tcBorders>
                  <w:noWrap w:val="0"/>
                  <w:vAlign w:val="center"/>
                </w:tcPr>
                <w:p w14:paraId="4C708805">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p>
              </w:tc>
              <w:tc>
                <w:tcPr>
                  <w:tcW w:w="640" w:type="pct"/>
                  <w:vMerge w:val="continue"/>
                  <w:tcBorders>
                    <w:tl2br w:val="nil"/>
                    <w:tr2bl w:val="nil"/>
                  </w:tcBorders>
                  <w:noWrap w:val="0"/>
                  <w:vAlign w:val="center"/>
                </w:tcPr>
                <w:p w14:paraId="413C4997">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tc>
              <w:tc>
                <w:tcPr>
                  <w:tcW w:w="3750" w:type="dxa"/>
                  <w:tcBorders>
                    <w:top w:val="single" w:color="auto" w:sz="4" w:space="0"/>
                    <w:bottom w:val="single" w:color="auto" w:sz="4" w:space="0"/>
                    <w:tl2br w:val="nil"/>
                    <w:tr2bl w:val="nil"/>
                  </w:tcBorders>
                  <w:noWrap w:val="0"/>
                  <w:vAlign w:val="center"/>
                </w:tcPr>
                <w:p w14:paraId="4B4925D8">
                  <w:pPr>
                    <w:spacing w:line="320" w:lineRule="exact"/>
                    <w:rPr>
                      <w:rFonts w:hint="default" w:ascii="Times New Roman" w:hAnsi="Times New Roman" w:eastAsia="宋体" w:cs="Times New Roman"/>
                      <w:color w:val="auto"/>
                      <w:sz w:val="21"/>
                      <w:szCs w:val="21"/>
                      <w:highlight w:val="none"/>
                      <w:lang w:val="en-US"/>
                    </w:rPr>
                  </w:pPr>
                  <w:r>
                    <w:rPr>
                      <w:rFonts w:hint="eastAsia"/>
                      <w:b/>
                      <w:bCs/>
                      <w:color w:val="auto"/>
                      <w:szCs w:val="21"/>
                      <w:lang w:val="en-US" w:eastAsia="zh-CN"/>
                    </w:rPr>
                    <w:t>2</w:t>
                  </w:r>
                  <w:r>
                    <w:rPr>
                      <w:rFonts w:hint="eastAsia"/>
                      <w:b/>
                      <w:bCs/>
                      <w:color w:val="auto"/>
                      <w:szCs w:val="21"/>
                    </w:rPr>
                    <w:t>#</w:t>
                  </w:r>
                  <w:r>
                    <w:rPr>
                      <w:rFonts w:hint="eastAsia"/>
                      <w:b/>
                      <w:bCs/>
                      <w:color w:val="auto"/>
                      <w:szCs w:val="21"/>
                      <w:lang w:val="en-US" w:eastAsia="zh-CN"/>
                    </w:rPr>
                    <w:t>车间裱糊、粘合</w:t>
                  </w:r>
                  <w:r>
                    <w:rPr>
                      <w:rFonts w:hint="eastAsia"/>
                      <w:b/>
                      <w:bCs/>
                      <w:color w:val="auto"/>
                      <w:szCs w:val="21"/>
                    </w:rPr>
                    <w:t>：</w:t>
                  </w:r>
                  <w:r>
                    <w:rPr>
                      <w:rFonts w:hint="eastAsia"/>
                      <w:b w:val="0"/>
                      <w:bCs w:val="0"/>
                      <w:color w:val="auto"/>
                      <w:szCs w:val="21"/>
                      <w:lang w:val="en-US" w:eastAsia="zh-CN"/>
                    </w:rPr>
                    <w:t>每条生产线</w:t>
                  </w:r>
                  <w:r>
                    <w:rPr>
                      <w:rFonts w:hint="eastAsia"/>
                      <w:b w:val="0"/>
                      <w:bCs w:val="0"/>
                      <w:color w:val="auto"/>
                      <w:szCs w:val="21"/>
                    </w:rPr>
                    <w:t>共有3台上胶机，上胶装置设置于密闭罩进行，并且自带上抽风管道。</w:t>
                  </w:r>
                  <w:r>
                    <w:rPr>
                      <w:rFonts w:hint="eastAsia"/>
                      <w:b w:val="0"/>
                      <w:bCs w:val="0"/>
                      <w:color w:val="auto"/>
                      <w:szCs w:val="21"/>
                      <w:lang w:val="en-US" w:eastAsia="zh-CN"/>
                    </w:rPr>
                    <w:t>塑纸包装盒须在人工组装线粘合。共有2条人工组装线，每条人工组装线有1台上胶机，</w:t>
                  </w:r>
                  <w:r>
                    <w:rPr>
                      <w:rFonts w:hint="eastAsia"/>
                      <w:b w:val="0"/>
                      <w:bCs w:val="0"/>
                      <w:color w:val="auto"/>
                      <w:szCs w:val="21"/>
                    </w:rPr>
                    <w:t>上胶装置设置于密闭罩进行，并且自带上抽风管道。废气经抽风管道收集引至两级活性炭吸附装置（TA00</w:t>
                  </w:r>
                  <w:r>
                    <w:rPr>
                      <w:rFonts w:hint="eastAsia"/>
                      <w:b w:val="0"/>
                      <w:bCs w:val="0"/>
                      <w:color w:val="auto"/>
                      <w:szCs w:val="21"/>
                      <w:lang w:val="en-US" w:eastAsia="zh-CN"/>
                    </w:rPr>
                    <w:t>2</w:t>
                  </w:r>
                  <w:r>
                    <w:rPr>
                      <w:rFonts w:hint="eastAsia"/>
                      <w:b w:val="0"/>
                      <w:bCs w:val="0"/>
                      <w:color w:val="auto"/>
                      <w:szCs w:val="21"/>
                    </w:rPr>
                    <w:t>）+</w:t>
                  </w:r>
                  <w:r>
                    <w:rPr>
                      <w:rFonts w:hint="eastAsia"/>
                      <w:b w:val="0"/>
                      <w:bCs w:val="0"/>
                      <w:color w:val="auto"/>
                      <w:szCs w:val="21"/>
                      <w:lang w:val="en-US" w:eastAsia="zh-CN"/>
                    </w:rPr>
                    <w:t>15</w:t>
                  </w:r>
                  <w:r>
                    <w:rPr>
                      <w:rFonts w:hint="eastAsia"/>
                      <w:b w:val="0"/>
                      <w:bCs w:val="0"/>
                      <w:color w:val="auto"/>
                      <w:szCs w:val="21"/>
                    </w:rPr>
                    <w:t>m排气筒（DA00</w:t>
                  </w:r>
                  <w:r>
                    <w:rPr>
                      <w:rFonts w:hint="eastAsia"/>
                      <w:b w:val="0"/>
                      <w:bCs w:val="0"/>
                      <w:color w:val="auto"/>
                      <w:szCs w:val="21"/>
                      <w:lang w:val="en-US" w:eastAsia="zh-CN"/>
                    </w:rPr>
                    <w:t>2</w:t>
                  </w:r>
                  <w:r>
                    <w:rPr>
                      <w:rFonts w:hint="eastAsia"/>
                      <w:b w:val="0"/>
                      <w:bCs w:val="0"/>
                      <w:color w:val="auto"/>
                      <w:szCs w:val="21"/>
                    </w:rPr>
                    <w:t>）排放。</w:t>
                  </w:r>
                </w:p>
              </w:tc>
              <w:tc>
                <w:tcPr>
                  <w:tcW w:w="529" w:type="pct"/>
                  <w:vMerge w:val="continue"/>
                  <w:tcBorders>
                    <w:tl2br w:val="nil"/>
                    <w:tr2bl w:val="nil"/>
                  </w:tcBorders>
                  <w:noWrap w:val="0"/>
                  <w:vAlign w:val="center"/>
                </w:tcPr>
                <w:p w14:paraId="2AA08028">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tc>
              <w:tc>
                <w:tcPr>
                  <w:tcW w:w="747" w:type="pct"/>
                  <w:vMerge w:val="continue"/>
                  <w:tcBorders>
                    <w:tl2br w:val="nil"/>
                    <w:tr2bl w:val="nil"/>
                  </w:tcBorders>
                  <w:noWrap w:val="0"/>
                  <w:vAlign w:val="center"/>
                </w:tcPr>
                <w:p w14:paraId="0F75E9B5">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highlight w:val="none"/>
                    </w:rPr>
                  </w:pPr>
                </w:p>
              </w:tc>
              <w:tc>
                <w:tcPr>
                  <w:tcW w:w="455" w:type="pct"/>
                  <w:vMerge w:val="continue"/>
                  <w:tcBorders>
                    <w:tl2br w:val="nil"/>
                    <w:tr2bl w:val="nil"/>
                  </w:tcBorders>
                  <w:noWrap w:val="0"/>
                  <w:vAlign w:val="center"/>
                </w:tcPr>
                <w:p w14:paraId="39EE4DD8">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eastAsia" w:cs="Times New Roman"/>
                      <w:color w:val="auto"/>
                      <w:sz w:val="21"/>
                      <w:szCs w:val="21"/>
                      <w:highlight w:val="none"/>
                      <w:lang w:val="en-US" w:eastAsia="zh-CN"/>
                    </w:rPr>
                  </w:pPr>
                </w:p>
              </w:tc>
            </w:tr>
            <w:tr w14:paraId="11D8E376">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31" w:hRule="atLeast"/>
              </w:trPr>
              <w:tc>
                <w:tcPr>
                  <w:tcW w:w="420" w:type="pct"/>
                  <w:vMerge w:val="continue"/>
                  <w:tcBorders>
                    <w:tl2br w:val="nil"/>
                    <w:tr2bl w:val="nil"/>
                  </w:tcBorders>
                  <w:noWrap w:val="0"/>
                  <w:vAlign w:val="center"/>
                </w:tcPr>
                <w:p w14:paraId="4DA1A6E9">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p>
              </w:tc>
              <w:tc>
                <w:tcPr>
                  <w:tcW w:w="640" w:type="pct"/>
                  <w:vMerge w:val="continue"/>
                  <w:tcBorders>
                    <w:tl2br w:val="nil"/>
                    <w:tr2bl w:val="nil"/>
                  </w:tcBorders>
                  <w:noWrap w:val="0"/>
                  <w:vAlign w:val="center"/>
                </w:tcPr>
                <w:p w14:paraId="3C93E11D">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tc>
              <w:tc>
                <w:tcPr>
                  <w:tcW w:w="3750" w:type="dxa"/>
                  <w:tcBorders>
                    <w:top w:val="single" w:color="auto" w:sz="4" w:space="0"/>
                    <w:tl2br w:val="nil"/>
                    <w:tr2bl w:val="nil"/>
                  </w:tcBorders>
                  <w:noWrap w:val="0"/>
                  <w:vAlign w:val="center"/>
                </w:tcPr>
                <w:p w14:paraId="487BFC8C">
                  <w:pPr>
                    <w:spacing w:line="320" w:lineRule="exact"/>
                    <w:rPr>
                      <w:rFonts w:hint="default" w:ascii="Times New Roman" w:hAnsi="Times New Roman" w:eastAsia="宋体" w:cs="Times New Roman"/>
                      <w:color w:val="auto"/>
                      <w:sz w:val="21"/>
                      <w:szCs w:val="21"/>
                      <w:highlight w:val="none"/>
                      <w:lang w:val="en-US"/>
                    </w:rPr>
                  </w:pPr>
                  <w:r>
                    <w:rPr>
                      <w:rFonts w:hint="eastAsia"/>
                      <w:b/>
                      <w:bCs/>
                      <w:color w:val="auto"/>
                      <w:szCs w:val="21"/>
                      <w:lang w:val="en-US" w:eastAsia="zh-CN"/>
                    </w:rPr>
                    <w:t>2#车间覆膜、烫金、打码、</w:t>
                  </w:r>
                  <w:r>
                    <w:rPr>
                      <w:rFonts w:hint="eastAsia"/>
                      <w:b/>
                      <w:bCs/>
                      <w:color w:val="auto"/>
                      <w:szCs w:val="21"/>
                    </w:rPr>
                    <w:t>UV油墨、</w:t>
                  </w:r>
                  <w:r>
                    <w:rPr>
                      <w:rFonts w:hint="eastAsia"/>
                      <w:b/>
                      <w:bCs/>
                      <w:color w:val="auto"/>
                      <w:szCs w:val="21"/>
                      <w:lang w:val="en-US" w:eastAsia="zh-CN"/>
                    </w:rPr>
                    <w:t>上光油、</w:t>
                  </w:r>
                  <w:r>
                    <w:rPr>
                      <w:rFonts w:hint="eastAsia"/>
                      <w:b/>
                      <w:bCs/>
                      <w:color w:val="auto"/>
                      <w:szCs w:val="21"/>
                    </w:rPr>
                    <w:t>丝网版清洁有机废气：</w:t>
                  </w:r>
                  <w:r>
                    <w:rPr>
                      <w:rFonts w:hint="eastAsia"/>
                      <w:b w:val="0"/>
                      <w:bCs w:val="0"/>
                      <w:color w:val="auto"/>
                      <w:szCs w:val="21"/>
                    </w:rPr>
                    <w:t>在</w:t>
                  </w:r>
                  <w:r>
                    <w:rPr>
                      <w:rFonts w:hint="eastAsia"/>
                      <w:b w:val="0"/>
                      <w:bCs w:val="0"/>
                      <w:color w:val="auto"/>
                      <w:szCs w:val="21"/>
                      <w:lang w:val="en-US" w:eastAsia="zh-CN"/>
                    </w:rPr>
                    <w:t>覆膜机</w:t>
                  </w:r>
                  <w:r>
                    <w:rPr>
                      <w:rFonts w:hint="eastAsia"/>
                      <w:b w:val="0"/>
                      <w:bCs w:val="0"/>
                      <w:color w:val="auto"/>
                      <w:szCs w:val="21"/>
                      <w:lang w:eastAsia="zh-CN"/>
                    </w:rPr>
                    <w:t>、</w:t>
                  </w:r>
                  <w:r>
                    <w:rPr>
                      <w:rFonts w:hint="eastAsia"/>
                      <w:b w:val="0"/>
                      <w:bCs w:val="0"/>
                      <w:color w:val="auto"/>
                      <w:szCs w:val="21"/>
                      <w:lang w:val="en-US" w:eastAsia="zh-CN"/>
                    </w:rPr>
                    <w:t>自动喷码机、打样机、</w:t>
                  </w:r>
                  <w:r>
                    <w:rPr>
                      <w:rFonts w:hint="eastAsia"/>
                      <w:b w:val="0"/>
                      <w:bCs w:val="0"/>
                      <w:color w:val="auto"/>
                      <w:szCs w:val="21"/>
                    </w:rPr>
                    <w:t>丝网印刷机</w:t>
                  </w:r>
                  <w:r>
                    <w:rPr>
                      <w:rFonts w:hint="eastAsia"/>
                      <w:b w:val="0"/>
                      <w:bCs w:val="0"/>
                      <w:color w:val="auto"/>
                      <w:szCs w:val="21"/>
                      <w:lang w:val="en-US" w:eastAsia="zh-CN"/>
                    </w:rPr>
                    <w:t>及冷烫机</w:t>
                  </w:r>
                  <w:r>
                    <w:rPr>
                      <w:rFonts w:hint="eastAsia"/>
                      <w:b w:val="0"/>
                      <w:bCs w:val="0"/>
                      <w:color w:val="auto"/>
                      <w:szCs w:val="21"/>
                    </w:rPr>
                    <w:t>上方设置集气罩</w:t>
                  </w:r>
                  <w:r>
                    <w:rPr>
                      <w:rFonts w:hint="eastAsia"/>
                      <w:b w:val="0"/>
                      <w:bCs w:val="0"/>
                      <w:color w:val="auto"/>
                      <w:szCs w:val="21"/>
                      <w:lang w:eastAsia="zh-CN"/>
                    </w:rPr>
                    <w:t>，</w:t>
                  </w:r>
                  <w:r>
                    <w:rPr>
                      <w:rFonts w:hint="eastAsia"/>
                      <w:b w:val="0"/>
                      <w:bCs w:val="0"/>
                      <w:color w:val="auto"/>
                      <w:szCs w:val="21"/>
                    </w:rPr>
                    <w:t>同时进一步密闭印刷车间，加强管理，</w:t>
                  </w:r>
                  <w:r>
                    <w:rPr>
                      <w:rFonts w:hint="eastAsia"/>
                      <w:b w:val="0"/>
                      <w:bCs w:val="0"/>
                      <w:color w:val="auto"/>
                      <w:szCs w:val="21"/>
                      <w:lang w:val="en-US" w:eastAsia="zh-CN"/>
                    </w:rPr>
                    <w:t>将罗兰印刷机设置在密闭印刷间内，</w:t>
                  </w:r>
                  <w:r>
                    <w:rPr>
                      <w:rFonts w:hint="eastAsia"/>
                      <w:b w:val="0"/>
                      <w:bCs w:val="0"/>
                      <w:color w:val="auto"/>
                      <w:szCs w:val="21"/>
                    </w:rPr>
                    <w:t>在车间生产过程中，密闭印刷车间，丝网版清洁过程</w:t>
                  </w:r>
                  <w:r>
                    <w:rPr>
                      <w:rFonts w:hint="eastAsia"/>
                      <w:b w:val="0"/>
                      <w:bCs w:val="0"/>
                      <w:color w:val="auto"/>
                      <w:szCs w:val="21"/>
                      <w:lang w:val="en-US" w:eastAsia="zh-CN"/>
                    </w:rPr>
                    <w:t>在丝网版清洁上方设</w:t>
                  </w:r>
                  <w:r>
                    <w:rPr>
                      <w:rFonts w:hint="eastAsia"/>
                      <w:b w:val="0"/>
                      <w:bCs w:val="0"/>
                      <w:color w:val="auto"/>
                      <w:szCs w:val="21"/>
                    </w:rPr>
                    <w:t>集气罩，</w:t>
                  </w:r>
                  <w:r>
                    <w:rPr>
                      <w:rFonts w:hint="eastAsia"/>
                      <w:b w:val="0"/>
                      <w:bCs w:val="0"/>
                      <w:color w:val="auto"/>
                      <w:szCs w:val="21"/>
                      <w:lang w:val="en-US" w:eastAsia="zh-CN"/>
                    </w:rPr>
                    <w:t>烫金机上</w:t>
                  </w:r>
                  <w:r>
                    <w:rPr>
                      <w:rFonts w:hint="eastAsia"/>
                      <w:b w:val="0"/>
                      <w:bCs w:val="0"/>
                      <w:color w:val="auto"/>
                      <w:szCs w:val="21"/>
                    </w:rPr>
                    <w:t>设集尘罩</w:t>
                  </w:r>
                  <w:r>
                    <w:rPr>
                      <w:rFonts w:hint="eastAsia"/>
                      <w:b w:val="0"/>
                      <w:bCs w:val="0"/>
                      <w:color w:val="auto"/>
                      <w:szCs w:val="21"/>
                      <w:lang w:eastAsia="zh-CN"/>
                    </w:rPr>
                    <w:t>，</w:t>
                  </w:r>
                  <w:r>
                    <w:rPr>
                      <w:rFonts w:hint="eastAsia"/>
                      <w:b w:val="0"/>
                      <w:bCs w:val="0"/>
                      <w:color w:val="auto"/>
                      <w:szCs w:val="21"/>
                    </w:rPr>
                    <w:t>有机废气经集气罩收集后引至两级活性炭吸附装置（TA00</w:t>
                  </w:r>
                  <w:r>
                    <w:rPr>
                      <w:rFonts w:hint="eastAsia"/>
                      <w:b w:val="0"/>
                      <w:bCs w:val="0"/>
                      <w:color w:val="auto"/>
                      <w:szCs w:val="21"/>
                      <w:lang w:val="en-US" w:eastAsia="zh-CN"/>
                    </w:rPr>
                    <w:t>3</w:t>
                  </w:r>
                  <w:r>
                    <w:rPr>
                      <w:rFonts w:hint="eastAsia"/>
                      <w:b w:val="0"/>
                      <w:bCs w:val="0"/>
                      <w:color w:val="auto"/>
                      <w:szCs w:val="21"/>
                    </w:rPr>
                    <w:t>）+</w:t>
                  </w:r>
                  <w:r>
                    <w:rPr>
                      <w:rFonts w:hint="eastAsia"/>
                      <w:b w:val="0"/>
                      <w:bCs w:val="0"/>
                      <w:color w:val="auto"/>
                      <w:szCs w:val="21"/>
                      <w:lang w:val="en-US" w:eastAsia="zh-CN"/>
                    </w:rPr>
                    <w:t>15</w:t>
                  </w:r>
                  <w:r>
                    <w:rPr>
                      <w:rFonts w:hint="eastAsia"/>
                      <w:b w:val="0"/>
                      <w:bCs w:val="0"/>
                      <w:color w:val="auto"/>
                      <w:szCs w:val="21"/>
                    </w:rPr>
                    <w:t>m排气筒（DA00</w:t>
                  </w:r>
                  <w:r>
                    <w:rPr>
                      <w:rFonts w:hint="eastAsia"/>
                      <w:b w:val="0"/>
                      <w:bCs w:val="0"/>
                      <w:color w:val="auto"/>
                      <w:szCs w:val="21"/>
                      <w:lang w:val="en-US" w:eastAsia="zh-CN"/>
                    </w:rPr>
                    <w:t>3</w:t>
                  </w:r>
                  <w:r>
                    <w:rPr>
                      <w:rFonts w:hint="eastAsia"/>
                      <w:b w:val="0"/>
                      <w:bCs w:val="0"/>
                      <w:color w:val="auto"/>
                      <w:szCs w:val="21"/>
                    </w:rPr>
                    <w:t>）排放。</w:t>
                  </w:r>
                </w:p>
              </w:tc>
              <w:tc>
                <w:tcPr>
                  <w:tcW w:w="529" w:type="pct"/>
                  <w:vMerge w:val="continue"/>
                  <w:tcBorders>
                    <w:tl2br w:val="nil"/>
                    <w:tr2bl w:val="nil"/>
                  </w:tcBorders>
                  <w:noWrap w:val="0"/>
                  <w:vAlign w:val="center"/>
                </w:tcPr>
                <w:p w14:paraId="02AC5D36">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tc>
              <w:tc>
                <w:tcPr>
                  <w:tcW w:w="747" w:type="pct"/>
                  <w:vMerge w:val="continue"/>
                  <w:tcBorders>
                    <w:tl2br w:val="nil"/>
                    <w:tr2bl w:val="nil"/>
                  </w:tcBorders>
                  <w:noWrap w:val="0"/>
                  <w:vAlign w:val="center"/>
                </w:tcPr>
                <w:p w14:paraId="657BDC90">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highlight w:val="none"/>
                    </w:rPr>
                  </w:pPr>
                </w:p>
              </w:tc>
              <w:tc>
                <w:tcPr>
                  <w:tcW w:w="455" w:type="pct"/>
                  <w:vMerge w:val="continue"/>
                  <w:tcBorders>
                    <w:tl2br w:val="nil"/>
                    <w:tr2bl w:val="nil"/>
                  </w:tcBorders>
                  <w:noWrap w:val="0"/>
                  <w:vAlign w:val="center"/>
                </w:tcPr>
                <w:p w14:paraId="344A6398">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eastAsia" w:cs="Times New Roman"/>
                      <w:color w:val="auto"/>
                      <w:sz w:val="21"/>
                      <w:szCs w:val="21"/>
                      <w:highlight w:val="none"/>
                      <w:lang w:val="en-US" w:eastAsia="zh-CN"/>
                    </w:rPr>
                  </w:pPr>
                </w:p>
              </w:tc>
            </w:tr>
            <w:tr w14:paraId="5D2121F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c>
                <w:tcPr>
                  <w:tcW w:w="420" w:type="pct"/>
                  <w:vMerge w:val="continue"/>
                  <w:tcBorders>
                    <w:tl2br w:val="nil"/>
                    <w:tr2bl w:val="nil"/>
                  </w:tcBorders>
                  <w:noWrap w:val="0"/>
                  <w:vAlign w:val="center"/>
                </w:tcPr>
                <w:p w14:paraId="603277A4">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p>
              </w:tc>
              <w:tc>
                <w:tcPr>
                  <w:tcW w:w="640" w:type="pct"/>
                  <w:tcBorders>
                    <w:tl2br w:val="nil"/>
                    <w:tr2bl w:val="nil"/>
                  </w:tcBorders>
                  <w:noWrap w:val="0"/>
                  <w:vAlign w:val="center"/>
                </w:tcPr>
                <w:p w14:paraId="42F3D7BB">
                  <w:pPr>
                    <w:pStyle w:val="91"/>
                    <w:keepNext w:val="0"/>
                    <w:keepLines w:val="0"/>
                    <w:pageBreakBefore w:val="0"/>
                    <w:widowControl w:val="0"/>
                    <w:suppressLineNumbers w:val="0"/>
                    <w:tabs>
                      <w:tab w:val="left" w:pos="9615"/>
                    </w:tabs>
                    <w:kinsoku/>
                    <w:wordWrap/>
                    <w:overflowPunct/>
                    <w:topLinePunct w:val="0"/>
                    <w:bidi w:val="0"/>
                    <w:adjustRightInd w:val="0"/>
                    <w:snapToGrid/>
                    <w:spacing w:before="0" w:beforeAutospacing="0" w:after="0" w:afterAutospacing="0" w:line="300" w:lineRule="auto"/>
                    <w:ind w:left="0" w:right="0"/>
                    <w:textAlignment w:val="baseline"/>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预处理池</w:t>
                  </w:r>
                </w:p>
              </w:tc>
              <w:tc>
                <w:tcPr>
                  <w:tcW w:w="2206" w:type="pct"/>
                  <w:tcBorders>
                    <w:tl2br w:val="nil"/>
                    <w:tr2bl w:val="nil"/>
                  </w:tcBorders>
                  <w:noWrap w:val="0"/>
                  <w:vAlign w:val="center"/>
                </w:tcPr>
                <w:p w14:paraId="056DA37A">
                  <w:pPr>
                    <w:pStyle w:val="91"/>
                    <w:keepNext w:val="0"/>
                    <w:keepLines w:val="0"/>
                    <w:pageBreakBefore w:val="0"/>
                    <w:widowControl w:val="0"/>
                    <w:suppressLineNumbers w:val="0"/>
                    <w:tabs>
                      <w:tab w:val="left" w:pos="9615"/>
                    </w:tabs>
                    <w:kinsoku/>
                    <w:wordWrap/>
                    <w:overflowPunct/>
                    <w:topLinePunct w:val="0"/>
                    <w:bidi w:val="0"/>
                    <w:adjustRightInd w:val="0"/>
                    <w:snapToGrid/>
                    <w:spacing w:before="0" w:beforeAutospacing="0" w:after="0" w:afterAutospacing="0" w:line="300" w:lineRule="auto"/>
                    <w:ind w:left="0" w:right="0"/>
                    <w:jc w:val="both"/>
                    <w:textAlignment w:val="baseline"/>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餐饮废水经</w:t>
                  </w:r>
                  <w:r>
                    <w:rPr>
                      <w:rFonts w:hint="eastAsia" w:ascii="Times New Roman" w:hAnsi="Times New Roman" w:cs="Times New Roman"/>
                      <w:b w:val="0"/>
                      <w:bCs w:val="0"/>
                      <w:color w:val="auto"/>
                      <w:kern w:val="2"/>
                      <w:sz w:val="21"/>
                      <w:szCs w:val="21"/>
                      <w:highlight w:val="none"/>
                      <w:lang w:val="en-US" w:eastAsia="zh-CN" w:bidi="ar-SA"/>
                    </w:rPr>
                    <w:t>油水分离器处理后</w:t>
                  </w:r>
                  <w:r>
                    <w:rPr>
                      <w:rFonts w:hint="eastAsia" w:ascii="Times New Roman" w:hAnsi="Times New Roman" w:eastAsia="宋体" w:cs="Times New Roman"/>
                      <w:b w:val="0"/>
                      <w:bCs w:val="0"/>
                      <w:color w:val="auto"/>
                      <w:kern w:val="2"/>
                      <w:sz w:val="21"/>
                      <w:szCs w:val="21"/>
                      <w:highlight w:val="none"/>
                      <w:lang w:val="en-US" w:eastAsia="zh-CN" w:bidi="ar-SA"/>
                    </w:rPr>
                    <w:t>，与其他生活污水依托厂区内已建预处理池（</w:t>
                  </w:r>
                  <w:r>
                    <w:rPr>
                      <w:rFonts w:hint="eastAsia" w:ascii="Times New Roman" w:hAnsi="Times New Roman" w:cs="Times New Roman"/>
                      <w:b w:val="0"/>
                      <w:bCs w:val="0"/>
                      <w:color w:val="auto"/>
                      <w:kern w:val="2"/>
                      <w:sz w:val="21"/>
                      <w:szCs w:val="21"/>
                      <w:highlight w:val="none"/>
                      <w:lang w:val="en-US" w:eastAsia="zh-CN" w:bidi="ar-SA"/>
                    </w:rPr>
                    <w:t>4</w:t>
                  </w:r>
                  <w:r>
                    <w:rPr>
                      <w:rFonts w:hint="eastAsia" w:ascii="Times New Roman" w:hAnsi="Times New Roman" w:eastAsia="宋体" w:cs="Times New Roman"/>
                      <w:b w:val="0"/>
                      <w:bCs w:val="0"/>
                      <w:color w:val="auto"/>
                      <w:kern w:val="2"/>
                      <w:sz w:val="21"/>
                      <w:szCs w:val="21"/>
                      <w:highlight w:val="none"/>
                      <w:lang w:val="en-US" w:eastAsia="zh-CN" w:bidi="ar-SA"/>
                    </w:rPr>
                    <w:t>0m</w:t>
                  </w:r>
                  <w:r>
                    <w:rPr>
                      <w:rFonts w:hint="eastAsia" w:ascii="Times New Roman" w:hAnsi="Times New Roman" w:eastAsia="宋体" w:cs="Times New Roman"/>
                      <w:b w:val="0"/>
                      <w:bCs w:val="0"/>
                      <w:color w:val="auto"/>
                      <w:kern w:val="2"/>
                      <w:sz w:val="21"/>
                      <w:szCs w:val="21"/>
                      <w:highlight w:val="none"/>
                      <w:vertAlign w:val="superscript"/>
                      <w:lang w:val="en-US" w:eastAsia="zh-CN" w:bidi="ar-SA"/>
                    </w:rPr>
                    <w:t>3</w:t>
                  </w:r>
                  <w:r>
                    <w:rPr>
                      <w:rFonts w:hint="eastAsia" w:ascii="Times New Roman" w:hAnsi="Times New Roman" w:eastAsia="宋体" w:cs="Times New Roman"/>
                      <w:b w:val="0"/>
                      <w:bCs w:val="0"/>
                      <w:color w:val="auto"/>
                      <w:kern w:val="2"/>
                      <w:sz w:val="21"/>
                      <w:szCs w:val="21"/>
                      <w:highlight w:val="none"/>
                      <w:lang w:val="en-US" w:eastAsia="zh-CN" w:bidi="ar-SA"/>
                    </w:rPr>
                    <w:t>）处理后排放。</w:t>
                  </w:r>
                </w:p>
              </w:tc>
              <w:tc>
                <w:tcPr>
                  <w:tcW w:w="529" w:type="pct"/>
                  <w:vMerge w:val="continue"/>
                  <w:tcBorders>
                    <w:tl2br w:val="nil"/>
                    <w:tr2bl w:val="nil"/>
                  </w:tcBorders>
                  <w:noWrap w:val="0"/>
                  <w:vAlign w:val="center"/>
                </w:tcPr>
                <w:p w14:paraId="2D391F8A">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tc>
              <w:tc>
                <w:tcPr>
                  <w:tcW w:w="747" w:type="pct"/>
                  <w:tcBorders>
                    <w:tl2br w:val="nil"/>
                    <w:tr2bl w:val="nil"/>
                  </w:tcBorders>
                  <w:noWrap w:val="0"/>
                  <w:vAlign w:val="center"/>
                </w:tcPr>
                <w:p w14:paraId="75715B8B">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废水、</w:t>
                  </w:r>
                  <w:r>
                    <w:rPr>
                      <w:rFonts w:hint="default" w:ascii="Times New Roman" w:hAnsi="Times New Roman" w:eastAsia="宋体" w:cs="Times New Roman"/>
                      <w:color w:val="auto"/>
                      <w:sz w:val="21"/>
                      <w:szCs w:val="21"/>
                      <w:highlight w:val="none"/>
                      <w:lang w:eastAsia="zh-CN"/>
                    </w:rPr>
                    <w:t>固废</w:t>
                  </w:r>
                </w:p>
              </w:tc>
              <w:tc>
                <w:tcPr>
                  <w:tcW w:w="455" w:type="pct"/>
                  <w:tcBorders>
                    <w:tl2br w:val="nil"/>
                    <w:tr2bl w:val="nil"/>
                  </w:tcBorders>
                  <w:noWrap w:val="0"/>
                  <w:vAlign w:val="center"/>
                </w:tcPr>
                <w:p w14:paraId="10393A73">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依托</w:t>
                  </w:r>
                  <w:r>
                    <w:rPr>
                      <w:rFonts w:hint="eastAsia" w:cs="Times New Roman"/>
                      <w:color w:val="auto"/>
                      <w:sz w:val="21"/>
                      <w:szCs w:val="21"/>
                      <w:highlight w:val="none"/>
                      <w:lang w:val="en-US" w:eastAsia="zh-CN"/>
                    </w:rPr>
                    <w:t>+新建</w:t>
                  </w:r>
                </w:p>
              </w:tc>
            </w:tr>
            <w:tr w14:paraId="2568816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c>
                <w:tcPr>
                  <w:tcW w:w="420" w:type="pct"/>
                  <w:vMerge w:val="continue"/>
                  <w:tcBorders>
                    <w:tl2br w:val="nil"/>
                    <w:tr2bl w:val="nil"/>
                  </w:tcBorders>
                  <w:noWrap w:val="0"/>
                  <w:vAlign w:val="center"/>
                </w:tcPr>
                <w:p w14:paraId="5EDB3734">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p>
              </w:tc>
              <w:tc>
                <w:tcPr>
                  <w:tcW w:w="640" w:type="pct"/>
                  <w:tcBorders>
                    <w:tl2br w:val="nil"/>
                    <w:tr2bl w:val="nil"/>
                  </w:tcBorders>
                  <w:noWrap w:val="0"/>
                  <w:vAlign w:val="center"/>
                </w:tcPr>
                <w:p w14:paraId="40F96CD6">
                  <w:pPr>
                    <w:pStyle w:val="91"/>
                    <w:keepNext w:val="0"/>
                    <w:keepLines w:val="0"/>
                    <w:pageBreakBefore w:val="0"/>
                    <w:widowControl w:val="0"/>
                    <w:suppressLineNumbers w:val="0"/>
                    <w:tabs>
                      <w:tab w:val="left" w:pos="9615"/>
                    </w:tabs>
                    <w:kinsoku/>
                    <w:wordWrap/>
                    <w:overflowPunct/>
                    <w:topLinePunct w:val="0"/>
                    <w:bidi w:val="0"/>
                    <w:adjustRightInd w:val="0"/>
                    <w:snapToGrid/>
                    <w:spacing w:before="0" w:beforeAutospacing="0" w:after="0" w:afterAutospacing="0" w:line="300" w:lineRule="auto"/>
                    <w:ind w:left="0" w:right="0"/>
                    <w:textAlignment w:val="baseline"/>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设备噪声</w:t>
                  </w:r>
                </w:p>
              </w:tc>
              <w:tc>
                <w:tcPr>
                  <w:tcW w:w="2206" w:type="pct"/>
                  <w:tcBorders>
                    <w:tl2br w:val="nil"/>
                    <w:tr2bl w:val="nil"/>
                  </w:tcBorders>
                  <w:noWrap w:val="0"/>
                  <w:vAlign w:val="center"/>
                </w:tcPr>
                <w:p w14:paraId="04909523">
                  <w:pPr>
                    <w:pStyle w:val="91"/>
                    <w:keepNext w:val="0"/>
                    <w:keepLines w:val="0"/>
                    <w:pageBreakBefore w:val="0"/>
                    <w:widowControl w:val="0"/>
                    <w:suppressLineNumbers w:val="0"/>
                    <w:tabs>
                      <w:tab w:val="left" w:pos="9615"/>
                    </w:tabs>
                    <w:kinsoku/>
                    <w:wordWrap/>
                    <w:overflowPunct/>
                    <w:topLinePunct w:val="0"/>
                    <w:bidi w:val="0"/>
                    <w:adjustRightInd w:val="0"/>
                    <w:snapToGrid/>
                    <w:spacing w:before="0" w:beforeAutospacing="0" w:after="0" w:afterAutospacing="0" w:line="300" w:lineRule="auto"/>
                    <w:ind w:left="0" w:right="0"/>
                    <w:jc w:val="both"/>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隔声、合理布局、距离衰减</w:t>
                  </w:r>
                  <w:r>
                    <w:rPr>
                      <w:rFonts w:hint="default" w:ascii="Times New Roman" w:hAnsi="Times New Roman" w:eastAsia="宋体" w:cs="Times New Roman"/>
                      <w:color w:val="auto"/>
                      <w:sz w:val="21"/>
                      <w:szCs w:val="21"/>
                      <w:highlight w:val="none"/>
                      <w:lang w:eastAsia="zh-CN"/>
                    </w:rPr>
                    <w:t>等</w:t>
                  </w:r>
                  <w:r>
                    <w:rPr>
                      <w:rFonts w:hint="eastAsia" w:ascii="Times New Roman" w:hAnsi="Times New Roman" w:cs="Times New Roman"/>
                      <w:color w:val="auto"/>
                      <w:sz w:val="21"/>
                      <w:szCs w:val="21"/>
                      <w:highlight w:val="none"/>
                      <w:lang w:eastAsia="zh-CN"/>
                    </w:rPr>
                    <w:t>。</w:t>
                  </w:r>
                </w:p>
              </w:tc>
              <w:tc>
                <w:tcPr>
                  <w:tcW w:w="529" w:type="pct"/>
                  <w:vMerge w:val="continue"/>
                  <w:tcBorders>
                    <w:tl2br w:val="nil"/>
                    <w:tr2bl w:val="nil"/>
                  </w:tcBorders>
                  <w:noWrap w:val="0"/>
                  <w:vAlign w:val="center"/>
                </w:tcPr>
                <w:p w14:paraId="783AD0F7">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tc>
              <w:tc>
                <w:tcPr>
                  <w:tcW w:w="747" w:type="pct"/>
                  <w:tcBorders>
                    <w:tl2br w:val="nil"/>
                    <w:tr2bl w:val="nil"/>
                  </w:tcBorders>
                  <w:noWrap w:val="0"/>
                  <w:vAlign w:val="center"/>
                </w:tcPr>
                <w:p w14:paraId="6EC0556B">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55" w:type="pct"/>
                  <w:tcBorders>
                    <w:tl2br w:val="nil"/>
                    <w:tr2bl w:val="nil"/>
                  </w:tcBorders>
                  <w:noWrap w:val="0"/>
                  <w:vAlign w:val="center"/>
                </w:tcPr>
                <w:p w14:paraId="263C9DE0">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r>
                    <w:rPr>
                      <w:rFonts w:hint="eastAsia" w:cs="Times New Roman"/>
                      <w:color w:val="auto"/>
                      <w:sz w:val="21"/>
                      <w:szCs w:val="21"/>
                      <w:highlight w:val="none"/>
                      <w:lang w:val="en-US" w:eastAsia="zh-CN"/>
                    </w:rPr>
                    <w:t>+依托</w:t>
                  </w:r>
                </w:p>
              </w:tc>
            </w:tr>
            <w:tr w14:paraId="53890DE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47" w:hRule="atLeast"/>
              </w:trPr>
              <w:tc>
                <w:tcPr>
                  <w:tcW w:w="420" w:type="pct"/>
                  <w:vMerge w:val="continue"/>
                  <w:tcBorders>
                    <w:tl2br w:val="nil"/>
                    <w:tr2bl w:val="nil"/>
                  </w:tcBorders>
                  <w:noWrap w:val="0"/>
                  <w:vAlign w:val="center"/>
                </w:tcPr>
                <w:p w14:paraId="086A2D1F">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p>
              </w:tc>
              <w:tc>
                <w:tcPr>
                  <w:tcW w:w="640" w:type="pct"/>
                  <w:tcBorders>
                    <w:tl2br w:val="nil"/>
                    <w:tr2bl w:val="nil"/>
                  </w:tcBorders>
                  <w:noWrap w:val="0"/>
                  <w:vAlign w:val="center"/>
                </w:tcPr>
                <w:p w14:paraId="118AA7DD">
                  <w:pPr>
                    <w:pStyle w:val="91"/>
                    <w:keepNext w:val="0"/>
                    <w:keepLines w:val="0"/>
                    <w:pageBreakBefore w:val="0"/>
                    <w:widowControl w:val="0"/>
                    <w:suppressLineNumbers w:val="0"/>
                    <w:tabs>
                      <w:tab w:val="left" w:pos="9615"/>
                    </w:tabs>
                    <w:kinsoku/>
                    <w:wordWrap/>
                    <w:overflowPunct/>
                    <w:topLinePunct w:val="0"/>
                    <w:bidi w:val="0"/>
                    <w:adjustRightInd w:val="0"/>
                    <w:snapToGrid/>
                    <w:spacing w:before="0" w:beforeAutospacing="0" w:after="0" w:afterAutospacing="0" w:line="300" w:lineRule="auto"/>
                    <w:ind w:left="0" w:right="0"/>
                    <w:textAlignment w:val="baseline"/>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生活垃圾</w:t>
                  </w:r>
                </w:p>
              </w:tc>
              <w:tc>
                <w:tcPr>
                  <w:tcW w:w="2206" w:type="pct"/>
                  <w:tcBorders>
                    <w:tl2br w:val="nil"/>
                    <w:tr2bl w:val="nil"/>
                  </w:tcBorders>
                  <w:noWrap w:val="0"/>
                  <w:vAlign w:val="center"/>
                </w:tcPr>
                <w:p w14:paraId="38216511">
                  <w:pPr>
                    <w:pStyle w:val="91"/>
                    <w:keepNext w:val="0"/>
                    <w:keepLines w:val="0"/>
                    <w:pageBreakBefore w:val="0"/>
                    <w:widowControl w:val="0"/>
                    <w:suppressLineNumbers w:val="0"/>
                    <w:tabs>
                      <w:tab w:val="left" w:pos="9615"/>
                    </w:tabs>
                    <w:kinsoku/>
                    <w:wordWrap/>
                    <w:overflowPunct/>
                    <w:topLinePunct w:val="0"/>
                    <w:bidi w:val="0"/>
                    <w:adjustRightInd w:val="0"/>
                    <w:snapToGrid/>
                    <w:spacing w:before="0" w:beforeAutospacing="0" w:after="0" w:afterAutospacing="0" w:line="300" w:lineRule="auto"/>
                    <w:ind w:left="0" w:right="0"/>
                    <w:jc w:val="both"/>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生活垃圾收集桶</w:t>
                  </w:r>
                  <w:r>
                    <w:rPr>
                      <w:rFonts w:hint="default" w:ascii="Times New Roman" w:hAnsi="Times New Roman" w:eastAsia="宋体" w:cs="Times New Roman"/>
                      <w:color w:val="auto"/>
                      <w:sz w:val="21"/>
                      <w:szCs w:val="21"/>
                      <w:highlight w:val="none"/>
                      <w:lang w:eastAsia="zh-CN"/>
                    </w:rPr>
                    <w:t>，若干</w:t>
                  </w:r>
                  <w:r>
                    <w:rPr>
                      <w:rFonts w:hint="eastAsia" w:ascii="Times New Roman" w:hAnsi="Times New Roman" w:cs="Times New Roman"/>
                      <w:color w:val="auto"/>
                      <w:sz w:val="21"/>
                      <w:szCs w:val="21"/>
                      <w:highlight w:val="none"/>
                      <w:lang w:eastAsia="zh-CN"/>
                    </w:rPr>
                    <w:t>。</w:t>
                  </w:r>
                </w:p>
              </w:tc>
              <w:tc>
                <w:tcPr>
                  <w:tcW w:w="529" w:type="pct"/>
                  <w:vMerge w:val="continue"/>
                  <w:tcBorders>
                    <w:tl2br w:val="nil"/>
                    <w:tr2bl w:val="nil"/>
                  </w:tcBorders>
                  <w:noWrap w:val="0"/>
                  <w:vAlign w:val="center"/>
                </w:tcPr>
                <w:p w14:paraId="2CBED430">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tc>
              <w:tc>
                <w:tcPr>
                  <w:tcW w:w="747" w:type="pct"/>
                  <w:tcBorders>
                    <w:tl2br w:val="nil"/>
                    <w:tr2bl w:val="nil"/>
                  </w:tcBorders>
                  <w:noWrap w:val="0"/>
                  <w:vAlign w:val="center"/>
                </w:tcPr>
                <w:p w14:paraId="76E3C35A">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固废</w:t>
                  </w:r>
                </w:p>
              </w:tc>
              <w:tc>
                <w:tcPr>
                  <w:tcW w:w="455" w:type="pct"/>
                  <w:tcBorders>
                    <w:tl2br w:val="nil"/>
                    <w:tr2bl w:val="nil"/>
                  </w:tcBorders>
                  <w:noWrap w:val="0"/>
                  <w:vAlign w:val="center"/>
                </w:tcPr>
                <w:p w14:paraId="4D51A91E">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新建</w:t>
                  </w:r>
                  <w:r>
                    <w:rPr>
                      <w:rFonts w:hint="eastAsia" w:cs="Times New Roman"/>
                      <w:color w:val="auto"/>
                      <w:sz w:val="21"/>
                      <w:szCs w:val="21"/>
                      <w:highlight w:val="none"/>
                      <w:lang w:val="en-US" w:eastAsia="zh-CN"/>
                    </w:rPr>
                    <w:t>+依托</w:t>
                  </w:r>
                </w:p>
              </w:tc>
            </w:tr>
            <w:tr w14:paraId="4CE379D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670" w:hRule="atLeast"/>
              </w:trPr>
              <w:tc>
                <w:tcPr>
                  <w:tcW w:w="420" w:type="pct"/>
                  <w:vMerge w:val="continue"/>
                  <w:tcBorders>
                    <w:tl2br w:val="nil"/>
                    <w:tr2bl w:val="nil"/>
                  </w:tcBorders>
                  <w:noWrap w:val="0"/>
                  <w:vAlign w:val="center"/>
                </w:tcPr>
                <w:p w14:paraId="539CDFE0">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p>
              </w:tc>
              <w:tc>
                <w:tcPr>
                  <w:tcW w:w="640" w:type="pct"/>
                  <w:tcBorders>
                    <w:tl2br w:val="nil"/>
                    <w:tr2bl w:val="nil"/>
                  </w:tcBorders>
                  <w:noWrap w:val="0"/>
                  <w:vAlign w:val="center"/>
                </w:tcPr>
                <w:p w14:paraId="70CA974E">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固废</w:t>
                  </w:r>
                  <w:r>
                    <w:rPr>
                      <w:rFonts w:hint="eastAsia" w:ascii="Times New Roman" w:hAnsi="Times New Roman" w:cs="Times New Roman"/>
                      <w:b w:val="0"/>
                      <w:bCs w:val="0"/>
                      <w:color w:val="auto"/>
                      <w:sz w:val="21"/>
                      <w:szCs w:val="21"/>
                      <w:highlight w:val="none"/>
                      <w:lang w:val="en-US" w:eastAsia="zh-CN"/>
                    </w:rPr>
                    <w:t>暂存间</w:t>
                  </w:r>
                </w:p>
              </w:tc>
              <w:tc>
                <w:tcPr>
                  <w:tcW w:w="2206" w:type="pct"/>
                  <w:tcBorders>
                    <w:tl2br w:val="nil"/>
                    <w:tr2bl w:val="nil"/>
                  </w:tcBorders>
                  <w:noWrap w:val="0"/>
                  <w:vAlign w:val="center"/>
                </w:tcPr>
                <w:p w14:paraId="77665E38">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jc w:val="both"/>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lang w:val="en-US" w:eastAsia="zh-CN"/>
                    </w:rPr>
                    <w:t>1#车间：2个，1个位于1#车间西南角，</w:t>
                  </w:r>
                  <w:r>
                    <w:rPr>
                      <w:rFonts w:hint="default" w:ascii="Times New Roman" w:hAnsi="Times New Roman" w:eastAsia="宋体" w:cs="Times New Roman"/>
                      <w:b w:val="0"/>
                      <w:bCs w:val="0"/>
                      <w:color w:val="auto"/>
                      <w:sz w:val="21"/>
                      <w:szCs w:val="21"/>
                      <w:highlight w:val="none"/>
                      <w:lang w:val="en-US" w:eastAsia="zh-CN"/>
                    </w:rPr>
                    <w:t>面积</w:t>
                  </w:r>
                  <w:r>
                    <w:rPr>
                      <w:rFonts w:hint="eastAsia" w:ascii="Times New Roman" w:hAnsi="Times New Roman" w:cs="Times New Roman"/>
                      <w:b w:val="0"/>
                      <w:bCs w:val="0"/>
                      <w:color w:val="auto"/>
                      <w:sz w:val="21"/>
                      <w:szCs w:val="21"/>
                      <w:highlight w:val="none"/>
                      <w:lang w:val="en-US" w:eastAsia="zh-CN"/>
                    </w:rPr>
                    <w:t>50</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rPr>
                    <w:t>2</w:t>
                  </w:r>
                  <w:r>
                    <w:rPr>
                      <w:rFonts w:hint="eastAsia" w:ascii="Times New Roman" w:hAnsi="Times New Roman" w:cs="Times New Roman"/>
                      <w:b w:val="0"/>
                      <w:bCs w:val="0"/>
                      <w:color w:val="auto"/>
                      <w:sz w:val="21"/>
                      <w:szCs w:val="21"/>
                      <w:highlight w:val="none"/>
                      <w:vertAlign w:val="baseline"/>
                      <w:lang w:eastAsia="zh-CN"/>
                    </w:rPr>
                    <w:t>，</w:t>
                  </w:r>
                  <w:r>
                    <w:rPr>
                      <w:rFonts w:hint="eastAsia" w:ascii="Times New Roman" w:hAnsi="Times New Roman" w:cs="Times New Roman"/>
                      <w:b w:val="0"/>
                      <w:bCs w:val="0"/>
                      <w:color w:val="auto"/>
                      <w:sz w:val="21"/>
                      <w:szCs w:val="21"/>
                      <w:highlight w:val="none"/>
                      <w:vertAlign w:val="baseline"/>
                      <w:lang w:val="en-US" w:eastAsia="zh-CN"/>
                    </w:rPr>
                    <w:t>1个位于</w:t>
                  </w:r>
                  <w:r>
                    <w:rPr>
                      <w:rFonts w:hint="eastAsia" w:ascii="Times New Roman" w:hAnsi="Times New Roman" w:cs="Times New Roman"/>
                      <w:b w:val="0"/>
                      <w:bCs w:val="0"/>
                      <w:color w:val="auto"/>
                      <w:sz w:val="21"/>
                      <w:szCs w:val="21"/>
                      <w:highlight w:val="none"/>
                      <w:lang w:val="en-US" w:eastAsia="zh-CN"/>
                    </w:rPr>
                    <w:t>1#车间</w:t>
                  </w:r>
                  <w:r>
                    <w:rPr>
                      <w:rFonts w:hint="eastAsia" w:ascii="Times New Roman" w:hAnsi="Times New Roman" w:cs="Times New Roman"/>
                      <w:b w:val="0"/>
                      <w:bCs w:val="0"/>
                      <w:color w:val="auto"/>
                      <w:sz w:val="21"/>
                      <w:szCs w:val="21"/>
                      <w:highlight w:val="none"/>
                      <w:vertAlign w:val="baseline"/>
                      <w:lang w:val="en-US" w:eastAsia="zh-CN"/>
                    </w:rPr>
                    <w:t>东南角，20</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rPr>
                    <w:t>2</w:t>
                  </w:r>
                  <w:r>
                    <w:rPr>
                      <w:rFonts w:hint="eastAsia" w:ascii="Times New Roman" w:hAnsi="Times New Roman" w:cs="Times New Roman"/>
                      <w:b w:val="0"/>
                      <w:bCs w:val="0"/>
                      <w:color w:val="auto"/>
                      <w:sz w:val="21"/>
                      <w:szCs w:val="21"/>
                      <w:highlight w:val="none"/>
                      <w:vertAlign w:val="baseline"/>
                      <w:lang w:eastAsia="zh-CN"/>
                    </w:rPr>
                    <w:t>。</w:t>
                  </w:r>
                </w:p>
              </w:tc>
              <w:tc>
                <w:tcPr>
                  <w:tcW w:w="529" w:type="pct"/>
                  <w:vMerge w:val="continue"/>
                  <w:tcBorders>
                    <w:tl2br w:val="nil"/>
                    <w:tr2bl w:val="nil"/>
                  </w:tcBorders>
                  <w:noWrap w:val="0"/>
                  <w:vAlign w:val="center"/>
                </w:tcPr>
                <w:p w14:paraId="2C1159B2">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yellow"/>
                    </w:rPr>
                  </w:pPr>
                </w:p>
              </w:tc>
              <w:tc>
                <w:tcPr>
                  <w:tcW w:w="747" w:type="pct"/>
                  <w:tcBorders>
                    <w:tl2br w:val="nil"/>
                    <w:tr2bl w:val="nil"/>
                  </w:tcBorders>
                  <w:noWrap w:val="0"/>
                  <w:vAlign w:val="center"/>
                </w:tcPr>
                <w:p w14:paraId="15471EB1">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固废</w:t>
                  </w:r>
                </w:p>
              </w:tc>
              <w:tc>
                <w:tcPr>
                  <w:tcW w:w="455" w:type="pct"/>
                  <w:tcBorders>
                    <w:tl2br w:val="nil"/>
                    <w:tr2bl w:val="nil"/>
                  </w:tcBorders>
                  <w:noWrap w:val="0"/>
                  <w:vAlign w:val="center"/>
                </w:tcPr>
                <w:p w14:paraId="65FCE682">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依托</w:t>
                  </w:r>
                </w:p>
              </w:tc>
            </w:tr>
            <w:tr w14:paraId="2A74815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c>
                <w:tcPr>
                  <w:tcW w:w="420" w:type="pct"/>
                  <w:vMerge w:val="continue"/>
                  <w:tcBorders>
                    <w:tl2br w:val="nil"/>
                    <w:tr2bl w:val="nil"/>
                  </w:tcBorders>
                  <w:noWrap w:val="0"/>
                  <w:vAlign w:val="center"/>
                </w:tcPr>
                <w:p w14:paraId="52EF285C">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rPr>
                  </w:pPr>
                </w:p>
              </w:tc>
              <w:tc>
                <w:tcPr>
                  <w:tcW w:w="640" w:type="pct"/>
                  <w:tcBorders>
                    <w:tl2br w:val="nil"/>
                    <w:tr2bl w:val="nil"/>
                  </w:tcBorders>
                  <w:noWrap w:val="0"/>
                  <w:vAlign w:val="center"/>
                </w:tcPr>
                <w:p w14:paraId="08E0188F">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危废暂存间</w:t>
                  </w:r>
                </w:p>
              </w:tc>
              <w:tc>
                <w:tcPr>
                  <w:tcW w:w="2206" w:type="pct"/>
                  <w:tcBorders>
                    <w:tl2br w:val="nil"/>
                    <w:tr2bl w:val="nil"/>
                  </w:tcBorders>
                  <w:noWrap w:val="0"/>
                  <w:vAlign w:val="center"/>
                </w:tcPr>
                <w:p w14:paraId="12DABEE2">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厂区西北侧已建一处占地100m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的危废暂存间</w:t>
                  </w:r>
                </w:p>
              </w:tc>
              <w:tc>
                <w:tcPr>
                  <w:tcW w:w="529" w:type="pct"/>
                  <w:vMerge w:val="continue"/>
                  <w:tcBorders>
                    <w:tl2br w:val="nil"/>
                    <w:tr2bl w:val="nil"/>
                  </w:tcBorders>
                  <w:noWrap w:val="0"/>
                  <w:vAlign w:val="center"/>
                </w:tcPr>
                <w:p w14:paraId="555CBD42">
                  <w:pPr>
                    <w:pStyle w:val="91"/>
                    <w:keepNext w:val="0"/>
                    <w:keepLines w:val="0"/>
                    <w:pageBreakBefore w:val="0"/>
                    <w:widowControl w:val="0"/>
                    <w:suppressLineNumbers w:val="0"/>
                    <w:tabs>
                      <w:tab w:val="left" w:pos="9615"/>
                    </w:tabs>
                    <w:kinsoku/>
                    <w:wordWrap/>
                    <w:overflowPunct/>
                    <w:topLinePunct w:val="0"/>
                    <w:bidi w:val="0"/>
                    <w:snapToGrid/>
                    <w:spacing w:before="0" w:beforeAutospacing="0" w:after="0" w:afterAutospacing="0" w:line="300" w:lineRule="auto"/>
                    <w:ind w:left="0" w:right="0"/>
                    <w:rPr>
                      <w:rFonts w:hint="default" w:ascii="Times New Roman" w:hAnsi="Times New Roman" w:eastAsia="宋体" w:cs="Times New Roman"/>
                      <w:color w:val="auto"/>
                      <w:sz w:val="21"/>
                      <w:szCs w:val="21"/>
                      <w:highlight w:val="none"/>
                    </w:rPr>
                  </w:pPr>
                </w:p>
              </w:tc>
              <w:tc>
                <w:tcPr>
                  <w:tcW w:w="747" w:type="pct"/>
                  <w:tcBorders>
                    <w:tl2br w:val="nil"/>
                    <w:tr2bl w:val="nil"/>
                  </w:tcBorders>
                  <w:noWrap w:val="0"/>
                  <w:vAlign w:val="center"/>
                </w:tcPr>
                <w:p w14:paraId="47B7FF2F">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危险固废</w:t>
                  </w:r>
                </w:p>
              </w:tc>
              <w:tc>
                <w:tcPr>
                  <w:tcW w:w="455" w:type="pct"/>
                  <w:tcBorders>
                    <w:tl2br w:val="nil"/>
                    <w:tr2bl w:val="nil"/>
                  </w:tcBorders>
                  <w:noWrap w:val="0"/>
                  <w:vAlign w:val="center"/>
                </w:tcPr>
                <w:p w14:paraId="0B43F8A2">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bl>
          <w:p w14:paraId="59C00903">
            <w:pPr>
              <w:numPr>
                <w:ilvl w:val="0"/>
                <w:numId w:val="0"/>
              </w:numPr>
              <w:adjustRightInd w:val="0"/>
              <w:snapToGrid w:val="0"/>
              <w:spacing w:line="360" w:lineRule="auto"/>
              <w:rPr>
                <w:b/>
                <w:bCs/>
                <w:color w:val="auto"/>
                <w:sz w:val="24"/>
              </w:rPr>
            </w:pPr>
            <w:r>
              <w:rPr>
                <w:rFonts w:hint="eastAsia"/>
                <w:b/>
                <w:bCs/>
                <w:color w:val="auto"/>
                <w:sz w:val="24"/>
                <w:lang w:val="en-US" w:eastAsia="zh-CN"/>
              </w:rPr>
              <w:t>4.</w:t>
            </w:r>
            <w:r>
              <w:rPr>
                <w:rFonts w:hint="eastAsia"/>
                <w:b/>
                <w:bCs/>
                <w:color w:val="auto"/>
                <w:sz w:val="24"/>
              </w:rPr>
              <w:t>本项目产品及产能</w:t>
            </w:r>
          </w:p>
          <w:p w14:paraId="394FC512">
            <w:pPr>
              <w:autoSpaceDE w:val="0"/>
              <w:autoSpaceDN w:val="0"/>
              <w:adjustRightInd w:val="0"/>
              <w:spacing w:line="360" w:lineRule="auto"/>
              <w:ind w:firstLine="480" w:firstLineChars="200"/>
              <w:jc w:val="left"/>
              <w:rPr>
                <w:color w:val="auto"/>
                <w:sz w:val="24"/>
              </w:rPr>
            </w:pPr>
            <w:r>
              <w:rPr>
                <w:rFonts w:hint="eastAsia"/>
                <w:color w:val="auto"/>
                <w:sz w:val="24"/>
              </w:rPr>
              <w:t>本项目产品方案见下表：</w:t>
            </w:r>
          </w:p>
          <w:p w14:paraId="679BFA14">
            <w:pPr>
              <w:adjustRightInd w:val="0"/>
              <w:snapToGrid w:val="0"/>
              <w:ind w:left="422"/>
              <w:jc w:val="center"/>
              <w:rPr>
                <w:b/>
                <w:color w:val="auto"/>
                <w:szCs w:val="21"/>
              </w:rPr>
            </w:pPr>
            <w:r>
              <w:rPr>
                <w:rFonts w:hint="eastAsia"/>
                <w:b/>
                <w:color w:val="auto"/>
                <w:szCs w:val="21"/>
              </w:rPr>
              <w:t>表</w:t>
            </w:r>
            <w:r>
              <w:rPr>
                <w:b/>
                <w:color w:val="auto"/>
                <w:szCs w:val="21"/>
              </w:rPr>
              <w:t xml:space="preserve">2-2  </w:t>
            </w:r>
            <w:r>
              <w:rPr>
                <w:rFonts w:hint="eastAsia"/>
                <w:b/>
                <w:color w:val="auto"/>
                <w:szCs w:val="21"/>
              </w:rPr>
              <w:t>项目</w:t>
            </w:r>
            <w:r>
              <w:rPr>
                <w:b/>
                <w:color w:val="auto"/>
                <w:szCs w:val="21"/>
              </w:rPr>
              <w:t>产品方案一览表</w:t>
            </w:r>
          </w:p>
          <w:tbl>
            <w:tblPr>
              <w:tblStyle w:val="26"/>
              <w:tblW w:w="851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012"/>
              <w:gridCol w:w="912"/>
              <w:gridCol w:w="900"/>
              <w:gridCol w:w="2007"/>
              <w:gridCol w:w="1857"/>
            </w:tblGrid>
            <w:tr w14:paraId="37A48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22" w:type="dxa"/>
                  <w:tcBorders>
                    <w:tl2br w:val="nil"/>
                    <w:tr2bl w:val="nil"/>
                  </w:tcBorders>
                  <w:vAlign w:val="center"/>
                </w:tcPr>
                <w:p w14:paraId="6CA3F6C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2012" w:type="dxa"/>
                  <w:tcBorders>
                    <w:tl2br w:val="nil"/>
                    <w:tr2bl w:val="nil"/>
                  </w:tcBorders>
                  <w:vAlign w:val="center"/>
                </w:tcPr>
                <w:p w14:paraId="5792E76B">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产品名称</w:t>
                  </w:r>
                </w:p>
              </w:tc>
              <w:tc>
                <w:tcPr>
                  <w:tcW w:w="912" w:type="dxa"/>
                  <w:tcBorders>
                    <w:tl2br w:val="nil"/>
                    <w:tr2bl w:val="nil"/>
                  </w:tcBorders>
                  <w:vAlign w:val="center"/>
                </w:tcPr>
                <w:p w14:paraId="6658A416">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eastAsia="zh-CN"/>
                    </w:rPr>
                    <w:t>单位</w:t>
                  </w:r>
                </w:p>
              </w:tc>
              <w:tc>
                <w:tcPr>
                  <w:tcW w:w="900" w:type="dxa"/>
                  <w:tcBorders>
                    <w:tl2br w:val="nil"/>
                    <w:tr2bl w:val="nil"/>
                  </w:tcBorders>
                  <w:vAlign w:val="center"/>
                </w:tcPr>
                <w:p w14:paraId="6B3322CE">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年产量</w:t>
                  </w:r>
                </w:p>
              </w:tc>
              <w:tc>
                <w:tcPr>
                  <w:tcW w:w="2007" w:type="dxa"/>
                  <w:tcBorders>
                    <w:tl2br w:val="nil"/>
                    <w:tr2bl w:val="nil"/>
                  </w:tcBorders>
                  <w:vAlign w:val="center"/>
                </w:tcPr>
                <w:p w14:paraId="66D1BD3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规格</w:t>
                  </w:r>
                </w:p>
              </w:tc>
              <w:tc>
                <w:tcPr>
                  <w:tcW w:w="1857" w:type="dxa"/>
                  <w:tcBorders>
                    <w:tl2br w:val="nil"/>
                    <w:tr2bl w:val="nil"/>
                  </w:tcBorders>
                  <w:vAlign w:val="center"/>
                </w:tcPr>
                <w:p w14:paraId="4642E516">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备注</w:t>
                  </w:r>
                </w:p>
              </w:tc>
            </w:tr>
            <w:tr w14:paraId="1F46B7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22" w:type="dxa"/>
                  <w:tcBorders>
                    <w:tl2br w:val="nil"/>
                    <w:tr2bl w:val="nil"/>
                  </w:tcBorders>
                  <w:vAlign w:val="center"/>
                </w:tcPr>
                <w:p w14:paraId="20746FF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012" w:type="dxa"/>
                  <w:tcBorders>
                    <w:tl2br w:val="nil"/>
                    <w:tr2bl w:val="nil"/>
                  </w:tcBorders>
                  <w:vAlign w:val="center"/>
                </w:tcPr>
                <w:p w14:paraId="7ACAB137">
                  <w:pPr>
                    <w:pStyle w:val="91"/>
                    <w:keepNext w:val="0"/>
                    <w:keepLines w:val="0"/>
                    <w:suppressLineNumbers w:val="0"/>
                    <w:tabs>
                      <w:tab w:val="left" w:pos="9615"/>
                    </w:tabs>
                    <w:spacing w:before="0" w:beforeAutospacing="0" w:after="0" w:afterAutospacing="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酒类礼品包装盒</w:t>
                  </w:r>
                </w:p>
              </w:tc>
              <w:tc>
                <w:tcPr>
                  <w:tcW w:w="912" w:type="dxa"/>
                  <w:tcBorders>
                    <w:tl2br w:val="nil"/>
                    <w:tr2bl w:val="nil"/>
                  </w:tcBorders>
                  <w:vAlign w:val="center"/>
                </w:tcPr>
                <w:p w14:paraId="20C87960">
                  <w:pPr>
                    <w:pStyle w:val="91"/>
                    <w:keepNext w:val="0"/>
                    <w:keepLines w:val="0"/>
                    <w:suppressLineNumbers w:val="0"/>
                    <w:tabs>
                      <w:tab w:val="left" w:pos="9615"/>
                    </w:tabs>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万</w:t>
                  </w:r>
                  <w:r>
                    <w:rPr>
                      <w:rFonts w:hint="eastAsia" w:cs="Times New Roman"/>
                      <w:b w:val="0"/>
                      <w:bCs w:val="0"/>
                      <w:color w:val="auto"/>
                      <w:sz w:val="21"/>
                      <w:szCs w:val="21"/>
                      <w:highlight w:val="none"/>
                      <w:lang w:val="en-US" w:eastAsia="zh-CN"/>
                    </w:rPr>
                    <w:t>只</w:t>
                  </w:r>
                </w:p>
              </w:tc>
              <w:tc>
                <w:tcPr>
                  <w:tcW w:w="900" w:type="dxa"/>
                  <w:tcBorders>
                    <w:tl2br w:val="nil"/>
                    <w:tr2bl w:val="nil"/>
                  </w:tcBorders>
                  <w:vAlign w:val="center"/>
                </w:tcPr>
                <w:p w14:paraId="367A2E69">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750</w:t>
                  </w:r>
                </w:p>
              </w:tc>
              <w:tc>
                <w:tcPr>
                  <w:tcW w:w="2007" w:type="dxa"/>
                  <w:tcBorders>
                    <w:tl2br w:val="nil"/>
                    <w:tr2bl w:val="nil"/>
                  </w:tcBorders>
                  <w:vAlign w:val="center"/>
                </w:tcPr>
                <w:p w14:paraId="420A74D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12</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12*28.5cm</w:t>
                  </w:r>
                </w:p>
              </w:tc>
              <w:tc>
                <w:tcPr>
                  <w:tcW w:w="1857" w:type="dxa"/>
                  <w:tcBorders>
                    <w:tl2br w:val="nil"/>
                    <w:tr2bl w:val="nil"/>
                  </w:tcBorders>
                  <w:vAlign w:val="center"/>
                </w:tcPr>
                <w:p w14:paraId="1A7F3F36">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纸制品</w:t>
                  </w:r>
                </w:p>
              </w:tc>
            </w:tr>
            <w:tr w14:paraId="0A5F0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2" w:type="dxa"/>
                  <w:tcBorders>
                    <w:tl2br w:val="nil"/>
                    <w:tr2bl w:val="nil"/>
                  </w:tcBorders>
                  <w:vAlign w:val="center"/>
                </w:tcPr>
                <w:p w14:paraId="73A71E16">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012" w:type="dxa"/>
                  <w:tcBorders>
                    <w:tl2br w:val="nil"/>
                    <w:tr2bl w:val="nil"/>
                  </w:tcBorders>
                  <w:vAlign w:val="center"/>
                </w:tcPr>
                <w:p w14:paraId="61A10EB1">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塑纸包装盒</w:t>
                  </w:r>
                </w:p>
              </w:tc>
              <w:tc>
                <w:tcPr>
                  <w:tcW w:w="912" w:type="dxa"/>
                  <w:tcBorders>
                    <w:tl2br w:val="nil"/>
                    <w:tr2bl w:val="nil"/>
                  </w:tcBorders>
                  <w:vAlign w:val="center"/>
                </w:tcPr>
                <w:p w14:paraId="36908009">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万</w:t>
                  </w:r>
                  <w:r>
                    <w:rPr>
                      <w:rFonts w:hint="eastAsia" w:cs="Times New Roman"/>
                      <w:b w:val="0"/>
                      <w:bCs w:val="0"/>
                      <w:color w:val="auto"/>
                      <w:sz w:val="21"/>
                      <w:szCs w:val="21"/>
                      <w:highlight w:val="none"/>
                      <w:lang w:val="en-US" w:eastAsia="zh-CN"/>
                    </w:rPr>
                    <w:t>只</w:t>
                  </w:r>
                </w:p>
              </w:tc>
              <w:tc>
                <w:tcPr>
                  <w:tcW w:w="900" w:type="dxa"/>
                  <w:tcBorders>
                    <w:tl2br w:val="nil"/>
                    <w:tr2bl w:val="nil"/>
                  </w:tcBorders>
                  <w:vAlign w:val="center"/>
                </w:tcPr>
                <w:p w14:paraId="72D93796">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2007" w:type="dxa"/>
                  <w:tcBorders>
                    <w:tl2br w:val="nil"/>
                    <w:tr2bl w:val="nil"/>
                  </w:tcBorders>
                  <w:vAlign w:val="center"/>
                </w:tcPr>
                <w:p w14:paraId="22922A02">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12</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12*28.5cm</w:t>
                  </w:r>
                </w:p>
              </w:tc>
              <w:tc>
                <w:tcPr>
                  <w:tcW w:w="1857" w:type="dxa"/>
                  <w:tcBorders>
                    <w:tl2br w:val="nil"/>
                    <w:tr2bl w:val="nil"/>
                  </w:tcBorders>
                  <w:vAlign w:val="center"/>
                </w:tcPr>
                <w:p w14:paraId="32C6758A">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塑料制品+印纸</w:t>
                  </w:r>
                </w:p>
              </w:tc>
            </w:tr>
            <w:tr w14:paraId="31FDA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822" w:type="dxa"/>
                  <w:tcBorders>
                    <w:tl2br w:val="nil"/>
                    <w:tr2bl w:val="nil"/>
                  </w:tcBorders>
                  <w:vAlign w:val="center"/>
                </w:tcPr>
                <w:p w14:paraId="372E4262">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012" w:type="dxa"/>
                  <w:tcBorders>
                    <w:tl2br w:val="nil"/>
                    <w:tr2bl w:val="nil"/>
                  </w:tcBorders>
                  <w:vAlign w:val="center"/>
                </w:tcPr>
                <w:p w14:paraId="3073421A">
                  <w:pPr>
                    <w:pStyle w:val="91"/>
                    <w:keepNext w:val="0"/>
                    <w:keepLines w:val="0"/>
                    <w:suppressLineNumbers w:val="0"/>
                    <w:tabs>
                      <w:tab w:val="left" w:pos="9615"/>
                    </w:tabs>
                    <w:spacing w:before="0" w:beforeAutospacing="0" w:after="0" w:afterAutospacing="0"/>
                    <w:ind w:left="0" w:leftChars="0" w:right="0" w:rightChars="0"/>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木塑包装盒</w:t>
                  </w:r>
                </w:p>
              </w:tc>
              <w:tc>
                <w:tcPr>
                  <w:tcW w:w="912" w:type="dxa"/>
                  <w:tcBorders>
                    <w:tl2br w:val="nil"/>
                    <w:tr2bl w:val="nil"/>
                  </w:tcBorders>
                  <w:vAlign w:val="center"/>
                </w:tcPr>
                <w:p w14:paraId="56CC3F7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lang w:val="en-US" w:eastAsia="zh-CN"/>
                    </w:rPr>
                    <w:t>万</w:t>
                  </w:r>
                  <w:r>
                    <w:rPr>
                      <w:rFonts w:hint="eastAsia" w:cs="Times New Roman"/>
                      <w:b w:val="0"/>
                      <w:bCs w:val="0"/>
                      <w:color w:val="auto"/>
                      <w:sz w:val="21"/>
                      <w:szCs w:val="21"/>
                      <w:lang w:val="en-US" w:eastAsia="zh-CN"/>
                    </w:rPr>
                    <w:t>只</w:t>
                  </w:r>
                </w:p>
              </w:tc>
              <w:tc>
                <w:tcPr>
                  <w:tcW w:w="900" w:type="dxa"/>
                  <w:tcBorders>
                    <w:tl2br w:val="nil"/>
                    <w:tr2bl w:val="nil"/>
                  </w:tcBorders>
                  <w:vAlign w:val="center"/>
                </w:tcPr>
                <w:p w14:paraId="63831E2A">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2007" w:type="dxa"/>
                  <w:tcBorders>
                    <w:tl2br w:val="nil"/>
                    <w:tr2bl w:val="nil"/>
                  </w:tcBorders>
                  <w:vAlign w:val="center"/>
                </w:tcPr>
                <w:p w14:paraId="4D2A09AF">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eastAsia="zh-CN"/>
                    </w:rPr>
                    <w:t>12</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12*28.5cm</w:t>
                  </w:r>
                </w:p>
              </w:tc>
              <w:tc>
                <w:tcPr>
                  <w:tcW w:w="1857" w:type="dxa"/>
                  <w:tcBorders>
                    <w:tl2br w:val="nil"/>
                    <w:tr2bl w:val="nil"/>
                  </w:tcBorders>
                  <w:vAlign w:val="center"/>
                </w:tcPr>
                <w:p w14:paraId="74A99A11">
                  <w:pPr>
                    <w:keepNext w:val="0"/>
                    <w:keepLines w:val="0"/>
                    <w:suppressLineNumbers w:val="0"/>
                    <w:spacing w:before="0" w:beforeAutospacing="0" w:after="0" w:afterAutospacing="0" w:line="320" w:lineRule="exact"/>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木制底座+印纸</w:t>
                  </w:r>
                </w:p>
              </w:tc>
            </w:tr>
            <w:tr w14:paraId="3EDFF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2" w:hRule="atLeast"/>
                <w:jc w:val="center"/>
              </w:trPr>
              <w:tc>
                <w:tcPr>
                  <w:tcW w:w="3746" w:type="dxa"/>
                  <w:gridSpan w:val="3"/>
                  <w:tcBorders>
                    <w:bottom w:val="nil"/>
                    <w:right w:val="nil"/>
                  </w:tcBorders>
                  <w:vAlign w:val="center"/>
                </w:tcPr>
                <w:p w14:paraId="369D1A5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drawing>
                      <wp:anchor distT="0" distB="0" distL="114300" distR="114300" simplePos="0" relativeHeight="251661312" behindDoc="0" locked="0" layoutInCell="1" allowOverlap="1">
                        <wp:simplePos x="0" y="0"/>
                        <wp:positionH relativeFrom="column">
                          <wp:posOffset>15875</wp:posOffset>
                        </wp:positionH>
                        <wp:positionV relativeFrom="paragraph">
                          <wp:posOffset>-8255</wp:posOffset>
                        </wp:positionV>
                        <wp:extent cx="2149475" cy="3264535"/>
                        <wp:effectExtent l="0" t="0" r="3175" b="12065"/>
                        <wp:wrapNone/>
                        <wp:docPr id="5" name="图片 5" descr="53034353912144aefc80da34bf64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3034353912144aefc80da34bf64e92"/>
                                <pic:cNvPicPr>
                                  <a:picLocks noChangeAspect="1"/>
                                </pic:cNvPicPr>
                              </pic:nvPicPr>
                              <pic:blipFill>
                                <a:blip r:embed="rId14"/>
                                <a:srcRect l="9932" t="17704" b="5332"/>
                                <a:stretch>
                                  <a:fillRect/>
                                </a:stretch>
                              </pic:blipFill>
                              <pic:spPr>
                                <a:xfrm>
                                  <a:off x="0" y="0"/>
                                  <a:ext cx="2149475" cy="3264535"/>
                                </a:xfrm>
                                <a:prstGeom prst="rect">
                                  <a:avLst/>
                                </a:prstGeom>
                              </pic:spPr>
                            </pic:pic>
                          </a:graphicData>
                        </a:graphic>
                      </wp:anchor>
                    </w:drawing>
                  </w:r>
                </w:p>
                <w:p w14:paraId="3B4D0ED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p>
                <w:p w14:paraId="0408B4D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p>
                <w:p w14:paraId="31F18EB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p>
                <w:p w14:paraId="1123A06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p>
                <w:p w14:paraId="106E497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p>
                <w:p w14:paraId="747E941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p>
                <w:p w14:paraId="37BB184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p>
                <w:p w14:paraId="43C74D4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p>
                <w:p w14:paraId="778D8A7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p>
                <w:p w14:paraId="699B745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p>
                <w:p w14:paraId="7ED7DB9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p>
                <w:p w14:paraId="2A2785D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p>
                <w:p w14:paraId="057A90B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p>
                <w:p w14:paraId="6EFB7E9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p>
                <w:p w14:paraId="7C52FEE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p>
                <w:p w14:paraId="5A4E55E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p>
                <w:p w14:paraId="3803149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p>
                <w:p w14:paraId="5DA568C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p>
              </w:tc>
              <w:tc>
                <w:tcPr>
                  <w:tcW w:w="4764" w:type="dxa"/>
                  <w:gridSpan w:val="3"/>
                  <w:tcBorders>
                    <w:left w:val="nil"/>
                    <w:bottom w:val="nil"/>
                  </w:tcBorders>
                  <w:vAlign w:val="center"/>
                </w:tcPr>
                <w:p w14:paraId="40E991D6">
                  <w:pPr>
                    <w:keepNext w:val="0"/>
                    <w:keepLines w:val="0"/>
                    <w:suppressLineNumbers w:val="0"/>
                    <w:spacing w:before="0" w:beforeAutospacing="0" w:after="0" w:afterAutospacing="0" w:line="320" w:lineRule="exact"/>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drawing>
                      <wp:anchor distT="0" distB="0" distL="114300" distR="114300" simplePos="0" relativeHeight="251660288" behindDoc="0" locked="0" layoutInCell="1" allowOverlap="1">
                        <wp:simplePos x="0" y="0"/>
                        <wp:positionH relativeFrom="column">
                          <wp:posOffset>317500</wp:posOffset>
                        </wp:positionH>
                        <wp:positionV relativeFrom="paragraph">
                          <wp:posOffset>-116840</wp:posOffset>
                        </wp:positionV>
                        <wp:extent cx="1842135" cy="3381375"/>
                        <wp:effectExtent l="0" t="0" r="5715" b="9525"/>
                        <wp:wrapNone/>
                        <wp:docPr id="2" name="图片 2" descr="ec39b2576d05433ae208fba4f04c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c39b2576d05433ae208fba4f04c91d"/>
                                <pic:cNvPicPr>
                                  <a:picLocks noChangeAspect="1"/>
                                </pic:cNvPicPr>
                              </pic:nvPicPr>
                              <pic:blipFill>
                                <a:blip r:embed="rId15"/>
                                <a:srcRect t="16468"/>
                                <a:stretch>
                                  <a:fillRect/>
                                </a:stretch>
                              </pic:blipFill>
                              <pic:spPr>
                                <a:xfrm>
                                  <a:off x="0" y="0"/>
                                  <a:ext cx="1842135" cy="3381375"/>
                                </a:xfrm>
                                <a:prstGeom prst="rect">
                                  <a:avLst/>
                                </a:prstGeom>
                              </pic:spPr>
                            </pic:pic>
                          </a:graphicData>
                        </a:graphic>
                      </wp:anchor>
                    </w:drawing>
                  </w:r>
                </w:p>
                <w:p w14:paraId="4297A073">
                  <w:pPr>
                    <w:keepNext w:val="0"/>
                    <w:keepLines w:val="0"/>
                    <w:suppressLineNumbers w:val="0"/>
                    <w:spacing w:before="0" w:beforeAutospacing="0" w:after="0" w:afterAutospacing="0" w:line="320" w:lineRule="exact"/>
                    <w:ind w:left="0" w:right="0"/>
                    <w:jc w:val="center"/>
                    <w:rPr>
                      <w:rFonts w:hint="eastAsia" w:cs="Times New Roman"/>
                      <w:color w:val="auto"/>
                      <w:sz w:val="21"/>
                      <w:szCs w:val="21"/>
                      <w:highlight w:val="none"/>
                      <w:lang w:val="en-US" w:eastAsia="zh-CN"/>
                    </w:rPr>
                  </w:pPr>
                </w:p>
                <w:p w14:paraId="5E8ED0C2">
                  <w:pPr>
                    <w:keepNext w:val="0"/>
                    <w:keepLines w:val="0"/>
                    <w:suppressLineNumbers w:val="0"/>
                    <w:spacing w:before="0" w:beforeAutospacing="0" w:after="0" w:afterAutospacing="0" w:line="320" w:lineRule="exact"/>
                    <w:ind w:left="0" w:right="0"/>
                    <w:jc w:val="center"/>
                    <w:rPr>
                      <w:rFonts w:hint="eastAsia" w:cs="Times New Roman"/>
                      <w:color w:val="auto"/>
                      <w:sz w:val="21"/>
                      <w:szCs w:val="21"/>
                      <w:highlight w:val="none"/>
                      <w:lang w:val="en-US" w:eastAsia="zh-CN"/>
                    </w:rPr>
                  </w:pPr>
                </w:p>
                <w:p w14:paraId="73E6A13A">
                  <w:pPr>
                    <w:keepNext w:val="0"/>
                    <w:keepLines w:val="0"/>
                    <w:suppressLineNumbers w:val="0"/>
                    <w:spacing w:before="0" w:beforeAutospacing="0" w:after="0" w:afterAutospacing="0" w:line="320" w:lineRule="exact"/>
                    <w:ind w:left="0" w:right="0"/>
                    <w:jc w:val="center"/>
                    <w:rPr>
                      <w:rFonts w:hint="eastAsia" w:cs="Times New Roman"/>
                      <w:color w:val="auto"/>
                      <w:sz w:val="21"/>
                      <w:szCs w:val="21"/>
                      <w:highlight w:val="none"/>
                      <w:lang w:val="en-US" w:eastAsia="zh-CN"/>
                    </w:rPr>
                  </w:pPr>
                </w:p>
                <w:p w14:paraId="29031B66">
                  <w:pPr>
                    <w:keepNext w:val="0"/>
                    <w:keepLines w:val="0"/>
                    <w:suppressLineNumbers w:val="0"/>
                    <w:spacing w:before="0" w:beforeAutospacing="0" w:after="0" w:afterAutospacing="0" w:line="320" w:lineRule="exact"/>
                    <w:ind w:left="0" w:right="0"/>
                    <w:jc w:val="center"/>
                    <w:rPr>
                      <w:rFonts w:hint="eastAsia" w:cs="Times New Roman"/>
                      <w:color w:val="auto"/>
                      <w:sz w:val="21"/>
                      <w:szCs w:val="21"/>
                      <w:highlight w:val="none"/>
                      <w:lang w:val="en-US" w:eastAsia="zh-CN"/>
                    </w:rPr>
                  </w:pPr>
                </w:p>
                <w:p w14:paraId="5E0A823A">
                  <w:pPr>
                    <w:keepNext w:val="0"/>
                    <w:keepLines w:val="0"/>
                    <w:suppressLineNumbers w:val="0"/>
                    <w:spacing w:before="0" w:beforeAutospacing="0" w:after="0" w:afterAutospacing="0" w:line="320" w:lineRule="exact"/>
                    <w:ind w:left="0" w:right="0"/>
                    <w:jc w:val="center"/>
                    <w:rPr>
                      <w:rFonts w:hint="eastAsia" w:cs="Times New Roman"/>
                      <w:color w:val="auto"/>
                      <w:sz w:val="21"/>
                      <w:szCs w:val="21"/>
                      <w:highlight w:val="none"/>
                      <w:lang w:val="en-US" w:eastAsia="zh-CN"/>
                    </w:rPr>
                  </w:pPr>
                </w:p>
                <w:p w14:paraId="431E965F">
                  <w:pPr>
                    <w:keepNext w:val="0"/>
                    <w:keepLines w:val="0"/>
                    <w:suppressLineNumbers w:val="0"/>
                    <w:spacing w:before="0" w:beforeAutospacing="0" w:after="0" w:afterAutospacing="0" w:line="320" w:lineRule="exact"/>
                    <w:ind w:left="0" w:right="0"/>
                    <w:jc w:val="center"/>
                    <w:rPr>
                      <w:rFonts w:hint="eastAsia" w:cs="Times New Roman"/>
                      <w:color w:val="auto"/>
                      <w:sz w:val="21"/>
                      <w:szCs w:val="21"/>
                      <w:highlight w:val="none"/>
                      <w:lang w:val="en-US" w:eastAsia="zh-CN"/>
                    </w:rPr>
                  </w:pPr>
                </w:p>
                <w:p w14:paraId="515A98E1">
                  <w:pPr>
                    <w:keepNext w:val="0"/>
                    <w:keepLines w:val="0"/>
                    <w:suppressLineNumbers w:val="0"/>
                    <w:spacing w:before="0" w:beforeAutospacing="0" w:after="0" w:afterAutospacing="0" w:line="320" w:lineRule="exact"/>
                    <w:ind w:left="0" w:right="0"/>
                    <w:jc w:val="center"/>
                    <w:rPr>
                      <w:rFonts w:hint="eastAsia" w:cs="Times New Roman"/>
                      <w:color w:val="auto"/>
                      <w:sz w:val="21"/>
                      <w:szCs w:val="21"/>
                      <w:highlight w:val="none"/>
                      <w:lang w:val="en-US" w:eastAsia="zh-CN"/>
                    </w:rPr>
                  </w:pPr>
                </w:p>
                <w:p w14:paraId="0134E8B9">
                  <w:pPr>
                    <w:keepNext w:val="0"/>
                    <w:keepLines w:val="0"/>
                    <w:suppressLineNumbers w:val="0"/>
                    <w:spacing w:before="0" w:beforeAutospacing="0" w:after="0" w:afterAutospacing="0" w:line="320" w:lineRule="exact"/>
                    <w:ind w:left="0" w:right="0"/>
                    <w:jc w:val="center"/>
                    <w:rPr>
                      <w:rFonts w:hint="eastAsia" w:cs="Times New Roman"/>
                      <w:color w:val="auto"/>
                      <w:sz w:val="21"/>
                      <w:szCs w:val="21"/>
                      <w:highlight w:val="none"/>
                      <w:lang w:val="en-US" w:eastAsia="zh-CN"/>
                    </w:rPr>
                  </w:pPr>
                </w:p>
                <w:p w14:paraId="2E563EDE">
                  <w:pPr>
                    <w:keepNext w:val="0"/>
                    <w:keepLines w:val="0"/>
                    <w:suppressLineNumbers w:val="0"/>
                    <w:spacing w:before="0" w:beforeAutospacing="0" w:after="0" w:afterAutospacing="0" w:line="320" w:lineRule="exact"/>
                    <w:ind w:left="0" w:right="0"/>
                    <w:jc w:val="center"/>
                    <w:rPr>
                      <w:rFonts w:hint="eastAsia" w:cs="Times New Roman"/>
                      <w:color w:val="auto"/>
                      <w:sz w:val="21"/>
                      <w:szCs w:val="21"/>
                      <w:highlight w:val="none"/>
                      <w:lang w:val="en-US" w:eastAsia="zh-CN"/>
                    </w:rPr>
                  </w:pPr>
                </w:p>
                <w:p w14:paraId="0B445AC2">
                  <w:pPr>
                    <w:keepNext w:val="0"/>
                    <w:keepLines w:val="0"/>
                    <w:suppressLineNumbers w:val="0"/>
                    <w:spacing w:before="0" w:beforeAutospacing="0" w:after="0" w:afterAutospacing="0" w:line="320" w:lineRule="exact"/>
                    <w:ind w:left="0" w:right="0"/>
                    <w:jc w:val="center"/>
                    <w:rPr>
                      <w:rFonts w:hint="eastAsia" w:cs="Times New Roman"/>
                      <w:color w:val="auto"/>
                      <w:sz w:val="21"/>
                      <w:szCs w:val="21"/>
                      <w:highlight w:val="none"/>
                      <w:lang w:val="en-US" w:eastAsia="zh-CN"/>
                    </w:rPr>
                  </w:pPr>
                </w:p>
              </w:tc>
            </w:tr>
            <w:tr w14:paraId="7EFE2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746" w:type="dxa"/>
                  <w:gridSpan w:val="3"/>
                  <w:tcBorders>
                    <w:top w:val="nil"/>
                    <w:bottom w:val="nil"/>
                    <w:right w:val="nil"/>
                  </w:tcBorders>
                  <w:vAlign w:val="center"/>
                </w:tcPr>
                <w:p w14:paraId="1114F6C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酒类礼品包装盒</w:t>
                  </w:r>
                </w:p>
              </w:tc>
              <w:tc>
                <w:tcPr>
                  <w:tcW w:w="4764" w:type="dxa"/>
                  <w:gridSpan w:val="3"/>
                  <w:tcBorders>
                    <w:top w:val="nil"/>
                    <w:left w:val="nil"/>
                    <w:bottom w:val="nil"/>
                  </w:tcBorders>
                  <w:vAlign w:val="center"/>
                </w:tcPr>
                <w:p w14:paraId="59DD9794">
                  <w:pPr>
                    <w:keepNext w:val="0"/>
                    <w:keepLines w:val="0"/>
                    <w:suppressLineNumbers w:val="0"/>
                    <w:spacing w:before="0" w:beforeAutospacing="0" w:after="0" w:afterAutospacing="0" w:line="320" w:lineRule="exact"/>
                    <w:ind w:left="0" w:right="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塑纸包装盒</w:t>
                  </w:r>
                </w:p>
              </w:tc>
            </w:tr>
            <w:tr w14:paraId="0B95B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746" w:type="dxa"/>
                  <w:gridSpan w:val="3"/>
                  <w:tcBorders>
                    <w:top w:val="nil"/>
                    <w:bottom w:val="nil"/>
                    <w:right w:val="nil"/>
                  </w:tcBorders>
                  <w:vAlign w:val="center"/>
                </w:tcPr>
                <w:p w14:paraId="2BAC438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drawing>
                      <wp:inline distT="0" distB="0" distL="114300" distR="114300">
                        <wp:extent cx="2232025" cy="2834005"/>
                        <wp:effectExtent l="0" t="0" r="0" b="0"/>
                        <wp:docPr id="11" name="图片 11" descr="74ef04962d13997c7e6d365b8172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4ef04962d13997c7e6d365b8172d12"/>
                                <pic:cNvPicPr>
                                  <a:picLocks noChangeAspect="1"/>
                                </pic:cNvPicPr>
                              </pic:nvPicPr>
                              <pic:blipFill>
                                <a:blip r:embed="rId16"/>
                                <a:srcRect b="28592"/>
                                <a:stretch>
                                  <a:fillRect/>
                                </a:stretch>
                              </pic:blipFill>
                              <pic:spPr>
                                <a:xfrm>
                                  <a:off x="0" y="0"/>
                                  <a:ext cx="2232025" cy="2834005"/>
                                </a:xfrm>
                                <a:prstGeom prst="rect">
                                  <a:avLst/>
                                </a:prstGeom>
                              </pic:spPr>
                            </pic:pic>
                          </a:graphicData>
                        </a:graphic>
                      </wp:inline>
                    </w:drawing>
                  </w:r>
                </w:p>
              </w:tc>
              <w:tc>
                <w:tcPr>
                  <w:tcW w:w="4764" w:type="dxa"/>
                  <w:gridSpan w:val="3"/>
                  <w:tcBorders>
                    <w:top w:val="nil"/>
                    <w:left w:val="nil"/>
                    <w:bottom w:val="nil"/>
                  </w:tcBorders>
                  <w:vAlign w:val="center"/>
                </w:tcPr>
                <w:p w14:paraId="04F0F911">
                  <w:pPr>
                    <w:keepNext w:val="0"/>
                    <w:keepLines w:val="0"/>
                    <w:suppressLineNumbers w:val="0"/>
                    <w:spacing w:before="0" w:beforeAutospacing="0" w:after="0" w:afterAutospacing="0" w:line="320" w:lineRule="exact"/>
                    <w:ind w:left="0" w:right="0"/>
                    <w:jc w:val="center"/>
                    <w:rPr>
                      <w:rFonts w:hint="eastAsia" w:cs="Times New Roman"/>
                      <w:color w:val="auto"/>
                      <w:sz w:val="21"/>
                      <w:szCs w:val="21"/>
                      <w:highlight w:val="none"/>
                      <w:lang w:val="en-US" w:eastAsia="zh-CN"/>
                    </w:rPr>
                  </w:pPr>
                </w:p>
              </w:tc>
            </w:tr>
            <w:tr w14:paraId="6F253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746" w:type="dxa"/>
                  <w:gridSpan w:val="3"/>
                  <w:tcBorders>
                    <w:top w:val="nil"/>
                    <w:tl2br w:val="nil"/>
                    <w:tr2bl w:val="nil"/>
                  </w:tcBorders>
                  <w:vAlign w:val="center"/>
                </w:tcPr>
                <w:p w14:paraId="1CF5626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color w:val="auto"/>
                      <w:sz w:val="21"/>
                      <w:szCs w:val="21"/>
                      <w:highlight w:val="none"/>
                      <w:lang w:val="en-US" w:eastAsia="zh-CN"/>
                    </w:rPr>
                    <w:t>木塑包装盒</w:t>
                  </w:r>
                </w:p>
              </w:tc>
              <w:tc>
                <w:tcPr>
                  <w:tcW w:w="4764" w:type="dxa"/>
                  <w:gridSpan w:val="3"/>
                  <w:tcBorders>
                    <w:top w:val="nil"/>
                    <w:tl2br w:val="nil"/>
                    <w:tr2bl w:val="nil"/>
                  </w:tcBorders>
                  <w:vAlign w:val="center"/>
                </w:tcPr>
                <w:p w14:paraId="45131A7B">
                  <w:pPr>
                    <w:keepNext w:val="0"/>
                    <w:keepLines w:val="0"/>
                    <w:suppressLineNumbers w:val="0"/>
                    <w:spacing w:before="0" w:beforeAutospacing="0" w:after="0" w:afterAutospacing="0" w:line="320" w:lineRule="exact"/>
                    <w:ind w:left="0" w:right="0"/>
                    <w:jc w:val="center"/>
                    <w:rPr>
                      <w:rFonts w:hint="eastAsia" w:cs="Times New Roman"/>
                      <w:color w:val="auto"/>
                      <w:sz w:val="21"/>
                      <w:szCs w:val="21"/>
                      <w:highlight w:val="none"/>
                      <w:lang w:val="en-US" w:eastAsia="zh-CN"/>
                    </w:rPr>
                  </w:pPr>
                </w:p>
              </w:tc>
            </w:tr>
          </w:tbl>
          <w:p w14:paraId="13BDC089">
            <w:pPr>
              <w:adjustRightInd w:val="0"/>
              <w:snapToGrid w:val="0"/>
              <w:ind w:left="422"/>
              <w:jc w:val="center"/>
              <w:rPr>
                <w:b/>
                <w:color w:val="auto"/>
                <w:szCs w:val="21"/>
              </w:rPr>
            </w:pPr>
            <w:r>
              <w:rPr>
                <w:rFonts w:hint="eastAsia"/>
                <w:b/>
                <w:color w:val="auto"/>
                <w:szCs w:val="21"/>
              </w:rPr>
              <w:t>表</w:t>
            </w:r>
            <w:r>
              <w:rPr>
                <w:b/>
                <w:color w:val="auto"/>
                <w:szCs w:val="21"/>
              </w:rPr>
              <w:t xml:space="preserve">2-3  </w:t>
            </w:r>
            <w:r>
              <w:rPr>
                <w:rFonts w:hint="eastAsia"/>
                <w:b/>
                <w:color w:val="auto"/>
                <w:szCs w:val="21"/>
              </w:rPr>
              <w:t>本项目</w:t>
            </w:r>
            <w:r>
              <w:rPr>
                <w:rFonts w:hint="eastAsia"/>
                <w:b/>
                <w:color w:val="auto"/>
                <w:szCs w:val="21"/>
                <w:lang w:val="en-US" w:eastAsia="zh-CN"/>
              </w:rPr>
              <w:t>改扩建后</w:t>
            </w:r>
            <w:r>
              <w:rPr>
                <w:rFonts w:hint="eastAsia"/>
                <w:b/>
                <w:color w:val="auto"/>
                <w:szCs w:val="21"/>
              </w:rPr>
              <w:t>全厂</w:t>
            </w:r>
            <w:r>
              <w:rPr>
                <w:b/>
                <w:color w:val="auto"/>
                <w:szCs w:val="21"/>
              </w:rPr>
              <w:t>产品方案一览表</w:t>
            </w:r>
          </w:p>
          <w:tbl>
            <w:tblPr>
              <w:tblStyle w:val="26"/>
              <w:tblW w:w="85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961"/>
              <w:gridCol w:w="925"/>
              <w:gridCol w:w="1073"/>
              <w:gridCol w:w="688"/>
              <w:gridCol w:w="856"/>
              <w:gridCol w:w="1246"/>
              <w:gridCol w:w="1111"/>
            </w:tblGrid>
            <w:tr w14:paraId="3F77E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tcBorders>
                    <w:tl2br w:val="nil"/>
                    <w:tr2bl w:val="nil"/>
                  </w:tcBorders>
                  <w:vAlign w:val="center"/>
                </w:tcPr>
                <w:p w14:paraId="6B674A6D">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961" w:type="dxa"/>
                  <w:tcBorders>
                    <w:tl2br w:val="nil"/>
                    <w:tr2bl w:val="nil"/>
                  </w:tcBorders>
                  <w:vAlign w:val="center"/>
                </w:tcPr>
                <w:p w14:paraId="32B20CA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产品名称</w:t>
                  </w:r>
                </w:p>
              </w:tc>
              <w:tc>
                <w:tcPr>
                  <w:tcW w:w="925" w:type="dxa"/>
                  <w:tcBorders>
                    <w:tl2br w:val="nil"/>
                    <w:tr2bl w:val="nil"/>
                  </w:tcBorders>
                  <w:vAlign w:val="center"/>
                </w:tcPr>
                <w:p w14:paraId="14F92C0C">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b/>
                      <w:color w:val="auto"/>
                      <w:sz w:val="21"/>
                      <w:szCs w:val="21"/>
                      <w:lang w:eastAsia="zh-CN"/>
                    </w:rPr>
                  </w:pPr>
                  <w:r>
                    <w:rPr>
                      <w:rFonts w:hint="eastAsia" w:cs="Times New Roman"/>
                      <w:b/>
                      <w:color w:val="auto"/>
                      <w:sz w:val="21"/>
                      <w:szCs w:val="21"/>
                      <w:lang w:eastAsia="zh-CN"/>
                    </w:rPr>
                    <w:t>单位</w:t>
                  </w:r>
                </w:p>
              </w:tc>
              <w:tc>
                <w:tcPr>
                  <w:tcW w:w="1073" w:type="dxa"/>
                  <w:tcBorders>
                    <w:tl2br w:val="nil"/>
                    <w:tr2bl w:val="nil"/>
                  </w:tcBorders>
                  <w:vAlign w:val="center"/>
                </w:tcPr>
                <w:p w14:paraId="53948BC3">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b/>
                      <w:color w:val="auto"/>
                      <w:sz w:val="21"/>
                      <w:szCs w:val="21"/>
                    </w:rPr>
                  </w:pPr>
                  <w:r>
                    <w:rPr>
                      <w:rFonts w:hint="eastAsia" w:ascii="Times New Roman" w:hAnsi="Times New Roman" w:cs="Times New Roman"/>
                      <w:b/>
                      <w:color w:val="auto"/>
                      <w:sz w:val="21"/>
                      <w:szCs w:val="21"/>
                      <w:lang w:val="en-US" w:eastAsia="zh-CN"/>
                    </w:rPr>
                    <w:t>现有工程产能</w:t>
                  </w:r>
                </w:p>
              </w:tc>
              <w:tc>
                <w:tcPr>
                  <w:tcW w:w="688" w:type="dxa"/>
                  <w:tcBorders>
                    <w:tl2br w:val="nil"/>
                    <w:tr2bl w:val="nil"/>
                  </w:tcBorders>
                  <w:vAlign w:val="center"/>
                </w:tcPr>
                <w:p w14:paraId="213131AB">
                  <w:pPr>
                    <w:jc w:val="center"/>
                    <w:rPr>
                      <w:rFonts w:hint="default" w:ascii="Times New Roman" w:hAnsi="Times New Roman" w:eastAsia="宋体" w:cs="Times New Roman"/>
                      <w:b/>
                      <w:color w:val="auto"/>
                      <w:sz w:val="21"/>
                      <w:szCs w:val="21"/>
                    </w:rPr>
                  </w:pPr>
                  <w:r>
                    <w:rPr>
                      <w:rFonts w:hint="eastAsia"/>
                      <w:b/>
                      <w:color w:val="auto"/>
                      <w:szCs w:val="21"/>
                    </w:rPr>
                    <w:t>本项目建设</w:t>
                  </w:r>
                  <w:r>
                    <w:rPr>
                      <w:b/>
                      <w:color w:val="auto"/>
                      <w:szCs w:val="21"/>
                    </w:rPr>
                    <w:t>部分</w:t>
                  </w:r>
                </w:p>
              </w:tc>
              <w:tc>
                <w:tcPr>
                  <w:tcW w:w="856" w:type="dxa"/>
                  <w:tcBorders>
                    <w:tl2br w:val="nil"/>
                    <w:tr2bl w:val="nil"/>
                  </w:tcBorders>
                  <w:vAlign w:val="center"/>
                </w:tcPr>
                <w:p w14:paraId="7EB48D29">
                  <w:pPr>
                    <w:jc w:val="center"/>
                    <w:rPr>
                      <w:rFonts w:hint="default" w:ascii="Times New Roman" w:hAnsi="Times New Roman" w:eastAsia="宋体" w:cs="Times New Roman"/>
                      <w:b/>
                      <w:color w:val="auto"/>
                      <w:sz w:val="21"/>
                      <w:szCs w:val="21"/>
                    </w:rPr>
                  </w:pPr>
                  <w:r>
                    <w:rPr>
                      <w:rFonts w:hint="eastAsia"/>
                      <w:b/>
                      <w:color w:val="auto"/>
                      <w:szCs w:val="21"/>
                    </w:rPr>
                    <w:t>本项目建设</w:t>
                  </w:r>
                  <w:r>
                    <w:rPr>
                      <w:b/>
                      <w:color w:val="auto"/>
                      <w:szCs w:val="21"/>
                    </w:rPr>
                    <w:t>后全厂产能</w:t>
                  </w:r>
                </w:p>
              </w:tc>
              <w:tc>
                <w:tcPr>
                  <w:tcW w:w="1246" w:type="dxa"/>
                  <w:tcBorders>
                    <w:tl2br w:val="nil"/>
                    <w:tr2bl w:val="nil"/>
                  </w:tcBorders>
                  <w:vAlign w:val="center"/>
                </w:tcPr>
                <w:p w14:paraId="3B5F36D7">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规格</w:t>
                  </w:r>
                </w:p>
              </w:tc>
              <w:tc>
                <w:tcPr>
                  <w:tcW w:w="1111" w:type="dxa"/>
                  <w:tcBorders>
                    <w:tl2br w:val="nil"/>
                    <w:tr2bl w:val="nil"/>
                  </w:tcBorders>
                  <w:vAlign w:val="center"/>
                </w:tcPr>
                <w:p w14:paraId="76F8F7F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备注</w:t>
                  </w:r>
                </w:p>
              </w:tc>
            </w:tr>
            <w:tr w14:paraId="0CD8EC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56" w:type="dxa"/>
                  <w:tcBorders>
                    <w:tl2br w:val="nil"/>
                    <w:tr2bl w:val="nil"/>
                  </w:tcBorders>
                  <w:vAlign w:val="center"/>
                </w:tcPr>
                <w:p w14:paraId="653C2A9E">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val="0"/>
                      <w:bCs/>
                      <w:color w:val="auto"/>
                      <w:sz w:val="21"/>
                      <w:szCs w:val="21"/>
                      <w:lang w:val="en-US" w:eastAsia="zh-CN"/>
                    </w:rPr>
                    <w:t>1</w:t>
                  </w:r>
                </w:p>
              </w:tc>
              <w:tc>
                <w:tcPr>
                  <w:tcW w:w="1961" w:type="dxa"/>
                  <w:tcBorders>
                    <w:tl2br w:val="nil"/>
                    <w:tr2bl w:val="nil"/>
                  </w:tcBorders>
                  <w:vAlign w:val="center"/>
                </w:tcPr>
                <w:p w14:paraId="4867ECD0">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val="0"/>
                      <w:bCs/>
                      <w:color w:val="auto"/>
                      <w:sz w:val="21"/>
                      <w:szCs w:val="21"/>
                      <w:lang w:eastAsia="zh-CN"/>
                    </w:rPr>
                    <w:t>亚克力酒类包装外盒</w:t>
                  </w:r>
                </w:p>
              </w:tc>
              <w:tc>
                <w:tcPr>
                  <w:tcW w:w="925" w:type="dxa"/>
                  <w:tcBorders>
                    <w:tl2br w:val="nil"/>
                    <w:tr2bl w:val="nil"/>
                  </w:tcBorders>
                  <w:vAlign w:val="center"/>
                </w:tcPr>
                <w:p w14:paraId="737A83FA">
                  <w:pPr>
                    <w:keepNext w:val="0"/>
                    <w:keepLines w:val="0"/>
                    <w:suppressLineNumbers w:val="0"/>
                    <w:spacing w:before="0" w:beforeAutospacing="0" w:after="0" w:afterAutospacing="0" w:line="320" w:lineRule="exact"/>
                    <w:ind w:left="0" w:right="0"/>
                    <w:jc w:val="center"/>
                    <w:rPr>
                      <w:rFonts w:hint="eastAsia" w:cs="Times New Roman"/>
                      <w:b/>
                      <w:color w:val="auto"/>
                      <w:sz w:val="21"/>
                      <w:szCs w:val="21"/>
                      <w:lang w:eastAsia="zh-CN"/>
                    </w:rPr>
                  </w:pPr>
                  <w:r>
                    <w:rPr>
                      <w:rFonts w:hint="eastAsia" w:ascii="Times New Roman" w:hAnsi="Times New Roman" w:cs="Times New Roman"/>
                      <w:b w:val="0"/>
                      <w:bCs w:val="0"/>
                      <w:color w:val="auto"/>
                      <w:sz w:val="21"/>
                      <w:szCs w:val="21"/>
                      <w:lang w:val="en-US" w:eastAsia="zh-CN"/>
                    </w:rPr>
                    <w:t>万套</w:t>
                  </w:r>
                </w:p>
              </w:tc>
              <w:tc>
                <w:tcPr>
                  <w:tcW w:w="1073" w:type="dxa"/>
                  <w:tcBorders>
                    <w:tl2br w:val="nil"/>
                    <w:tr2bl w:val="nil"/>
                  </w:tcBorders>
                  <w:vAlign w:val="center"/>
                </w:tcPr>
                <w:p w14:paraId="6FC85774">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color w:val="auto"/>
                      <w:sz w:val="21"/>
                      <w:szCs w:val="21"/>
                      <w:lang w:val="en-US" w:eastAsia="zh-CN"/>
                    </w:rPr>
                  </w:pPr>
                  <w:r>
                    <w:rPr>
                      <w:rFonts w:hint="eastAsia" w:ascii="Times New Roman" w:hAnsi="Times New Roman" w:cs="Times New Roman"/>
                      <w:b w:val="0"/>
                      <w:bCs/>
                      <w:color w:val="auto"/>
                      <w:sz w:val="21"/>
                      <w:szCs w:val="21"/>
                      <w:lang w:val="en-US" w:eastAsia="zh-CN"/>
                    </w:rPr>
                    <w:t>300</w:t>
                  </w:r>
                </w:p>
              </w:tc>
              <w:tc>
                <w:tcPr>
                  <w:tcW w:w="688" w:type="dxa"/>
                  <w:tcBorders>
                    <w:tl2br w:val="nil"/>
                    <w:tr2bl w:val="nil"/>
                  </w:tcBorders>
                  <w:vAlign w:val="center"/>
                </w:tcPr>
                <w:p w14:paraId="6447015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color w:val="auto"/>
                      <w:sz w:val="21"/>
                      <w:szCs w:val="21"/>
                      <w:lang w:val="en-US" w:eastAsia="zh-CN"/>
                    </w:rPr>
                  </w:pPr>
                  <w:r>
                    <w:rPr>
                      <w:rFonts w:hint="eastAsia" w:cs="Times New Roman"/>
                      <w:b w:val="0"/>
                      <w:bCs/>
                      <w:color w:val="auto"/>
                      <w:sz w:val="21"/>
                      <w:szCs w:val="21"/>
                      <w:lang w:val="en-US" w:eastAsia="zh-CN"/>
                    </w:rPr>
                    <w:t>0</w:t>
                  </w:r>
                </w:p>
              </w:tc>
              <w:tc>
                <w:tcPr>
                  <w:tcW w:w="856" w:type="dxa"/>
                  <w:tcBorders>
                    <w:tl2br w:val="nil"/>
                    <w:tr2bl w:val="nil"/>
                  </w:tcBorders>
                  <w:vAlign w:val="center"/>
                </w:tcPr>
                <w:p w14:paraId="24022D68">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b/>
                      <w:color w:val="auto"/>
                      <w:sz w:val="21"/>
                      <w:szCs w:val="21"/>
                    </w:rPr>
                  </w:pPr>
                  <w:r>
                    <w:rPr>
                      <w:rFonts w:hint="eastAsia" w:ascii="Times New Roman" w:hAnsi="Times New Roman" w:cs="Times New Roman"/>
                      <w:b w:val="0"/>
                      <w:bCs/>
                      <w:color w:val="auto"/>
                      <w:sz w:val="21"/>
                      <w:szCs w:val="21"/>
                      <w:lang w:val="en-US" w:eastAsia="zh-CN"/>
                    </w:rPr>
                    <w:t>300</w:t>
                  </w:r>
                </w:p>
              </w:tc>
              <w:tc>
                <w:tcPr>
                  <w:tcW w:w="1246" w:type="dxa"/>
                  <w:tcBorders>
                    <w:tl2br w:val="nil"/>
                    <w:tr2bl w:val="nil"/>
                  </w:tcBorders>
                  <w:vAlign w:val="center"/>
                </w:tcPr>
                <w:p w14:paraId="7AEC4877">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12</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eastAsia="zh-CN"/>
                    </w:rPr>
                    <w:t>12*28.5cm</w:t>
                  </w:r>
                </w:p>
              </w:tc>
              <w:tc>
                <w:tcPr>
                  <w:tcW w:w="1111" w:type="dxa"/>
                  <w:tcBorders>
                    <w:tl2br w:val="nil"/>
                    <w:tr2bl w:val="nil"/>
                  </w:tcBorders>
                  <w:vAlign w:val="center"/>
                </w:tcPr>
                <w:p w14:paraId="52059338">
                  <w:pPr>
                    <w:keepNext w:val="0"/>
                    <w:keepLines w:val="0"/>
                    <w:suppressLineNumbers w:val="0"/>
                    <w:spacing w:before="0" w:beforeAutospacing="0" w:after="0" w:afterAutospacing="0" w:line="320" w:lineRule="exact"/>
                    <w:ind w:left="0" w:right="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塑料制品</w:t>
                  </w:r>
                </w:p>
              </w:tc>
            </w:tr>
            <w:tr w14:paraId="742CD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tcBorders>
                    <w:tl2br w:val="nil"/>
                    <w:tr2bl w:val="nil"/>
                  </w:tcBorders>
                  <w:vAlign w:val="center"/>
                </w:tcPr>
                <w:p w14:paraId="5C73B6A4">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961" w:type="dxa"/>
                  <w:tcBorders>
                    <w:tl2br w:val="nil"/>
                    <w:tr2bl w:val="nil"/>
                  </w:tcBorders>
                  <w:vAlign w:val="center"/>
                </w:tcPr>
                <w:p w14:paraId="551D80A5">
                  <w:pPr>
                    <w:pStyle w:val="91"/>
                    <w:keepNext w:val="0"/>
                    <w:keepLines w:val="0"/>
                    <w:suppressLineNumbers w:val="0"/>
                    <w:tabs>
                      <w:tab w:val="left" w:pos="9615"/>
                    </w:tabs>
                    <w:spacing w:before="0" w:beforeAutospacing="0" w:after="0" w:afterAutospacing="0"/>
                    <w:ind w:left="0" w:leftChars="0" w:right="0" w:right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酒类礼品包装盒</w:t>
                  </w:r>
                </w:p>
              </w:tc>
              <w:tc>
                <w:tcPr>
                  <w:tcW w:w="925" w:type="dxa"/>
                  <w:tcBorders>
                    <w:tl2br w:val="nil"/>
                    <w:tr2bl w:val="nil"/>
                  </w:tcBorders>
                  <w:vAlign w:val="center"/>
                </w:tcPr>
                <w:p w14:paraId="4799A98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万</w:t>
                  </w:r>
                  <w:r>
                    <w:rPr>
                      <w:rFonts w:hint="eastAsia" w:cs="Times New Roman"/>
                      <w:b w:val="0"/>
                      <w:bCs w:val="0"/>
                      <w:color w:val="auto"/>
                      <w:sz w:val="21"/>
                      <w:szCs w:val="21"/>
                      <w:lang w:val="en-US" w:eastAsia="zh-CN"/>
                    </w:rPr>
                    <w:t>只</w:t>
                  </w:r>
                </w:p>
              </w:tc>
              <w:tc>
                <w:tcPr>
                  <w:tcW w:w="1073" w:type="dxa"/>
                  <w:tcBorders>
                    <w:tl2br w:val="nil"/>
                    <w:tr2bl w:val="nil"/>
                  </w:tcBorders>
                  <w:vAlign w:val="center"/>
                </w:tcPr>
                <w:p w14:paraId="6283D3F7">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688" w:type="dxa"/>
                  <w:tcBorders>
                    <w:tl2br w:val="nil"/>
                    <w:tr2bl w:val="nil"/>
                  </w:tcBorders>
                  <w:vAlign w:val="center"/>
                </w:tcPr>
                <w:p w14:paraId="39F574D4">
                  <w:pPr>
                    <w:keepNext w:val="0"/>
                    <w:keepLines w:val="0"/>
                    <w:suppressLineNumbers w:val="0"/>
                    <w:spacing w:before="0" w:beforeAutospacing="0" w:after="0" w:afterAutospacing="0" w:line="320" w:lineRule="exact"/>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750</w:t>
                  </w:r>
                </w:p>
              </w:tc>
              <w:tc>
                <w:tcPr>
                  <w:tcW w:w="856" w:type="dxa"/>
                  <w:tcBorders>
                    <w:tl2br w:val="nil"/>
                    <w:tr2bl w:val="nil"/>
                  </w:tcBorders>
                  <w:vAlign w:val="center"/>
                </w:tcPr>
                <w:p w14:paraId="2742332E">
                  <w:pPr>
                    <w:keepNext w:val="0"/>
                    <w:keepLines w:val="0"/>
                    <w:suppressLineNumbers w:val="0"/>
                    <w:spacing w:before="0" w:beforeAutospacing="0" w:after="0" w:afterAutospacing="0" w:line="320" w:lineRule="exact"/>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750</w:t>
                  </w:r>
                </w:p>
              </w:tc>
              <w:tc>
                <w:tcPr>
                  <w:tcW w:w="1246" w:type="dxa"/>
                  <w:tcBorders>
                    <w:tl2br w:val="nil"/>
                    <w:tr2bl w:val="nil"/>
                  </w:tcBorders>
                  <w:vAlign w:val="center"/>
                </w:tcPr>
                <w:p w14:paraId="6326EB5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12</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12*28.5cm</w:t>
                  </w:r>
                </w:p>
              </w:tc>
              <w:tc>
                <w:tcPr>
                  <w:tcW w:w="1111" w:type="dxa"/>
                  <w:tcBorders>
                    <w:tl2br w:val="nil"/>
                    <w:tr2bl w:val="nil"/>
                  </w:tcBorders>
                  <w:vAlign w:val="center"/>
                </w:tcPr>
                <w:p w14:paraId="019F400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纸制品</w:t>
                  </w:r>
                </w:p>
              </w:tc>
            </w:tr>
            <w:tr w14:paraId="4C06B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56" w:type="dxa"/>
                  <w:tcBorders>
                    <w:tl2br w:val="nil"/>
                    <w:tr2bl w:val="nil"/>
                  </w:tcBorders>
                  <w:vAlign w:val="center"/>
                </w:tcPr>
                <w:p w14:paraId="0F2549D1">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1961" w:type="dxa"/>
                  <w:tcBorders>
                    <w:tl2br w:val="nil"/>
                    <w:tr2bl w:val="nil"/>
                  </w:tcBorders>
                  <w:vAlign w:val="center"/>
                </w:tcPr>
                <w:p w14:paraId="66CDFF22">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塑纸包装盒</w:t>
                  </w:r>
                </w:p>
              </w:tc>
              <w:tc>
                <w:tcPr>
                  <w:tcW w:w="925" w:type="dxa"/>
                  <w:tcBorders>
                    <w:tl2br w:val="nil"/>
                    <w:tr2bl w:val="nil"/>
                  </w:tcBorders>
                  <w:vAlign w:val="center"/>
                </w:tcPr>
                <w:p w14:paraId="5707C934">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cs="Times New Roman"/>
                      <w:b w:val="0"/>
                      <w:bCs w:val="0"/>
                      <w:color w:val="auto"/>
                      <w:sz w:val="21"/>
                      <w:szCs w:val="21"/>
                      <w:lang w:val="en-US" w:eastAsia="zh-CN"/>
                    </w:rPr>
                    <w:t>万</w:t>
                  </w:r>
                  <w:r>
                    <w:rPr>
                      <w:rFonts w:hint="eastAsia" w:cs="Times New Roman"/>
                      <w:b w:val="0"/>
                      <w:bCs w:val="0"/>
                      <w:color w:val="auto"/>
                      <w:sz w:val="21"/>
                      <w:szCs w:val="21"/>
                      <w:lang w:val="en-US" w:eastAsia="zh-CN"/>
                    </w:rPr>
                    <w:t>只</w:t>
                  </w:r>
                </w:p>
              </w:tc>
              <w:tc>
                <w:tcPr>
                  <w:tcW w:w="1073" w:type="dxa"/>
                  <w:tcBorders>
                    <w:tl2br w:val="nil"/>
                    <w:tr2bl w:val="nil"/>
                  </w:tcBorders>
                  <w:vAlign w:val="center"/>
                </w:tcPr>
                <w:p w14:paraId="665F20B4">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688" w:type="dxa"/>
                  <w:tcBorders>
                    <w:tl2br w:val="nil"/>
                    <w:tr2bl w:val="nil"/>
                  </w:tcBorders>
                  <w:vAlign w:val="center"/>
                </w:tcPr>
                <w:p w14:paraId="4674CE83">
                  <w:pPr>
                    <w:keepNext w:val="0"/>
                    <w:keepLines w:val="0"/>
                    <w:suppressLineNumbers w:val="0"/>
                    <w:spacing w:before="0" w:beforeAutospacing="0" w:after="0" w:afterAutospacing="0" w:line="320" w:lineRule="exact"/>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856" w:type="dxa"/>
                  <w:tcBorders>
                    <w:tl2br w:val="nil"/>
                    <w:tr2bl w:val="nil"/>
                  </w:tcBorders>
                  <w:vAlign w:val="center"/>
                </w:tcPr>
                <w:p w14:paraId="5D1BD328">
                  <w:pPr>
                    <w:keepNext w:val="0"/>
                    <w:keepLines w:val="0"/>
                    <w:suppressLineNumbers w:val="0"/>
                    <w:spacing w:before="0" w:beforeAutospacing="0" w:after="0" w:afterAutospacing="0" w:line="320" w:lineRule="exact"/>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1246" w:type="dxa"/>
                  <w:tcBorders>
                    <w:tl2br w:val="nil"/>
                    <w:tr2bl w:val="nil"/>
                  </w:tcBorders>
                  <w:vAlign w:val="center"/>
                </w:tcPr>
                <w:p w14:paraId="3254CE48">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12</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12*28.5cm</w:t>
                  </w:r>
                </w:p>
              </w:tc>
              <w:tc>
                <w:tcPr>
                  <w:tcW w:w="1111" w:type="dxa"/>
                  <w:tcBorders>
                    <w:tl2br w:val="nil"/>
                    <w:tr2bl w:val="nil"/>
                  </w:tcBorders>
                  <w:vAlign w:val="center"/>
                </w:tcPr>
                <w:p w14:paraId="23BD8972">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塑料制品+印纸</w:t>
                  </w:r>
                </w:p>
              </w:tc>
            </w:tr>
            <w:tr w14:paraId="2E2CF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56" w:type="dxa"/>
                  <w:tcBorders>
                    <w:tl2br w:val="nil"/>
                    <w:tr2bl w:val="nil"/>
                  </w:tcBorders>
                  <w:vAlign w:val="center"/>
                </w:tcPr>
                <w:p w14:paraId="7799914E">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1961" w:type="dxa"/>
                  <w:tcBorders>
                    <w:tl2br w:val="nil"/>
                    <w:tr2bl w:val="nil"/>
                  </w:tcBorders>
                  <w:vAlign w:val="center"/>
                </w:tcPr>
                <w:p w14:paraId="23A1E93B">
                  <w:pPr>
                    <w:pStyle w:val="91"/>
                    <w:keepNext w:val="0"/>
                    <w:keepLines w:val="0"/>
                    <w:suppressLineNumbers w:val="0"/>
                    <w:tabs>
                      <w:tab w:val="left" w:pos="9615"/>
                    </w:tabs>
                    <w:spacing w:before="0" w:beforeAutospacing="0" w:after="0" w:afterAutospacing="0"/>
                    <w:ind w:left="0" w:leftChars="0" w:right="0" w:rightChars="0"/>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木塑包装盒</w:t>
                  </w:r>
                </w:p>
              </w:tc>
              <w:tc>
                <w:tcPr>
                  <w:tcW w:w="925" w:type="dxa"/>
                  <w:tcBorders>
                    <w:tl2br w:val="nil"/>
                    <w:tr2bl w:val="nil"/>
                  </w:tcBorders>
                  <w:vAlign w:val="center"/>
                </w:tcPr>
                <w:p w14:paraId="06BC5AB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lang w:val="en-US" w:eastAsia="zh-CN"/>
                    </w:rPr>
                    <w:t>万</w:t>
                  </w:r>
                  <w:r>
                    <w:rPr>
                      <w:rFonts w:hint="eastAsia" w:cs="Times New Roman"/>
                      <w:b w:val="0"/>
                      <w:bCs w:val="0"/>
                      <w:color w:val="auto"/>
                      <w:sz w:val="21"/>
                      <w:szCs w:val="21"/>
                      <w:lang w:val="en-US" w:eastAsia="zh-CN"/>
                    </w:rPr>
                    <w:t>只</w:t>
                  </w:r>
                </w:p>
              </w:tc>
              <w:tc>
                <w:tcPr>
                  <w:tcW w:w="1073" w:type="dxa"/>
                  <w:tcBorders>
                    <w:tl2br w:val="nil"/>
                    <w:tr2bl w:val="nil"/>
                  </w:tcBorders>
                  <w:vAlign w:val="center"/>
                </w:tcPr>
                <w:p w14:paraId="0520F8E9">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688" w:type="dxa"/>
                  <w:tcBorders>
                    <w:tl2br w:val="nil"/>
                    <w:tr2bl w:val="nil"/>
                  </w:tcBorders>
                  <w:vAlign w:val="center"/>
                </w:tcPr>
                <w:p w14:paraId="09348BF2">
                  <w:pPr>
                    <w:keepNext w:val="0"/>
                    <w:keepLines w:val="0"/>
                    <w:suppressLineNumbers w:val="0"/>
                    <w:spacing w:before="0" w:beforeAutospacing="0" w:after="0" w:afterAutospacing="0" w:line="320" w:lineRule="exact"/>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856" w:type="dxa"/>
                  <w:tcBorders>
                    <w:tl2br w:val="nil"/>
                    <w:tr2bl w:val="nil"/>
                  </w:tcBorders>
                  <w:vAlign w:val="center"/>
                </w:tcPr>
                <w:p w14:paraId="2981C03B">
                  <w:pPr>
                    <w:keepNext w:val="0"/>
                    <w:keepLines w:val="0"/>
                    <w:suppressLineNumbers w:val="0"/>
                    <w:spacing w:before="0" w:beforeAutospacing="0" w:after="0" w:afterAutospacing="0" w:line="320" w:lineRule="exact"/>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246" w:type="dxa"/>
                  <w:tcBorders>
                    <w:tl2br w:val="nil"/>
                    <w:tr2bl w:val="nil"/>
                  </w:tcBorders>
                  <w:vAlign w:val="center"/>
                </w:tcPr>
                <w:p w14:paraId="206347D7">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12</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12*28.5cm</w:t>
                  </w:r>
                </w:p>
              </w:tc>
              <w:tc>
                <w:tcPr>
                  <w:tcW w:w="1111" w:type="dxa"/>
                  <w:tcBorders>
                    <w:tl2br w:val="nil"/>
                    <w:tr2bl w:val="nil"/>
                  </w:tcBorders>
                  <w:vAlign w:val="center"/>
                </w:tcPr>
                <w:p w14:paraId="1BB8A779">
                  <w:pPr>
                    <w:keepNext w:val="0"/>
                    <w:keepLines w:val="0"/>
                    <w:suppressLineNumbers w:val="0"/>
                    <w:spacing w:before="0" w:beforeAutospacing="0" w:after="0" w:afterAutospacing="0" w:line="320" w:lineRule="exact"/>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木制底座+印纸</w:t>
                  </w:r>
                </w:p>
              </w:tc>
            </w:tr>
          </w:tbl>
          <w:p w14:paraId="6F34374D">
            <w:pPr>
              <w:numPr>
                <w:ilvl w:val="0"/>
                <w:numId w:val="0"/>
              </w:num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5.</w:t>
            </w:r>
            <w:r>
              <w:rPr>
                <w:rFonts w:hint="default" w:ascii="Times New Roman" w:hAnsi="Times New Roman" w:cs="Times New Roman"/>
                <w:b/>
                <w:bCs/>
                <w:color w:val="auto"/>
                <w:sz w:val="24"/>
              </w:rPr>
              <w:t>本项目</w:t>
            </w:r>
            <w:r>
              <w:rPr>
                <w:rFonts w:hint="eastAsia" w:cs="Times New Roman"/>
                <w:b/>
                <w:bCs/>
                <w:color w:val="auto"/>
                <w:sz w:val="24"/>
                <w:lang w:val="en-US" w:eastAsia="zh-CN"/>
              </w:rPr>
              <w:t>扩建</w:t>
            </w:r>
            <w:r>
              <w:rPr>
                <w:rFonts w:hint="default" w:ascii="Times New Roman" w:hAnsi="Times New Roman" w:cs="Times New Roman"/>
                <w:b/>
                <w:bCs/>
                <w:color w:val="auto"/>
                <w:sz w:val="24"/>
              </w:rPr>
              <w:t>前后主要生产设备清单</w:t>
            </w:r>
          </w:p>
          <w:p w14:paraId="2E66AAE8">
            <w:pPr>
              <w:adjustRightInd w:val="0"/>
              <w:snapToGrid w:val="0"/>
              <w:spacing w:line="360" w:lineRule="auto"/>
              <w:ind w:left="422"/>
              <w:rPr>
                <w:color w:val="auto"/>
                <w:sz w:val="24"/>
              </w:rPr>
            </w:pPr>
            <w:bookmarkStart w:id="25" w:name="_Hlk136425641"/>
            <w:r>
              <w:rPr>
                <w:rFonts w:hint="eastAsia"/>
                <w:color w:val="auto"/>
                <w:sz w:val="24"/>
              </w:rPr>
              <w:t>本项目</w:t>
            </w:r>
            <w:r>
              <w:rPr>
                <w:rFonts w:hint="eastAsia"/>
                <w:color w:val="auto"/>
                <w:sz w:val="24"/>
                <w:lang w:val="en-US" w:eastAsia="zh-CN"/>
              </w:rPr>
              <w:t>扩建</w:t>
            </w:r>
            <w:r>
              <w:rPr>
                <w:rFonts w:hint="eastAsia"/>
                <w:color w:val="auto"/>
                <w:sz w:val="24"/>
              </w:rPr>
              <w:t>前后主要生产设备清单见下表2-</w:t>
            </w:r>
            <w:r>
              <w:rPr>
                <w:color w:val="auto"/>
                <w:sz w:val="24"/>
              </w:rPr>
              <w:t>4</w:t>
            </w:r>
            <w:r>
              <w:rPr>
                <w:rFonts w:hint="eastAsia"/>
                <w:color w:val="auto"/>
                <w:sz w:val="24"/>
              </w:rPr>
              <w:t>：</w:t>
            </w:r>
          </w:p>
          <w:bookmarkEnd w:id="25"/>
          <w:p w14:paraId="51494221">
            <w:pPr>
              <w:adjustRightInd w:val="0"/>
              <w:snapToGrid w:val="0"/>
              <w:ind w:left="422"/>
              <w:jc w:val="center"/>
              <w:rPr>
                <w:rFonts w:hint="eastAsia"/>
                <w:b/>
                <w:bCs/>
                <w:color w:val="auto"/>
                <w:szCs w:val="21"/>
              </w:rPr>
            </w:pPr>
            <w:r>
              <w:rPr>
                <w:rFonts w:hint="eastAsia"/>
                <w:b/>
                <w:bCs/>
                <w:color w:val="auto"/>
                <w:szCs w:val="21"/>
              </w:rPr>
              <w:t>表2</w:t>
            </w:r>
            <w:r>
              <w:rPr>
                <w:b/>
                <w:bCs/>
                <w:color w:val="auto"/>
                <w:szCs w:val="21"/>
              </w:rPr>
              <w:t xml:space="preserve">-4    </w:t>
            </w:r>
            <w:r>
              <w:rPr>
                <w:rFonts w:hint="eastAsia"/>
                <w:b/>
                <w:bCs/>
                <w:color w:val="auto"/>
                <w:szCs w:val="21"/>
              </w:rPr>
              <w:t>本项目</w:t>
            </w:r>
            <w:r>
              <w:rPr>
                <w:rFonts w:hint="eastAsia"/>
                <w:b/>
                <w:bCs/>
                <w:color w:val="auto"/>
                <w:szCs w:val="21"/>
                <w:lang w:val="en-US" w:eastAsia="zh-CN"/>
              </w:rPr>
              <w:t>扩建</w:t>
            </w:r>
            <w:r>
              <w:rPr>
                <w:rFonts w:hint="eastAsia"/>
                <w:b/>
                <w:bCs/>
                <w:color w:val="auto"/>
                <w:szCs w:val="21"/>
              </w:rPr>
              <w:t>前后主要生产设备清单一览表</w:t>
            </w:r>
          </w:p>
          <w:tbl>
            <w:tblPr>
              <w:tblStyle w:val="26"/>
              <w:tblW w:w="845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2"/>
              <w:gridCol w:w="898"/>
              <w:gridCol w:w="760"/>
              <w:gridCol w:w="1487"/>
              <w:gridCol w:w="1139"/>
              <w:gridCol w:w="1200"/>
              <w:gridCol w:w="741"/>
              <w:gridCol w:w="1586"/>
            </w:tblGrid>
            <w:tr w14:paraId="402B37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642" w:type="dxa"/>
                  <w:tcBorders>
                    <w:tl2br w:val="nil"/>
                    <w:tr2bl w:val="nil"/>
                  </w:tcBorders>
                  <w:noWrap w:val="0"/>
                  <w:vAlign w:val="center"/>
                </w:tcPr>
                <w:p w14:paraId="75ACB4A1">
                  <w:pPr>
                    <w:pStyle w:val="91"/>
                    <w:keepNext w:val="0"/>
                    <w:keepLines w:val="0"/>
                    <w:pageBreakBefore w:val="0"/>
                    <w:suppressLineNumbers w:val="0"/>
                    <w:tabs>
                      <w:tab w:val="left" w:pos="9615"/>
                    </w:tabs>
                    <w:kinsoku/>
                    <w:wordWrap/>
                    <w:overflowPunct/>
                    <w:topLinePunct w:val="0"/>
                    <w:bidi w:val="0"/>
                    <w:adjustRightInd/>
                    <w:snapToGrid/>
                    <w:spacing w:before="0" w:beforeAutospacing="0" w:after="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658" w:type="dxa"/>
                  <w:gridSpan w:val="2"/>
                  <w:tcBorders>
                    <w:tl2br w:val="nil"/>
                    <w:tr2bl w:val="nil"/>
                  </w:tcBorders>
                  <w:noWrap w:val="0"/>
                  <w:vAlign w:val="center"/>
                </w:tcPr>
                <w:p w14:paraId="7EBB588C">
                  <w:pPr>
                    <w:pStyle w:val="91"/>
                    <w:keepNext w:val="0"/>
                    <w:keepLines w:val="0"/>
                    <w:pageBreakBefore w:val="0"/>
                    <w:suppressLineNumbers w:val="0"/>
                    <w:tabs>
                      <w:tab w:val="left" w:pos="9615"/>
                    </w:tabs>
                    <w:kinsoku/>
                    <w:wordWrap/>
                    <w:overflowPunct/>
                    <w:topLinePunct w:val="0"/>
                    <w:bidi w:val="0"/>
                    <w:adjustRightInd/>
                    <w:snapToGrid/>
                    <w:spacing w:before="0" w:beforeAutospacing="0" w:after="0" w:afterAutospacing="0"/>
                    <w:ind w:left="0" w:right="0"/>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设备</w:t>
                  </w:r>
                  <w:r>
                    <w:rPr>
                      <w:rFonts w:hint="default" w:ascii="Times New Roman" w:hAnsi="Times New Roman" w:eastAsia="宋体" w:cs="Times New Roman"/>
                      <w:b/>
                      <w:color w:val="auto"/>
                      <w:sz w:val="21"/>
                      <w:szCs w:val="21"/>
                    </w:rPr>
                    <w:t>名称</w:t>
                  </w:r>
                </w:p>
              </w:tc>
              <w:tc>
                <w:tcPr>
                  <w:tcW w:w="1487" w:type="dxa"/>
                  <w:tcBorders>
                    <w:tl2br w:val="nil"/>
                    <w:tr2bl w:val="nil"/>
                  </w:tcBorders>
                  <w:noWrap w:val="0"/>
                  <w:vAlign w:val="center"/>
                </w:tcPr>
                <w:p w14:paraId="0BF6D971">
                  <w:pPr>
                    <w:pStyle w:val="91"/>
                    <w:keepNext w:val="0"/>
                    <w:keepLines w:val="0"/>
                    <w:pageBreakBefore w:val="0"/>
                    <w:suppressLineNumbers w:val="0"/>
                    <w:tabs>
                      <w:tab w:val="left" w:pos="9615"/>
                    </w:tabs>
                    <w:kinsoku/>
                    <w:wordWrap/>
                    <w:overflowPunct/>
                    <w:topLinePunct w:val="0"/>
                    <w:bidi w:val="0"/>
                    <w:adjustRightInd/>
                    <w:snapToGrid/>
                    <w:spacing w:before="0" w:beforeAutospacing="0" w:after="0" w:afterAutospacing="0"/>
                    <w:ind w:left="0" w:right="0"/>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val="en-US" w:eastAsia="zh-CN"/>
                    </w:rPr>
                    <w:t>型号</w:t>
                  </w:r>
                </w:p>
              </w:tc>
              <w:tc>
                <w:tcPr>
                  <w:tcW w:w="1139" w:type="dxa"/>
                  <w:tcBorders>
                    <w:tl2br w:val="nil"/>
                    <w:tr2bl w:val="nil"/>
                  </w:tcBorders>
                  <w:noWrap w:val="0"/>
                  <w:vAlign w:val="center"/>
                </w:tcPr>
                <w:p w14:paraId="5B8A31DC">
                  <w:pPr>
                    <w:keepNext w:val="0"/>
                    <w:keepLines w:val="0"/>
                    <w:pageBreakBefore w:val="0"/>
                    <w:widowControl/>
                    <w:kinsoku/>
                    <w:wordWrap/>
                    <w:overflowPunct/>
                    <w:topLinePunct w:val="0"/>
                    <w:bidi w:val="0"/>
                    <w:adjustRightInd/>
                    <w:snapToGrid/>
                    <w:jc w:val="center"/>
                    <w:rPr>
                      <w:rFonts w:hint="default" w:ascii="Times New Roman" w:hAnsi="Times New Roman" w:eastAsia="宋体" w:cs="Times New Roman"/>
                      <w:b/>
                      <w:color w:val="auto"/>
                      <w:sz w:val="21"/>
                      <w:szCs w:val="21"/>
                    </w:rPr>
                  </w:pPr>
                  <w:r>
                    <w:rPr>
                      <w:rFonts w:hint="eastAsia" w:cs="Times New Roman"/>
                      <w:b/>
                      <w:bCs/>
                      <w:color w:val="auto"/>
                      <w:kern w:val="0"/>
                      <w:sz w:val="21"/>
                      <w:szCs w:val="21"/>
                      <w:lang w:val="en-US" w:eastAsia="zh-CN"/>
                    </w:rPr>
                    <w:t>扩建</w:t>
                  </w:r>
                  <w:r>
                    <w:rPr>
                      <w:rFonts w:hint="default" w:ascii="Times New Roman" w:hAnsi="Times New Roman" w:cs="Times New Roman"/>
                      <w:b/>
                      <w:bCs/>
                      <w:color w:val="auto"/>
                      <w:kern w:val="0"/>
                      <w:sz w:val="21"/>
                      <w:szCs w:val="21"/>
                    </w:rPr>
                    <w:t>前数量（台</w:t>
                  </w:r>
                  <w:r>
                    <w:rPr>
                      <w:rFonts w:hint="default" w:ascii="Times New Roman" w:hAnsi="Times New Roman" w:cs="Times New Roman"/>
                      <w:b/>
                      <w:bCs/>
                      <w:color w:val="auto"/>
                      <w:kern w:val="0"/>
                      <w:sz w:val="21"/>
                      <w:szCs w:val="21"/>
                      <w:lang w:val="en-US" w:eastAsia="zh-CN"/>
                    </w:rPr>
                    <w:t>/套</w:t>
                  </w:r>
                  <w:r>
                    <w:rPr>
                      <w:rFonts w:hint="default" w:ascii="Times New Roman" w:hAnsi="Times New Roman" w:cs="Times New Roman"/>
                      <w:b/>
                      <w:bCs/>
                      <w:color w:val="auto"/>
                      <w:kern w:val="0"/>
                      <w:sz w:val="21"/>
                      <w:szCs w:val="21"/>
                    </w:rPr>
                    <w:t>）</w:t>
                  </w:r>
                </w:p>
              </w:tc>
              <w:tc>
                <w:tcPr>
                  <w:tcW w:w="1200" w:type="dxa"/>
                  <w:tcBorders>
                    <w:tl2br w:val="nil"/>
                    <w:tr2bl w:val="nil"/>
                  </w:tcBorders>
                  <w:noWrap w:val="0"/>
                  <w:vAlign w:val="center"/>
                </w:tcPr>
                <w:p w14:paraId="14DB9EDF">
                  <w:pPr>
                    <w:keepNext w:val="0"/>
                    <w:keepLines w:val="0"/>
                    <w:pageBreakBefore w:val="0"/>
                    <w:widowControl/>
                    <w:kinsoku/>
                    <w:wordWrap/>
                    <w:overflowPunct/>
                    <w:topLinePunct w:val="0"/>
                    <w:bidi w:val="0"/>
                    <w:adjustRightInd/>
                    <w:snapToGrid/>
                    <w:jc w:val="center"/>
                    <w:rPr>
                      <w:rFonts w:hint="default" w:ascii="Times New Roman" w:hAnsi="Times New Roman" w:eastAsia="宋体" w:cs="Times New Roman"/>
                      <w:b/>
                      <w:color w:val="auto"/>
                      <w:sz w:val="21"/>
                      <w:szCs w:val="21"/>
                    </w:rPr>
                  </w:pPr>
                  <w:r>
                    <w:rPr>
                      <w:rFonts w:hint="eastAsia" w:cs="Times New Roman"/>
                      <w:b/>
                      <w:bCs/>
                      <w:color w:val="auto"/>
                      <w:kern w:val="0"/>
                      <w:sz w:val="21"/>
                      <w:szCs w:val="21"/>
                      <w:lang w:val="en-US" w:eastAsia="zh-CN"/>
                    </w:rPr>
                    <w:t>扩建</w:t>
                  </w:r>
                  <w:r>
                    <w:rPr>
                      <w:rFonts w:hint="default" w:ascii="Times New Roman" w:hAnsi="Times New Roman" w:cs="Times New Roman"/>
                      <w:b/>
                      <w:bCs/>
                      <w:color w:val="auto"/>
                      <w:kern w:val="0"/>
                      <w:sz w:val="21"/>
                      <w:szCs w:val="21"/>
                    </w:rPr>
                    <w:t>后</w:t>
                  </w:r>
                  <w:r>
                    <w:rPr>
                      <w:rFonts w:hint="eastAsia" w:cs="Times New Roman"/>
                      <w:b/>
                      <w:bCs/>
                      <w:color w:val="auto"/>
                      <w:kern w:val="0"/>
                      <w:sz w:val="21"/>
                      <w:szCs w:val="21"/>
                      <w:lang w:val="en-US" w:eastAsia="zh-CN"/>
                    </w:rPr>
                    <w:t>全厂</w:t>
                  </w:r>
                  <w:r>
                    <w:rPr>
                      <w:rFonts w:hint="default" w:ascii="Times New Roman" w:hAnsi="Times New Roman" w:cs="Times New Roman"/>
                      <w:b/>
                      <w:bCs/>
                      <w:color w:val="auto"/>
                      <w:kern w:val="0"/>
                      <w:sz w:val="21"/>
                      <w:szCs w:val="21"/>
                    </w:rPr>
                    <w:t>数量（台</w:t>
                  </w:r>
                  <w:r>
                    <w:rPr>
                      <w:rFonts w:hint="default" w:ascii="Times New Roman" w:hAnsi="Times New Roman" w:cs="Times New Roman"/>
                      <w:b/>
                      <w:bCs/>
                      <w:color w:val="auto"/>
                      <w:kern w:val="0"/>
                      <w:sz w:val="21"/>
                      <w:szCs w:val="21"/>
                      <w:lang w:val="en-US" w:eastAsia="zh-CN"/>
                    </w:rPr>
                    <w:t>/套</w:t>
                  </w:r>
                  <w:r>
                    <w:rPr>
                      <w:rFonts w:hint="default" w:ascii="Times New Roman" w:hAnsi="Times New Roman" w:cs="Times New Roman"/>
                      <w:b/>
                      <w:bCs/>
                      <w:color w:val="auto"/>
                      <w:kern w:val="0"/>
                      <w:sz w:val="21"/>
                      <w:szCs w:val="21"/>
                    </w:rPr>
                    <w:t>）</w:t>
                  </w:r>
                </w:p>
              </w:tc>
              <w:tc>
                <w:tcPr>
                  <w:tcW w:w="741" w:type="dxa"/>
                  <w:tcBorders>
                    <w:tl2br w:val="nil"/>
                    <w:tr2bl w:val="nil"/>
                  </w:tcBorders>
                  <w:noWrap w:val="0"/>
                  <w:vAlign w:val="center"/>
                </w:tcPr>
                <w:p w14:paraId="2F01A50A">
                  <w:pPr>
                    <w:pStyle w:val="91"/>
                    <w:keepNext w:val="0"/>
                    <w:keepLines w:val="0"/>
                    <w:pageBreakBefore w:val="0"/>
                    <w:suppressLineNumbers w:val="0"/>
                    <w:tabs>
                      <w:tab w:val="left" w:pos="9615"/>
                    </w:tabs>
                    <w:kinsoku/>
                    <w:wordWrap/>
                    <w:overflowPunct/>
                    <w:topLinePunct w:val="0"/>
                    <w:bidi w:val="0"/>
                    <w:adjustRightInd/>
                    <w:snapToGrid/>
                    <w:spacing w:before="0" w:beforeAutospacing="0" w:after="0" w:afterAutospacing="0"/>
                    <w:ind w:left="0" w:leftChars="0" w:right="0" w:rightChars="0"/>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eastAsia="zh-CN"/>
                    </w:rPr>
                    <w:t>设备变化情况</w:t>
                  </w:r>
                </w:p>
              </w:tc>
              <w:tc>
                <w:tcPr>
                  <w:tcW w:w="1586" w:type="dxa"/>
                  <w:tcBorders>
                    <w:tl2br w:val="nil"/>
                    <w:tr2bl w:val="nil"/>
                  </w:tcBorders>
                  <w:noWrap w:val="0"/>
                  <w:vAlign w:val="center"/>
                </w:tcPr>
                <w:p w14:paraId="729CC39E">
                  <w:pPr>
                    <w:pStyle w:val="91"/>
                    <w:keepNext w:val="0"/>
                    <w:keepLines w:val="0"/>
                    <w:pageBreakBefore w:val="0"/>
                    <w:suppressLineNumbers w:val="0"/>
                    <w:tabs>
                      <w:tab w:val="left" w:pos="9615"/>
                    </w:tabs>
                    <w:kinsoku/>
                    <w:wordWrap/>
                    <w:overflowPunct/>
                    <w:topLinePunct w:val="0"/>
                    <w:bidi w:val="0"/>
                    <w:adjustRightInd/>
                    <w:snapToGrid/>
                    <w:spacing w:before="0" w:beforeAutospacing="0" w:after="0" w:afterAutospacing="0"/>
                    <w:ind w:left="0" w:right="0"/>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备注</w:t>
                  </w:r>
                </w:p>
              </w:tc>
            </w:tr>
            <w:tr w14:paraId="0D508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8453" w:type="dxa"/>
                  <w:gridSpan w:val="8"/>
                  <w:tcBorders>
                    <w:tl2br w:val="nil"/>
                    <w:tr2bl w:val="nil"/>
                  </w:tcBorders>
                  <w:noWrap w:val="0"/>
                  <w:vAlign w:val="center"/>
                </w:tcPr>
                <w:p w14:paraId="497D3E0F">
                  <w:pPr>
                    <w:pStyle w:val="91"/>
                    <w:keepNext w:val="0"/>
                    <w:keepLines w:val="0"/>
                    <w:pageBreakBefore w:val="0"/>
                    <w:suppressLineNumbers w:val="0"/>
                    <w:tabs>
                      <w:tab w:val="left" w:pos="9615"/>
                    </w:tabs>
                    <w:kinsoku/>
                    <w:wordWrap/>
                    <w:overflowPunct/>
                    <w:topLinePunct w:val="0"/>
                    <w:bidi w:val="0"/>
                    <w:adjustRightInd/>
                    <w:snapToGrid/>
                    <w:spacing w:before="0" w:beforeAutospacing="0" w:after="0" w:afterAutospacing="0"/>
                    <w:ind w:left="0" w:right="0"/>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1#车间</w:t>
                  </w:r>
                </w:p>
              </w:tc>
            </w:tr>
            <w:tr w14:paraId="66B8F7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42" w:type="dxa"/>
                  <w:tcBorders>
                    <w:tl2br w:val="nil"/>
                    <w:tr2bl w:val="nil"/>
                  </w:tcBorders>
                  <w:noWrap w:val="0"/>
                  <w:vAlign w:val="center"/>
                </w:tcPr>
                <w:p w14:paraId="069C1031">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658" w:type="dxa"/>
                  <w:gridSpan w:val="2"/>
                  <w:tcBorders>
                    <w:tl2br w:val="nil"/>
                    <w:tr2bl w:val="nil"/>
                  </w:tcBorders>
                  <w:noWrap w:val="0"/>
                  <w:vAlign w:val="center"/>
                </w:tcPr>
                <w:p w14:paraId="4E1B5E24">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注塑机</w:t>
                  </w:r>
                </w:p>
              </w:tc>
              <w:tc>
                <w:tcPr>
                  <w:tcW w:w="1487" w:type="dxa"/>
                  <w:tcBorders>
                    <w:tl2br w:val="nil"/>
                    <w:tr2bl w:val="nil"/>
                  </w:tcBorders>
                  <w:noWrap w:val="0"/>
                  <w:vAlign w:val="center"/>
                </w:tcPr>
                <w:p w14:paraId="1D8FE013">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rPr>
                    <w:t>320T</w:t>
                  </w:r>
                </w:p>
              </w:tc>
              <w:tc>
                <w:tcPr>
                  <w:tcW w:w="1139" w:type="dxa"/>
                  <w:tcBorders>
                    <w:tl2br w:val="nil"/>
                    <w:tr2bl w:val="nil"/>
                  </w:tcBorders>
                  <w:noWrap w:val="0"/>
                  <w:vAlign w:val="center"/>
                </w:tcPr>
                <w:p w14:paraId="47E206A3">
                  <w:pPr>
                    <w:spacing w:line="240" w:lineRule="auto"/>
                    <w:jc w:val="center"/>
                    <w:rPr>
                      <w:rFonts w:hint="eastAsia" w:ascii="Times New Roman" w:hAnsi="Times New Roman" w:eastAsia="宋体" w:cs="Times New Roman"/>
                      <w:color w:val="auto"/>
                      <w:kern w:val="2"/>
                      <w:sz w:val="21"/>
                      <w:szCs w:val="21"/>
                      <w:lang w:val="en-US" w:eastAsia="zh-CN"/>
                    </w:rPr>
                  </w:pPr>
                  <w:r>
                    <w:rPr>
                      <w:rFonts w:hint="eastAsia" w:cs="Times New Roman" w:eastAsiaTheme="minorEastAsia"/>
                      <w:color w:val="auto"/>
                      <w:kern w:val="2"/>
                      <w:sz w:val="21"/>
                      <w:szCs w:val="21"/>
                      <w:lang w:val="en-US" w:eastAsia="zh-CN"/>
                    </w:rPr>
                    <w:t>5</w:t>
                  </w:r>
                </w:p>
              </w:tc>
              <w:tc>
                <w:tcPr>
                  <w:tcW w:w="1200" w:type="dxa"/>
                  <w:tcBorders>
                    <w:tl2br w:val="nil"/>
                    <w:tr2bl w:val="nil"/>
                  </w:tcBorders>
                  <w:noWrap w:val="0"/>
                  <w:vAlign w:val="center"/>
                </w:tcPr>
                <w:p w14:paraId="09715F47">
                  <w:pPr>
                    <w:spacing w:line="240" w:lineRule="auto"/>
                    <w:jc w:val="center"/>
                    <w:rPr>
                      <w:rFonts w:hint="eastAsia" w:ascii="Times New Roman" w:hAnsi="Times New Roman" w:eastAsia="宋体" w:cs="Times New Roman"/>
                      <w:color w:val="auto"/>
                      <w:kern w:val="2"/>
                      <w:sz w:val="21"/>
                      <w:szCs w:val="21"/>
                      <w:lang w:val="en-US" w:eastAsia="zh-CN"/>
                    </w:rPr>
                  </w:pPr>
                  <w:r>
                    <w:rPr>
                      <w:rFonts w:hint="eastAsia" w:cs="Times New Roman" w:eastAsiaTheme="minorEastAsia"/>
                      <w:color w:val="auto"/>
                      <w:kern w:val="2"/>
                      <w:sz w:val="21"/>
                      <w:szCs w:val="21"/>
                      <w:lang w:val="en-US" w:eastAsia="zh-CN"/>
                    </w:rPr>
                    <w:t>5</w:t>
                  </w:r>
                </w:p>
              </w:tc>
              <w:tc>
                <w:tcPr>
                  <w:tcW w:w="741" w:type="dxa"/>
                  <w:tcBorders>
                    <w:tl2br w:val="nil"/>
                    <w:tr2bl w:val="nil"/>
                  </w:tcBorders>
                  <w:noWrap w:val="0"/>
                  <w:vAlign w:val="center"/>
                </w:tcPr>
                <w:p w14:paraId="18AE6297">
                  <w:pPr>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586" w:type="dxa"/>
                  <w:tcBorders>
                    <w:tl2br w:val="nil"/>
                    <w:tr2bl w:val="nil"/>
                  </w:tcBorders>
                  <w:noWrap w:val="0"/>
                  <w:vAlign w:val="center"/>
                </w:tcPr>
                <w:p w14:paraId="1E0C3B33">
                  <w:pPr>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注塑成型</w:t>
                  </w:r>
                </w:p>
              </w:tc>
            </w:tr>
            <w:tr w14:paraId="7FB53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42" w:type="dxa"/>
                  <w:tcBorders>
                    <w:tl2br w:val="nil"/>
                    <w:tr2bl w:val="nil"/>
                  </w:tcBorders>
                  <w:noWrap w:val="0"/>
                  <w:vAlign w:val="center"/>
                </w:tcPr>
                <w:p w14:paraId="13C53E77">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658" w:type="dxa"/>
                  <w:gridSpan w:val="2"/>
                  <w:tcBorders>
                    <w:tl2br w:val="nil"/>
                    <w:tr2bl w:val="nil"/>
                  </w:tcBorders>
                  <w:noWrap w:val="0"/>
                  <w:vAlign w:val="center"/>
                </w:tcPr>
                <w:p w14:paraId="4B24CADF">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注塑机</w:t>
                  </w:r>
                </w:p>
              </w:tc>
              <w:tc>
                <w:tcPr>
                  <w:tcW w:w="1487" w:type="dxa"/>
                  <w:tcBorders>
                    <w:tl2br w:val="nil"/>
                    <w:tr2bl w:val="nil"/>
                  </w:tcBorders>
                  <w:noWrap w:val="0"/>
                  <w:vAlign w:val="center"/>
                </w:tcPr>
                <w:p w14:paraId="6368A425">
                  <w:pPr>
                    <w:spacing w:line="240" w:lineRule="auto"/>
                    <w:jc w:val="center"/>
                    <w:rPr>
                      <w:rFonts w:hint="default" w:ascii="Times New Roman" w:hAnsi="Times New Roman" w:eastAsia="宋体" w:cs="Times New Roman"/>
                      <w:bCs/>
                      <w:color w:val="auto"/>
                      <w:spacing w:val="-2"/>
                      <w:sz w:val="21"/>
                      <w:szCs w:val="21"/>
                      <w:lang w:val="en-US" w:eastAsia="zh-CN"/>
                    </w:rPr>
                  </w:pPr>
                  <w:r>
                    <w:rPr>
                      <w:rFonts w:hint="default" w:ascii="Times New Roman" w:hAnsi="Times New Roman" w:cs="Times New Roman"/>
                      <w:color w:val="auto"/>
                      <w:kern w:val="2"/>
                      <w:sz w:val="21"/>
                      <w:szCs w:val="21"/>
                      <w:lang w:val="en-US"/>
                    </w:rPr>
                    <w:t>150T</w:t>
                  </w:r>
                </w:p>
              </w:tc>
              <w:tc>
                <w:tcPr>
                  <w:tcW w:w="1139" w:type="dxa"/>
                  <w:tcBorders>
                    <w:tl2br w:val="nil"/>
                    <w:tr2bl w:val="nil"/>
                  </w:tcBorders>
                  <w:noWrap w:val="0"/>
                  <w:vAlign w:val="center"/>
                </w:tcPr>
                <w:p w14:paraId="4439FDF6">
                  <w:pPr>
                    <w:spacing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eastAsiaTheme="minorEastAsia"/>
                      <w:color w:val="auto"/>
                      <w:kern w:val="2"/>
                      <w:sz w:val="21"/>
                      <w:szCs w:val="21"/>
                      <w:lang w:val="en-US"/>
                    </w:rPr>
                    <w:t>3</w:t>
                  </w:r>
                </w:p>
              </w:tc>
              <w:tc>
                <w:tcPr>
                  <w:tcW w:w="1200" w:type="dxa"/>
                  <w:tcBorders>
                    <w:tl2br w:val="nil"/>
                    <w:tr2bl w:val="nil"/>
                  </w:tcBorders>
                  <w:noWrap w:val="0"/>
                  <w:vAlign w:val="center"/>
                </w:tcPr>
                <w:p w14:paraId="13E749F8">
                  <w:pPr>
                    <w:spacing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eastAsiaTheme="minorEastAsia"/>
                      <w:color w:val="auto"/>
                      <w:kern w:val="2"/>
                      <w:sz w:val="21"/>
                      <w:szCs w:val="21"/>
                      <w:lang w:val="en-US"/>
                    </w:rPr>
                    <w:t>3</w:t>
                  </w:r>
                </w:p>
              </w:tc>
              <w:tc>
                <w:tcPr>
                  <w:tcW w:w="741" w:type="dxa"/>
                  <w:tcBorders>
                    <w:tl2br w:val="nil"/>
                    <w:tr2bl w:val="nil"/>
                  </w:tcBorders>
                  <w:noWrap w:val="0"/>
                  <w:vAlign w:val="center"/>
                </w:tcPr>
                <w:p w14:paraId="3280E60D">
                  <w:pPr>
                    <w:spacing w:line="240" w:lineRule="auto"/>
                    <w:jc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w:t>
                  </w:r>
                </w:p>
              </w:tc>
              <w:tc>
                <w:tcPr>
                  <w:tcW w:w="1586" w:type="dxa"/>
                  <w:tcBorders>
                    <w:tl2br w:val="nil"/>
                    <w:tr2bl w:val="nil"/>
                  </w:tcBorders>
                  <w:noWrap w:val="0"/>
                  <w:vAlign w:val="center"/>
                </w:tcPr>
                <w:p w14:paraId="4EE793C6">
                  <w:pPr>
                    <w:spacing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eastAsia="zh-CN"/>
                    </w:rPr>
                    <w:t>注塑成型</w:t>
                  </w:r>
                </w:p>
              </w:tc>
            </w:tr>
            <w:tr w14:paraId="65FCF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42" w:type="dxa"/>
                  <w:vMerge w:val="restart"/>
                  <w:tcBorders>
                    <w:tl2br w:val="nil"/>
                    <w:tr2bl w:val="nil"/>
                  </w:tcBorders>
                  <w:noWrap w:val="0"/>
                  <w:vAlign w:val="center"/>
                </w:tcPr>
                <w:p w14:paraId="1F693919">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658" w:type="dxa"/>
                  <w:gridSpan w:val="2"/>
                  <w:tcBorders>
                    <w:tl2br w:val="nil"/>
                    <w:tr2bl w:val="nil"/>
                  </w:tcBorders>
                  <w:noWrap w:val="0"/>
                  <w:vAlign w:val="center"/>
                </w:tcPr>
                <w:p w14:paraId="5C656D44">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注塑机</w:t>
                  </w:r>
                </w:p>
              </w:tc>
              <w:tc>
                <w:tcPr>
                  <w:tcW w:w="1487" w:type="dxa"/>
                  <w:tcBorders>
                    <w:tl2br w:val="nil"/>
                    <w:tr2bl w:val="nil"/>
                  </w:tcBorders>
                  <w:noWrap w:val="0"/>
                  <w:vAlign w:val="center"/>
                </w:tcPr>
                <w:p w14:paraId="1E57D470">
                  <w:pPr>
                    <w:spacing w:line="240" w:lineRule="auto"/>
                    <w:jc w:val="center"/>
                    <w:rPr>
                      <w:rFonts w:hint="default" w:ascii="Times New Roman" w:hAnsi="Times New Roman" w:eastAsia="宋体" w:cs="Times New Roman"/>
                      <w:bCs/>
                      <w:color w:val="auto"/>
                      <w:spacing w:val="-2"/>
                      <w:sz w:val="21"/>
                      <w:szCs w:val="21"/>
                      <w:lang w:val="en-US" w:eastAsia="zh-CN"/>
                    </w:rPr>
                  </w:pPr>
                  <w:r>
                    <w:rPr>
                      <w:rFonts w:hint="default" w:ascii="Times New Roman" w:hAnsi="Times New Roman" w:cs="Times New Roman"/>
                      <w:color w:val="auto"/>
                      <w:kern w:val="2"/>
                      <w:sz w:val="21"/>
                      <w:szCs w:val="21"/>
                      <w:lang w:val="en-US"/>
                    </w:rPr>
                    <w:t>200T</w:t>
                  </w:r>
                </w:p>
              </w:tc>
              <w:tc>
                <w:tcPr>
                  <w:tcW w:w="1139" w:type="dxa"/>
                  <w:tcBorders>
                    <w:tl2br w:val="nil"/>
                    <w:tr2bl w:val="nil"/>
                  </w:tcBorders>
                  <w:noWrap w:val="0"/>
                  <w:vAlign w:val="center"/>
                </w:tcPr>
                <w:p w14:paraId="1823D60C">
                  <w:pPr>
                    <w:spacing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eastAsiaTheme="minorEastAsia"/>
                      <w:color w:val="auto"/>
                      <w:kern w:val="2"/>
                      <w:sz w:val="21"/>
                      <w:szCs w:val="21"/>
                      <w:lang w:val="en-US"/>
                    </w:rPr>
                    <w:t>3</w:t>
                  </w:r>
                </w:p>
              </w:tc>
              <w:tc>
                <w:tcPr>
                  <w:tcW w:w="1200" w:type="dxa"/>
                  <w:tcBorders>
                    <w:tl2br w:val="nil"/>
                    <w:tr2bl w:val="nil"/>
                  </w:tcBorders>
                  <w:noWrap w:val="0"/>
                  <w:vAlign w:val="center"/>
                </w:tcPr>
                <w:p w14:paraId="1AE6EADC">
                  <w:pPr>
                    <w:spacing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eastAsiaTheme="minorEastAsia"/>
                      <w:color w:val="auto"/>
                      <w:kern w:val="2"/>
                      <w:sz w:val="21"/>
                      <w:szCs w:val="21"/>
                      <w:lang w:val="en-US"/>
                    </w:rPr>
                    <w:t>3</w:t>
                  </w:r>
                </w:p>
              </w:tc>
              <w:tc>
                <w:tcPr>
                  <w:tcW w:w="741" w:type="dxa"/>
                  <w:tcBorders>
                    <w:tl2br w:val="nil"/>
                    <w:tr2bl w:val="nil"/>
                  </w:tcBorders>
                  <w:noWrap w:val="0"/>
                  <w:vAlign w:val="center"/>
                </w:tcPr>
                <w:p w14:paraId="1EBC05DC">
                  <w:pPr>
                    <w:spacing w:line="240" w:lineRule="auto"/>
                    <w:jc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w:t>
                  </w:r>
                </w:p>
              </w:tc>
              <w:tc>
                <w:tcPr>
                  <w:tcW w:w="1586" w:type="dxa"/>
                  <w:tcBorders>
                    <w:tl2br w:val="nil"/>
                    <w:tr2bl w:val="nil"/>
                  </w:tcBorders>
                  <w:noWrap w:val="0"/>
                  <w:vAlign w:val="center"/>
                </w:tcPr>
                <w:p w14:paraId="5CAB8A0E">
                  <w:pPr>
                    <w:spacing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eastAsia="zh-CN"/>
                    </w:rPr>
                    <w:t>注塑成型</w:t>
                  </w:r>
                </w:p>
              </w:tc>
            </w:tr>
            <w:tr w14:paraId="1AEFC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642" w:type="dxa"/>
                  <w:vMerge w:val="continue"/>
                  <w:tcBorders>
                    <w:tl2br w:val="nil"/>
                    <w:tr2bl w:val="nil"/>
                  </w:tcBorders>
                  <w:noWrap w:val="0"/>
                  <w:vAlign w:val="center"/>
                </w:tcPr>
                <w:p w14:paraId="37FB2438">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p>
              </w:tc>
              <w:tc>
                <w:tcPr>
                  <w:tcW w:w="1658" w:type="dxa"/>
                  <w:gridSpan w:val="2"/>
                  <w:tcBorders>
                    <w:tl2br w:val="nil"/>
                    <w:tr2bl w:val="nil"/>
                  </w:tcBorders>
                  <w:noWrap w:val="0"/>
                  <w:vAlign w:val="center"/>
                </w:tcPr>
                <w:p w14:paraId="1ECB56B7">
                  <w:pPr>
                    <w:spacing w:line="240" w:lineRule="auto"/>
                    <w:jc w:val="center"/>
                    <w:rPr>
                      <w:rFonts w:hint="default" w:ascii="Times New Roman" w:hAnsi="Times New Roman" w:eastAsia="Calibri" w:cs="Times New Roman"/>
                      <w:color w:val="auto"/>
                      <w:kern w:val="2"/>
                      <w:sz w:val="21"/>
                      <w:szCs w:val="21"/>
                      <w:lang w:val="zh-CN" w:eastAsia="zh-CN"/>
                    </w:rPr>
                  </w:pPr>
                  <w:r>
                    <w:rPr>
                      <w:rFonts w:hint="eastAsia" w:ascii="Times New Roman" w:hAnsi="Times New Roman" w:eastAsia="Calibri" w:cs="Times New Roman"/>
                      <w:color w:val="auto"/>
                      <w:kern w:val="2"/>
                      <w:sz w:val="21"/>
                      <w:szCs w:val="21"/>
                      <w:lang w:val="en-US" w:eastAsia="zh-CN"/>
                    </w:rPr>
                    <w:t>注塑机</w:t>
                  </w:r>
                  <w:r>
                    <w:rPr>
                      <w:rFonts w:hint="eastAsia" w:eastAsia="Calibri" w:cs="Times New Roman"/>
                      <w:color w:val="auto"/>
                      <w:kern w:val="2"/>
                      <w:sz w:val="21"/>
                      <w:szCs w:val="21"/>
                      <w:lang w:val="en-US" w:eastAsia="zh-CN"/>
                    </w:rPr>
                    <w:t>（</w:t>
                  </w:r>
                  <w:r>
                    <w:rPr>
                      <w:rFonts w:hint="eastAsia" w:ascii="Times New Roman" w:hAnsi="Times New Roman" w:eastAsia="Calibri" w:cs="Times New Roman"/>
                      <w:color w:val="auto"/>
                      <w:kern w:val="2"/>
                      <w:sz w:val="21"/>
                      <w:szCs w:val="21"/>
                      <w:lang w:val="en-US" w:eastAsia="zh-CN"/>
                    </w:rPr>
                    <w:t>pet</w:t>
                  </w:r>
                  <w:r>
                    <w:rPr>
                      <w:rFonts w:hint="eastAsia" w:eastAsia="Calibri" w:cs="Times New Roman"/>
                      <w:color w:val="auto"/>
                      <w:kern w:val="2"/>
                      <w:sz w:val="21"/>
                      <w:szCs w:val="21"/>
                      <w:lang w:val="en-US" w:eastAsia="zh-CN"/>
                    </w:rPr>
                    <w:t>）</w:t>
                  </w:r>
                </w:p>
              </w:tc>
              <w:tc>
                <w:tcPr>
                  <w:tcW w:w="1487" w:type="dxa"/>
                  <w:tcBorders>
                    <w:tl2br w:val="nil"/>
                    <w:tr2bl w:val="nil"/>
                  </w:tcBorders>
                  <w:noWrap w:val="0"/>
                  <w:vAlign w:val="center"/>
                </w:tcPr>
                <w:p w14:paraId="7CC53589">
                  <w:pPr>
                    <w:spacing w:line="240" w:lineRule="auto"/>
                    <w:jc w:val="center"/>
                    <w:rPr>
                      <w:rFonts w:hint="default" w:ascii="Times New Roman" w:hAnsi="Times New Roman" w:cs="Times New Roman"/>
                      <w:color w:val="auto"/>
                      <w:kern w:val="2"/>
                      <w:sz w:val="21"/>
                      <w:szCs w:val="21"/>
                      <w:lang w:val="en-US"/>
                    </w:rPr>
                  </w:pPr>
                  <w:r>
                    <w:rPr>
                      <w:rFonts w:hint="eastAsia" w:cs="Times New Roman"/>
                      <w:color w:val="auto"/>
                      <w:sz w:val="21"/>
                      <w:szCs w:val="21"/>
                      <w:lang w:val="en-US" w:eastAsia="zh-CN"/>
                    </w:rPr>
                    <w:t>600T</w:t>
                  </w:r>
                </w:p>
              </w:tc>
              <w:tc>
                <w:tcPr>
                  <w:tcW w:w="1139" w:type="dxa"/>
                  <w:tcBorders>
                    <w:tl2br w:val="nil"/>
                    <w:tr2bl w:val="nil"/>
                  </w:tcBorders>
                  <w:noWrap w:val="0"/>
                  <w:vAlign w:val="center"/>
                </w:tcPr>
                <w:p w14:paraId="2090E4B8">
                  <w:pPr>
                    <w:spacing w:line="240" w:lineRule="auto"/>
                    <w:jc w:val="center"/>
                    <w:rPr>
                      <w:rFonts w:hint="default" w:ascii="Times New Roman" w:hAnsi="Times New Roman" w:cs="Times New Roman" w:eastAsiaTheme="minorEastAsia"/>
                      <w:color w:val="auto"/>
                      <w:kern w:val="2"/>
                      <w:sz w:val="21"/>
                      <w:szCs w:val="21"/>
                      <w:lang w:val="en-US"/>
                    </w:rPr>
                  </w:pPr>
                  <w:r>
                    <w:rPr>
                      <w:rFonts w:hint="eastAsia" w:cs="Times New Roman"/>
                      <w:color w:val="auto"/>
                      <w:sz w:val="21"/>
                      <w:szCs w:val="21"/>
                      <w:lang w:val="en-US" w:eastAsia="zh-CN"/>
                    </w:rPr>
                    <w:t>0</w:t>
                  </w:r>
                </w:p>
              </w:tc>
              <w:tc>
                <w:tcPr>
                  <w:tcW w:w="1200" w:type="dxa"/>
                  <w:tcBorders>
                    <w:tl2br w:val="nil"/>
                    <w:tr2bl w:val="nil"/>
                  </w:tcBorders>
                  <w:noWrap w:val="0"/>
                  <w:vAlign w:val="center"/>
                </w:tcPr>
                <w:p w14:paraId="6B10A055">
                  <w:pPr>
                    <w:spacing w:line="240" w:lineRule="auto"/>
                    <w:jc w:val="center"/>
                    <w:rPr>
                      <w:rFonts w:hint="default" w:ascii="Times New Roman" w:hAnsi="Times New Roman" w:cs="Times New Roman" w:eastAsiaTheme="minorEastAsia"/>
                      <w:color w:val="auto"/>
                      <w:kern w:val="2"/>
                      <w:sz w:val="21"/>
                      <w:szCs w:val="21"/>
                      <w:lang w:val="en-US"/>
                    </w:rPr>
                  </w:pPr>
                  <w:r>
                    <w:rPr>
                      <w:rFonts w:hint="eastAsia" w:ascii="Times New Roman" w:hAnsi="Times New Roman" w:cs="Times New Roman" w:eastAsiaTheme="minorEastAsia"/>
                      <w:color w:val="auto"/>
                      <w:kern w:val="2"/>
                      <w:sz w:val="21"/>
                      <w:szCs w:val="21"/>
                      <w:lang w:val="en-US" w:eastAsia="zh-CN"/>
                    </w:rPr>
                    <w:t>1</w:t>
                  </w:r>
                </w:p>
              </w:tc>
              <w:tc>
                <w:tcPr>
                  <w:tcW w:w="741" w:type="dxa"/>
                  <w:tcBorders>
                    <w:tl2br w:val="nil"/>
                    <w:tr2bl w:val="nil"/>
                  </w:tcBorders>
                  <w:noWrap w:val="0"/>
                  <w:vAlign w:val="center"/>
                </w:tcPr>
                <w:p w14:paraId="2A40525A">
                  <w:pPr>
                    <w:spacing w:line="240" w:lineRule="auto"/>
                    <w:jc w:val="center"/>
                    <w:rPr>
                      <w:rFonts w:hint="eastAsia" w:cs="Times New Roman"/>
                      <w:i w:val="0"/>
                      <w:color w:val="auto"/>
                      <w:kern w:val="0"/>
                      <w:sz w:val="21"/>
                      <w:szCs w:val="21"/>
                      <w:u w:val="none"/>
                      <w:lang w:val="en-US" w:eastAsia="zh-CN" w:bidi="ar"/>
                    </w:rPr>
                  </w:pPr>
                  <w:r>
                    <w:rPr>
                      <w:rFonts w:hint="eastAsia" w:cs="Times New Roman" w:eastAsiaTheme="minorEastAsia"/>
                      <w:color w:val="auto"/>
                      <w:kern w:val="2"/>
                      <w:sz w:val="21"/>
                      <w:szCs w:val="21"/>
                      <w:lang w:val="en-US" w:eastAsia="zh-CN"/>
                    </w:rPr>
                    <w:t>+</w:t>
                  </w:r>
                  <w:r>
                    <w:rPr>
                      <w:rFonts w:hint="eastAsia" w:ascii="Times New Roman" w:hAnsi="Times New Roman" w:cs="Times New Roman" w:eastAsiaTheme="minorEastAsia"/>
                      <w:color w:val="auto"/>
                      <w:kern w:val="2"/>
                      <w:sz w:val="21"/>
                      <w:szCs w:val="21"/>
                      <w:lang w:val="en-US" w:eastAsia="zh-CN"/>
                    </w:rPr>
                    <w:t>1</w:t>
                  </w:r>
                </w:p>
              </w:tc>
              <w:tc>
                <w:tcPr>
                  <w:tcW w:w="1586" w:type="dxa"/>
                  <w:tcBorders>
                    <w:tl2br w:val="nil"/>
                    <w:tr2bl w:val="nil"/>
                  </w:tcBorders>
                  <w:noWrap w:val="0"/>
                  <w:vAlign w:val="center"/>
                </w:tcPr>
                <w:p w14:paraId="135EC608">
                  <w:pPr>
                    <w:spacing w:line="240" w:lineRule="auto"/>
                    <w:jc w:val="center"/>
                    <w:rPr>
                      <w:rFonts w:hint="default" w:cs="Times New Roman"/>
                      <w:color w:val="auto"/>
                      <w:kern w:val="2"/>
                      <w:sz w:val="21"/>
                      <w:szCs w:val="21"/>
                      <w:lang w:val="en-US" w:eastAsia="zh-CN"/>
                    </w:rPr>
                  </w:pPr>
                  <w:r>
                    <w:rPr>
                      <w:rFonts w:hint="eastAsia" w:cs="Times New Roman"/>
                      <w:color w:val="auto"/>
                      <w:kern w:val="2"/>
                      <w:sz w:val="21"/>
                      <w:szCs w:val="21"/>
                      <w:lang w:val="en-US" w:eastAsia="zh-CN"/>
                    </w:rPr>
                    <w:t>新增：安装在1#车间注塑区，用于塑纸包装盒生产线</w:t>
                  </w:r>
                </w:p>
              </w:tc>
            </w:tr>
            <w:tr w14:paraId="5DD7C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42" w:type="dxa"/>
                  <w:tcBorders>
                    <w:tl2br w:val="nil"/>
                    <w:tr2bl w:val="nil"/>
                  </w:tcBorders>
                  <w:noWrap w:val="0"/>
                  <w:vAlign w:val="center"/>
                </w:tcPr>
                <w:p w14:paraId="4FCC2991">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658" w:type="dxa"/>
                  <w:gridSpan w:val="2"/>
                  <w:tcBorders>
                    <w:tl2br w:val="nil"/>
                    <w:tr2bl w:val="nil"/>
                  </w:tcBorders>
                  <w:noWrap w:val="0"/>
                  <w:vAlign w:val="center"/>
                </w:tcPr>
                <w:p w14:paraId="5E2E6191">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烫金机</w:t>
                  </w:r>
                </w:p>
              </w:tc>
              <w:tc>
                <w:tcPr>
                  <w:tcW w:w="1487" w:type="dxa"/>
                  <w:tcBorders>
                    <w:tl2br w:val="nil"/>
                    <w:tr2bl w:val="nil"/>
                  </w:tcBorders>
                  <w:noWrap w:val="0"/>
                  <w:vAlign w:val="center"/>
                </w:tcPr>
                <w:p w14:paraId="0CBA64D5">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w:t>
                  </w:r>
                </w:p>
              </w:tc>
              <w:tc>
                <w:tcPr>
                  <w:tcW w:w="1139" w:type="dxa"/>
                  <w:tcBorders>
                    <w:tl2br w:val="nil"/>
                    <w:tr2bl w:val="nil"/>
                  </w:tcBorders>
                  <w:noWrap w:val="0"/>
                  <w:vAlign w:val="center"/>
                </w:tcPr>
                <w:p w14:paraId="1CB5B27C">
                  <w:pPr>
                    <w:spacing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eastAsiaTheme="minorEastAsia"/>
                      <w:color w:val="auto"/>
                      <w:kern w:val="2"/>
                      <w:sz w:val="21"/>
                      <w:szCs w:val="21"/>
                      <w:lang w:val="en-US"/>
                    </w:rPr>
                    <w:t>12</w:t>
                  </w:r>
                </w:p>
              </w:tc>
              <w:tc>
                <w:tcPr>
                  <w:tcW w:w="1200" w:type="dxa"/>
                  <w:tcBorders>
                    <w:tl2br w:val="nil"/>
                    <w:tr2bl w:val="nil"/>
                  </w:tcBorders>
                  <w:noWrap w:val="0"/>
                  <w:vAlign w:val="center"/>
                </w:tcPr>
                <w:p w14:paraId="5CA88AD7">
                  <w:pPr>
                    <w:spacing w:line="240" w:lineRule="auto"/>
                    <w:jc w:val="center"/>
                    <w:rPr>
                      <w:rFonts w:hint="eastAsia" w:ascii="Times New Roman" w:hAnsi="Times New Roman" w:eastAsia="宋体" w:cs="Times New Roman"/>
                      <w:color w:val="auto"/>
                      <w:kern w:val="2"/>
                      <w:sz w:val="21"/>
                      <w:szCs w:val="21"/>
                      <w:lang w:val="en-US" w:eastAsia="zh-CN"/>
                    </w:rPr>
                  </w:pPr>
                  <w:r>
                    <w:rPr>
                      <w:rFonts w:hint="eastAsia" w:cs="Times New Roman" w:eastAsiaTheme="minorEastAsia"/>
                      <w:color w:val="auto"/>
                      <w:kern w:val="2"/>
                      <w:sz w:val="21"/>
                      <w:szCs w:val="21"/>
                      <w:lang w:val="en-US" w:eastAsia="zh-CN"/>
                    </w:rPr>
                    <w:t>7</w:t>
                  </w:r>
                </w:p>
              </w:tc>
              <w:tc>
                <w:tcPr>
                  <w:tcW w:w="741" w:type="dxa"/>
                  <w:tcBorders>
                    <w:tl2br w:val="nil"/>
                    <w:tr2bl w:val="nil"/>
                  </w:tcBorders>
                  <w:noWrap w:val="0"/>
                  <w:vAlign w:val="center"/>
                </w:tcPr>
                <w:p w14:paraId="6AC7BD29">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1586" w:type="dxa"/>
                  <w:tcBorders>
                    <w:tl2br w:val="nil"/>
                    <w:tr2bl w:val="nil"/>
                  </w:tcBorders>
                  <w:noWrap w:val="0"/>
                  <w:vAlign w:val="center"/>
                </w:tcPr>
                <w:p w14:paraId="2D1F7348">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其中5台烫金机拟迁至2#车间</w:t>
                  </w:r>
                </w:p>
              </w:tc>
            </w:tr>
            <w:tr w14:paraId="03799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42" w:type="dxa"/>
                  <w:tcBorders>
                    <w:tl2br w:val="nil"/>
                    <w:tr2bl w:val="nil"/>
                  </w:tcBorders>
                  <w:noWrap w:val="0"/>
                  <w:vAlign w:val="center"/>
                </w:tcPr>
                <w:p w14:paraId="0567BE9C">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658" w:type="dxa"/>
                  <w:gridSpan w:val="2"/>
                  <w:tcBorders>
                    <w:tl2br w:val="nil"/>
                    <w:tr2bl w:val="nil"/>
                  </w:tcBorders>
                  <w:noWrap w:val="0"/>
                  <w:vAlign w:val="center"/>
                </w:tcPr>
                <w:p w14:paraId="4F9CFC36">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热转印机</w:t>
                  </w:r>
                </w:p>
              </w:tc>
              <w:tc>
                <w:tcPr>
                  <w:tcW w:w="1487" w:type="dxa"/>
                  <w:tcBorders>
                    <w:tl2br w:val="nil"/>
                    <w:tr2bl w:val="nil"/>
                  </w:tcBorders>
                  <w:noWrap w:val="0"/>
                  <w:vAlign w:val="center"/>
                </w:tcPr>
                <w:p w14:paraId="4B1490C4">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w:t>
                  </w:r>
                </w:p>
              </w:tc>
              <w:tc>
                <w:tcPr>
                  <w:tcW w:w="1139" w:type="dxa"/>
                  <w:tcBorders>
                    <w:tl2br w:val="nil"/>
                    <w:tr2bl w:val="nil"/>
                  </w:tcBorders>
                  <w:noWrap w:val="0"/>
                  <w:vAlign w:val="center"/>
                </w:tcPr>
                <w:p w14:paraId="43D91DDE">
                  <w:pPr>
                    <w:spacing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eastAsiaTheme="minorEastAsia"/>
                      <w:color w:val="auto"/>
                      <w:kern w:val="2"/>
                      <w:sz w:val="21"/>
                      <w:szCs w:val="21"/>
                      <w:lang w:val="en-US"/>
                    </w:rPr>
                    <w:t>4</w:t>
                  </w:r>
                </w:p>
              </w:tc>
              <w:tc>
                <w:tcPr>
                  <w:tcW w:w="1200" w:type="dxa"/>
                  <w:tcBorders>
                    <w:tl2br w:val="nil"/>
                    <w:tr2bl w:val="nil"/>
                  </w:tcBorders>
                  <w:noWrap w:val="0"/>
                  <w:vAlign w:val="center"/>
                </w:tcPr>
                <w:p w14:paraId="644D0EED">
                  <w:pPr>
                    <w:spacing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eastAsiaTheme="minorEastAsia"/>
                      <w:color w:val="auto"/>
                      <w:kern w:val="2"/>
                      <w:sz w:val="21"/>
                      <w:szCs w:val="21"/>
                      <w:lang w:val="en-US"/>
                    </w:rPr>
                    <w:t>4</w:t>
                  </w:r>
                </w:p>
              </w:tc>
              <w:tc>
                <w:tcPr>
                  <w:tcW w:w="741" w:type="dxa"/>
                  <w:tcBorders>
                    <w:tl2br w:val="nil"/>
                    <w:tr2bl w:val="nil"/>
                  </w:tcBorders>
                  <w:noWrap w:val="0"/>
                  <w:vAlign w:val="center"/>
                </w:tcPr>
                <w:p w14:paraId="6F24E9EC">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586" w:type="dxa"/>
                  <w:tcBorders>
                    <w:tl2br w:val="nil"/>
                    <w:tr2bl w:val="nil"/>
                  </w:tcBorders>
                  <w:noWrap w:val="0"/>
                  <w:vAlign w:val="center"/>
                </w:tcPr>
                <w:p w14:paraId="6EE1C0D5">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图案转印</w:t>
                  </w:r>
                </w:p>
              </w:tc>
            </w:tr>
            <w:tr w14:paraId="4A668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42" w:type="dxa"/>
                  <w:tcBorders>
                    <w:tl2br w:val="nil"/>
                    <w:tr2bl w:val="nil"/>
                  </w:tcBorders>
                  <w:noWrap w:val="0"/>
                  <w:vAlign w:val="center"/>
                </w:tcPr>
                <w:p w14:paraId="49174EC2">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658" w:type="dxa"/>
                  <w:gridSpan w:val="2"/>
                  <w:tcBorders>
                    <w:tl2br w:val="nil"/>
                    <w:tr2bl w:val="nil"/>
                  </w:tcBorders>
                  <w:noWrap w:val="0"/>
                  <w:vAlign w:val="center"/>
                </w:tcPr>
                <w:p w14:paraId="14A7E47D">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压泡机</w:t>
                  </w:r>
                </w:p>
              </w:tc>
              <w:tc>
                <w:tcPr>
                  <w:tcW w:w="1487" w:type="dxa"/>
                  <w:tcBorders>
                    <w:tl2br w:val="nil"/>
                    <w:tr2bl w:val="nil"/>
                  </w:tcBorders>
                  <w:noWrap w:val="0"/>
                  <w:vAlign w:val="center"/>
                </w:tcPr>
                <w:p w14:paraId="4CC9A2A8">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w:t>
                  </w:r>
                </w:p>
              </w:tc>
              <w:tc>
                <w:tcPr>
                  <w:tcW w:w="1139" w:type="dxa"/>
                  <w:tcBorders>
                    <w:tl2br w:val="nil"/>
                    <w:tr2bl w:val="nil"/>
                  </w:tcBorders>
                  <w:noWrap w:val="0"/>
                  <w:vAlign w:val="center"/>
                </w:tcPr>
                <w:p w14:paraId="640D9C11">
                  <w:pPr>
                    <w:spacing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eastAsiaTheme="minorEastAsia"/>
                      <w:color w:val="auto"/>
                      <w:kern w:val="2"/>
                      <w:sz w:val="21"/>
                      <w:szCs w:val="21"/>
                      <w:lang w:val="en-US"/>
                    </w:rPr>
                    <w:t>2</w:t>
                  </w:r>
                </w:p>
              </w:tc>
              <w:tc>
                <w:tcPr>
                  <w:tcW w:w="1200" w:type="dxa"/>
                  <w:tcBorders>
                    <w:tl2br w:val="nil"/>
                    <w:tr2bl w:val="nil"/>
                  </w:tcBorders>
                  <w:noWrap w:val="0"/>
                  <w:vAlign w:val="center"/>
                </w:tcPr>
                <w:p w14:paraId="1812EA89">
                  <w:pPr>
                    <w:spacing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eastAsiaTheme="minorEastAsia"/>
                      <w:color w:val="auto"/>
                      <w:kern w:val="2"/>
                      <w:sz w:val="21"/>
                      <w:szCs w:val="21"/>
                      <w:lang w:val="en-US"/>
                    </w:rPr>
                    <w:t>2</w:t>
                  </w:r>
                </w:p>
              </w:tc>
              <w:tc>
                <w:tcPr>
                  <w:tcW w:w="741" w:type="dxa"/>
                  <w:tcBorders>
                    <w:tl2br w:val="nil"/>
                    <w:tr2bl w:val="nil"/>
                  </w:tcBorders>
                  <w:noWrap w:val="0"/>
                  <w:vAlign w:val="center"/>
                </w:tcPr>
                <w:p w14:paraId="33DDF102">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586" w:type="dxa"/>
                  <w:tcBorders>
                    <w:tl2br w:val="nil"/>
                    <w:tr2bl w:val="nil"/>
                  </w:tcBorders>
                  <w:noWrap w:val="0"/>
                  <w:vAlign w:val="center"/>
                </w:tcPr>
                <w:p w14:paraId="1468486B">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去除气泡</w:t>
                  </w:r>
                </w:p>
              </w:tc>
            </w:tr>
            <w:tr w14:paraId="352551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42" w:type="dxa"/>
                  <w:tcBorders>
                    <w:tl2br w:val="nil"/>
                    <w:tr2bl w:val="nil"/>
                  </w:tcBorders>
                  <w:noWrap w:val="0"/>
                  <w:vAlign w:val="center"/>
                </w:tcPr>
                <w:p w14:paraId="27C19B06">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1658" w:type="dxa"/>
                  <w:gridSpan w:val="2"/>
                  <w:tcBorders>
                    <w:tl2br w:val="nil"/>
                    <w:tr2bl w:val="nil"/>
                  </w:tcBorders>
                  <w:noWrap w:val="0"/>
                  <w:vAlign w:val="center"/>
                </w:tcPr>
                <w:p w14:paraId="134E46EA">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空压机</w:t>
                  </w:r>
                </w:p>
              </w:tc>
              <w:tc>
                <w:tcPr>
                  <w:tcW w:w="1487" w:type="dxa"/>
                  <w:tcBorders>
                    <w:tl2br w:val="nil"/>
                    <w:tr2bl w:val="nil"/>
                  </w:tcBorders>
                  <w:noWrap w:val="0"/>
                  <w:vAlign w:val="center"/>
                </w:tcPr>
                <w:p w14:paraId="7C645331">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rPr>
                    <w:t>400</w:t>
                  </w:r>
                </w:p>
              </w:tc>
              <w:tc>
                <w:tcPr>
                  <w:tcW w:w="1139" w:type="dxa"/>
                  <w:tcBorders>
                    <w:tl2br w:val="nil"/>
                    <w:tr2bl w:val="nil"/>
                  </w:tcBorders>
                  <w:noWrap w:val="0"/>
                  <w:vAlign w:val="center"/>
                </w:tcPr>
                <w:p w14:paraId="023339EF">
                  <w:pPr>
                    <w:spacing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eastAsiaTheme="minorEastAsia"/>
                      <w:color w:val="auto"/>
                      <w:kern w:val="2"/>
                      <w:sz w:val="21"/>
                      <w:szCs w:val="21"/>
                      <w:lang w:val="en-US"/>
                    </w:rPr>
                    <w:t>3</w:t>
                  </w:r>
                </w:p>
              </w:tc>
              <w:tc>
                <w:tcPr>
                  <w:tcW w:w="1200" w:type="dxa"/>
                  <w:tcBorders>
                    <w:tl2br w:val="nil"/>
                    <w:tr2bl w:val="nil"/>
                  </w:tcBorders>
                  <w:noWrap w:val="0"/>
                  <w:vAlign w:val="center"/>
                </w:tcPr>
                <w:p w14:paraId="3B2E779A">
                  <w:pPr>
                    <w:spacing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eastAsiaTheme="minorEastAsia"/>
                      <w:color w:val="auto"/>
                      <w:kern w:val="2"/>
                      <w:sz w:val="21"/>
                      <w:szCs w:val="21"/>
                      <w:lang w:val="en-US"/>
                    </w:rPr>
                    <w:t>3</w:t>
                  </w:r>
                </w:p>
              </w:tc>
              <w:tc>
                <w:tcPr>
                  <w:tcW w:w="741" w:type="dxa"/>
                  <w:tcBorders>
                    <w:tl2br w:val="nil"/>
                    <w:tr2bl w:val="nil"/>
                  </w:tcBorders>
                  <w:noWrap w:val="0"/>
                  <w:vAlign w:val="center"/>
                </w:tcPr>
                <w:p w14:paraId="6833D105">
                  <w:pPr>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586" w:type="dxa"/>
                  <w:tcBorders>
                    <w:tl2br w:val="nil"/>
                    <w:tr2bl w:val="nil"/>
                  </w:tcBorders>
                  <w:noWrap w:val="0"/>
                  <w:vAlign w:val="center"/>
                </w:tcPr>
                <w:p w14:paraId="52A7A374">
                  <w:pPr>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w:t>
                  </w:r>
                </w:p>
              </w:tc>
            </w:tr>
            <w:tr w14:paraId="20DE2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42" w:type="dxa"/>
                  <w:tcBorders>
                    <w:tl2br w:val="nil"/>
                    <w:tr2bl w:val="nil"/>
                  </w:tcBorders>
                  <w:noWrap w:val="0"/>
                  <w:vAlign w:val="center"/>
                </w:tcPr>
                <w:p w14:paraId="6D3EC9DA">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1658" w:type="dxa"/>
                  <w:gridSpan w:val="2"/>
                  <w:tcBorders>
                    <w:tl2br w:val="nil"/>
                    <w:tr2bl w:val="nil"/>
                  </w:tcBorders>
                  <w:noWrap w:val="0"/>
                  <w:vAlign w:val="center"/>
                </w:tcPr>
                <w:p w14:paraId="04525AA3">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过胶机</w:t>
                  </w:r>
                </w:p>
              </w:tc>
              <w:tc>
                <w:tcPr>
                  <w:tcW w:w="1487" w:type="dxa"/>
                  <w:tcBorders>
                    <w:tl2br w:val="nil"/>
                    <w:tr2bl w:val="nil"/>
                  </w:tcBorders>
                  <w:noWrap w:val="0"/>
                  <w:vAlign w:val="center"/>
                </w:tcPr>
                <w:p w14:paraId="70362021">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rPr>
                    <w:t>3</w:t>
                  </w:r>
                  <w:r>
                    <w:rPr>
                      <w:rFonts w:hint="default" w:ascii="Times New Roman" w:hAnsi="Times New Roman" w:eastAsia="Calibri" w:cs="Times New Roman"/>
                      <w:color w:val="auto"/>
                      <w:kern w:val="2"/>
                      <w:sz w:val="21"/>
                      <w:szCs w:val="21"/>
                      <w:lang w:val="zh-CN" w:eastAsia="zh-CN"/>
                    </w:rPr>
                    <w:t>立方</w:t>
                  </w:r>
                </w:p>
              </w:tc>
              <w:tc>
                <w:tcPr>
                  <w:tcW w:w="1139" w:type="dxa"/>
                  <w:tcBorders>
                    <w:tl2br w:val="nil"/>
                    <w:tr2bl w:val="nil"/>
                  </w:tcBorders>
                  <w:noWrap w:val="0"/>
                  <w:vAlign w:val="center"/>
                </w:tcPr>
                <w:p w14:paraId="19943076">
                  <w:pPr>
                    <w:spacing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eastAsiaTheme="minorEastAsia"/>
                      <w:color w:val="auto"/>
                      <w:kern w:val="2"/>
                      <w:sz w:val="21"/>
                      <w:szCs w:val="21"/>
                      <w:lang w:val="en-US"/>
                    </w:rPr>
                    <w:t>3</w:t>
                  </w:r>
                </w:p>
              </w:tc>
              <w:tc>
                <w:tcPr>
                  <w:tcW w:w="1200" w:type="dxa"/>
                  <w:tcBorders>
                    <w:tl2br w:val="nil"/>
                    <w:tr2bl w:val="nil"/>
                  </w:tcBorders>
                  <w:noWrap w:val="0"/>
                  <w:vAlign w:val="center"/>
                </w:tcPr>
                <w:p w14:paraId="7D5FB604">
                  <w:pPr>
                    <w:spacing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eastAsiaTheme="minorEastAsia"/>
                      <w:color w:val="auto"/>
                      <w:kern w:val="2"/>
                      <w:sz w:val="21"/>
                      <w:szCs w:val="21"/>
                      <w:lang w:val="en-US"/>
                    </w:rPr>
                    <w:t>3</w:t>
                  </w:r>
                </w:p>
              </w:tc>
              <w:tc>
                <w:tcPr>
                  <w:tcW w:w="741" w:type="dxa"/>
                  <w:tcBorders>
                    <w:tl2br w:val="nil"/>
                    <w:tr2bl w:val="nil"/>
                  </w:tcBorders>
                  <w:noWrap w:val="0"/>
                  <w:vAlign w:val="center"/>
                </w:tcPr>
                <w:p w14:paraId="76DFEBAF">
                  <w:pPr>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586" w:type="dxa"/>
                  <w:tcBorders>
                    <w:tl2br w:val="nil"/>
                    <w:tr2bl w:val="nil"/>
                  </w:tcBorders>
                  <w:noWrap w:val="0"/>
                  <w:vAlign w:val="center"/>
                </w:tcPr>
                <w:p w14:paraId="613DE71F">
                  <w:pPr>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组装</w:t>
                  </w:r>
                </w:p>
              </w:tc>
            </w:tr>
            <w:tr w14:paraId="6E87B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42" w:type="dxa"/>
                  <w:tcBorders>
                    <w:tl2br w:val="nil"/>
                    <w:tr2bl w:val="nil"/>
                  </w:tcBorders>
                  <w:noWrap w:val="0"/>
                  <w:vAlign w:val="center"/>
                </w:tcPr>
                <w:p w14:paraId="4B54B65E">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w:t>
                  </w:r>
                </w:p>
              </w:tc>
              <w:tc>
                <w:tcPr>
                  <w:tcW w:w="1658" w:type="dxa"/>
                  <w:gridSpan w:val="2"/>
                  <w:tcBorders>
                    <w:tl2br w:val="nil"/>
                    <w:tr2bl w:val="nil"/>
                  </w:tcBorders>
                  <w:noWrap w:val="0"/>
                  <w:vAlign w:val="center"/>
                </w:tcPr>
                <w:p w14:paraId="52788154">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机刀</w:t>
                  </w:r>
                </w:p>
              </w:tc>
              <w:tc>
                <w:tcPr>
                  <w:tcW w:w="1487" w:type="dxa"/>
                  <w:tcBorders>
                    <w:tl2br w:val="nil"/>
                    <w:tr2bl w:val="nil"/>
                  </w:tcBorders>
                  <w:noWrap w:val="0"/>
                  <w:vAlign w:val="center"/>
                </w:tcPr>
                <w:p w14:paraId="5491B24B">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2"/>
                      <w:sz w:val="21"/>
                      <w:szCs w:val="21"/>
                      <w:lang w:val="en-US"/>
                    </w:rPr>
                    <w:t>600</w:t>
                  </w:r>
                </w:p>
              </w:tc>
              <w:tc>
                <w:tcPr>
                  <w:tcW w:w="1139" w:type="dxa"/>
                  <w:tcBorders>
                    <w:tl2br w:val="nil"/>
                    <w:tr2bl w:val="nil"/>
                  </w:tcBorders>
                  <w:noWrap w:val="0"/>
                  <w:vAlign w:val="center"/>
                </w:tcPr>
                <w:p w14:paraId="01992973">
                  <w:pPr>
                    <w:spacing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eastAsiaTheme="minorEastAsia"/>
                      <w:color w:val="auto"/>
                      <w:kern w:val="2"/>
                      <w:sz w:val="21"/>
                      <w:szCs w:val="21"/>
                      <w:lang w:val="en-US"/>
                    </w:rPr>
                    <w:t>1</w:t>
                  </w:r>
                </w:p>
              </w:tc>
              <w:tc>
                <w:tcPr>
                  <w:tcW w:w="1200" w:type="dxa"/>
                  <w:tcBorders>
                    <w:tl2br w:val="nil"/>
                    <w:tr2bl w:val="nil"/>
                  </w:tcBorders>
                  <w:noWrap w:val="0"/>
                  <w:vAlign w:val="center"/>
                </w:tcPr>
                <w:p w14:paraId="2101128D">
                  <w:pPr>
                    <w:spacing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eastAsiaTheme="minorEastAsia"/>
                      <w:color w:val="auto"/>
                      <w:kern w:val="2"/>
                      <w:sz w:val="21"/>
                      <w:szCs w:val="21"/>
                      <w:lang w:val="en-US"/>
                    </w:rPr>
                    <w:t>1</w:t>
                  </w:r>
                </w:p>
              </w:tc>
              <w:tc>
                <w:tcPr>
                  <w:tcW w:w="741" w:type="dxa"/>
                  <w:tcBorders>
                    <w:tl2br w:val="nil"/>
                    <w:tr2bl w:val="nil"/>
                  </w:tcBorders>
                  <w:noWrap w:val="0"/>
                  <w:vAlign w:val="center"/>
                </w:tcPr>
                <w:p w14:paraId="5D37C903">
                  <w:pPr>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586" w:type="dxa"/>
                  <w:tcBorders>
                    <w:tl2br w:val="nil"/>
                    <w:tr2bl w:val="nil"/>
                  </w:tcBorders>
                  <w:noWrap w:val="0"/>
                  <w:vAlign w:val="center"/>
                </w:tcPr>
                <w:p w14:paraId="4E2246BA">
                  <w:pPr>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裁剪</w:t>
                  </w:r>
                </w:p>
              </w:tc>
            </w:tr>
            <w:tr w14:paraId="5CB6E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642" w:type="dxa"/>
                  <w:tcBorders>
                    <w:tl2br w:val="nil"/>
                    <w:tr2bl w:val="nil"/>
                  </w:tcBorders>
                  <w:noWrap w:val="0"/>
                  <w:vAlign w:val="center"/>
                </w:tcPr>
                <w:p w14:paraId="34AB204B">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cs="Times New Roman"/>
                      <w:color w:val="auto"/>
                      <w:sz w:val="21"/>
                      <w:szCs w:val="21"/>
                      <w:lang w:val="en-US" w:eastAsia="zh-CN"/>
                    </w:rPr>
                    <w:t>0</w:t>
                  </w:r>
                </w:p>
              </w:tc>
              <w:tc>
                <w:tcPr>
                  <w:tcW w:w="1658" w:type="dxa"/>
                  <w:gridSpan w:val="2"/>
                  <w:tcBorders>
                    <w:tl2br w:val="nil"/>
                    <w:tr2bl w:val="nil"/>
                  </w:tcBorders>
                  <w:noWrap w:val="0"/>
                  <w:vAlign w:val="center"/>
                </w:tcPr>
                <w:p w14:paraId="2A4931A3">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丝印机</w:t>
                  </w:r>
                </w:p>
              </w:tc>
              <w:tc>
                <w:tcPr>
                  <w:tcW w:w="1487" w:type="dxa"/>
                  <w:tcBorders>
                    <w:tl2br w:val="nil"/>
                    <w:tr2bl w:val="nil"/>
                  </w:tcBorders>
                  <w:noWrap w:val="0"/>
                  <w:vAlign w:val="center"/>
                </w:tcPr>
                <w:p w14:paraId="2664E260">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w:t>
                  </w:r>
                </w:p>
              </w:tc>
              <w:tc>
                <w:tcPr>
                  <w:tcW w:w="1139" w:type="dxa"/>
                  <w:tcBorders>
                    <w:tl2br w:val="nil"/>
                    <w:tr2bl w:val="nil"/>
                  </w:tcBorders>
                  <w:noWrap w:val="0"/>
                  <w:vAlign w:val="center"/>
                </w:tcPr>
                <w:p w14:paraId="696A1020">
                  <w:pPr>
                    <w:spacing w:line="240" w:lineRule="auto"/>
                    <w:jc w:val="center"/>
                    <w:rPr>
                      <w:rFonts w:hint="default" w:ascii="Times New Roman" w:hAnsi="Times New Roman" w:eastAsia="宋体" w:cs="Times New Roman"/>
                      <w:bCs/>
                      <w:color w:val="auto"/>
                      <w:spacing w:val="-2"/>
                      <w:sz w:val="21"/>
                      <w:szCs w:val="21"/>
                      <w:lang w:val="en-US" w:eastAsia="zh-CN"/>
                    </w:rPr>
                  </w:pPr>
                  <w:r>
                    <w:rPr>
                      <w:rFonts w:hint="default" w:ascii="Times New Roman" w:hAnsi="Times New Roman" w:cs="Times New Roman" w:eastAsiaTheme="minorEastAsia"/>
                      <w:bCs/>
                      <w:color w:val="auto"/>
                      <w:spacing w:val="-2"/>
                      <w:sz w:val="21"/>
                      <w:szCs w:val="21"/>
                      <w:lang w:val="en-US" w:eastAsia="zh-CN"/>
                    </w:rPr>
                    <w:t>1</w:t>
                  </w:r>
                </w:p>
              </w:tc>
              <w:tc>
                <w:tcPr>
                  <w:tcW w:w="1200" w:type="dxa"/>
                  <w:tcBorders>
                    <w:tl2br w:val="nil"/>
                    <w:tr2bl w:val="nil"/>
                  </w:tcBorders>
                  <w:noWrap w:val="0"/>
                  <w:vAlign w:val="center"/>
                </w:tcPr>
                <w:p w14:paraId="7EB09960">
                  <w:pPr>
                    <w:spacing w:line="240" w:lineRule="auto"/>
                    <w:jc w:val="center"/>
                    <w:rPr>
                      <w:rFonts w:hint="default" w:ascii="Times New Roman" w:hAnsi="Times New Roman" w:eastAsia="宋体" w:cs="Times New Roman"/>
                      <w:bCs/>
                      <w:color w:val="auto"/>
                      <w:spacing w:val="-2"/>
                      <w:sz w:val="21"/>
                      <w:szCs w:val="21"/>
                      <w:lang w:val="en-US" w:eastAsia="zh-CN"/>
                    </w:rPr>
                  </w:pPr>
                  <w:r>
                    <w:rPr>
                      <w:rFonts w:hint="default" w:ascii="Times New Roman" w:hAnsi="Times New Roman" w:cs="Times New Roman" w:eastAsiaTheme="minorEastAsia"/>
                      <w:bCs/>
                      <w:color w:val="auto"/>
                      <w:spacing w:val="-2"/>
                      <w:sz w:val="21"/>
                      <w:szCs w:val="21"/>
                      <w:lang w:val="en-US" w:eastAsia="zh-CN"/>
                    </w:rPr>
                    <w:t>1</w:t>
                  </w:r>
                </w:p>
              </w:tc>
              <w:tc>
                <w:tcPr>
                  <w:tcW w:w="741" w:type="dxa"/>
                  <w:tcBorders>
                    <w:tl2br w:val="nil"/>
                    <w:tr2bl w:val="nil"/>
                  </w:tcBorders>
                  <w:noWrap w:val="0"/>
                  <w:vAlign w:val="center"/>
                </w:tcPr>
                <w:p w14:paraId="2863B8A1">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586" w:type="dxa"/>
                  <w:tcBorders>
                    <w:tl2br w:val="nil"/>
                    <w:tr2bl w:val="nil"/>
                  </w:tcBorders>
                  <w:noWrap w:val="0"/>
                  <w:vAlign w:val="center"/>
                </w:tcPr>
                <w:p w14:paraId="274BEB03">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丝印</w:t>
                  </w:r>
                </w:p>
              </w:tc>
            </w:tr>
            <w:tr w14:paraId="0F428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453" w:type="dxa"/>
                  <w:gridSpan w:val="8"/>
                  <w:tcBorders>
                    <w:tl2br w:val="nil"/>
                    <w:tr2bl w:val="nil"/>
                  </w:tcBorders>
                  <w:noWrap w:val="0"/>
                  <w:vAlign w:val="center"/>
                </w:tcPr>
                <w:p w14:paraId="21432253">
                  <w:pPr>
                    <w:spacing w:line="240" w:lineRule="auto"/>
                    <w:jc w:val="center"/>
                    <w:rPr>
                      <w:rFonts w:hint="default" w:ascii="Times New Roman" w:hAnsi="Times New Roman" w:cs="Times New Roman"/>
                      <w:color w:val="auto"/>
                      <w:sz w:val="21"/>
                      <w:szCs w:val="21"/>
                      <w:lang w:val="en-US" w:eastAsia="zh-CN"/>
                    </w:rPr>
                  </w:pPr>
                  <w:r>
                    <w:rPr>
                      <w:rFonts w:hint="eastAsia" w:cs="Times New Roman"/>
                      <w:b/>
                      <w:color w:val="auto"/>
                      <w:sz w:val="21"/>
                      <w:szCs w:val="21"/>
                      <w:highlight w:val="none"/>
                      <w:lang w:val="en-US" w:eastAsia="zh-CN"/>
                    </w:rPr>
                    <w:t>2</w:t>
                  </w:r>
                  <w:r>
                    <w:rPr>
                      <w:rFonts w:hint="eastAsia" w:ascii="Times New Roman" w:hAnsi="Times New Roman" w:cs="Times New Roman"/>
                      <w:b/>
                      <w:color w:val="auto"/>
                      <w:sz w:val="21"/>
                      <w:szCs w:val="21"/>
                      <w:highlight w:val="none"/>
                      <w:lang w:val="en-US" w:eastAsia="zh-CN"/>
                    </w:rPr>
                    <w:t>#车间</w:t>
                  </w:r>
                </w:p>
              </w:tc>
            </w:tr>
            <w:tr w14:paraId="4FC7D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42" w:type="dxa"/>
                  <w:tcBorders>
                    <w:tl2br w:val="nil"/>
                    <w:tr2bl w:val="nil"/>
                  </w:tcBorders>
                  <w:noWrap w:val="0"/>
                  <w:vAlign w:val="center"/>
                </w:tcPr>
                <w:p w14:paraId="76CAAC29">
                  <w:pPr>
                    <w:spacing w:line="240" w:lineRule="auto"/>
                    <w:ind w:left="0" w:leftChars="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11</w:t>
                  </w:r>
                </w:p>
              </w:tc>
              <w:tc>
                <w:tcPr>
                  <w:tcW w:w="1658" w:type="dxa"/>
                  <w:gridSpan w:val="2"/>
                  <w:tcBorders>
                    <w:tl2br w:val="nil"/>
                    <w:tr2bl w:val="nil"/>
                  </w:tcBorders>
                  <w:noWrap w:val="0"/>
                  <w:vAlign w:val="center"/>
                </w:tcPr>
                <w:p w14:paraId="4AD5A01F">
                  <w:pPr>
                    <w:spacing w:line="240" w:lineRule="auto"/>
                    <w:jc w:val="center"/>
                    <w:rPr>
                      <w:rFonts w:hint="eastAsia" w:ascii="Times New Roman" w:hAnsi="Times New Roman" w:eastAsia="Calibri" w:cs="Times New Roman"/>
                      <w:color w:val="auto"/>
                      <w:kern w:val="2"/>
                      <w:sz w:val="21"/>
                      <w:szCs w:val="21"/>
                      <w:lang w:val="en-US" w:eastAsia="zh-CN"/>
                    </w:rPr>
                  </w:pPr>
                  <w:r>
                    <w:rPr>
                      <w:rFonts w:hint="eastAsia" w:ascii="Times New Roman" w:hAnsi="Times New Roman" w:eastAsia="Calibri" w:cs="Times New Roman"/>
                      <w:color w:val="auto"/>
                      <w:kern w:val="2"/>
                      <w:sz w:val="21"/>
                      <w:szCs w:val="21"/>
                      <w:lang w:val="en-US" w:eastAsia="zh-CN"/>
                    </w:rPr>
                    <w:t>CT</w:t>
                  </w:r>
                  <w:r>
                    <w:rPr>
                      <w:rFonts w:hint="eastAsia" w:eastAsia="Calibri" w:cs="Times New Roman"/>
                      <w:color w:val="auto"/>
                      <w:kern w:val="2"/>
                      <w:sz w:val="21"/>
                      <w:szCs w:val="21"/>
                      <w:lang w:val="en-US" w:eastAsia="zh-CN"/>
                    </w:rPr>
                    <w:t>P</w:t>
                  </w:r>
                  <w:r>
                    <w:rPr>
                      <w:rFonts w:hint="eastAsia" w:ascii="Times New Roman" w:hAnsi="Times New Roman" w:eastAsia="Calibri" w:cs="Times New Roman"/>
                      <w:color w:val="auto"/>
                      <w:kern w:val="2"/>
                      <w:sz w:val="21"/>
                      <w:szCs w:val="21"/>
                      <w:lang w:val="en-US" w:eastAsia="zh-CN"/>
                    </w:rPr>
                    <w:t>制版机</w:t>
                  </w:r>
                </w:p>
              </w:tc>
              <w:tc>
                <w:tcPr>
                  <w:tcW w:w="1487" w:type="dxa"/>
                  <w:tcBorders>
                    <w:tl2br w:val="nil"/>
                    <w:tr2bl w:val="nil"/>
                  </w:tcBorders>
                  <w:noWrap w:val="0"/>
                  <w:vAlign w:val="center"/>
                </w:tcPr>
                <w:p w14:paraId="6EEC394A">
                  <w:pPr>
                    <w:spacing w:line="240" w:lineRule="auto"/>
                    <w:jc w:val="center"/>
                    <w:rPr>
                      <w:rFonts w:hint="eastAsia"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网屛8001</w:t>
                  </w:r>
                </w:p>
              </w:tc>
              <w:tc>
                <w:tcPr>
                  <w:tcW w:w="1139" w:type="dxa"/>
                  <w:tcBorders>
                    <w:tl2br w:val="nil"/>
                    <w:tr2bl w:val="nil"/>
                  </w:tcBorders>
                  <w:noWrap w:val="0"/>
                  <w:vAlign w:val="center"/>
                </w:tcPr>
                <w:p w14:paraId="483A51A1">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1200" w:type="dxa"/>
                  <w:tcBorders>
                    <w:tl2br w:val="nil"/>
                    <w:tr2bl w:val="nil"/>
                  </w:tcBorders>
                  <w:noWrap w:val="0"/>
                  <w:vAlign w:val="center"/>
                </w:tcPr>
                <w:p w14:paraId="767933C0">
                  <w:pPr>
                    <w:spacing w:line="240" w:lineRule="auto"/>
                    <w:jc w:val="center"/>
                    <w:rPr>
                      <w:rFonts w:hint="eastAsia"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1</w:t>
                  </w:r>
                </w:p>
              </w:tc>
              <w:tc>
                <w:tcPr>
                  <w:tcW w:w="741" w:type="dxa"/>
                  <w:tcBorders>
                    <w:tl2br w:val="nil"/>
                    <w:tr2bl w:val="nil"/>
                  </w:tcBorders>
                  <w:noWrap w:val="0"/>
                  <w:vAlign w:val="center"/>
                </w:tcPr>
                <w:p w14:paraId="33959693">
                  <w:pPr>
                    <w:spacing w:line="240" w:lineRule="auto"/>
                    <w:jc w:val="center"/>
                    <w:rPr>
                      <w:rFonts w:hint="eastAsia"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rPr>
                    <w:t>+</w:t>
                  </w:r>
                  <w:r>
                    <w:rPr>
                      <w:rFonts w:hint="eastAsia" w:ascii="Times New Roman" w:hAnsi="Times New Roman" w:cs="Times New Roman" w:eastAsiaTheme="minorEastAsia"/>
                      <w:color w:val="auto"/>
                      <w:kern w:val="2"/>
                      <w:sz w:val="21"/>
                      <w:szCs w:val="21"/>
                      <w:lang w:val="en-US" w:eastAsia="zh-CN"/>
                    </w:rPr>
                    <w:t>1</w:t>
                  </w:r>
                </w:p>
              </w:tc>
              <w:tc>
                <w:tcPr>
                  <w:tcW w:w="1586" w:type="dxa"/>
                  <w:tcBorders>
                    <w:tl2br w:val="nil"/>
                    <w:tr2bl w:val="nil"/>
                  </w:tcBorders>
                  <w:noWrap w:val="0"/>
                  <w:vAlign w:val="center"/>
                </w:tcPr>
                <w:p w14:paraId="3716186F">
                  <w:pPr>
                    <w:spacing w:line="240" w:lineRule="auto"/>
                    <w:jc w:val="center"/>
                    <w:rPr>
                      <w:rFonts w:hint="eastAsia" w:cs="Times New Roman"/>
                      <w:color w:val="auto"/>
                      <w:sz w:val="21"/>
                      <w:szCs w:val="21"/>
                      <w:lang w:val="en-US" w:eastAsia="zh-CN"/>
                    </w:rPr>
                  </w:pPr>
                  <w:r>
                    <w:rPr>
                      <w:rFonts w:hint="eastAsia" w:ascii="Times New Roman" w:hAnsi="Times New Roman" w:eastAsia="Calibri" w:cs="Times New Roman"/>
                      <w:color w:val="auto"/>
                      <w:kern w:val="2"/>
                      <w:sz w:val="21"/>
                      <w:szCs w:val="21"/>
                      <w:lang w:val="en-US" w:eastAsia="zh-CN"/>
                    </w:rPr>
                    <w:t>CT</w:t>
                  </w:r>
                  <w:r>
                    <w:rPr>
                      <w:rFonts w:hint="eastAsia" w:eastAsia="Calibri" w:cs="Times New Roman"/>
                      <w:color w:val="auto"/>
                      <w:kern w:val="2"/>
                      <w:sz w:val="21"/>
                      <w:szCs w:val="21"/>
                      <w:lang w:val="en-US" w:eastAsia="zh-CN"/>
                    </w:rPr>
                    <w:t>P</w:t>
                  </w:r>
                  <w:r>
                    <w:rPr>
                      <w:rFonts w:hint="eastAsia" w:ascii="Times New Roman" w:hAnsi="Times New Roman" w:eastAsia="Calibri" w:cs="Times New Roman"/>
                      <w:color w:val="auto"/>
                      <w:kern w:val="2"/>
                      <w:sz w:val="21"/>
                      <w:szCs w:val="21"/>
                      <w:lang w:val="en-US" w:eastAsia="zh-CN"/>
                    </w:rPr>
                    <w:t>制版</w:t>
                  </w:r>
                </w:p>
              </w:tc>
            </w:tr>
            <w:tr w14:paraId="21557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642" w:type="dxa"/>
                  <w:tcBorders>
                    <w:tl2br w:val="nil"/>
                    <w:tr2bl w:val="nil"/>
                  </w:tcBorders>
                  <w:noWrap w:val="0"/>
                  <w:vAlign w:val="center"/>
                </w:tcPr>
                <w:p w14:paraId="4D9FFA1B">
                  <w:pPr>
                    <w:spacing w:line="240" w:lineRule="auto"/>
                    <w:ind w:left="0" w:leftChars="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12</w:t>
                  </w:r>
                </w:p>
              </w:tc>
              <w:tc>
                <w:tcPr>
                  <w:tcW w:w="1658" w:type="dxa"/>
                  <w:gridSpan w:val="2"/>
                  <w:tcBorders>
                    <w:tl2br w:val="nil"/>
                    <w:tr2bl w:val="nil"/>
                  </w:tcBorders>
                  <w:noWrap w:val="0"/>
                  <w:vAlign w:val="center"/>
                </w:tcPr>
                <w:p w14:paraId="4A07F9D7">
                  <w:pPr>
                    <w:spacing w:line="240" w:lineRule="auto"/>
                    <w:jc w:val="center"/>
                    <w:rPr>
                      <w:rFonts w:hint="eastAsia" w:ascii="Times New Roman" w:hAnsi="Times New Roman" w:eastAsia="Calibri" w:cs="Times New Roman"/>
                      <w:color w:val="auto"/>
                      <w:kern w:val="2"/>
                      <w:sz w:val="21"/>
                      <w:szCs w:val="21"/>
                      <w:lang w:val="en-US" w:eastAsia="zh-CN"/>
                    </w:rPr>
                  </w:pPr>
                  <w:r>
                    <w:rPr>
                      <w:rFonts w:hint="eastAsia" w:ascii="Times New Roman" w:hAnsi="Times New Roman" w:eastAsia="Calibri" w:cs="Times New Roman"/>
                      <w:color w:val="auto"/>
                      <w:kern w:val="2"/>
                      <w:sz w:val="21"/>
                      <w:szCs w:val="21"/>
                      <w:lang w:val="en-US" w:eastAsia="zh-CN"/>
                    </w:rPr>
                    <w:t>罗兰印刷机</w:t>
                  </w:r>
                </w:p>
              </w:tc>
              <w:tc>
                <w:tcPr>
                  <w:tcW w:w="1487" w:type="dxa"/>
                  <w:tcBorders>
                    <w:tl2br w:val="nil"/>
                    <w:tr2bl w:val="nil"/>
                  </w:tcBorders>
                  <w:noWrap w:val="0"/>
                  <w:vAlign w:val="center"/>
                </w:tcPr>
                <w:p w14:paraId="198B49C4">
                  <w:pPr>
                    <w:spacing w:line="240" w:lineRule="auto"/>
                    <w:jc w:val="center"/>
                    <w:rPr>
                      <w:rFonts w:hint="eastAsia"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罗兰707（8+1）</w:t>
                  </w:r>
                </w:p>
              </w:tc>
              <w:tc>
                <w:tcPr>
                  <w:tcW w:w="1139" w:type="dxa"/>
                  <w:tcBorders>
                    <w:tl2br w:val="nil"/>
                    <w:tr2bl w:val="nil"/>
                  </w:tcBorders>
                  <w:noWrap w:val="0"/>
                  <w:vAlign w:val="center"/>
                </w:tcPr>
                <w:p w14:paraId="7CA40F47">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1200" w:type="dxa"/>
                  <w:tcBorders>
                    <w:tl2br w:val="nil"/>
                    <w:tr2bl w:val="nil"/>
                  </w:tcBorders>
                  <w:noWrap w:val="0"/>
                  <w:vAlign w:val="center"/>
                </w:tcPr>
                <w:p w14:paraId="3E383519">
                  <w:pPr>
                    <w:spacing w:line="240" w:lineRule="auto"/>
                    <w:jc w:val="center"/>
                    <w:rPr>
                      <w:rFonts w:hint="eastAsia"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1</w:t>
                  </w:r>
                </w:p>
              </w:tc>
              <w:tc>
                <w:tcPr>
                  <w:tcW w:w="741" w:type="dxa"/>
                  <w:tcBorders>
                    <w:tl2br w:val="nil"/>
                    <w:tr2bl w:val="nil"/>
                  </w:tcBorders>
                  <w:noWrap w:val="0"/>
                  <w:vAlign w:val="center"/>
                </w:tcPr>
                <w:p w14:paraId="17AC84BF">
                  <w:pPr>
                    <w:spacing w:line="240" w:lineRule="auto"/>
                    <w:jc w:val="center"/>
                    <w:rPr>
                      <w:rFonts w:hint="eastAsia"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rPr>
                    <w:t>+</w:t>
                  </w:r>
                  <w:r>
                    <w:rPr>
                      <w:rFonts w:hint="eastAsia" w:ascii="Times New Roman" w:hAnsi="Times New Roman" w:cs="Times New Roman" w:eastAsiaTheme="minorEastAsia"/>
                      <w:color w:val="auto"/>
                      <w:kern w:val="2"/>
                      <w:sz w:val="21"/>
                      <w:szCs w:val="21"/>
                      <w:lang w:val="en-US" w:eastAsia="zh-CN"/>
                    </w:rPr>
                    <w:t>1</w:t>
                  </w:r>
                </w:p>
              </w:tc>
              <w:tc>
                <w:tcPr>
                  <w:tcW w:w="1586" w:type="dxa"/>
                  <w:tcBorders>
                    <w:tl2br w:val="nil"/>
                    <w:tr2bl w:val="nil"/>
                  </w:tcBorders>
                  <w:noWrap w:val="0"/>
                  <w:vAlign w:val="center"/>
                </w:tcPr>
                <w:p w14:paraId="4D10986E">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UV印刷</w:t>
                  </w:r>
                </w:p>
              </w:tc>
            </w:tr>
            <w:tr w14:paraId="6B127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42" w:type="dxa"/>
                  <w:tcBorders>
                    <w:tl2br w:val="nil"/>
                    <w:tr2bl w:val="nil"/>
                  </w:tcBorders>
                  <w:noWrap w:val="0"/>
                  <w:vAlign w:val="center"/>
                </w:tcPr>
                <w:p w14:paraId="637C241B">
                  <w:pPr>
                    <w:spacing w:line="240" w:lineRule="auto"/>
                    <w:ind w:left="0" w:leftChars="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13</w:t>
                  </w:r>
                </w:p>
              </w:tc>
              <w:tc>
                <w:tcPr>
                  <w:tcW w:w="1658" w:type="dxa"/>
                  <w:gridSpan w:val="2"/>
                  <w:tcBorders>
                    <w:tl2br w:val="nil"/>
                    <w:tr2bl w:val="nil"/>
                  </w:tcBorders>
                  <w:noWrap w:val="0"/>
                  <w:vAlign w:val="center"/>
                </w:tcPr>
                <w:p w14:paraId="3174436C">
                  <w:pPr>
                    <w:spacing w:line="240" w:lineRule="auto"/>
                    <w:jc w:val="center"/>
                    <w:rPr>
                      <w:rFonts w:hint="eastAsia" w:ascii="Times New Roman" w:hAnsi="Times New Roman" w:eastAsia="Calibri" w:cs="Times New Roman"/>
                      <w:color w:val="auto"/>
                      <w:kern w:val="2"/>
                      <w:sz w:val="21"/>
                      <w:szCs w:val="21"/>
                      <w:lang w:val="en-US" w:eastAsia="zh-CN"/>
                    </w:rPr>
                  </w:pPr>
                  <w:r>
                    <w:rPr>
                      <w:rFonts w:hint="eastAsia" w:ascii="Times New Roman" w:hAnsi="Times New Roman" w:eastAsia="Calibri" w:cs="Times New Roman"/>
                      <w:color w:val="auto"/>
                      <w:kern w:val="2"/>
                      <w:sz w:val="21"/>
                      <w:szCs w:val="21"/>
                      <w:lang w:val="en-US" w:eastAsia="zh-CN"/>
                    </w:rPr>
                    <w:t>半自动丝印机</w:t>
                  </w:r>
                </w:p>
              </w:tc>
              <w:tc>
                <w:tcPr>
                  <w:tcW w:w="1487" w:type="dxa"/>
                  <w:tcBorders>
                    <w:tl2br w:val="nil"/>
                    <w:tr2bl w:val="nil"/>
                  </w:tcBorders>
                  <w:noWrap w:val="0"/>
                  <w:vAlign w:val="center"/>
                </w:tcPr>
                <w:p w14:paraId="1758B2B4">
                  <w:pPr>
                    <w:spacing w:line="240" w:lineRule="auto"/>
                    <w:jc w:val="center"/>
                    <w:rPr>
                      <w:rFonts w:hint="default" w:ascii="Times New Roman" w:hAnsi="Times New Roman"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rPr>
                    <w:t>/</w:t>
                  </w:r>
                </w:p>
              </w:tc>
              <w:tc>
                <w:tcPr>
                  <w:tcW w:w="1139" w:type="dxa"/>
                  <w:tcBorders>
                    <w:tl2br w:val="nil"/>
                    <w:tr2bl w:val="nil"/>
                  </w:tcBorders>
                  <w:noWrap w:val="0"/>
                  <w:vAlign w:val="center"/>
                </w:tcPr>
                <w:p w14:paraId="580AC899">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1200" w:type="dxa"/>
                  <w:tcBorders>
                    <w:tl2br w:val="nil"/>
                    <w:tr2bl w:val="nil"/>
                  </w:tcBorders>
                  <w:noWrap w:val="0"/>
                  <w:vAlign w:val="center"/>
                </w:tcPr>
                <w:p w14:paraId="4FD09BE9">
                  <w:pPr>
                    <w:spacing w:line="240" w:lineRule="auto"/>
                    <w:jc w:val="center"/>
                    <w:rPr>
                      <w:rFonts w:hint="eastAsia"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2</w:t>
                  </w:r>
                </w:p>
              </w:tc>
              <w:tc>
                <w:tcPr>
                  <w:tcW w:w="741" w:type="dxa"/>
                  <w:tcBorders>
                    <w:tl2br w:val="nil"/>
                    <w:tr2bl w:val="nil"/>
                  </w:tcBorders>
                  <w:noWrap w:val="0"/>
                  <w:vAlign w:val="center"/>
                </w:tcPr>
                <w:p w14:paraId="07AEF4AA">
                  <w:pPr>
                    <w:spacing w:line="240" w:lineRule="auto"/>
                    <w:jc w:val="center"/>
                    <w:rPr>
                      <w:rFonts w:hint="eastAsia"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rPr>
                    <w:t>+</w:t>
                  </w:r>
                  <w:r>
                    <w:rPr>
                      <w:rFonts w:hint="eastAsia" w:ascii="Times New Roman" w:hAnsi="Times New Roman" w:cs="Times New Roman" w:eastAsiaTheme="minorEastAsia"/>
                      <w:color w:val="auto"/>
                      <w:kern w:val="2"/>
                      <w:sz w:val="21"/>
                      <w:szCs w:val="21"/>
                      <w:lang w:val="en-US" w:eastAsia="zh-CN"/>
                    </w:rPr>
                    <w:t>2</w:t>
                  </w:r>
                </w:p>
              </w:tc>
              <w:tc>
                <w:tcPr>
                  <w:tcW w:w="1586" w:type="dxa"/>
                  <w:tcBorders>
                    <w:tl2br w:val="nil"/>
                    <w:tr2bl w:val="nil"/>
                  </w:tcBorders>
                  <w:noWrap w:val="0"/>
                  <w:vAlign w:val="center"/>
                </w:tcPr>
                <w:p w14:paraId="5048DA12">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丝印</w:t>
                  </w:r>
                </w:p>
              </w:tc>
            </w:tr>
            <w:tr w14:paraId="57DF2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42" w:type="dxa"/>
                  <w:tcBorders>
                    <w:tl2br w:val="nil"/>
                    <w:tr2bl w:val="nil"/>
                  </w:tcBorders>
                  <w:noWrap w:val="0"/>
                  <w:vAlign w:val="center"/>
                </w:tcPr>
                <w:p w14:paraId="07E42730">
                  <w:pPr>
                    <w:spacing w:line="240" w:lineRule="auto"/>
                    <w:ind w:left="0" w:leftChars="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14</w:t>
                  </w:r>
                </w:p>
              </w:tc>
              <w:tc>
                <w:tcPr>
                  <w:tcW w:w="1658" w:type="dxa"/>
                  <w:gridSpan w:val="2"/>
                  <w:tcBorders>
                    <w:tl2br w:val="nil"/>
                    <w:tr2bl w:val="nil"/>
                  </w:tcBorders>
                  <w:noWrap w:val="0"/>
                  <w:vAlign w:val="center"/>
                </w:tcPr>
                <w:p w14:paraId="02BB42ED">
                  <w:pPr>
                    <w:spacing w:line="240" w:lineRule="auto"/>
                    <w:jc w:val="center"/>
                    <w:rPr>
                      <w:rFonts w:hint="eastAsia" w:ascii="Times New Roman" w:hAnsi="Times New Roman" w:eastAsia="Calibri" w:cs="Times New Roman"/>
                      <w:color w:val="auto"/>
                      <w:kern w:val="2"/>
                      <w:sz w:val="21"/>
                      <w:szCs w:val="21"/>
                      <w:lang w:val="en-US" w:eastAsia="zh-CN"/>
                    </w:rPr>
                  </w:pPr>
                  <w:r>
                    <w:rPr>
                      <w:rFonts w:hint="eastAsia" w:ascii="Times New Roman" w:hAnsi="Times New Roman" w:eastAsia="Calibri" w:cs="Times New Roman"/>
                      <w:color w:val="auto"/>
                      <w:kern w:val="2"/>
                      <w:sz w:val="21"/>
                      <w:szCs w:val="21"/>
                      <w:lang w:val="en-US" w:eastAsia="zh-CN"/>
                    </w:rPr>
                    <w:t>全自动丝印机</w:t>
                  </w:r>
                </w:p>
              </w:tc>
              <w:tc>
                <w:tcPr>
                  <w:tcW w:w="1487" w:type="dxa"/>
                  <w:tcBorders>
                    <w:tl2br w:val="nil"/>
                    <w:tr2bl w:val="nil"/>
                  </w:tcBorders>
                  <w:noWrap w:val="0"/>
                  <w:vAlign w:val="center"/>
                </w:tcPr>
                <w:p w14:paraId="57733E6D">
                  <w:pPr>
                    <w:spacing w:line="240" w:lineRule="auto"/>
                    <w:jc w:val="center"/>
                    <w:rPr>
                      <w:rFonts w:hint="eastAsia"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JB-1020</w:t>
                  </w:r>
                </w:p>
              </w:tc>
              <w:tc>
                <w:tcPr>
                  <w:tcW w:w="1139" w:type="dxa"/>
                  <w:tcBorders>
                    <w:tl2br w:val="nil"/>
                    <w:tr2bl w:val="nil"/>
                  </w:tcBorders>
                  <w:noWrap w:val="0"/>
                  <w:vAlign w:val="center"/>
                </w:tcPr>
                <w:p w14:paraId="052B3C63">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1200" w:type="dxa"/>
                  <w:tcBorders>
                    <w:tl2br w:val="nil"/>
                    <w:tr2bl w:val="nil"/>
                  </w:tcBorders>
                  <w:noWrap w:val="0"/>
                  <w:vAlign w:val="center"/>
                </w:tcPr>
                <w:p w14:paraId="123B671D">
                  <w:pPr>
                    <w:spacing w:line="240" w:lineRule="auto"/>
                    <w:jc w:val="center"/>
                    <w:rPr>
                      <w:rFonts w:hint="eastAsia"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1</w:t>
                  </w:r>
                </w:p>
              </w:tc>
              <w:tc>
                <w:tcPr>
                  <w:tcW w:w="741" w:type="dxa"/>
                  <w:tcBorders>
                    <w:tl2br w:val="nil"/>
                    <w:tr2bl w:val="nil"/>
                  </w:tcBorders>
                  <w:noWrap w:val="0"/>
                  <w:vAlign w:val="center"/>
                </w:tcPr>
                <w:p w14:paraId="35A4011B">
                  <w:pPr>
                    <w:spacing w:line="240" w:lineRule="auto"/>
                    <w:jc w:val="center"/>
                    <w:rPr>
                      <w:rFonts w:hint="eastAsia"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rPr>
                    <w:t>+</w:t>
                  </w:r>
                  <w:r>
                    <w:rPr>
                      <w:rFonts w:hint="eastAsia" w:ascii="Times New Roman" w:hAnsi="Times New Roman" w:cs="Times New Roman" w:eastAsiaTheme="minorEastAsia"/>
                      <w:color w:val="auto"/>
                      <w:kern w:val="2"/>
                      <w:sz w:val="21"/>
                      <w:szCs w:val="21"/>
                      <w:lang w:val="en-US" w:eastAsia="zh-CN"/>
                    </w:rPr>
                    <w:t>1</w:t>
                  </w:r>
                </w:p>
              </w:tc>
              <w:tc>
                <w:tcPr>
                  <w:tcW w:w="1586" w:type="dxa"/>
                  <w:tcBorders>
                    <w:tl2br w:val="nil"/>
                    <w:tr2bl w:val="nil"/>
                  </w:tcBorders>
                  <w:noWrap w:val="0"/>
                  <w:vAlign w:val="center"/>
                </w:tcPr>
                <w:p w14:paraId="1BE2A154">
                  <w:pPr>
                    <w:spacing w:line="240" w:lineRule="auto"/>
                    <w:jc w:val="center"/>
                    <w:rPr>
                      <w:rFonts w:hint="eastAsia" w:cs="Times New Roman"/>
                      <w:color w:val="auto"/>
                      <w:sz w:val="21"/>
                      <w:szCs w:val="21"/>
                      <w:lang w:val="en-US" w:eastAsia="zh-CN"/>
                    </w:rPr>
                  </w:pPr>
                  <w:r>
                    <w:rPr>
                      <w:rFonts w:hint="eastAsia" w:eastAsia="Calibri" w:cs="Times New Roman"/>
                      <w:color w:val="auto"/>
                      <w:kern w:val="2"/>
                      <w:sz w:val="21"/>
                      <w:szCs w:val="21"/>
                      <w:lang w:val="en-US" w:eastAsia="zh-CN"/>
                    </w:rPr>
                    <w:t>丝印</w:t>
                  </w:r>
                </w:p>
              </w:tc>
            </w:tr>
            <w:tr w14:paraId="4FB5A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42" w:type="dxa"/>
                  <w:tcBorders>
                    <w:tl2br w:val="nil"/>
                    <w:tr2bl w:val="nil"/>
                  </w:tcBorders>
                  <w:noWrap w:val="0"/>
                  <w:vAlign w:val="center"/>
                </w:tcPr>
                <w:p w14:paraId="4867570E">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1658" w:type="dxa"/>
                  <w:gridSpan w:val="2"/>
                  <w:tcBorders>
                    <w:tl2br w:val="nil"/>
                    <w:tr2bl w:val="nil"/>
                  </w:tcBorders>
                  <w:noWrap w:val="0"/>
                  <w:vAlign w:val="center"/>
                </w:tcPr>
                <w:p w14:paraId="053C8B3E">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自动喷码机</w:t>
                  </w:r>
                </w:p>
              </w:tc>
              <w:tc>
                <w:tcPr>
                  <w:tcW w:w="1487" w:type="dxa"/>
                  <w:tcBorders>
                    <w:tl2br w:val="nil"/>
                    <w:tr2bl w:val="nil"/>
                  </w:tcBorders>
                  <w:noWrap w:val="0"/>
                  <w:vAlign w:val="center"/>
                </w:tcPr>
                <w:p w14:paraId="433BC768">
                  <w:pPr>
                    <w:spacing w:line="240" w:lineRule="auto"/>
                    <w:jc w:val="center"/>
                    <w:rPr>
                      <w:rFonts w:hint="default" w:ascii="Times New Roman" w:hAnsi="Times New Roman" w:cs="Times New Roman" w:eastAsiaTheme="minorEastAsia"/>
                      <w:color w:val="auto"/>
                      <w:kern w:val="2"/>
                      <w:sz w:val="21"/>
                      <w:szCs w:val="21"/>
                      <w:highlight w:val="none"/>
                      <w:lang w:val="en-US" w:eastAsia="zh-CN"/>
                    </w:rPr>
                  </w:pPr>
                  <w:r>
                    <w:rPr>
                      <w:rFonts w:hint="eastAsia" w:ascii="Times New Roman" w:hAnsi="Times New Roman" w:cs="Times New Roman" w:eastAsiaTheme="minorEastAsia"/>
                      <w:color w:val="auto"/>
                      <w:kern w:val="2"/>
                      <w:sz w:val="21"/>
                      <w:szCs w:val="21"/>
                      <w:highlight w:val="none"/>
                      <w:lang w:val="en-US" w:eastAsia="zh-CN"/>
                    </w:rPr>
                    <w:t>KFM-106MC</w:t>
                  </w:r>
                </w:p>
              </w:tc>
              <w:tc>
                <w:tcPr>
                  <w:tcW w:w="1139" w:type="dxa"/>
                  <w:tcBorders>
                    <w:tl2br w:val="nil"/>
                    <w:tr2bl w:val="nil"/>
                  </w:tcBorders>
                  <w:noWrap w:val="0"/>
                  <w:vAlign w:val="center"/>
                </w:tcPr>
                <w:p w14:paraId="01F95954">
                  <w:pPr>
                    <w:spacing w:line="240" w:lineRule="auto"/>
                    <w:jc w:val="center"/>
                    <w:rPr>
                      <w:rFonts w:hint="default" w:ascii="Times New Roman" w:hAnsi="Times New Roman" w:eastAsia="宋体" w:cs="Times New Roman"/>
                      <w:bCs/>
                      <w:color w:val="auto"/>
                      <w:spacing w:val="-2"/>
                      <w:sz w:val="21"/>
                      <w:szCs w:val="21"/>
                      <w:highlight w:val="none"/>
                      <w:lang w:val="en-US" w:eastAsia="zh-CN"/>
                    </w:rPr>
                  </w:pPr>
                  <w:r>
                    <w:rPr>
                      <w:rFonts w:hint="eastAsia" w:cs="Times New Roman"/>
                      <w:color w:val="auto"/>
                      <w:sz w:val="21"/>
                      <w:szCs w:val="21"/>
                      <w:highlight w:val="none"/>
                      <w:lang w:val="en-US" w:eastAsia="zh-CN"/>
                    </w:rPr>
                    <w:t>0</w:t>
                  </w:r>
                </w:p>
              </w:tc>
              <w:tc>
                <w:tcPr>
                  <w:tcW w:w="1200" w:type="dxa"/>
                  <w:tcBorders>
                    <w:tl2br w:val="nil"/>
                    <w:tr2bl w:val="nil"/>
                  </w:tcBorders>
                  <w:noWrap w:val="0"/>
                  <w:vAlign w:val="center"/>
                </w:tcPr>
                <w:p w14:paraId="04ADCF56">
                  <w:pPr>
                    <w:spacing w:line="240" w:lineRule="auto"/>
                    <w:jc w:val="center"/>
                    <w:rPr>
                      <w:rFonts w:hint="default" w:ascii="Times New Roman" w:hAnsi="Times New Roman" w:cs="Times New Roman" w:eastAsiaTheme="minorEastAsia"/>
                      <w:color w:val="auto"/>
                      <w:kern w:val="2"/>
                      <w:sz w:val="21"/>
                      <w:szCs w:val="21"/>
                      <w:highlight w:val="none"/>
                      <w:lang w:val="en-US" w:eastAsia="zh-CN"/>
                    </w:rPr>
                  </w:pPr>
                  <w:r>
                    <w:rPr>
                      <w:rFonts w:hint="eastAsia" w:ascii="Times New Roman" w:hAnsi="Times New Roman" w:cs="Times New Roman" w:eastAsiaTheme="minorEastAsia"/>
                      <w:color w:val="auto"/>
                      <w:kern w:val="2"/>
                      <w:sz w:val="21"/>
                      <w:szCs w:val="21"/>
                      <w:highlight w:val="none"/>
                      <w:lang w:val="en-US" w:eastAsia="zh-CN"/>
                    </w:rPr>
                    <w:t>1</w:t>
                  </w:r>
                </w:p>
              </w:tc>
              <w:tc>
                <w:tcPr>
                  <w:tcW w:w="741" w:type="dxa"/>
                  <w:tcBorders>
                    <w:tl2br w:val="nil"/>
                    <w:tr2bl w:val="nil"/>
                  </w:tcBorders>
                  <w:noWrap w:val="0"/>
                  <w:vAlign w:val="center"/>
                </w:tcPr>
                <w:p w14:paraId="16F0ED41">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eastAsiaTheme="minorEastAsia"/>
                      <w:color w:val="auto"/>
                      <w:kern w:val="2"/>
                      <w:sz w:val="21"/>
                      <w:szCs w:val="21"/>
                      <w:highlight w:val="none"/>
                      <w:lang w:val="en-US" w:eastAsia="zh-CN"/>
                    </w:rPr>
                    <w:t>+</w:t>
                  </w:r>
                  <w:r>
                    <w:rPr>
                      <w:rFonts w:hint="eastAsia" w:ascii="Times New Roman" w:hAnsi="Times New Roman" w:cs="Times New Roman" w:eastAsiaTheme="minorEastAsia"/>
                      <w:color w:val="auto"/>
                      <w:kern w:val="2"/>
                      <w:sz w:val="21"/>
                      <w:szCs w:val="21"/>
                      <w:highlight w:val="none"/>
                      <w:lang w:val="en-US" w:eastAsia="zh-CN"/>
                    </w:rPr>
                    <w:t>1</w:t>
                  </w:r>
                </w:p>
              </w:tc>
              <w:tc>
                <w:tcPr>
                  <w:tcW w:w="1586" w:type="dxa"/>
                  <w:tcBorders>
                    <w:tl2br w:val="nil"/>
                    <w:tr2bl w:val="nil"/>
                  </w:tcBorders>
                  <w:noWrap w:val="0"/>
                  <w:vAlign w:val="center"/>
                </w:tcPr>
                <w:p w14:paraId="1D49C7E1">
                  <w:pPr>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打码（二维码）</w:t>
                  </w:r>
                </w:p>
              </w:tc>
            </w:tr>
            <w:tr w14:paraId="272D1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42" w:type="dxa"/>
                  <w:tcBorders>
                    <w:tl2br w:val="nil"/>
                    <w:tr2bl w:val="nil"/>
                  </w:tcBorders>
                  <w:noWrap w:val="0"/>
                  <w:vAlign w:val="center"/>
                </w:tcPr>
                <w:p w14:paraId="018A699C">
                  <w:pPr>
                    <w:spacing w:line="240" w:lineRule="auto"/>
                    <w:ind w:left="0" w:lef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16</w:t>
                  </w:r>
                </w:p>
              </w:tc>
              <w:tc>
                <w:tcPr>
                  <w:tcW w:w="1658" w:type="dxa"/>
                  <w:gridSpan w:val="2"/>
                  <w:tcBorders>
                    <w:tl2br w:val="nil"/>
                    <w:tr2bl w:val="nil"/>
                  </w:tcBorders>
                  <w:noWrap w:val="0"/>
                  <w:vAlign w:val="center"/>
                </w:tcPr>
                <w:p w14:paraId="2E4560CB">
                  <w:pPr>
                    <w:spacing w:line="240" w:lineRule="auto"/>
                    <w:jc w:val="center"/>
                    <w:rPr>
                      <w:rFonts w:hint="eastAsia" w:ascii="Times New Roman" w:hAnsi="Times New Roman" w:eastAsia="Calibri" w:cs="Times New Roman"/>
                      <w:color w:val="auto"/>
                      <w:kern w:val="2"/>
                      <w:sz w:val="21"/>
                      <w:szCs w:val="21"/>
                      <w:highlight w:val="none"/>
                      <w:lang w:val="en-US" w:eastAsia="zh-CN"/>
                    </w:rPr>
                  </w:pPr>
                  <w:r>
                    <w:rPr>
                      <w:rFonts w:hint="eastAsia" w:ascii="Times New Roman" w:hAnsi="Times New Roman" w:eastAsia="Calibri" w:cs="Times New Roman"/>
                      <w:color w:val="auto"/>
                      <w:kern w:val="2"/>
                      <w:sz w:val="21"/>
                      <w:szCs w:val="21"/>
                      <w:lang w:val="en-US" w:eastAsia="zh-CN"/>
                    </w:rPr>
                    <w:t>全自动覆膜机</w:t>
                  </w:r>
                </w:p>
              </w:tc>
              <w:tc>
                <w:tcPr>
                  <w:tcW w:w="1487" w:type="dxa"/>
                  <w:tcBorders>
                    <w:tl2br w:val="nil"/>
                    <w:tr2bl w:val="nil"/>
                  </w:tcBorders>
                  <w:noWrap w:val="0"/>
                  <w:vAlign w:val="center"/>
                </w:tcPr>
                <w:p w14:paraId="0A893935">
                  <w:pPr>
                    <w:spacing w:line="240" w:lineRule="auto"/>
                    <w:jc w:val="center"/>
                    <w:rPr>
                      <w:rFonts w:hint="eastAsia" w:ascii="Times New Roman" w:hAnsi="Times New Roman" w:cs="Times New Roman" w:eastAsiaTheme="minorEastAsia"/>
                      <w:color w:val="auto"/>
                      <w:kern w:val="2"/>
                      <w:sz w:val="21"/>
                      <w:szCs w:val="21"/>
                      <w:highlight w:val="none"/>
                      <w:lang w:val="en-US" w:eastAsia="zh-CN"/>
                    </w:rPr>
                  </w:pPr>
                  <w:r>
                    <w:rPr>
                      <w:rFonts w:hint="eastAsia" w:ascii="Times New Roman" w:hAnsi="Times New Roman" w:cs="Times New Roman" w:eastAsiaTheme="minorEastAsia"/>
                      <w:color w:val="auto"/>
                      <w:kern w:val="2"/>
                      <w:sz w:val="21"/>
                      <w:szCs w:val="21"/>
                      <w:lang w:val="en-US" w:eastAsia="zh-CN"/>
                    </w:rPr>
                    <w:t>KFM-106MC</w:t>
                  </w:r>
                </w:p>
              </w:tc>
              <w:tc>
                <w:tcPr>
                  <w:tcW w:w="1139" w:type="dxa"/>
                  <w:tcBorders>
                    <w:tl2br w:val="nil"/>
                    <w:tr2bl w:val="nil"/>
                  </w:tcBorders>
                  <w:noWrap w:val="0"/>
                  <w:vAlign w:val="center"/>
                </w:tcPr>
                <w:p w14:paraId="644EA8D9">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lang w:val="en-US" w:eastAsia="zh-CN"/>
                    </w:rPr>
                    <w:t>0</w:t>
                  </w:r>
                </w:p>
              </w:tc>
              <w:tc>
                <w:tcPr>
                  <w:tcW w:w="1200" w:type="dxa"/>
                  <w:tcBorders>
                    <w:tl2br w:val="nil"/>
                    <w:tr2bl w:val="nil"/>
                  </w:tcBorders>
                  <w:noWrap w:val="0"/>
                  <w:vAlign w:val="center"/>
                </w:tcPr>
                <w:p w14:paraId="13614F9A">
                  <w:pPr>
                    <w:spacing w:line="240" w:lineRule="auto"/>
                    <w:jc w:val="center"/>
                    <w:rPr>
                      <w:rFonts w:hint="eastAsia" w:ascii="Times New Roman" w:hAnsi="Times New Roman" w:cs="Times New Roman" w:eastAsiaTheme="minorEastAsia"/>
                      <w:color w:val="auto"/>
                      <w:kern w:val="2"/>
                      <w:sz w:val="21"/>
                      <w:szCs w:val="21"/>
                      <w:highlight w:val="none"/>
                      <w:lang w:val="en-US" w:eastAsia="zh-CN"/>
                    </w:rPr>
                  </w:pPr>
                  <w:r>
                    <w:rPr>
                      <w:rFonts w:hint="eastAsia" w:ascii="Times New Roman" w:hAnsi="Times New Roman" w:cs="Times New Roman" w:eastAsiaTheme="minorEastAsia"/>
                      <w:color w:val="auto"/>
                      <w:kern w:val="2"/>
                      <w:sz w:val="21"/>
                      <w:szCs w:val="21"/>
                      <w:lang w:val="en-US" w:eastAsia="zh-CN"/>
                    </w:rPr>
                    <w:t>1</w:t>
                  </w:r>
                </w:p>
              </w:tc>
              <w:tc>
                <w:tcPr>
                  <w:tcW w:w="741" w:type="dxa"/>
                  <w:tcBorders>
                    <w:tl2br w:val="nil"/>
                    <w:tr2bl w:val="nil"/>
                  </w:tcBorders>
                  <w:noWrap w:val="0"/>
                  <w:vAlign w:val="center"/>
                </w:tcPr>
                <w:p w14:paraId="7BF77A48">
                  <w:pPr>
                    <w:spacing w:line="240" w:lineRule="auto"/>
                    <w:jc w:val="center"/>
                    <w:rPr>
                      <w:rFonts w:hint="eastAsia" w:cs="Times New Roman" w:eastAsiaTheme="minorEastAsia"/>
                      <w:color w:val="auto"/>
                      <w:kern w:val="2"/>
                      <w:sz w:val="21"/>
                      <w:szCs w:val="21"/>
                      <w:highlight w:val="none"/>
                      <w:lang w:val="en-US" w:eastAsia="zh-CN"/>
                    </w:rPr>
                  </w:pPr>
                  <w:r>
                    <w:rPr>
                      <w:rFonts w:hint="eastAsia" w:cs="Times New Roman" w:eastAsiaTheme="minorEastAsia"/>
                      <w:color w:val="auto"/>
                      <w:kern w:val="2"/>
                      <w:sz w:val="21"/>
                      <w:szCs w:val="21"/>
                      <w:lang w:val="en-US" w:eastAsia="zh-CN"/>
                    </w:rPr>
                    <w:t>+</w:t>
                  </w:r>
                  <w:r>
                    <w:rPr>
                      <w:rFonts w:hint="eastAsia" w:ascii="Times New Roman" w:hAnsi="Times New Roman" w:cs="Times New Roman" w:eastAsiaTheme="minorEastAsia"/>
                      <w:color w:val="auto"/>
                      <w:kern w:val="2"/>
                      <w:sz w:val="21"/>
                      <w:szCs w:val="21"/>
                      <w:lang w:val="en-US" w:eastAsia="zh-CN"/>
                    </w:rPr>
                    <w:t>1</w:t>
                  </w:r>
                </w:p>
              </w:tc>
              <w:tc>
                <w:tcPr>
                  <w:tcW w:w="1586" w:type="dxa"/>
                  <w:tcBorders>
                    <w:tl2br w:val="nil"/>
                    <w:tr2bl w:val="nil"/>
                  </w:tcBorders>
                  <w:noWrap w:val="0"/>
                  <w:vAlign w:val="center"/>
                </w:tcPr>
                <w:p w14:paraId="56C7645D">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覆膜</w:t>
                  </w:r>
                </w:p>
              </w:tc>
            </w:tr>
            <w:tr w14:paraId="3279F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42" w:type="dxa"/>
                  <w:tcBorders>
                    <w:tl2br w:val="nil"/>
                    <w:tr2bl w:val="nil"/>
                  </w:tcBorders>
                  <w:noWrap w:val="0"/>
                  <w:vAlign w:val="center"/>
                </w:tcPr>
                <w:p w14:paraId="36A5EDC9">
                  <w:pPr>
                    <w:spacing w:line="240" w:lineRule="auto"/>
                    <w:ind w:left="0" w:lef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17</w:t>
                  </w:r>
                </w:p>
              </w:tc>
              <w:tc>
                <w:tcPr>
                  <w:tcW w:w="1658" w:type="dxa"/>
                  <w:gridSpan w:val="2"/>
                  <w:tcBorders>
                    <w:tl2br w:val="nil"/>
                    <w:tr2bl w:val="nil"/>
                  </w:tcBorders>
                  <w:noWrap w:val="0"/>
                  <w:vAlign w:val="center"/>
                </w:tcPr>
                <w:p w14:paraId="679651FA">
                  <w:pPr>
                    <w:spacing w:line="240" w:lineRule="auto"/>
                    <w:jc w:val="center"/>
                    <w:rPr>
                      <w:rFonts w:hint="eastAsia" w:ascii="Times New Roman" w:hAnsi="Times New Roman" w:eastAsia="Calibri" w:cs="Times New Roman"/>
                      <w:color w:val="auto"/>
                      <w:kern w:val="2"/>
                      <w:sz w:val="21"/>
                      <w:szCs w:val="21"/>
                      <w:lang w:val="en-US" w:eastAsia="zh-CN"/>
                    </w:rPr>
                  </w:pPr>
                  <w:r>
                    <w:rPr>
                      <w:rFonts w:hint="eastAsia" w:ascii="Times New Roman" w:hAnsi="Times New Roman" w:eastAsia="Calibri" w:cs="Times New Roman"/>
                      <w:color w:val="auto"/>
                      <w:kern w:val="2"/>
                      <w:sz w:val="21"/>
                      <w:szCs w:val="21"/>
                      <w:lang w:val="en-US" w:eastAsia="zh-CN"/>
                    </w:rPr>
                    <w:t>光固机</w:t>
                  </w:r>
                </w:p>
              </w:tc>
              <w:tc>
                <w:tcPr>
                  <w:tcW w:w="1487" w:type="dxa"/>
                  <w:tcBorders>
                    <w:tl2br w:val="nil"/>
                    <w:tr2bl w:val="nil"/>
                  </w:tcBorders>
                  <w:noWrap w:val="0"/>
                  <w:vAlign w:val="center"/>
                </w:tcPr>
                <w:p w14:paraId="00FAF61C">
                  <w:pPr>
                    <w:spacing w:line="240" w:lineRule="auto"/>
                    <w:jc w:val="center"/>
                    <w:rPr>
                      <w:rFonts w:hint="eastAsia"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JB-1050XHW</w:t>
                  </w:r>
                </w:p>
              </w:tc>
              <w:tc>
                <w:tcPr>
                  <w:tcW w:w="1139" w:type="dxa"/>
                  <w:tcBorders>
                    <w:tl2br w:val="nil"/>
                    <w:tr2bl w:val="nil"/>
                  </w:tcBorders>
                  <w:noWrap w:val="0"/>
                  <w:vAlign w:val="center"/>
                </w:tcPr>
                <w:p w14:paraId="1F869B85">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1200" w:type="dxa"/>
                  <w:tcBorders>
                    <w:tl2br w:val="nil"/>
                    <w:tr2bl w:val="nil"/>
                  </w:tcBorders>
                  <w:noWrap w:val="0"/>
                  <w:vAlign w:val="center"/>
                </w:tcPr>
                <w:p w14:paraId="1659ECA0">
                  <w:pPr>
                    <w:spacing w:line="240" w:lineRule="auto"/>
                    <w:jc w:val="center"/>
                    <w:rPr>
                      <w:rFonts w:hint="eastAsia"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1</w:t>
                  </w:r>
                </w:p>
              </w:tc>
              <w:tc>
                <w:tcPr>
                  <w:tcW w:w="741" w:type="dxa"/>
                  <w:tcBorders>
                    <w:tl2br w:val="nil"/>
                    <w:tr2bl w:val="nil"/>
                  </w:tcBorders>
                  <w:noWrap w:val="0"/>
                  <w:vAlign w:val="center"/>
                </w:tcPr>
                <w:p w14:paraId="5A909225">
                  <w:pPr>
                    <w:spacing w:line="240" w:lineRule="auto"/>
                    <w:jc w:val="center"/>
                    <w:rPr>
                      <w:rFonts w:hint="eastAsia"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rPr>
                    <w:t>+</w:t>
                  </w:r>
                  <w:r>
                    <w:rPr>
                      <w:rFonts w:hint="eastAsia" w:ascii="Times New Roman" w:hAnsi="Times New Roman" w:cs="Times New Roman" w:eastAsiaTheme="minorEastAsia"/>
                      <w:color w:val="auto"/>
                      <w:kern w:val="2"/>
                      <w:sz w:val="21"/>
                      <w:szCs w:val="21"/>
                      <w:lang w:val="en-US" w:eastAsia="zh-CN"/>
                    </w:rPr>
                    <w:t>1</w:t>
                  </w:r>
                </w:p>
              </w:tc>
              <w:tc>
                <w:tcPr>
                  <w:tcW w:w="1586" w:type="dxa"/>
                  <w:tcBorders>
                    <w:tl2br w:val="nil"/>
                    <w:tr2bl w:val="nil"/>
                  </w:tcBorders>
                  <w:noWrap w:val="0"/>
                  <w:vAlign w:val="center"/>
                </w:tcPr>
                <w:p w14:paraId="6B7D1395">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光固</w:t>
                  </w:r>
                </w:p>
              </w:tc>
            </w:tr>
            <w:tr w14:paraId="63B1D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642" w:type="dxa"/>
                  <w:tcBorders>
                    <w:tl2br w:val="nil"/>
                    <w:tr2bl w:val="nil"/>
                  </w:tcBorders>
                  <w:noWrap w:val="0"/>
                  <w:vAlign w:val="center"/>
                </w:tcPr>
                <w:p w14:paraId="2E78A53E">
                  <w:pPr>
                    <w:spacing w:line="240" w:lineRule="auto"/>
                    <w:ind w:left="0" w:leftChars="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18</w:t>
                  </w:r>
                </w:p>
              </w:tc>
              <w:tc>
                <w:tcPr>
                  <w:tcW w:w="1658" w:type="dxa"/>
                  <w:gridSpan w:val="2"/>
                  <w:tcBorders>
                    <w:tl2br w:val="nil"/>
                    <w:tr2bl w:val="nil"/>
                  </w:tcBorders>
                  <w:noWrap w:val="0"/>
                  <w:vAlign w:val="center"/>
                </w:tcPr>
                <w:p w14:paraId="40B88984">
                  <w:pPr>
                    <w:spacing w:line="240" w:lineRule="auto"/>
                    <w:jc w:val="center"/>
                    <w:rPr>
                      <w:rFonts w:hint="eastAsia"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zh-CN" w:eastAsia="zh-CN"/>
                    </w:rPr>
                    <w:t>烫金机</w:t>
                  </w:r>
                </w:p>
              </w:tc>
              <w:tc>
                <w:tcPr>
                  <w:tcW w:w="1487" w:type="dxa"/>
                  <w:tcBorders>
                    <w:tl2br w:val="nil"/>
                    <w:tr2bl w:val="nil"/>
                  </w:tcBorders>
                  <w:noWrap w:val="0"/>
                  <w:vAlign w:val="center"/>
                </w:tcPr>
                <w:p w14:paraId="2980076B">
                  <w:pPr>
                    <w:spacing w:line="240" w:lineRule="auto"/>
                    <w:jc w:val="center"/>
                    <w:rPr>
                      <w:rFonts w:hint="default" w:ascii="Times New Roman" w:hAnsi="Times New Roman"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rPr>
                    <w:t>/</w:t>
                  </w:r>
                </w:p>
              </w:tc>
              <w:tc>
                <w:tcPr>
                  <w:tcW w:w="1139" w:type="dxa"/>
                  <w:tcBorders>
                    <w:tl2br w:val="nil"/>
                    <w:tr2bl w:val="nil"/>
                  </w:tcBorders>
                  <w:noWrap w:val="0"/>
                  <w:vAlign w:val="center"/>
                </w:tcPr>
                <w:p w14:paraId="76C58E4E">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200" w:type="dxa"/>
                  <w:tcBorders>
                    <w:tl2br w:val="nil"/>
                    <w:tr2bl w:val="nil"/>
                  </w:tcBorders>
                  <w:noWrap w:val="0"/>
                  <w:vAlign w:val="center"/>
                </w:tcPr>
                <w:p w14:paraId="67094070">
                  <w:pPr>
                    <w:spacing w:line="240" w:lineRule="auto"/>
                    <w:jc w:val="center"/>
                    <w:rPr>
                      <w:rFonts w:hint="default" w:ascii="Times New Roman" w:hAnsi="Times New Roman"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rPr>
                    <w:t>5</w:t>
                  </w:r>
                </w:p>
              </w:tc>
              <w:tc>
                <w:tcPr>
                  <w:tcW w:w="741" w:type="dxa"/>
                  <w:tcBorders>
                    <w:tl2br w:val="nil"/>
                    <w:tr2bl w:val="nil"/>
                  </w:tcBorders>
                  <w:noWrap w:val="0"/>
                  <w:vAlign w:val="center"/>
                </w:tcPr>
                <w:p w14:paraId="5E081C4B">
                  <w:pPr>
                    <w:spacing w:line="240" w:lineRule="auto"/>
                    <w:jc w:val="center"/>
                    <w:rPr>
                      <w:rFonts w:hint="default"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rPr>
                    <w:t>+5</w:t>
                  </w:r>
                </w:p>
              </w:tc>
              <w:tc>
                <w:tcPr>
                  <w:tcW w:w="1586" w:type="dxa"/>
                  <w:tcBorders>
                    <w:tl2br w:val="nil"/>
                    <w:tr2bl w:val="nil"/>
                  </w:tcBorders>
                  <w:noWrap w:val="0"/>
                  <w:vAlign w:val="center"/>
                </w:tcPr>
                <w:p w14:paraId="1A4E11C4">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5台拟由1#车间现有设备迁至2#车间</w:t>
                  </w:r>
                </w:p>
              </w:tc>
            </w:tr>
            <w:tr w14:paraId="2CC72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42" w:type="dxa"/>
                  <w:tcBorders>
                    <w:tl2br w:val="nil"/>
                    <w:tr2bl w:val="nil"/>
                  </w:tcBorders>
                  <w:noWrap w:val="0"/>
                  <w:vAlign w:val="center"/>
                </w:tcPr>
                <w:p w14:paraId="2B90D588">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w:t>
                  </w:r>
                </w:p>
              </w:tc>
              <w:tc>
                <w:tcPr>
                  <w:tcW w:w="1658" w:type="dxa"/>
                  <w:gridSpan w:val="2"/>
                  <w:tcBorders>
                    <w:tl2br w:val="nil"/>
                    <w:tr2bl w:val="nil"/>
                  </w:tcBorders>
                  <w:noWrap w:val="0"/>
                  <w:vAlign w:val="center"/>
                </w:tcPr>
                <w:p w14:paraId="01204987">
                  <w:pPr>
                    <w:spacing w:line="240" w:lineRule="auto"/>
                    <w:jc w:val="center"/>
                    <w:rPr>
                      <w:rFonts w:hint="default" w:ascii="Times New Roman" w:hAnsi="Times New Roman" w:eastAsia="Calibri" w:cs="Times New Roman"/>
                      <w:color w:val="auto"/>
                      <w:kern w:val="2"/>
                      <w:sz w:val="21"/>
                      <w:szCs w:val="21"/>
                      <w:lang w:val="zh-CN" w:eastAsia="zh-CN"/>
                    </w:rPr>
                  </w:pPr>
                  <w:r>
                    <w:rPr>
                      <w:rFonts w:hint="eastAsia" w:ascii="Times New Roman" w:hAnsi="Times New Roman" w:eastAsia="Calibri" w:cs="Times New Roman"/>
                      <w:color w:val="auto"/>
                      <w:kern w:val="2"/>
                      <w:sz w:val="21"/>
                      <w:szCs w:val="21"/>
                      <w:lang w:val="en-US" w:eastAsia="zh-CN"/>
                    </w:rPr>
                    <w:t>全自动冷烫机</w:t>
                  </w:r>
                </w:p>
              </w:tc>
              <w:tc>
                <w:tcPr>
                  <w:tcW w:w="1487" w:type="dxa"/>
                  <w:tcBorders>
                    <w:tl2br w:val="nil"/>
                    <w:tr2bl w:val="nil"/>
                  </w:tcBorders>
                  <w:noWrap w:val="0"/>
                  <w:vAlign w:val="center"/>
                </w:tcPr>
                <w:p w14:paraId="7FB1DD8F">
                  <w:pPr>
                    <w:spacing w:line="240" w:lineRule="auto"/>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LT-1050</w:t>
                  </w:r>
                </w:p>
              </w:tc>
              <w:tc>
                <w:tcPr>
                  <w:tcW w:w="1139" w:type="dxa"/>
                  <w:tcBorders>
                    <w:tl2br w:val="nil"/>
                    <w:tr2bl w:val="nil"/>
                  </w:tcBorders>
                  <w:noWrap w:val="0"/>
                  <w:vAlign w:val="center"/>
                </w:tcPr>
                <w:p w14:paraId="765ABD21">
                  <w:pPr>
                    <w:spacing w:line="240" w:lineRule="auto"/>
                    <w:jc w:val="center"/>
                    <w:rPr>
                      <w:rFonts w:hint="default" w:ascii="Times New Roman" w:hAnsi="Times New Roman" w:eastAsia="宋体" w:cs="Times New Roman"/>
                      <w:bCs/>
                      <w:color w:val="auto"/>
                      <w:spacing w:val="-2"/>
                      <w:sz w:val="21"/>
                      <w:szCs w:val="21"/>
                      <w:lang w:val="en-US" w:eastAsia="zh-CN"/>
                    </w:rPr>
                  </w:pPr>
                  <w:r>
                    <w:rPr>
                      <w:rFonts w:hint="eastAsia" w:cs="Times New Roman"/>
                      <w:color w:val="auto"/>
                      <w:sz w:val="21"/>
                      <w:szCs w:val="21"/>
                      <w:lang w:val="en-US" w:eastAsia="zh-CN"/>
                    </w:rPr>
                    <w:t>0</w:t>
                  </w:r>
                </w:p>
              </w:tc>
              <w:tc>
                <w:tcPr>
                  <w:tcW w:w="1200" w:type="dxa"/>
                  <w:tcBorders>
                    <w:tl2br w:val="nil"/>
                    <w:tr2bl w:val="nil"/>
                  </w:tcBorders>
                  <w:noWrap w:val="0"/>
                  <w:vAlign w:val="center"/>
                </w:tcPr>
                <w:p w14:paraId="0B91E758">
                  <w:pPr>
                    <w:spacing w:line="240" w:lineRule="auto"/>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1</w:t>
                  </w:r>
                </w:p>
              </w:tc>
              <w:tc>
                <w:tcPr>
                  <w:tcW w:w="741" w:type="dxa"/>
                  <w:tcBorders>
                    <w:tl2br w:val="nil"/>
                    <w:tr2bl w:val="nil"/>
                  </w:tcBorders>
                  <w:noWrap w:val="0"/>
                  <w:vAlign w:val="center"/>
                </w:tcPr>
                <w:p w14:paraId="338E6B00">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eastAsiaTheme="minorEastAsia"/>
                      <w:color w:val="auto"/>
                      <w:kern w:val="2"/>
                      <w:sz w:val="21"/>
                      <w:szCs w:val="21"/>
                      <w:lang w:val="en-US" w:eastAsia="zh-CN"/>
                    </w:rPr>
                    <w:t>+</w:t>
                  </w:r>
                  <w:r>
                    <w:rPr>
                      <w:rFonts w:hint="eastAsia" w:ascii="Times New Roman" w:hAnsi="Times New Roman" w:cs="Times New Roman" w:eastAsiaTheme="minorEastAsia"/>
                      <w:color w:val="auto"/>
                      <w:kern w:val="2"/>
                      <w:sz w:val="21"/>
                      <w:szCs w:val="21"/>
                      <w:lang w:val="en-US" w:eastAsia="zh-CN"/>
                    </w:rPr>
                    <w:t>1</w:t>
                  </w:r>
                </w:p>
              </w:tc>
              <w:tc>
                <w:tcPr>
                  <w:tcW w:w="1586" w:type="dxa"/>
                  <w:tcBorders>
                    <w:tl2br w:val="nil"/>
                    <w:tr2bl w:val="nil"/>
                  </w:tcBorders>
                  <w:noWrap w:val="0"/>
                  <w:vAlign w:val="center"/>
                </w:tcPr>
                <w:p w14:paraId="245A8A47">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烫金</w:t>
                  </w:r>
                </w:p>
              </w:tc>
            </w:tr>
            <w:tr w14:paraId="500BE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42" w:type="dxa"/>
                  <w:tcBorders>
                    <w:tl2br w:val="nil"/>
                    <w:tr2bl w:val="nil"/>
                  </w:tcBorders>
                  <w:noWrap w:val="0"/>
                  <w:vAlign w:val="center"/>
                </w:tcPr>
                <w:p w14:paraId="0493ACD0">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p>
              </w:tc>
              <w:tc>
                <w:tcPr>
                  <w:tcW w:w="1658" w:type="dxa"/>
                  <w:gridSpan w:val="2"/>
                  <w:tcBorders>
                    <w:tl2br w:val="nil"/>
                    <w:tr2bl w:val="nil"/>
                  </w:tcBorders>
                  <w:noWrap w:val="0"/>
                  <w:vAlign w:val="center"/>
                </w:tcPr>
                <w:p w14:paraId="312D2CD5">
                  <w:pPr>
                    <w:spacing w:line="240" w:lineRule="auto"/>
                    <w:jc w:val="center"/>
                    <w:rPr>
                      <w:rFonts w:hint="default" w:ascii="Times New Roman" w:hAnsi="Times New Roman" w:eastAsia="Calibri" w:cs="Times New Roman"/>
                      <w:color w:val="auto"/>
                      <w:kern w:val="2"/>
                      <w:sz w:val="21"/>
                      <w:szCs w:val="21"/>
                      <w:lang w:val="zh-CN" w:eastAsia="zh-CN"/>
                    </w:rPr>
                  </w:pPr>
                  <w:r>
                    <w:rPr>
                      <w:rFonts w:hint="eastAsia" w:ascii="Times New Roman" w:hAnsi="Times New Roman" w:eastAsia="Calibri" w:cs="Times New Roman"/>
                      <w:color w:val="auto"/>
                      <w:kern w:val="2"/>
                      <w:sz w:val="21"/>
                      <w:szCs w:val="21"/>
                      <w:lang w:val="en-US" w:eastAsia="zh-CN"/>
                    </w:rPr>
                    <w:t>全自动模切压纹机</w:t>
                  </w:r>
                </w:p>
              </w:tc>
              <w:tc>
                <w:tcPr>
                  <w:tcW w:w="1487" w:type="dxa"/>
                  <w:tcBorders>
                    <w:tl2br w:val="nil"/>
                    <w:tr2bl w:val="nil"/>
                  </w:tcBorders>
                  <w:noWrap w:val="0"/>
                  <w:vAlign w:val="center"/>
                </w:tcPr>
                <w:p w14:paraId="3432571F">
                  <w:pPr>
                    <w:spacing w:line="240" w:lineRule="auto"/>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WH-1050S</w:t>
                  </w:r>
                </w:p>
              </w:tc>
              <w:tc>
                <w:tcPr>
                  <w:tcW w:w="1139" w:type="dxa"/>
                  <w:tcBorders>
                    <w:tl2br w:val="nil"/>
                    <w:tr2bl w:val="nil"/>
                  </w:tcBorders>
                  <w:noWrap w:val="0"/>
                  <w:vAlign w:val="center"/>
                </w:tcPr>
                <w:p w14:paraId="67E4B4E1">
                  <w:pPr>
                    <w:spacing w:line="240" w:lineRule="auto"/>
                    <w:jc w:val="center"/>
                    <w:rPr>
                      <w:rFonts w:hint="default" w:ascii="Times New Roman" w:hAnsi="Times New Roman" w:eastAsia="宋体" w:cs="Times New Roman"/>
                      <w:bCs/>
                      <w:color w:val="auto"/>
                      <w:spacing w:val="-2"/>
                      <w:sz w:val="21"/>
                      <w:szCs w:val="21"/>
                      <w:lang w:val="en-US" w:eastAsia="zh-CN"/>
                    </w:rPr>
                  </w:pPr>
                  <w:r>
                    <w:rPr>
                      <w:rFonts w:hint="eastAsia" w:cs="Times New Roman"/>
                      <w:color w:val="auto"/>
                      <w:sz w:val="21"/>
                      <w:szCs w:val="21"/>
                      <w:lang w:val="en-US" w:eastAsia="zh-CN"/>
                    </w:rPr>
                    <w:t>0</w:t>
                  </w:r>
                </w:p>
              </w:tc>
              <w:tc>
                <w:tcPr>
                  <w:tcW w:w="1200" w:type="dxa"/>
                  <w:tcBorders>
                    <w:tl2br w:val="nil"/>
                    <w:tr2bl w:val="nil"/>
                  </w:tcBorders>
                  <w:noWrap w:val="0"/>
                  <w:vAlign w:val="center"/>
                </w:tcPr>
                <w:p w14:paraId="11C79067">
                  <w:pPr>
                    <w:spacing w:line="240" w:lineRule="auto"/>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1</w:t>
                  </w:r>
                </w:p>
              </w:tc>
              <w:tc>
                <w:tcPr>
                  <w:tcW w:w="741" w:type="dxa"/>
                  <w:tcBorders>
                    <w:tl2br w:val="nil"/>
                    <w:tr2bl w:val="nil"/>
                  </w:tcBorders>
                  <w:noWrap w:val="0"/>
                  <w:vAlign w:val="center"/>
                </w:tcPr>
                <w:p w14:paraId="72B01010">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eastAsiaTheme="minorEastAsia"/>
                      <w:color w:val="auto"/>
                      <w:kern w:val="2"/>
                      <w:sz w:val="21"/>
                      <w:szCs w:val="21"/>
                      <w:lang w:val="en-US" w:eastAsia="zh-CN"/>
                    </w:rPr>
                    <w:t>+</w:t>
                  </w:r>
                  <w:r>
                    <w:rPr>
                      <w:rFonts w:hint="eastAsia" w:ascii="Times New Roman" w:hAnsi="Times New Roman" w:cs="Times New Roman" w:eastAsiaTheme="minorEastAsia"/>
                      <w:color w:val="auto"/>
                      <w:kern w:val="2"/>
                      <w:sz w:val="21"/>
                      <w:szCs w:val="21"/>
                      <w:lang w:val="en-US" w:eastAsia="zh-CN"/>
                    </w:rPr>
                    <w:t>1</w:t>
                  </w:r>
                </w:p>
              </w:tc>
              <w:tc>
                <w:tcPr>
                  <w:tcW w:w="1586" w:type="dxa"/>
                  <w:tcBorders>
                    <w:tl2br w:val="nil"/>
                    <w:tr2bl w:val="nil"/>
                  </w:tcBorders>
                  <w:noWrap w:val="0"/>
                  <w:vAlign w:val="center"/>
                </w:tcPr>
                <w:p w14:paraId="283BAF57">
                  <w:pPr>
                    <w:spacing w:line="240" w:lineRule="auto"/>
                    <w:jc w:val="center"/>
                    <w:rPr>
                      <w:rFonts w:hint="default" w:ascii="Times New Roman" w:hAnsi="Times New Roman" w:cs="Times New Roman"/>
                      <w:color w:val="auto"/>
                      <w:sz w:val="21"/>
                      <w:szCs w:val="21"/>
                      <w:lang w:val="en-US" w:eastAsia="zh-CN"/>
                    </w:rPr>
                  </w:pPr>
                  <w:r>
                    <w:rPr>
                      <w:rFonts w:hint="eastAsia" w:eastAsia="Calibri" w:cs="Times New Roman"/>
                      <w:color w:val="auto"/>
                      <w:kern w:val="2"/>
                      <w:sz w:val="21"/>
                      <w:szCs w:val="21"/>
                      <w:lang w:val="en-US" w:eastAsia="zh-CN"/>
                    </w:rPr>
                    <w:t>压纹、模切</w:t>
                  </w:r>
                </w:p>
              </w:tc>
            </w:tr>
            <w:tr w14:paraId="5C6F3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642" w:type="dxa"/>
                  <w:tcBorders>
                    <w:tl2br w:val="nil"/>
                    <w:tr2bl w:val="nil"/>
                  </w:tcBorders>
                  <w:noWrap w:val="0"/>
                  <w:vAlign w:val="center"/>
                </w:tcPr>
                <w:p w14:paraId="1DA24AB0">
                  <w:pPr>
                    <w:spacing w:line="240" w:lineRule="auto"/>
                    <w:ind w:left="0" w:leftChars="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20</w:t>
                  </w:r>
                </w:p>
              </w:tc>
              <w:tc>
                <w:tcPr>
                  <w:tcW w:w="1658" w:type="dxa"/>
                  <w:gridSpan w:val="2"/>
                  <w:tcBorders>
                    <w:tl2br w:val="nil"/>
                    <w:tr2bl w:val="nil"/>
                  </w:tcBorders>
                  <w:noWrap w:val="0"/>
                  <w:vAlign w:val="center"/>
                </w:tcPr>
                <w:p w14:paraId="1E5C0880">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eastAsia="Calibri" w:cs="Times New Roman"/>
                      <w:color w:val="auto"/>
                      <w:kern w:val="2"/>
                      <w:sz w:val="21"/>
                      <w:szCs w:val="21"/>
                      <w:lang w:val="en-US" w:eastAsia="zh-CN"/>
                    </w:rPr>
                    <w:t>手动模切机</w:t>
                  </w:r>
                </w:p>
              </w:tc>
              <w:tc>
                <w:tcPr>
                  <w:tcW w:w="1487" w:type="dxa"/>
                  <w:tcBorders>
                    <w:tl2br w:val="nil"/>
                    <w:tr2bl w:val="nil"/>
                  </w:tcBorders>
                  <w:noWrap w:val="0"/>
                  <w:vAlign w:val="center"/>
                </w:tcPr>
                <w:p w14:paraId="4C035EF0">
                  <w:pPr>
                    <w:spacing w:line="240" w:lineRule="auto"/>
                    <w:jc w:val="center"/>
                    <w:rPr>
                      <w:rFonts w:hint="default" w:ascii="Times New Roman" w:hAnsi="Times New Roman"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rPr>
                    <w:t>/</w:t>
                  </w:r>
                </w:p>
              </w:tc>
              <w:tc>
                <w:tcPr>
                  <w:tcW w:w="1139" w:type="dxa"/>
                  <w:tcBorders>
                    <w:tl2br w:val="nil"/>
                    <w:tr2bl w:val="nil"/>
                  </w:tcBorders>
                  <w:noWrap w:val="0"/>
                  <w:vAlign w:val="center"/>
                </w:tcPr>
                <w:p w14:paraId="5AE5076E">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200" w:type="dxa"/>
                  <w:tcBorders>
                    <w:tl2br w:val="nil"/>
                    <w:tr2bl w:val="nil"/>
                  </w:tcBorders>
                  <w:noWrap w:val="0"/>
                  <w:vAlign w:val="center"/>
                </w:tcPr>
                <w:p w14:paraId="243E35EB">
                  <w:pPr>
                    <w:spacing w:line="240" w:lineRule="auto"/>
                    <w:jc w:val="center"/>
                    <w:rPr>
                      <w:rFonts w:hint="default" w:ascii="Times New Roman" w:hAnsi="Times New Roman"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rPr>
                    <w:t>3</w:t>
                  </w:r>
                </w:p>
              </w:tc>
              <w:tc>
                <w:tcPr>
                  <w:tcW w:w="741" w:type="dxa"/>
                  <w:tcBorders>
                    <w:tl2br w:val="nil"/>
                    <w:tr2bl w:val="nil"/>
                  </w:tcBorders>
                  <w:noWrap w:val="0"/>
                  <w:vAlign w:val="center"/>
                </w:tcPr>
                <w:p w14:paraId="15D398D2">
                  <w:pPr>
                    <w:spacing w:line="240" w:lineRule="auto"/>
                    <w:jc w:val="center"/>
                    <w:rPr>
                      <w:rFonts w:hint="default"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rPr>
                    <w:t>+3</w:t>
                  </w:r>
                </w:p>
              </w:tc>
              <w:tc>
                <w:tcPr>
                  <w:tcW w:w="1586" w:type="dxa"/>
                  <w:tcBorders>
                    <w:tl2br w:val="nil"/>
                    <w:tr2bl w:val="nil"/>
                  </w:tcBorders>
                  <w:noWrap w:val="0"/>
                  <w:vAlign w:val="center"/>
                </w:tcPr>
                <w:p w14:paraId="6D44F9BD">
                  <w:pPr>
                    <w:spacing w:line="240" w:lineRule="auto"/>
                    <w:jc w:val="center"/>
                    <w:rPr>
                      <w:rFonts w:hint="default" w:eastAsia="Calibri" w:cs="Times New Roman"/>
                      <w:color w:val="auto"/>
                      <w:kern w:val="2"/>
                      <w:sz w:val="21"/>
                      <w:szCs w:val="21"/>
                      <w:lang w:val="en-US" w:eastAsia="zh-CN"/>
                    </w:rPr>
                  </w:pPr>
                  <w:r>
                    <w:rPr>
                      <w:rFonts w:hint="eastAsia" w:eastAsia="Calibri" w:cs="Times New Roman"/>
                      <w:color w:val="auto"/>
                      <w:kern w:val="2"/>
                      <w:sz w:val="21"/>
                      <w:szCs w:val="21"/>
                      <w:lang w:val="en-US" w:eastAsia="zh-CN"/>
                    </w:rPr>
                    <w:t>模切</w:t>
                  </w:r>
                </w:p>
              </w:tc>
            </w:tr>
            <w:tr w14:paraId="1AE91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2" w:type="dxa"/>
                  <w:tcBorders>
                    <w:tl2br w:val="nil"/>
                    <w:tr2bl w:val="nil"/>
                  </w:tcBorders>
                  <w:noWrap w:val="0"/>
                  <w:vAlign w:val="center"/>
                </w:tcPr>
                <w:p w14:paraId="61A765DF">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w:t>
                  </w:r>
                </w:p>
              </w:tc>
              <w:tc>
                <w:tcPr>
                  <w:tcW w:w="1658" w:type="dxa"/>
                  <w:gridSpan w:val="2"/>
                  <w:tcBorders>
                    <w:tl2br w:val="nil"/>
                    <w:tr2bl w:val="nil"/>
                  </w:tcBorders>
                  <w:noWrap w:val="0"/>
                  <w:vAlign w:val="center"/>
                </w:tcPr>
                <w:p w14:paraId="1BB99166">
                  <w:pPr>
                    <w:spacing w:line="240" w:lineRule="auto"/>
                    <w:jc w:val="center"/>
                    <w:rPr>
                      <w:rFonts w:hint="default" w:ascii="Times New Roman" w:hAnsi="Times New Roman" w:eastAsia="Calibri" w:cs="Times New Roman"/>
                      <w:color w:val="auto"/>
                      <w:kern w:val="2"/>
                      <w:sz w:val="21"/>
                      <w:szCs w:val="21"/>
                      <w:lang w:val="zh-CN" w:eastAsia="zh-CN"/>
                    </w:rPr>
                  </w:pPr>
                  <w:r>
                    <w:rPr>
                      <w:rFonts w:hint="eastAsia" w:ascii="Times New Roman" w:hAnsi="Times New Roman" w:eastAsia="Calibri" w:cs="Times New Roman"/>
                      <w:color w:val="auto"/>
                      <w:kern w:val="2"/>
                      <w:sz w:val="21"/>
                      <w:szCs w:val="21"/>
                      <w:lang w:val="en-US" w:eastAsia="zh-CN"/>
                    </w:rPr>
                    <w:t>切纸机</w:t>
                  </w:r>
                </w:p>
              </w:tc>
              <w:tc>
                <w:tcPr>
                  <w:tcW w:w="1487" w:type="dxa"/>
                  <w:tcBorders>
                    <w:tl2br w:val="nil"/>
                    <w:tr2bl w:val="nil"/>
                  </w:tcBorders>
                  <w:noWrap w:val="0"/>
                  <w:vAlign w:val="center"/>
                </w:tcPr>
                <w:p w14:paraId="049A2138">
                  <w:pPr>
                    <w:spacing w:line="240" w:lineRule="auto"/>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SQZK137S16</w:t>
                  </w:r>
                </w:p>
              </w:tc>
              <w:tc>
                <w:tcPr>
                  <w:tcW w:w="1139" w:type="dxa"/>
                  <w:tcBorders>
                    <w:tl2br w:val="nil"/>
                    <w:tr2bl w:val="nil"/>
                  </w:tcBorders>
                  <w:noWrap w:val="0"/>
                  <w:vAlign w:val="center"/>
                </w:tcPr>
                <w:p w14:paraId="06838592">
                  <w:pPr>
                    <w:spacing w:line="240" w:lineRule="auto"/>
                    <w:jc w:val="center"/>
                    <w:rPr>
                      <w:rFonts w:hint="default" w:ascii="Times New Roman" w:hAnsi="Times New Roman" w:eastAsia="宋体" w:cs="Times New Roman"/>
                      <w:bCs/>
                      <w:color w:val="auto"/>
                      <w:spacing w:val="-2"/>
                      <w:sz w:val="21"/>
                      <w:szCs w:val="21"/>
                      <w:lang w:val="en-US" w:eastAsia="zh-CN"/>
                    </w:rPr>
                  </w:pPr>
                  <w:r>
                    <w:rPr>
                      <w:rFonts w:hint="eastAsia" w:cs="Times New Roman"/>
                      <w:color w:val="auto"/>
                      <w:sz w:val="21"/>
                      <w:szCs w:val="21"/>
                      <w:lang w:val="en-US" w:eastAsia="zh-CN"/>
                    </w:rPr>
                    <w:t>0</w:t>
                  </w:r>
                </w:p>
              </w:tc>
              <w:tc>
                <w:tcPr>
                  <w:tcW w:w="1200" w:type="dxa"/>
                  <w:tcBorders>
                    <w:tl2br w:val="nil"/>
                    <w:tr2bl w:val="nil"/>
                  </w:tcBorders>
                  <w:noWrap w:val="0"/>
                  <w:vAlign w:val="center"/>
                </w:tcPr>
                <w:p w14:paraId="1569E0C9">
                  <w:pPr>
                    <w:spacing w:line="240" w:lineRule="auto"/>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2</w:t>
                  </w:r>
                </w:p>
              </w:tc>
              <w:tc>
                <w:tcPr>
                  <w:tcW w:w="741" w:type="dxa"/>
                  <w:tcBorders>
                    <w:tl2br w:val="nil"/>
                    <w:tr2bl w:val="nil"/>
                  </w:tcBorders>
                  <w:noWrap w:val="0"/>
                  <w:vAlign w:val="center"/>
                </w:tcPr>
                <w:p w14:paraId="630A0F73">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eastAsiaTheme="minorEastAsia"/>
                      <w:color w:val="auto"/>
                      <w:kern w:val="2"/>
                      <w:sz w:val="21"/>
                      <w:szCs w:val="21"/>
                      <w:lang w:val="en-US" w:eastAsia="zh-CN"/>
                    </w:rPr>
                    <w:t>+</w:t>
                  </w:r>
                  <w:r>
                    <w:rPr>
                      <w:rFonts w:hint="eastAsia" w:ascii="Times New Roman" w:hAnsi="Times New Roman" w:cs="Times New Roman" w:eastAsiaTheme="minorEastAsia"/>
                      <w:color w:val="auto"/>
                      <w:kern w:val="2"/>
                      <w:sz w:val="21"/>
                      <w:szCs w:val="21"/>
                      <w:lang w:val="en-US" w:eastAsia="zh-CN"/>
                    </w:rPr>
                    <w:t>2</w:t>
                  </w:r>
                </w:p>
              </w:tc>
              <w:tc>
                <w:tcPr>
                  <w:tcW w:w="1586" w:type="dxa"/>
                  <w:tcBorders>
                    <w:tl2br w:val="nil"/>
                    <w:tr2bl w:val="nil"/>
                  </w:tcBorders>
                  <w:noWrap w:val="0"/>
                  <w:vAlign w:val="center"/>
                </w:tcPr>
                <w:p w14:paraId="0DCB5C96">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切纸（切原辅料）</w:t>
                  </w:r>
                </w:p>
              </w:tc>
            </w:tr>
            <w:tr w14:paraId="44075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642" w:type="dxa"/>
                  <w:tcBorders>
                    <w:tl2br w:val="nil"/>
                    <w:tr2bl w:val="nil"/>
                  </w:tcBorders>
                  <w:noWrap w:val="0"/>
                  <w:vAlign w:val="center"/>
                </w:tcPr>
                <w:p w14:paraId="125D8C1E">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p>
              </w:tc>
              <w:tc>
                <w:tcPr>
                  <w:tcW w:w="1658" w:type="dxa"/>
                  <w:gridSpan w:val="2"/>
                  <w:tcBorders>
                    <w:tl2br w:val="nil"/>
                    <w:tr2bl w:val="nil"/>
                  </w:tcBorders>
                  <w:noWrap w:val="0"/>
                  <w:vAlign w:val="center"/>
                </w:tcPr>
                <w:p w14:paraId="393A9BFA">
                  <w:pPr>
                    <w:spacing w:line="240" w:lineRule="auto"/>
                    <w:jc w:val="center"/>
                    <w:rPr>
                      <w:rFonts w:hint="default" w:ascii="Times New Roman" w:hAnsi="Times New Roman" w:eastAsia="Calibri" w:cs="Times New Roman"/>
                      <w:color w:val="auto"/>
                      <w:kern w:val="2"/>
                      <w:sz w:val="21"/>
                      <w:szCs w:val="21"/>
                      <w:lang w:val="zh-CN" w:eastAsia="zh-CN"/>
                    </w:rPr>
                  </w:pPr>
                  <w:r>
                    <w:rPr>
                      <w:rFonts w:hint="eastAsia"/>
                      <w:color w:val="auto"/>
                      <w:kern w:val="0"/>
                      <w:szCs w:val="21"/>
                      <w:lang w:bidi="ar"/>
                    </w:rPr>
                    <w:t>全自动包装生产线</w:t>
                  </w:r>
                </w:p>
              </w:tc>
              <w:tc>
                <w:tcPr>
                  <w:tcW w:w="1487" w:type="dxa"/>
                  <w:tcBorders>
                    <w:tl2br w:val="nil"/>
                    <w:tr2bl w:val="nil"/>
                  </w:tcBorders>
                  <w:noWrap w:val="0"/>
                  <w:vAlign w:val="center"/>
                </w:tcPr>
                <w:p w14:paraId="07683173">
                  <w:pPr>
                    <w:spacing w:line="240" w:lineRule="auto"/>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QFM-600B</w:t>
                  </w:r>
                </w:p>
              </w:tc>
              <w:tc>
                <w:tcPr>
                  <w:tcW w:w="1139" w:type="dxa"/>
                  <w:tcBorders>
                    <w:tl2br w:val="nil"/>
                    <w:tr2bl w:val="nil"/>
                  </w:tcBorders>
                  <w:noWrap w:val="0"/>
                  <w:vAlign w:val="center"/>
                </w:tcPr>
                <w:p w14:paraId="10D325F7">
                  <w:pPr>
                    <w:spacing w:line="240" w:lineRule="auto"/>
                    <w:jc w:val="center"/>
                    <w:rPr>
                      <w:rFonts w:hint="default" w:ascii="Times New Roman" w:hAnsi="Times New Roman" w:eastAsia="宋体" w:cs="Times New Roman"/>
                      <w:bCs/>
                      <w:color w:val="auto"/>
                      <w:spacing w:val="-2"/>
                      <w:sz w:val="21"/>
                      <w:szCs w:val="21"/>
                      <w:lang w:val="en-US" w:eastAsia="zh-CN"/>
                    </w:rPr>
                  </w:pPr>
                  <w:r>
                    <w:rPr>
                      <w:rFonts w:hint="eastAsia" w:cs="Times New Roman"/>
                      <w:color w:val="auto"/>
                      <w:sz w:val="21"/>
                      <w:szCs w:val="21"/>
                      <w:lang w:val="en-US" w:eastAsia="zh-CN"/>
                    </w:rPr>
                    <w:t>0</w:t>
                  </w:r>
                </w:p>
              </w:tc>
              <w:tc>
                <w:tcPr>
                  <w:tcW w:w="1200" w:type="dxa"/>
                  <w:tcBorders>
                    <w:tl2br w:val="nil"/>
                    <w:tr2bl w:val="nil"/>
                  </w:tcBorders>
                  <w:noWrap w:val="0"/>
                  <w:vAlign w:val="center"/>
                </w:tcPr>
                <w:p w14:paraId="24D4235C">
                  <w:pPr>
                    <w:spacing w:line="240" w:lineRule="auto"/>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3</w:t>
                  </w:r>
                </w:p>
              </w:tc>
              <w:tc>
                <w:tcPr>
                  <w:tcW w:w="741" w:type="dxa"/>
                  <w:tcBorders>
                    <w:tl2br w:val="nil"/>
                    <w:tr2bl w:val="nil"/>
                  </w:tcBorders>
                  <w:noWrap w:val="0"/>
                  <w:vAlign w:val="center"/>
                </w:tcPr>
                <w:p w14:paraId="49DF4B7D">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eastAsiaTheme="minorEastAsia"/>
                      <w:color w:val="auto"/>
                      <w:kern w:val="2"/>
                      <w:sz w:val="21"/>
                      <w:szCs w:val="21"/>
                      <w:lang w:val="en-US" w:eastAsia="zh-CN"/>
                    </w:rPr>
                    <w:t>+</w:t>
                  </w:r>
                  <w:r>
                    <w:rPr>
                      <w:rFonts w:hint="eastAsia" w:ascii="Times New Roman" w:hAnsi="Times New Roman" w:cs="Times New Roman" w:eastAsiaTheme="minorEastAsia"/>
                      <w:color w:val="auto"/>
                      <w:kern w:val="2"/>
                      <w:sz w:val="21"/>
                      <w:szCs w:val="21"/>
                      <w:lang w:val="en-US" w:eastAsia="zh-CN"/>
                    </w:rPr>
                    <w:t>3</w:t>
                  </w:r>
                </w:p>
              </w:tc>
              <w:tc>
                <w:tcPr>
                  <w:tcW w:w="1586" w:type="dxa"/>
                  <w:tcBorders>
                    <w:tl2br w:val="nil"/>
                    <w:tr2bl w:val="nil"/>
                  </w:tcBorders>
                  <w:noWrap w:val="0"/>
                  <w:vAlign w:val="center"/>
                </w:tcPr>
                <w:p w14:paraId="1ED73378">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裱糊成型生产线</w:t>
                  </w:r>
                </w:p>
              </w:tc>
            </w:tr>
            <w:tr w14:paraId="293DA2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642" w:type="dxa"/>
                  <w:tcBorders>
                    <w:tl2br w:val="nil"/>
                    <w:tr2bl w:val="nil"/>
                  </w:tcBorders>
                  <w:noWrap w:val="0"/>
                  <w:vAlign w:val="center"/>
                </w:tcPr>
                <w:p w14:paraId="14E6C3EE">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w:t>
                  </w:r>
                </w:p>
              </w:tc>
              <w:tc>
                <w:tcPr>
                  <w:tcW w:w="1658" w:type="dxa"/>
                  <w:gridSpan w:val="2"/>
                  <w:tcBorders>
                    <w:tl2br w:val="nil"/>
                    <w:tr2bl w:val="nil"/>
                  </w:tcBorders>
                  <w:noWrap w:val="0"/>
                  <w:vAlign w:val="center"/>
                </w:tcPr>
                <w:p w14:paraId="1348E403">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eastAsia="Calibri" w:cs="Times New Roman"/>
                      <w:color w:val="auto"/>
                      <w:kern w:val="2"/>
                      <w:sz w:val="21"/>
                      <w:szCs w:val="21"/>
                      <w:lang w:val="en-US" w:eastAsia="zh-CN"/>
                    </w:rPr>
                    <w:t>人工组装生产线</w:t>
                  </w:r>
                </w:p>
              </w:tc>
              <w:tc>
                <w:tcPr>
                  <w:tcW w:w="1487" w:type="dxa"/>
                  <w:tcBorders>
                    <w:tl2br w:val="nil"/>
                    <w:tr2bl w:val="nil"/>
                  </w:tcBorders>
                  <w:noWrap w:val="0"/>
                  <w:vAlign w:val="center"/>
                </w:tcPr>
                <w:p w14:paraId="012C56AB">
                  <w:pPr>
                    <w:spacing w:line="240" w:lineRule="auto"/>
                    <w:jc w:val="center"/>
                    <w:rPr>
                      <w:rFonts w:hint="default" w:ascii="Times New Roman" w:hAnsi="Times New Roman" w:cs="Times New Roman" w:eastAsiaTheme="minorEastAsia"/>
                      <w:color w:val="auto"/>
                      <w:kern w:val="2"/>
                      <w:sz w:val="21"/>
                      <w:szCs w:val="21"/>
                      <w:lang w:val="en-US" w:eastAsia="zh-CN"/>
                    </w:rPr>
                  </w:pPr>
                  <w:r>
                    <w:rPr>
                      <w:rFonts w:hint="eastAsia" w:cs="Times New Roman"/>
                      <w:color w:val="auto"/>
                      <w:sz w:val="21"/>
                      <w:szCs w:val="21"/>
                      <w:lang w:val="en-US" w:eastAsia="zh-CN"/>
                    </w:rPr>
                    <w:t>/</w:t>
                  </w:r>
                </w:p>
              </w:tc>
              <w:tc>
                <w:tcPr>
                  <w:tcW w:w="1139" w:type="dxa"/>
                  <w:tcBorders>
                    <w:tl2br w:val="nil"/>
                    <w:tr2bl w:val="nil"/>
                  </w:tcBorders>
                  <w:noWrap w:val="0"/>
                  <w:vAlign w:val="center"/>
                </w:tcPr>
                <w:p w14:paraId="680CBCFE">
                  <w:pPr>
                    <w:spacing w:line="240" w:lineRule="auto"/>
                    <w:jc w:val="center"/>
                    <w:rPr>
                      <w:rFonts w:hint="default" w:ascii="Times New Roman" w:hAnsi="Times New Roman" w:eastAsia="宋体" w:cs="Times New Roman"/>
                      <w:bCs/>
                      <w:color w:val="auto"/>
                      <w:spacing w:val="-2"/>
                      <w:sz w:val="21"/>
                      <w:szCs w:val="21"/>
                      <w:lang w:val="en-US" w:eastAsia="zh-CN"/>
                    </w:rPr>
                  </w:pPr>
                  <w:r>
                    <w:rPr>
                      <w:rFonts w:hint="eastAsia" w:cs="Times New Roman"/>
                      <w:color w:val="auto"/>
                      <w:sz w:val="21"/>
                      <w:szCs w:val="21"/>
                      <w:lang w:val="en-US" w:eastAsia="zh-CN"/>
                    </w:rPr>
                    <w:t>0</w:t>
                  </w:r>
                </w:p>
              </w:tc>
              <w:tc>
                <w:tcPr>
                  <w:tcW w:w="1200" w:type="dxa"/>
                  <w:tcBorders>
                    <w:tl2br w:val="nil"/>
                    <w:tr2bl w:val="nil"/>
                  </w:tcBorders>
                  <w:noWrap w:val="0"/>
                  <w:vAlign w:val="center"/>
                </w:tcPr>
                <w:p w14:paraId="0B1B9181">
                  <w:pPr>
                    <w:spacing w:line="240" w:lineRule="auto"/>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2</w:t>
                  </w:r>
                </w:p>
              </w:tc>
              <w:tc>
                <w:tcPr>
                  <w:tcW w:w="741" w:type="dxa"/>
                  <w:tcBorders>
                    <w:tl2br w:val="nil"/>
                    <w:tr2bl w:val="nil"/>
                  </w:tcBorders>
                  <w:noWrap w:val="0"/>
                  <w:vAlign w:val="center"/>
                </w:tcPr>
                <w:p w14:paraId="4EF39776">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eastAsiaTheme="minorEastAsia"/>
                      <w:color w:val="auto"/>
                      <w:kern w:val="2"/>
                      <w:sz w:val="21"/>
                      <w:szCs w:val="21"/>
                      <w:lang w:val="en-US" w:eastAsia="zh-CN"/>
                    </w:rPr>
                    <w:t>+</w:t>
                  </w:r>
                  <w:r>
                    <w:rPr>
                      <w:rFonts w:hint="eastAsia" w:ascii="Times New Roman" w:hAnsi="Times New Roman" w:cs="Times New Roman" w:eastAsiaTheme="minorEastAsia"/>
                      <w:color w:val="auto"/>
                      <w:kern w:val="2"/>
                      <w:sz w:val="21"/>
                      <w:szCs w:val="21"/>
                      <w:lang w:val="en-US" w:eastAsia="zh-CN"/>
                    </w:rPr>
                    <w:t>2</w:t>
                  </w:r>
                </w:p>
              </w:tc>
              <w:tc>
                <w:tcPr>
                  <w:tcW w:w="1586" w:type="dxa"/>
                  <w:tcBorders>
                    <w:tl2br w:val="nil"/>
                    <w:tr2bl w:val="nil"/>
                  </w:tcBorders>
                  <w:noWrap w:val="0"/>
                  <w:vAlign w:val="center"/>
                </w:tcPr>
                <w:p w14:paraId="45C5C18D">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人工组织</w:t>
                  </w:r>
                </w:p>
              </w:tc>
            </w:tr>
            <w:tr w14:paraId="6F818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642" w:type="dxa"/>
                  <w:tcBorders>
                    <w:tl2br w:val="nil"/>
                    <w:tr2bl w:val="nil"/>
                  </w:tcBorders>
                  <w:noWrap w:val="0"/>
                  <w:vAlign w:val="center"/>
                </w:tcPr>
                <w:p w14:paraId="5B583339">
                  <w:pPr>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23</w:t>
                  </w:r>
                </w:p>
              </w:tc>
              <w:tc>
                <w:tcPr>
                  <w:tcW w:w="1658" w:type="dxa"/>
                  <w:gridSpan w:val="2"/>
                  <w:tcBorders>
                    <w:tl2br w:val="nil"/>
                    <w:tr2bl w:val="nil"/>
                  </w:tcBorders>
                  <w:noWrap w:val="0"/>
                  <w:vAlign w:val="center"/>
                </w:tcPr>
                <w:p w14:paraId="154E8E17">
                  <w:pPr>
                    <w:spacing w:line="240" w:lineRule="auto"/>
                    <w:jc w:val="center"/>
                    <w:rPr>
                      <w:rFonts w:hint="default" w:ascii="Times New Roman" w:hAnsi="Times New Roman" w:eastAsia="Calibri" w:cs="Times New Roman"/>
                      <w:color w:val="auto"/>
                      <w:kern w:val="2"/>
                      <w:sz w:val="21"/>
                      <w:szCs w:val="21"/>
                      <w:highlight w:val="none"/>
                      <w:lang w:val="zh-CN" w:eastAsia="zh-CN"/>
                    </w:rPr>
                  </w:pPr>
                  <w:r>
                    <w:rPr>
                      <w:rFonts w:hint="eastAsia" w:ascii="Times New Roman" w:hAnsi="Times New Roman" w:eastAsia="Calibri" w:cs="Times New Roman"/>
                      <w:color w:val="auto"/>
                      <w:kern w:val="2"/>
                      <w:sz w:val="21"/>
                      <w:szCs w:val="21"/>
                      <w:highlight w:val="none"/>
                      <w:lang w:val="en-US" w:eastAsia="zh-CN"/>
                    </w:rPr>
                    <w:t>印刷打样机</w:t>
                  </w:r>
                </w:p>
              </w:tc>
              <w:tc>
                <w:tcPr>
                  <w:tcW w:w="1487" w:type="dxa"/>
                  <w:tcBorders>
                    <w:tl2br w:val="nil"/>
                    <w:tr2bl w:val="nil"/>
                  </w:tcBorders>
                  <w:noWrap w:val="0"/>
                  <w:vAlign w:val="center"/>
                </w:tcPr>
                <w:p w14:paraId="4B1F1CC6">
                  <w:pPr>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eastAsiaTheme="minorEastAsia"/>
                      <w:color w:val="auto"/>
                      <w:kern w:val="2"/>
                      <w:sz w:val="21"/>
                      <w:szCs w:val="21"/>
                      <w:highlight w:val="none"/>
                      <w:lang w:val="en-US" w:eastAsia="zh-CN"/>
                    </w:rPr>
                    <w:t>KF-123-GL</w:t>
                  </w:r>
                </w:p>
              </w:tc>
              <w:tc>
                <w:tcPr>
                  <w:tcW w:w="1139" w:type="dxa"/>
                  <w:tcBorders>
                    <w:tl2br w:val="nil"/>
                    <w:tr2bl w:val="nil"/>
                  </w:tcBorders>
                  <w:noWrap w:val="0"/>
                  <w:vAlign w:val="center"/>
                </w:tcPr>
                <w:p w14:paraId="14F6372B">
                  <w:pPr>
                    <w:spacing w:line="240" w:lineRule="auto"/>
                    <w:jc w:val="center"/>
                    <w:rPr>
                      <w:rFonts w:hint="default" w:ascii="Times New Roman" w:hAnsi="Times New Roman" w:eastAsia="宋体" w:cs="Times New Roman"/>
                      <w:bCs/>
                      <w:color w:val="auto"/>
                      <w:spacing w:val="-2"/>
                      <w:sz w:val="21"/>
                      <w:szCs w:val="21"/>
                      <w:highlight w:val="none"/>
                      <w:lang w:val="en-US" w:eastAsia="zh-CN"/>
                    </w:rPr>
                  </w:pPr>
                  <w:r>
                    <w:rPr>
                      <w:rFonts w:hint="eastAsia" w:cs="Times New Roman"/>
                      <w:color w:val="auto"/>
                      <w:sz w:val="21"/>
                      <w:szCs w:val="21"/>
                      <w:highlight w:val="none"/>
                      <w:lang w:val="en-US" w:eastAsia="zh-CN"/>
                    </w:rPr>
                    <w:t>0</w:t>
                  </w:r>
                </w:p>
              </w:tc>
              <w:tc>
                <w:tcPr>
                  <w:tcW w:w="1200" w:type="dxa"/>
                  <w:tcBorders>
                    <w:tl2br w:val="nil"/>
                    <w:tr2bl w:val="nil"/>
                  </w:tcBorders>
                  <w:noWrap w:val="0"/>
                  <w:vAlign w:val="center"/>
                </w:tcPr>
                <w:p w14:paraId="3DE01F4A">
                  <w:pPr>
                    <w:spacing w:line="240" w:lineRule="auto"/>
                    <w:jc w:val="center"/>
                    <w:rPr>
                      <w:rFonts w:hint="default" w:ascii="Times New Roman" w:hAnsi="Times New Roman" w:cs="Times New Roman" w:eastAsiaTheme="minorEastAsia"/>
                      <w:color w:val="auto"/>
                      <w:kern w:val="2"/>
                      <w:sz w:val="21"/>
                      <w:szCs w:val="21"/>
                      <w:highlight w:val="none"/>
                      <w:lang w:val="en-US" w:eastAsia="zh-CN"/>
                    </w:rPr>
                  </w:pPr>
                  <w:r>
                    <w:rPr>
                      <w:rFonts w:hint="eastAsia" w:ascii="Times New Roman" w:hAnsi="Times New Roman" w:cs="Times New Roman" w:eastAsiaTheme="minorEastAsia"/>
                      <w:color w:val="auto"/>
                      <w:kern w:val="2"/>
                      <w:sz w:val="21"/>
                      <w:szCs w:val="21"/>
                      <w:highlight w:val="none"/>
                      <w:lang w:val="en-US" w:eastAsia="zh-CN"/>
                    </w:rPr>
                    <w:t>1</w:t>
                  </w:r>
                </w:p>
              </w:tc>
              <w:tc>
                <w:tcPr>
                  <w:tcW w:w="741" w:type="dxa"/>
                  <w:tcBorders>
                    <w:tl2br w:val="nil"/>
                    <w:tr2bl w:val="nil"/>
                  </w:tcBorders>
                  <w:noWrap w:val="0"/>
                  <w:vAlign w:val="center"/>
                </w:tcPr>
                <w:p w14:paraId="40AC73D9">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eastAsiaTheme="minorEastAsia"/>
                      <w:color w:val="auto"/>
                      <w:kern w:val="2"/>
                      <w:sz w:val="21"/>
                      <w:szCs w:val="21"/>
                      <w:highlight w:val="none"/>
                      <w:lang w:val="en-US" w:eastAsia="zh-CN"/>
                    </w:rPr>
                    <w:t>+</w:t>
                  </w:r>
                  <w:r>
                    <w:rPr>
                      <w:rFonts w:hint="eastAsia" w:ascii="Times New Roman" w:hAnsi="Times New Roman" w:cs="Times New Roman" w:eastAsiaTheme="minorEastAsia"/>
                      <w:color w:val="auto"/>
                      <w:kern w:val="2"/>
                      <w:sz w:val="21"/>
                      <w:szCs w:val="21"/>
                      <w:highlight w:val="none"/>
                      <w:lang w:val="en-US" w:eastAsia="zh-CN"/>
                    </w:rPr>
                    <w:t>1</w:t>
                  </w:r>
                </w:p>
              </w:tc>
              <w:tc>
                <w:tcPr>
                  <w:tcW w:w="1586" w:type="dxa"/>
                  <w:tcBorders>
                    <w:tl2br w:val="nil"/>
                    <w:tr2bl w:val="nil"/>
                  </w:tcBorders>
                  <w:noWrap w:val="0"/>
                  <w:vAlign w:val="center"/>
                </w:tcPr>
                <w:p w14:paraId="17573472">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打样</w:t>
                  </w:r>
                </w:p>
              </w:tc>
            </w:tr>
            <w:tr w14:paraId="73556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42" w:type="dxa"/>
                  <w:tcBorders>
                    <w:tl2br w:val="nil"/>
                    <w:tr2bl w:val="nil"/>
                  </w:tcBorders>
                  <w:noWrap w:val="0"/>
                  <w:vAlign w:val="center"/>
                </w:tcPr>
                <w:p w14:paraId="0055868D">
                  <w:pPr>
                    <w:spacing w:line="240" w:lineRule="auto"/>
                    <w:ind w:left="0" w:lef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lang w:val="en-US" w:eastAsia="zh-CN"/>
                    </w:rPr>
                    <w:t>25</w:t>
                  </w:r>
                </w:p>
              </w:tc>
              <w:tc>
                <w:tcPr>
                  <w:tcW w:w="898" w:type="dxa"/>
                  <w:tcBorders>
                    <w:tl2br w:val="nil"/>
                    <w:tr2bl w:val="nil"/>
                  </w:tcBorders>
                  <w:noWrap w:val="0"/>
                  <w:vAlign w:val="center"/>
                </w:tcPr>
                <w:p w14:paraId="08E00FC8">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环保设备</w:t>
                  </w:r>
                </w:p>
              </w:tc>
              <w:tc>
                <w:tcPr>
                  <w:tcW w:w="760" w:type="dxa"/>
                  <w:tcBorders>
                    <w:tl2br w:val="nil"/>
                    <w:tr2bl w:val="nil"/>
                  </w:tcBorders>
                  <w:noWrap w:val="0"/>
                  <w:vAlign w:val="center"/>
                </w:tcPr>
                <w:p w14:paraId="0B1D5D4B">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两级活性炭</w:t>
                  </w:r>
                </w:p>
              </w:tc>
              <w:tc>
                <w:tcPr>
                  <w:tcW w:w="1487" w:type="dxa"/>
                  <w:tcBorders>
                    <w:tl2br w:val="nil"/>
                    <w:tr2bl w:val="nil"/>
                  </w:tcBorders>
                  <w:noWrap w:val="0"/>
                  <w:vAlign w:val="center"/>
                </w:tcPr>
                <w:p w14:paraId="7564FD9F">
                  <w:pPr>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139" w:type="dxa"/>
                  <w:tcBorders>
                    <w:tl2br w:val="nil"/>
                    <w:tr2bl w:val="nil"/>
                  </w:tcBorders>
                  <w:noWrap w:val="0"/>
                  <w:vAlign w:val="center"/>
                </w:tcPr>
                <w:p w14:paraId="73B68816">
                  <w:pPr>
                    <w:spacing w:line="240" w:lineRule="auto"/>
                    <w:jc w:val="center"/>
                    <w:rPr>
                      <w:rFonts w:hint="default" w:ascii="Times New Roman" w:hAnsi="Times New Roman" w:eastAsia="宋体" w:cs="Times New Roman"/>
                      <w:bCs/>
                      <w:color w:val="auto"/>
                      <w:spacing w:val="-2"/>
                      <w:sz w:val="21"/>
                      <w:szCs w:val="21"/>
                      <w:highlight w:val="none"/>
                      <w:lang w:val="en-US" w:eastAsia="zh-CN"/>
                    </w:rPr>
                  </w:pPr>
                  <w:r>
                    <w:rPr>
                      <w:rFonts w:hint="eastAsia" w:cs="Times New Roman"/>
                      <w:bCs/>
                      <w:color w:val="auto"/>
                      <w:spacing w:val="-2"/>
                      <w:sz w:val="21"/>
                      <w:szCs w:val="21"/>
                      <w:highlight w:val="none"/>
                      <w:lang w:val="en-US" w:eastAsia="zh-CN"/>
                    </w:rPr>
                    <w:t>1</w:t>
                  </w:r>
                </w:p>
              </w:tc>
              <w:tc>
                <w:tcPr>
                  <w:tcW w:w="1200" w:type="dxa"/>
                  <w:tcBorders>
                    <w:tl2br w:val="nil"/>
                    <w:tr2bl w:val="nil"/>
                  </w:tcBorders>
                  <w:noWrap w:val="0"/>
                  <w:vAlign w:val="center"/>
                </w:tcPr>
                <w:p w14:paraId="105E9108">
                  <w:pPr>
                    <w:spacing w:line="240" w:lineRule="auto"/>
                    <w:jc w:val="center"/>
                    <w:rPr>
                      <w:rFonts w:hint="default" w:ascii="Times New Roman" w:hAnsi="Times New Roman" w:eastAsia="宋体" w:cs="Times New Roman"/>
                      <w:bCs/>
                      <w:color w:val="auto"/>
                      <w:spacing w:val="-2"/>
                      <w:sz w:val="21"/>
                      <w:szCs w:val="21"/>
                      <w:highlight w:val="none"/>
                      <w:lang w:val="en-US" w:eastAsia="zh-CN"/>
                    </w:rPr>
                  </w:pPr>
                  <w:r>
                    <w:rPr>
                      <w:rFonts w:hint="eastAsia" w:cs="Times New Roman"/>
                      <w:bCs/>
                      <w:color w:val="auto"/>
                      <w:spacing w:val="-2"/>
                      <w:sz w:val="21"/>
                      <w:szCs w:val="21"/>
                      <w:highlight w:val="none"/>
                      <w:lang w:val="en-US" w:eastAsia="zh-CN"/>
                    </w:rPr>
                    <w:t>3</w:t>
                  </w:r>
                </w:p>
              </w:tc>
              <w:tc>
                <w:tcPr>
                  <w:tcW w:w="741" w:type="dxa"/>
                  <w:tcBorders>
                    <w:tl2br w:val="nil"/>
                    <w:tr2bl w:val="nil"/>
                  </w:tcBorders>
                  <w:noWrap w:val="0"/>
                  <w:vAlign w:val="center"/>
                </w:tcPr>
                <w:p w14:paraId="0497C472">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586" w:type="dxa"/>
                  <w:tcBorders>
                    <w:tl2br w:val="nil"/>
                    <w:tr2bl w:val="nil"/>
                  </w:tcBorders>
                  <w:noWrap w:val="0"/>
                  <w:vAlign w:val="center"/>
                </w:tcPr>
                <w:p w14:paraId="100670A9">
                  <w:pPr>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有机废气处理</w:t>
                  </w:r>
                </w:p>
              </w:tc>
            </w:tr>
          </w:tbl>
          <w:p w14:paraId="3E24C98F">
            <w:pPr>
              <w:numPr>
                <w:ilvl w:val="0"/>
                <w:numId w:val="0"/>
              </w:num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6.</w:t>
            </w:r>
            <w:r>
              <w:rPr>
                <w:rFonts w:hint="default" w:ascii="Times New Roman" w:hAnsi="Times New Roman" w:cs="Times New Roman"/>
                <w:b/>
                <w:bCs/>
                <w:color w:val="auto"/>
                <w:sz w:val="24"/>
              </w:rPr>
              <w:t>本项目</w:t>
            </w:r>
            <w:r>
              <w:rPr>
                <w:rFonts w:hint="default" w:ascii="Times New Roman" w:hAnsi="Times New Roman" w:cs="Times New Roman"/>
                <w:b/>
                <w:bCs/>
                <w:color w:val="auto"/>
                <w:sz w:val="24"/>
                <w:lang w:val="en-US" w:eastAsia="zh-CN"/>
              </w:rPr>
              <w:t>扩建</w:t>
            </w:r>
            <w:r>
              <w:rPr>
                <w:rFonts w:hint="default" w:ascii="Times New Roman" w:hAnsi="Times New Roman" w:cs="Times New Roman"/>
                <w:b/>
                <w:bCs/>
                <w:color w:val="auto"/>
                <w:sz w:val="24"/>
              </w:rPr>
              <w:t>前后主要原辅材料及燃料的种类和用量</w:t>
            </w:r>
          </w:p>
          <w:p w14:paraId="3D18BBD7">
            <w:pPr>
              <w:keepNext w:val="0"/>
              <w:keepLines w:val="0"/>
              <w:numPr>
                <w:ilvl w:val="0"/>
                <w:numId w:val="0"/>
              </w:numPr>
              <w:suppressLineNumbers w:val="0"/>
              <w:spacing w:before="0" w:beforeAutospacing="0" w:after="0" w:afterAutospacing="0" w:line="360" w:lineRule="auto"/>
              <w:ind w:left="0" w:right="0"/>
              <w:rPr>
                <w:rFonts w:hint="default" w:ascii="Times New Roman" w:hAnsi="Times New Roman" w:eastAsia="宋体" w:cs="Times New Roman"/>
                <w:b/>
                <w:color w:val="auto"/>
                <w:sz w:val="24"/>
              </w:rPr>
            </w:pPr>
            <w:bookmarkStart w:id="26" w:name="_Hlk136425609"/>
            <w:r>
              <w:rPr>
                <w:rFonts w:hint="default" w:ascii="Times New Roman" w:hAnsi="Times New Roman" w:eastAsia="宋体" w:cs="Times New Roman"/>
                <w:b/>
                <w:color w:val="auto"/>
                <w:sz w:val="24"/>
                <w:lang w:val="en-US" w:eastAsia="zh-CN"/>
              </w:rPr>
              <w:t>6.1</w:t>
            </w:r>
            <w:r>
              <w:rPr>
                <w:rFonts w:hint="default" w:ascii="Times New Roman" w:hAnsi="Times New Roman" w:eastAsia="宋体" w:cs="Times New Roman"/>
                <w:b/>
                <w:color w:val="auto"/>
                <w:sz w:val="24"/>
              </w:rPr>
              <w:t>原辅材料及</w:t>
            </w:r>
            <w:r>
              <w:rPr>
                <w:rFonts w:hint="default" w:ascii="Times New Roman" w:hAnsi="Times New Roman" w:eastAsia="宋体" w:cs="Times New Roman"/>
                <w:b/>
                <w:bCs/>
                <w:color w:val="auto"/>
                <w:sz w:val="24"/>
              </w:rPr>
              <w:t>能源消耗</w:t>
            </w:r>
          </w:p>
          <w:p w14:paraId="364A3E91">
            <w:pPr>
              <w:adjustRightInd w:val="0"/>
              <w:snapToGrid w:val="0"/>
              <w:spacing w:line="360" w:lineRule="auto"/>
              <w:ind w:left="422"/>
              <w:rPr>
                <w:color w:val="auto"/>
                <w:sz w:val="24"/>
              </w:rPr>
            </w:pPr>
            <w:r>
              <w:rPr>
                <w:rFonts w:hint="eastAsia"/>
                <w:color w:val="auto"/>
                <w:sz w:val="24"/>
              </w:rPr>
              <w:t>本</w:t>
            </w:r>
            <w:r>
              <w:rPr>
                <w:color w:val="auto"/>
                <w:sz w:val="24"/>
              </w:rPr>
              <w:t>项目</w:t>
            </w:r>
            <w:r>
              <w:rPr>
                <w:rFonts w:hint="eastAsia"/>
                <w:color w:val="auto"/>
                <w:sz w:val="24"/>
                <w:lang w:val="en-US" w:eastAsia="zh-CN"/>
              </w:rPr>
              <w:t>改扩建</w:t>
            </w:r>
            <w:r>
              <w:rPr>
                <w:rFonts w:hint="eastAsia"/>
                <w:color w:val="auto"/>
                <w:sz w:val="24"/>
              </w:rPr>
              <w:t>前后</w:t>
            </w:r>
            <w:r>
              <w:rPr>
                <w:color w:val="auto"/>
                <w:sz w:val="24"/>
              </w:rPr>
              <w:t>主要原辅材料及能源消耗详见</w:t>
            </w:r>
            <w:r>
              <w:rPr>
                <w:rFonts w:hint="eastAsia"/>
                <w:color w:val="auto"/>
                <w:sz w:val="24"/>
              </w:rPr>
              <w:t>下</w:t>
            </w:r>
            <w:r>
              <w:rPr>
                <w:color w:val="auto"/>
                <w:sz w:val="24"/>
              </w:rPr>
              <w:t>表</w:t>
            </w:r>
            <w:r>
              <w:rPr>
                <w:rFonts w:hint="eastAsia"/>
                <w:color w:val="auto"/>
                <w:sz w:val="24"/>
              </w:rPr>
              <w:t>：</w:t>
            </w:r>
          </w:p>
          <w:bookmarkEnd w:id="26"/>
          <w:p w14:paraId="55A25E3C">
            <w:pPr>
              <w:pStyle w:val="7"/>
              <w:widowControl/>
              <w:ind w:firstLine="422" w:firstLineChars="200"/>
              <w:jc w:val="center"/>
              <w:rPr>
                <w:rFonts w:ascii="Times New Roman" w:hAnsi="Times New Roman"/>
                <w:b/>
                <w:color w:val="auto"/>
                <w:sz w:val="21"/>
                <w:szCs w:val="21"/>
              </w:rPr>
            </w:pPr>
            <w:r>
              <w:rPr>
                <w:rFonts w:ascii="Times New Roman" w:hAnsi="Times New Roman"/>
                <w:b/>
                <w:color w:val="auto"/>
                <w:sz w:val="21"/>
                <w:szCs w:val="21"/>
              </w:rPr>
              <w:t xml:space="preserve">表2-5   </w:t>
            </w:r>
            <w:r>
              <w:rPr>
                <w:rFonts w:hint="eastAsia" w:ascii="Times New Roman" w:hAnsi="Times New Roman"/>
                <w:b/>
                <w:color w:val="auto"/>
                <w:sz w:val="21"/>
                <w:szCs w:val="21"/>
              </w:rPr>
              <w:t>本项目</w:t>
            </w:r>
            <w:r>
              <w:rPr>
                <w:rFonts w:hint="eastAsia" w:ascii="Times New Roman" w:hAnsi="Times New Roman"/>
                <w:b/>
                <w:color w:val="auto"/>
                <w:sz w:val="21"/>
                <w:szCs w:val="21"/>
                <w:lang w:val="en-US" w:eastAsia="zh-CN"/>
              </w:rPr>
              <w:t>改扩建</w:t>
            </w:r>
            <w:r>
              <w:rPr>
                <w:rFonts w:hint="eastAsia" w:ascii="Times New Roman" w:hAnsi="Times New Roman"/>
                <w:b/>
                <w:color w:val="auto"/>
                <w:sz w:val="21"/>
                <w:szCs w:val="21"/>
              </w:rPr>
              <w:t>前后</w:t>
            </w:r>
            <w:r>
              <w:rPr>
                <w:rFonts w:ascii="Times New Roman" w:hAnsi="Times New Roman"/>
                <w:b/>
                <w:color w:val="auto"/>
                <w:sz w:val="21"/>
                <w:szCs w:val="21"/>
              </w:rPr>
              <w:t>主要原辅材料及动力消耗一览表</w:t>
            </w:r>
          </w:p>
          <w:tbl>
            <w:tblPr>
              <w:tblStyle w:val="26"/>
              <w:tblW w:w="84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118"/>
              <w:gridCol w:w="755"/>
              <w:gridCol w:w="954"/>
              <w:gridCol w:w="964"/>
              <w:gridCol w:w="973"/>
              <w:gridCol w:w="1654"/>
              <w:gridCol w:w="1445"/>
            </w:tblGrid>
            <w:tr w14:paraId="633BC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92" w:type="dxa"/>
                  <w:tcBorders>
                    <w:tl2br w:val="nil"/>
                    <w:tr2bl w:val="nil"/>
                  </w:tcBorders>
                  <w:noWrap w:val="0"/>
                  <w:vAlign w:val="center"/>
                </w:tcPr>
                <w:p w14:paraId="3F9005C1">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类别</w:t>
                  </w:r>
                </w:p>
              </w:tc>
              <w:tc>
                <w:tcPr>
                  <w:tcW w:w="1118" w:type="dxa"/>
                  <w:tcBorders>
                    <w:tl2br w:val="nil"/>
                    <w:tr2bl w:val="nil"/>
                  </w:tcBorders>
                  <w:noWrap w:val="0"/>
                  <w:vAlign w:val="center"/>
                </w:tcPr>
                <w:p w14:paraId="61826685">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名称</w:t>
                  </w:r>
                </w:p>
              </w:tc>
              <w:tc>
                <w:tcPr>
                  <w:tcW w:w="755" w:type="dxa"/>
                  <w:tcBorders>
                    <w:tl2br w:val="nil"/>
                    <w:tr2bl w:val="nil"/>
                  </w:tcBorders>
                  <w:noWrap w:val="0"/>
                  <w:vAlign w:val="center"/>
                </w:tcPr>
                <w:p w14:paraId="22A802FD">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eastAsia="Calibri" w:cs="Times New Roman"/>
                      <w:color w:val="auto"/>
                      <w:kern w:val="2"/>
                      <w:sz w:val="21"/>
                      <w:szCs w:val="21"/>
                      <w:lang w:val="en-US" w:eastAsia="zh-CN"/>
                    </w:rPr>
                    <w:t>单位</w:t>
                  </w:r>
                </w:p>
              </w:tc>
              <w:tc>
                <w:tcPr>
                  <w:tcW w:w="954" w:type="dxa"/>
                  <w:tcBorders>
                    <w:tl2br w:val="nil"/>
                    <w:tr2bl w:val="nil"/>
                  </w:tcBorders>
                  <w:noWrap w:val="0"/>
                  <w:vAlign w:val="center"/>
                </w:tcPr>
                <w:p w14:paraId="3FEC9F09">
                  <w:pPr>
                    <w:jc w:val="center"/>
                    <w:rPr>
                      <w:rFonts w:hint="default" w:ascii="Times New Roman" w:hAnsi="Times New Roman" w:eastAsia="Calibri" w:cs="Times New Roman"/>
                      <w:color w:val="auto"/>
                      <w:kern w:val="2"/>
                      <w:sz w:val="21"/>
                      <w:szCs w:val="21"/>
                      <w:lang w:val="en-US" w:eastAsia="zh-CN"/>
                    </w:rPr>
                  </w:pPr>
                  <w:r>
                    <w:rPr>
                      <w:rFonts w:hint="eastAsia"/>
                      <w:b/>
                      <w:color w:val="auto"/>
                      <w:szCs w:val="21"/>
                      <w:lang w:val="en-US" w:eastAsia="zh-CN"/>
                    </w:rPr>
                    <w:t>扩建</w:t>
                  </w:r>
                  <w:r>
                    <w:rPr>
                      <w:b/>
                      <w:color w:val="auto"/>
                      <w:szCs w:val="21"/>
                    </w:rPr>
                    <w:t>前年耗量</w:t>
                  </w:r>
                </w:p>
              </w:tc>
              <w:tc>
                <w:tcPr>
                  <w:tcW w:w="964" w:type="dxa"/>
                  <w:tcBorders>
                    <w:tl2br w:val="nil"/>
                    <w:tr2bl w:val="nil"/>
                  </w:tcBorders>
                  <w:noWrap w:val="0"/>
                  <w:vAlign w:val="center"/>
                </w:tcPr>
                <w:p w14:paraId="0896F99E">
                  <w:pPr>
                    <w:jc w:val="center"/>
                    <w:rPr>
                      <w:rFonts w:hint="default" w:ascii="Times New Roman" w:hAnsi="Times New Roman" w:eastAsia="Calibri" w:cs="Times New Roman"/>
                      <w:color w:val="auto"/>
                      <w:kern w:val="2"/>
                      <w:sz w:val="21"/>
                      <w:szCs w:val="21"/>
                      <w:lang w:val="en-US" w:eastAsia="zh-CN"/>
                    </w:rPr>
                  </w:pPr>
                  <w:r>
                    <w:rPr>
                      <w:b/>
                      <w:color w:val="auto"/>
                      <w:szCs w:val="21"/>
                    </w:rPr>
                    <w:t>增减量</w:t>
                  </w:r>
                </w:p>
              </w:tc>
              <w:tc>
                <w:tcPr>
                  <w:tcW w:w="973" w:type="dxa"/>
                  <w:tcBorders>
                    <w:tl2br w:val="nil"/>
                    <w:tr2bl w:val="nil"/>
                  </w:tcBorders>
                  <w:noWrap w:val="0"/>
                  <w:vAlign w:val="center"/>
                </w:tcPr>
                <w:p w14:paraId="0B475E1D">
                  <w:pPr>
                    <w:jc w:val="center"/>
                    <w:rPr>
                      <w:rFonts w:hint="default" w:ascii="Times New Roman" w:hAnsi="Times New Roman" w:eastAsia="Calibri" w:cs="Times New Roman"/>
                      <w:color w:val="auto"/>
                      <w:kern w:val="2"/>
                      <w:sz w:val="21"/>
                      <w:szCs w:val="21"/>
                      <w:lang w:val="en-US" w:eastAsia="zh-CN"/>
                    </w:rPr>
                  </w:pPr>
                  <w:r>
                    <w:rPr>
                      <w:rFonts w:hint="eastAsia" w:cs="Times New Roman"/>
                      <w:b/>
                      <w:bCs/>
                      <w:color w:val="auto"/>
                      <w:kern w:val="0"/>
                      <w:sz w:val="21"/>
                      <w:szCs w:val="21"/>
                      <w:lang w:val="en-US" w:eastAsia="zh-CN"/>
                    </w:rPr>
                    <w:t>扩建</w:t>
                  </w:r>
                  <w:r>
                    <w:rPr>
                      <w:rFonts w:hint="eastAsia"/>
                      <w:b/>
                      <w:color w:val="auto"/>
                      <w:szCs w:val="21"/>
                    </w:rPr>
                    <w:t>后年用量</w:t>
                  </w:r>
                </w:p>
              </w:tc>
              <w:tc>
                <w:tcPr>
                  <w:tcW w:w="1654" w:type="dxa"/>
                  <w:tcBorders>
                    <w:tl2br w:val="nil"/>
                    <w:tr2bl w:val="nil"/>
                  </w:tcBorders>
                  <w:noWrap w:val="0"/>
                  <w:vAlign w:val="center"/>
                </w:tcPr>
                <w:p w14:paraId="535C0B8A">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规格</w:t>
                  </w:r>
                </w:p>
              </w:tc>
              <w:tc>
                <w:tcPr>
                  <w:tcW w:w="1445" w:type="dxa"/>
                  <w:tcBorders>
                    <w:tl2br w:val="nil"/>
                    <w:tr2bl w:val="nil"/>
                  </w:tcBorders>
                  <w:noWrap w:val="0"/>
                  <w:vAlign w:val="center"/>
                </w:tcPr>
                <w:p w14:paraId="2B7DFECA">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备注</w:t>
                  </w:r>
                </w:p>
              </w:tc>
            </w:tr>
            <w:tr w14:paraId="70827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33" w:hRule="atLeast"/>
                <w:jc w:val="center"/>
              </w:trPr>
              <w:tc>
                <w:tcPr>
                  <w:tcW w:w="592" w:type="dxa"/>
                  <w:vMerge w:val="restart"/>
                  <w:tcBorders>
                    <w:tl2br w:val="nil"/>
                    <w:tr2bl w:val="nil"/>
                  </w:tcBorders>
                  <w:noWrap w:val="0"/>
                  <w:vAlign w:val="center"/>
                </w:tcPr>
                <w:p w14:paraId="1C4B560B">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原辅材料</w:t>
                  </w:r>
                  <w:r>
                    <w:rPr>
                      <w:rFonts w:hint="eastAsia" w:cs="Times New Roman"/>
                      <w:b w:val="0"/>
                      <w:bCs/>
                      <w:color w:val="auto"/>
                      <w:sz w:val="21"/>
                      <w:szCs w:val="21"/>
                      <w:lang w:val="en-US" w:eastAsia="zh-CN"/>
                    </w:rPr>
                    <w:t>（1#车间）</w:t>
                  </w:r>
                </w:p>
              </w:tc>
              <w:tc>
                <w:tcPr>
                  <w:tcW w:w="1118" w:type="dxa"/>
                  <w:tcBorders>
                    <w:tl2br w:val="nil"/>
                    <w:tr2bl w:val="nil"/>
                  </w:tcBorders>
                  <w:noWrap w:val="0"/>
                  <w:vAlign w:val="center"/>
                </w:tcPr>
                <w:p w14:paraId="28792268">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rPr>
                    <w:t>PET</w:t>
                  </w:r>
                  <w:r>
                    <w:rPr>
                      <w:rFonts w:hint="default" w:ascii="Times New Roman" w:hAnsi="Times New Roman" w:cs="Times New Roman"/>
                      <w:color w:val="auto"/>
                      <w:kern w:val="2"/>
                      <w:sz w:val="21"/>
                      <w:szCs w:val="21"/>
                      <w:lang w:val="en-US" w:eastAsia="zh-CN"/>
                    </w:rPr>
                    <w:t>塑料</w:t>
                  </w:r>
                </w:p>
              </w:tc>
              <w:tc>
                <w:tcPr>
                  <w:tcW w:w="755" w:type="dxa"/>
                  <w:tcBorders>
                    <w:tl2br w:val="nil"/>
                    <w:tr2bl w:val="nil"/>
                  </w:tcBorders>
                  <w:noWrap w:val="0"/>
                  <w:vAlign w:val="center"/>
                </w:tcPr>
                <w:p w14:paraId="79E6C37F">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bCs/>
                      <w:color w:val="auto"/>
                      <w:szCs w:val="21"/>
                    </w:rPr>
                    <w:t>t/a</w:t>
                  </w:r>
                </w:p>
              </w:tc>
              <w:tc>
                <w:tcPr>
                  <w:tcW w:w="954" w:type="dxa"/>
                  <w:tcBorders>
                    <w:tl2br w:val="nil"/>
                    <w:tr2bl w:val="nil"/>
                  </w:tcBorders>
                  <w:noWrap w:val="0"/>
                  <w:vAlign w:val="center"/>
                </w:tcPr>
                <w:p w14:paraId="0AF57E9C">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rPr>
                    <w:t>400</w:t>
                  </w:r>
                </w:p>
              </w:tc>
              <w:tc>
                <w:tcPr>
                  <w:tcW w:w="964" w:type="dxa"/>
                  <w:tcBorders>
                    <w:tl2br w:val="nil"/>
                    <w:tr2bl w:val="nil"/>
                  </w:tcBorders>
                  <w:noWrap w:val="0"/>
                  <w:vAlign w:val="center"/>
                </w:tcPr>
                <w:p w14:paraId="2F3BFE4E">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eastAsia="Calibri" w:cs="Times New Roman"/>
                      <w:color w:val="auto"/>
                      <w:kern w:val="2"/>
                      <w:sz w:val="21"/>
                      <w:szCs w:val="21"/>
                      <w:lang w:val="en-US" w:eastAsia="zh-CN"/>
                    </w:rPr>
                    <w:t>+50</w:t>
                  </w:r>
                </w:p>
              </w:tc>
              <w:tc>
                <w:tcPr>
                  <w:tcW w:w="973" w:type="dxa"/>
                  <w:tcBorders>
                    <w:tl2br w:val="nil"/>
                    <w:tr2bl w:val="nil"/>
                  </w:tcBorders>
                  <w:noWrap w:val="0"/>
                  <w:vAlign w:val="center"/>
                </w:tcPr>
                <w:p w14:paraId="10844CE6">
                  <w:pPr>
                    <w:spacing w:line="240" w:lineRule="auto"/>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450</w:t>
                  </w:r>
                </w:p>
              </w:tc>
              <w:tc>
                <w:tcPr>
                  <w:tcW w:w="1654" w:type="dxa"/>
                  <w:tcBorders>
                    <w:tl2br w:val="nil"/>
                    <w:tr2bl w:val="nil"/>
                  </w:tcBorders>
                  <w:noWrap w:val="0"/>
                  <w:vAlign w:val="center"/>
                </w:tcPr>
                <w:p w14:paraId="71FA7D2B">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25kg/袋</w:t>
                  </w:r>
                </w:p>
              </w:tc>
              <w:tc>
                <w:tcPr>
                  <w:tcW w:w="1445" w:type="dxa"/>
                  <w:tcBorders>
                    <w:tl2br w:val="nil"/>
                    <w:tr2bl w:val="nil"/>
                  </w:tcBorders>
                  <w:noWrap w:val="0"/>
                  <w:vAlign w:val="center"/>
                </w:tcPr>
                <w:p w14:paraId="7D3DB2D7">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zh-CN" w:eastAsia="zh-CN"/>
                    </w:rPr>
                    <w:t>颗粒状</w:t>
                  </w:r>
                  <w:r>
                    <w:rPr>
                      <w:rFonts w:hint="eastAsia" w:cs="Times New Roman"/>
                      <w:color w:val="auto"/>
                      <w:kern w:val="2"/>
                      <w:sz w:val="21"/>
                      <w:szCs w:val="21"/>
                      <w:lang w:val="zh-CN" w:eastAsia="zh-CN"/>
                    </w:rPr>
                    <w:t>（</w:t>
                  </w:r>
                  <w:r>
                    <w:rPr>
                      <w:rFonts w:hint="eastAsia" w:cs="Times New Roman"/>
                      <w:color w:val="auto"/>
                      <w:kern w:val="2"/>
                      <w:sz w:val="21"/>
                      <w:szCs w:val="21"/>
                      <w:lang w:val="en-US" w:eastAsia="zh-CN"/>
                    </w:rPr>
                    <w:t>增加的50t全部为新增1台的注塑机使用</w:t>
                  </w:r>
                  <w:r>
                    <w:rPr>
                      <w:rFonts w:hint="eastAsia" w:cs="Times New Roman"/>
                      <w:color w:val="auto"/>
                      <w:kern w:val="2"/>
                      <w:sz w:val="21"/>
                      <w:szCs w:val="21"/>
                      <w:lang w:val="zh-CN" w:eastAsia="zh-CN"/>
                    </w:rPr>
                    <w:t>）</w:t>
                  </w:r>
                </w:p>
              </w:tc>
            </w:tr>
            <w:tr w14:paraId="640F1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2" w:type="dxa"/>
                  <w:vMerge w:val="continue"/>
                  <w:tcBorders>
                    <w:tl2br w:val="nil"/>
                    <w:tr2bl w:val="nil"/>
                  </w:tcBorders>
                  <w:noWrap w:val="0"/>
                  <w:vAlign w:val="center"/>
                </w:tcPr>
                <w:p w14:paraId="27D3FB28">
                  <w:pPr>
                    <w:spacing w:line="240" w:lineRule="auto"/>
                    <w:jc w:val="center"/>
                    <w:rPr>
                      <w:rFonts w:hint="default" w:ascii="Times New Roman" w:hAnsi="Times New Roman" w:eastAsia="Calibri" w:cs="Times New Roman"/>
                      <w:color w:val="auto"/>
                      <w:kern w:val="2"/>
                      <w:sz w:val="21"/>
                      <w:szCs w:val="21"/>
                      <w:lang w:val="en-US" w:eastAsia="zh-CN"/>
                    </w:rPr>
                  </w:pPr>
                </w:p>
              </w:tc>
              <w:tc>
                <w:tcPr>
                  <w:tcW w:w="1118" w:type="dxa"/>
                  <w:tcBorders>
                    <w:tl2br w:val="nil"/>
                    <w:tr2bl w:val="nil"/>
                  </w:tcBorders>
                  <w:noWrap w:val="0"/>
                  <w:vAlign w:val="center"/>
                </w:tcPr>
                <w:p w14:paraId="2D7CFF9A">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rPr>
                    <w:t>ABS</w:t>
                  </w:r>
                  <w:r>
                    <w:rPr>
                      <w:rFonts w:hint="default" w:ascii="Times New Roman" w:hAnsi="Times New Roman" w:cs="Times New Roman"/>
                      <w:color w:val="auto"/>
                      <w:kern w:val="2"/>
                      <w:sz w:val="21"/>
                      <w:szCs w:val="21"/>
                      <w:lang w:val="en-US" w:eastAsia="zh-CN"/>
                    </w:rPr>
                    <w:t>塑料</w:t>
                  </w:r>
                </w:p>
              </w:tc>
              <w:tc>
                <w:tcPr>
                  <w:tcW w:w="755" w:type="dxa"/>
                  <w:tcBorders>
                    <w:tl2br w:val="nil"/>
                    <w:tr2bl w:val="nil"/>
                  </w:tcBorders>
                  <w:noWrap w:val="0"/>
                  <w:vAlign w:val="center"/>
                </w:tcPr>
                <w:p w14:paraId="3D2DAEC0">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bCs/>
                      <w:color w:val="auto"/>
                      <w:szCs w:val="21"/>
                    </w:rPr>
                    <w:t>t/a</w:t>
                  </w:r>
                </w:p>
              </w:tc>
              <w:tc>
                <w:tcPr>
                  <w:tcW w:w="954" w:type="dxa"/>
                  <w:tcBorders>
                    <w:tl2br w:val="nil"/>
                    <w:tr2bl w:val="nil"/>
                  </w:tcBorders>
                  <w:noWrap w:val="0"/>
                  <w:vAlign w:val="center"/>
                </w:tcPr>
                <w:p w14:paraId="3890BF87">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rPr>
                    <w:t>300</w:t>
                  </w:r>
                </w:p>
              </w:tc>
              <w:tc>
                <w:tcPr>
                  <w:tcW w:w="964" w:type="dxa"/>
                  <w:tcBorders>
                    <w:tl2br w:val="nil"/>
                    <w:tr2bl w:val="nil"/>
                  </w:tcBorders>
                  <w:noWrap w:val="0"/>
                  <w:vAlign w:val="center"/>
                </w:tcPr>
                <w:p w14:paraId="467BEBEE">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eastAsia="Calibri" w:cs="Times New Roman"/>
                      <w:color w:val="auto"/>
                      <w:kern w:val="2"/>
                      <w:sz w:val="21"/>
                      <w:szCs w:val="21"/>
                      <w:lang w:val="en-US" w:eastAsia="zh-CN"/>
                    </w:rPr>
                    <w:t>0</w:t>
                  </w:r>
                </w:p>
              </w:tc>
              <w:tc>
                <w:tcPr>
                  <w:tcW w:w="973" w:type="dxa"/>
                  <w:tcBorders>
                    <w:tl2br w:val="nil"/>
                    <w:tr2bl w:val="nil"/>
                  </w:tcBorders>
                  <w:noWrap w:val="0"/>
                  <w:vAlign w:val="center"/>
                </w:tcPr>
                <w:p w14:paraId="6F836419">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rPr>
                    <w:t>300</w:t>
                  </w:r>
                </w:p>
              </w:tc>
              <w:tc>
                <w:tcPr>
                  <w:tcW w:w="1654" w:type="dxa"/>
                  <w:tcBorders>
                    <w:tl2br w:val="nil"/>
                    <w:tr2bl w:val="nil"/>
                  </w:tcBorders>
                  <w:noWrap w:val="0"/>
                  <w:vAlign w:val="center"/>
                </w:tcPr>
                <w:p w14:paraId="2DB3F5C9">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25kg/袋</w:t>
                  </w:r>
                </w:p>
              </w:tc>
              <w:tc>
                <w:tcPr>
                  <w:tcW w:w="1445" w:type="dxa"/>
                  <w:tcBorders>
                    <w:tl2br w:val="nil"/>
                    <w:tr2bl w:val="nil"/>
                  </w:tcBorders>
                  <w:noWrap w:val="0"/>
                  <w:vAlign w:val="center"/>
                </w:tcPr>
                <w:p w14:paraId="1D74A131">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zh-CN" w:eastAsia="zh-CN"/>
                    </w:rPr>
                    <w:t>颗粒状</w:t>
                  </w:r>
                </w:p>
              </w:tc>
            </w:tr>
            <w:tr w14:paraId="7E590C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92" w:type="dxa"/>
                  <w:vMerge w:val="continue"/>
                  <w:tcBorders>
                    <w:tl2br w:val="nil"/>
                    <w:tr2bl w:val="nil"/>
                  </w:tcBorders>
                  <w:noWrap w:val="0"/>
                  <w:vAlign w:val="center"/>
                </w:tcPr>
                <w:p w14:paraId="4F540FD0">
                  <w:pPr>
                    <w:spacing w:line="240" w:lineRule="auto"/>
                    <w:jc w:val="center"/>
                    <w:rPr>
                      <w:rFonts w:hint="default" w:ascii="Times New Roman" w:hAnsi="Times New Roman" w:eastAsia="Calibri" w:cs="Times New Roman"/>
                      <w:color w:val="auto"/>
                      <w:kern w:val="2"/>
                      <w:sz w:val="21"/>
                      <w:szCs w:val="21"/>
                      <w:lang w:val="en-US" w:eastAsia="zh-CN"/>
                    </w:rPr>
                  </w:pPr>
                </w:p>
              </w:tc>
              <w:tc>
                <w:tcPr>
                  <w:tcW w:w="1118" w:type="dxa"/>
                  <w:tcBorders>
                    <w:tl2br w:val="nil"/>
                    <w:tr2bl w:val="nil"/>
                  </w:tcBorders>
                  <w:noWrap w:val="0"/>
                  <w:vAlign w:val="center"/>
                </w:tcPr>
                <w:p w14:paraId="015AB437">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rPr>
                    <w:t>GPPS</w:t>
                  </w:r>
                  <w:r>
                    <w:rPr>
                      <w:rFonts w:hint="default" w:ascii="Times New Roman" w:hAnsi="Times New Roman" w:cs="Times New Roman"/>
                      <w:color w:val="auto"/>
                      <w:kern w:val="2"/>
                      <w:sz w:val="21"/>
                      <w:szCs w:val="21"/>
                      <w:lang w:val="en-US" w:eastAsia="zh-CN"/>
                    </w:rPr>
                    <w:t>塑料</w:t>
                  </w:r>
                </w:p>
              </w:tc>
              <w:tc>
                <w:tcPr>
                  <w:tcW w:w="755" w:type="dxa"/>
                  <w:tcBorders>
                    <w:tl2br w:val="nil"/>
                    <w:tr2bl w:val="nil"/>
                  </w:tcBorders>
                  <w:noWrap w:val="0"/>
                  <w:vAlign w:val="center"/>
                </w:tcPr>
                <w:p w14:paraId="34DB447E">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bCs/>
                      <w:color w:val="auto"/>
                      <w:szCs w:val="21"/>
                    </w:rPr>
                    <w:t>t/a</w:t>
                  </w:r>
                </w:p>
              </w:tc>
              <w:tc>
                <w:tcPr>
                  <w:tcW w:w="954" w:type="dxa"/>
                  <w:tcBorders>
                    <w:tl2br w:val="nil"/>
                    <w:tr2bl w:val="nil"/>
                  </w:tcBorders>
                  <w:noWrap w:val="0"/>
                  <w:vAlign w:val="center"/>
                </w:tcPr>
                <w:p w14:paraId="72BF3C93">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rPr>
                    <w:t>100</w:t>
                  </w:r>
                </w:p>
              </w:tc>
              <w:tc>
                <w:tcPr>
                  <w:tcW w:w="964" w:type="dxa"/>
                  <w:tcBorders>
                    <w:tl2br w:val="nil"/>
                    <w:tr2bl w:val="nil"/>
                  </w:tcBorders>
                  <w:noWrap w:val="0"/>
                  <w:vAlign w:val="center"/>
                </w:tcPr>
                <w:p w14:paraId="0A1A6A6E">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eastAsia="Calibri" w:cs="Times New Roman"/>
                      <w:color w:val="auto"/>
                      <w:kern w:val="2"/>
                      <w:sz w:val="21"/>
                      <w:szCs w:val="21"/>
                      <w:lang w:val="en-US" w:eastAsia="zh-CN"/>
                    </w:rPr>
                    <w:t>0</w:t>
                  </w:r>
                </w:p>
              </w:tc>
              <w:tc>
                <w:tcPr>
                  <w:tcW w:w="973" w:type="dxa"/>
                  <w:tcBorders>
                    <w:tl2br w:val="nil"/>
                    <w:tr2bl w:val="nil"/>
                  </w:tcBorders>
                  <w:noWrap w:val="0"/>
                  <w:vAlign w:val="center"/>
                </w:tcPr>
                <w:p w14:paraId="364051CB">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rPr>
                    <w:t>100</w:t>
                  </w:r>
                </w:p>
              </w:tc>
              <w:tc>
                <w:tcPr>
                  <w:tcW w:w="1654" w:type="dxa"/>
                  <w:tcBorders>
                    <w:tl2br w:val="nil"/>
                    <w:tr2bl w:val="nil"/>
                  </w:tcBorders>
                  <w:noWrap w:val="0"/>
                  <w:vAlign w:val="center"/>
                </w:tcPr>
                <w:p w14:paraId="0E5ACB00">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25kg/袋</w:t>
                  </w:r>
                </w:p>
              </w:tc>
              <w:tc>
                <w:tcPr>
                  <w:tcW w:w="1445" w:type="dxa"/>
                  <w:tcBorders>
                    <w:tl2br w:val="nil"/>
                    <w:tr2bl w:val="nil"/>
                  </w:tcBorders>
                  <w:noWrap w:val="0"/>
                  <w:vAlign w:val="center"/>
                </w:tcPr>
                <w:p w14:paraId="5D06246C">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zh-CN" w:eastAsia="zh-CN"/>
                    </w:rPr>
                    <w:t>颗粒状</w:t>
                  </w:r>
                </w:p>
              </w:tc>
            </w:tr>
            <w:tr w14:paraId="29C29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592" w:type="dxa"/>
                  <w:vMerge w:val="continue"/>
                  <w:tcBorders>
                    <w:tl2br w:val="nil"/>
                    <w:tr2bl w:val="nil"/>
                  </w:tcBorders>
                  <w:noWrap w:val="0"/>
                  <w:vAlign w:val="center"/>
                </w:tcPr>
                <w:p w14:paraId="3C24875C">
                  <w:pPr>
                    <w:spacing w:line="240" w:lineRule="auto"/>
                    <w:jc w:val="center"/>
                    <w:rPr>
                      <w:rFonts w:hint="default" w:ascii="Times New Roman" w:hAnsi="Times New Roman" w:eastAsia="Calibri" w:cs="Times New Roman"/>
                      <w:color w:val="auto"/>
                      <w:kern w:val="2"/>
                      <w:sz w:val="21"/>
                      <w:szCs w:val="21"/>
                      <w:lang w:val="en-US" w:eastAsia="zh-CN"/>
                    </w:rPr>
                  </w:pPr>
                </w:p>
              </w:tc>
              <w:tc>
                <w:tcPr>
                  <w:tcW w:w="1118" w:type="dxa"/>
                  <w:tcBorders>
                    <w:tl2br w:val="nil"/>
                    <w:tr2bl w:val="nil"/>
                  </w:tcBorders>
                  <w:noWrap w:val="0"/>
                  <w:vAlign w:val="center"/>
                </w:tcPr>
                <w:p w14:paraId="4921BD10">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宋体" w:cs="Times New Roman"/>
                      <w:color w:val="auto"/>
                      <w:kern w:val="2"/>
                      <w:sz w:val="21"/>
                      <w:szCs w:val="21"/>
                    </w:rPr>
                    <w:t>色母料</w:t>
                  </w:r>
                </w:p>
              </w:tc>
              <w:tc>
                <w:tcPr>
                  <w:tcW w:w="755" w:type="dxa"/>
                  <w:tcBorders>
                    <w:tl2br w:val="nil"/>
                    <w:tr2bl w:val="nil"/>
                  </w:tcBorders>
                  <w:noWrap w:val="0"/>
                  <w:vAlign w:val="center"/>
                </w:tcPr>
                <w:p w14:paraId="4A7398B9">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bCs/>
                      <w:color w:val="auto"/>
                      <w:szCs w:val="21"/>
                    </w:rPr>
                    <w:t>t/a</w:t>
                  </w:r>
                </w:p>
              </w:tc>
              <w:tc>
                <w:tcPr>
                  <w:tcW w:w="954" w:type="dxa"/>
                  <w:tcBorders>
                    <w:tl2br w:val="nil"/>
                    <w:tr2bl w:val="nil"/>
                  </w:tcBorders>
                  <w:noWrap w:val="0"/>
                  <w:vAlign w:val="center"/>
                </w:tcPr>
                <w:p w14:paraId="1C2A6B37">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rPr>
                    <w:t>3</w:t>
                  </w:r>
                </w:p>
              </w:tc>
              <w:tc>
                <w:tcPr>
                  <w:tcW w:w="964" w:type="dxa"/>
                  <w:tcBorders>
                    <w:tl2br w:val="nil"/>
                    <w:tr2bl w:val="nil"/>
                  </w:tcBorders>
                  <w:noWrap w:val="0"/>
                  <w:vAlign w:val="center"/>
                </w:tcPr>
                <w:p w14:paraId="105C9B88">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eastAsia="Calibri" w:cs="Times New Roman"/>
                      <w:color w:val="auto"/>
                      <w:kern w:val="2"/>
                      <w:sz w:val="21"/>
                      <w:szCs w:val="21"/>
                      <w:lang w:val="en-US" w:eastAsia="zh-CN"/>
                    </w:rPr>
                    <w:t>0</w:t>
                  </w:r>
                </w:p>
              </w:tc>
              <w:tc>
                <w:tcPr>
                  <w:tcW w:w="973" w:type="dxa"/>
                  <w:tcBorders>
                    <w:tl2br w:val="nil"/>
                    <w:tr2bl w:val="nil"/>
                  </w:tcBorders>
                  <w:noWrap w:val="0"/>
                  <w:vAlign w:val="center"/>
                </w:tcPr>
                <w:p w14:paraId="285405C9">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rPr>
                    <w:t>3</w:t>
                  </w:r>
                </w:p>
              </w:tc>
              <w:tc>
                <w:tcPr>
                  <w:tcW w:w="1654" w:type="dxa"/>
                  <w:tcBorders>
                    <w:tl2br w:val="nil"/>
                    <w:tr2bl w:val="nil"/>
                  </w:tcBorders>
                  <w:noWrap w:val="0"/>
                  <w:vAlign w:val="center"/>
                </w:tcPr>
                <w:p w14:paraId="7DF6EEE3">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25kg/袋</w:t>
                  </w:r>
                </w:p>
              </w:tc>
              <w:tc>
                <w:tcPr>
                  <w:tcW w:w="1445" w:type="dxa"/>
                  <w:tcBorders>
                    <w:tl2br w:val="nil"/>
                    <w:tr2bl w:val="nil"/>
                  </w:tcBorders>
                  <w:noWrap w:val="0"/>
                  <w:vAlign w:val="center"/>
                </w:tcPr>
                <w:p w14:paraId="6A38812B">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zh-CN" w:eastAsia="zh-CN"/>
                    </w:rPr>
                    <w:t>颗粒状</w:t>
                  </w:r>
                </w:p>
              </w:tc>
            </w:tr>
            <w:tr w14:paraId="1AB3C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92" w:type="dxa"/>
                  <w:vMerge w:val="continue"/>
                  <w:tcBorders>
                    <w:tl2br w:val="nil"/>
                    <w:tr2bl w:val="nil"/>
                  </w:tcBorders>
                  <w:noWrap w:val="0"/>
                  <w:vAlign w:val="center"/>
                </w:tcPr>
                <w:p w14:paraId="3EF5B9CF">
                  <w:pPr>
                    <w:spacing w:line="240" w:lineRule="auto"/>
                    <w:jc w:val="center"/>
                    <w:rPr>
                      <w:rFonts w:hint="default" w:ascii="Times New Roman" w:hAnsi="Times New Roman" w:eastAsia="Calibri" w:cs="Times New Roman"/>
                      <w:color w:val="auto"/>
                      <w:kern w:val="2"/>
                      <w:sz w:val="21"/>
                      <w:szCs w:val="21"/>
                      <w:lang w:val="en-US" w:eastAsia="zh-CN"/>
                    </w:rPr>
                  </w:pPr>
                </w:p>
              </w:tc>
              <w:tc>
                <w:tcPr>
                  <w:tcW w:w="1118" w:type="dxa"/>
                  <w:tcBorders>
                    <w:tl2br w:val="nil"/>
                    <w:tr2bl w:val="nil"/>
                  </w:tcBorders>
                  <w:noWrap w:val="0"/>
                  <w:vAlign w:val="center"/>
                </w:tcPr>
                <w:p w14:paraId="3970B27E">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zh-CN" w:eastAsia="zh-CN"/>
                    </w:rPr>
                    <w:t>电化铝箔</w:t>
                  </w:r>
                </w:p>
              </w:tc>
              <w:tc>
                <w:tcPr>
                  <w:tcW w:w="755" w:type="dxa"/>
                  <w:tcBorders>
                    <w:tl2br w:val="nil"/>
                    <w:tr2bl w:val="nil"/>
                  </w:tcBorders>
                  <w:noWrap w:val="0"/>
                  <w:vAlign w:val="center"/>
                </w:tcPr>
                <w:p w14:paraId="0F2DDBD3">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bCs/>
                      <w:color w:val="auto"/>
                      <w:szCs w:val="21"/>
                      <w:highlight w:val="none"/>
                    </w:rPr>
                    <w:t>t/a</w:t>
                  </w:r>
                </w:p>
              </w:tc>
              <w:tc>
                <w:tcPr>
                  <w:tcW w:w="954" w:type="dxa"/>
                  <w:tcBorders>
                    <w:tl2br w:val="nil"/>
                    <w:tr2bl w:val="nil"/>
                  </w:tcBorders>
                  <w:noWrap w:val="0"/>
                  <w:vAlign w:val="center"/>
                </w:tcPr>
                <w:p w14:paraId="54BF6A15">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rPr>
                    <w:t>5</w:t>
                  </w:r>
                </w:p>
              </w:tc>
              <w:tc>
                <w:tcPr>
                  <w:tcW w:w="964" w:type="dxa"/>
                  <w:tcBorders>
                    <w:tl2br w:val="nil"/>
                    <w:tr2bl w:val="nil"/>
                  </w:tcBorders>
                  <w:noWrap w:val="0"/>
                  <w:vAlign w:val="center"/>
                </w:tcPr>
                <w:p w14:paraId="6A068E18">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-2</w:t>
                  </w:r>
                </w:p>
              </w:tc>
              <w:tc>
                <w:tcPr>
                  <w:tcW w:w="973" w:type="dxa"/>
                  <w:tcBorders>
                    <w:tl2br w:val="nil"/>
                    <w:tr2bl w:val="nil"/>
                  </w:tcBorders>
                  <w:noWrap w:val="0"/>
                  <w:vAlign w:val="center"/>
                </w:tcPr>
                <w:p w14:paraId="75F8D299">
                  <w:pPr>
                    <w:spacing w:line="240" w:lineRule="auto"/>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w:t>
                  </w:r>
                </w:p>
              </w:tc>
              <w:tc>
                <w:tcPr>
                  <w:tcW w:w="1654" w:type="dxa"/>
                  <w:tcBorders>
                    <w:tl2br w:val="nil"/>
                    <w:tr2bl w:val="nil"/>
                  </w:tcBorders>
                  <w:noWrap w:val="0"/>
                  <w:vAlign w:val="center"/>
                </w:tcPr>
                <w:p w14:paraId="0C03BCB2">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3×8×120cm/卷</w:t>
                  </w:r>
                </w:p>
              </w:tc>
              <w:tc>
                <w:tcPr>
                  <w:tcW w:w="1445" w:type="dxa"/>
                  <w:tcBorders>
                    <w:tl2br w:val="nil"/>
                    <w:tr2bl w:val="nil"/>
                  </w:tcBorders>
                  <w:noWrap w:val="0"/>
                  <w:vAlign w:val="center"/>
                </w:tcPr>
                <w:p w14:paraId="55993AC8">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zh-CN" w:eastAsia="zh-CN"/>
                    </w:rPr>
                    <w:t>用于烫金</w:t>
                  </w:r>
                </w:p>
              </w:tc>
            </w:tr>
            <w:tr w14:paraId="6C228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92" w:type="dxa"/>
                  <w:vMerge w:val="continue"/>
                  <w:tcBorders>
                    <w:tl2br w:val="nil"/>
                    <w:tr2bl w:val="nil"/>
                  </w:tcBorders>
                  <w:noWrap w:val="0"/>
                  <w:vAlign w:val="center"/>
                </w:tcPr>
                <w:p w14:paraId="6480B674">
                  <w:pPr>
                    <w:spacing w:line="240" w:lineRule="auto"/>
                    <w:jc w:val="center"/>
                    <w:rPr>
                      <w:rFonts w:hint="default" w:ascii="Times New Roman" w:hAnsi="Times New Roman" w:eastAsia="Calibri" w:cs="Times New Roman"/>
                      <w:color w:val="auto"/>
                      <w:kern w:val="2"/>
                      <w:sz w:val="21"/>
                      <w:szCs w:val="21"/>
                      <w:lang w:val="en-US" w:eastAsia="zh-CN"/>
                    </w:rPr>
                  </w:pPr>
                </w:p>
              </w:tc>
              <w:tc>
                <w:tcPr>
                  <w:tcW w:w="1118" w:type="dxa"/>
                  <w:tcBorders>
                    <w:tl2br w:val="nil"/>
                    <w:tr2bl w:val="nil"/>
                  </w:tcBorders>
                  <w:noWrap w:val="0"/>
                  <w:vAlign w:val="center"/>
                </w:tcPr>
                <w:p w14:paraId="5C339579">
                  <w:pPr>
                    <w:spacing w:line="240" w:lineRule="auto"/>
                    <w:jc w:val="center"/>
                    <w:rPr>
                      <w:rFonts w:hint="default" w:ascii="Times New Roman" w:hAnsi="Times New Roman" w:eastAsia="Calibri" w:cs="Times New Roman"/>
                      <w:color w:val="auto"/>
                      <w:kern w:val="2"/>
                      <w:sz w:val="21"/>
                      <w:szCs w:val="21"/>
                      <w:highlight w:val="none"/>
                      <w:lang w:val="zh-CN" w:eastAsia="zh-CN"/>
                    </w:rPr>
                  </w:pPr>
                  <w:r>
                    <w:rPr>
                      <w:rFonts w:hint="default" w:ascii="Times New Roman" w:hAnsi="Times New Roman" w:eastAsia="宋体" w:cs="Times New Roman"/>
                      <w:color w:val="auto"/>
                      <w:kern w:val="2"/>
                      <w:sz w:val="21"/>
                      <w:szCs w:val="21"/>
                      <w:lang w:val="en-US" w:eastAsia="zh-CN"/>
                    </w:rPr>
                    <w:t>UV油墨</w:t>
                  </w:r>
                </w:p>
              </w:tc>
              <w:tc>
                <w:tcPr>
                  <w:tcW w:w="755" w:type="dxa"/>
                  <w:tcBorders>
                    <w:tl2br w:val="nil"/>
                    <w:tr2bl w:val="nil"/>
                  </w:tcBorders>
                  <w:noWrap w:val="0"/>
                  <w:vAlign w:val="center"/>
                </w:tcPr>
                <w:p w14:paraId="4E32DB89">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bCs/>
                      <w:color w:val="auto"/>
                      <w:szCs w:val="21"/>
                      <w:highlight w:val="none"/>
                    </w:rPr>
                    <w:t>t/a</w:t>
                  </w:r>
                </w:p>
              </w:tc>
              <w:tc>
                <w:tcPr>
                  <w:tcW w:w="954" w:type="dxa"/>
                  <w:tcBorders>
                    <w:tl2br w:val="nil"/>
                    <w:tr2bl w:val="nil"/>
                  </w:tcBorders>
                  <w:noWrap w:val="0"/>
                  <w:vAlign w:val="center"/>
                </w:tcPr>
                <w:p w14:paraId="553538BA">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cs="Times New Roman"/>
                      <w:color w:val="auto"/>
                      <w:kern w:val="2"/>
                      <w:sz w:val="21"/>
                      <w:szCs w:val="21"/>
                      <w:lang w:val="en-US" w:eastAsia="zh-CN"/>
                    </w:rPr>
                    <w:t>2</w:t>
                  </w:r>
                </w:p>
              </w:tc>
              <w:tc>
                <w:tcPr>
                  <w:tcW w:w="964" w:type="dxa"/>
                  <w:tcBorders>
                    <w:tl2br w:val="nil"/>
                    <w:tr2bl w:val="nil"/>
                  </w:tcBorders>
                  <w:noWrap w:val="0"/>
                  <w:vAlign w:val="center"/>
                </w:tcPr>
                <w:p w14:paraId="76F7D613">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lang w:val="en-US" w:eastAsia="zh-CN"/>
                    </w:rPr>
                    <w:t>0</w:t>
                  </w:r>
                </w:p>
              </w:tc>
              <w:tc>
                <w:tcPr>
                  <w:tcW w:w="973" w:type="dxa"/>
                  <w:tcBorders>
                    <w:tl2br w:val="nil"/>
                    <w:tr2bl w:val="nil"/>
                  </w:tcBorders>
                  <w:noWrap w:val="0"/>
                  <w:vAlign w:val="center"/>
                </w:tcPr>
                <w:p w14:paraId="6BE6D9E7">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cs="Times New Roman"/>
                      <w:color w:val="auto"/>
                      <w:kern w:val="2"/>
                      <w:sz w:val="21"/>
                      <w:szCs w:val="21"/>
                      <w:lang w:val="en-US" w:eastAsia="zh-CN"/>
                    </w:rPr>
                    <w:t>2</w:t>
                  </w:r>
                </w:p>
              </w:tc>
              <w:tc>
                <w:tcPr>
                  <w:tcW w:w="1654" w:type="dxa"/>
                  <w:tcBorders>
                    <w:tl2br w:val="nil"/>
                    <w:tr2bl w:val="nil"/>
                  </w:tcBorders>
                  <w:noWrap w:val="0"/>
                  <w:vAlign w:val="center"/>
                </w:tcPr>
                <w:p w14:paraId="11F41598">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cs="Times New Roman"/>
                      <w:color w:val="auto"/>
                      <w:sz w:val="21"/>
                      <w:szCs w:val="21"/>
                      <w:lang w:val="en-US" w:eastAsia="zh-CN"/>
                    </w:rPr>
                    <w:t>2.5kg/瓶</w:t>
                  </w:r>
                </w:p>
              </w:tc>
              <w:tc>
                <w:tcPr>
                  <w:tcW w:w="1445" w:type="dxa"/>
                  <w:tcBorders>
                    <w:tl2br w:val="nil"/>
                    <w:tr2bl w:val="nil"/>
                  </w:tcBorders>
                  <w:noWrap w:val="0"/>
                  <w:vAlign w:val="center"/>
                </w:tcPr>
                <w:p w14:paraId="4EE8E55E">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cs="Times New Roman"/>
                      <w:color w:val="auto"/>
                      <w:kern w:val="2"/>
                      <w:sz w:val="21"/>
                      <w:szCs w:val="21"/>
                      <w:lang w:val="en-US" w:eastAsia="zh-CN"/>
                    </w:rPr>
                    <w:t>用于丝印、热转印</w:t>
                  </w:r>
                </w:p>
              </w:tc>
            </w:tr>
            <w:tr w14:paraId="02352A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92" w:type="dxa"/>
                  <w:vMerge w:val="continue"/>
                  <w:tcBorders>
                    <w:tl2br w:val="nil"/>
                    <w:tr2bl w:val="nil"/>
                  </w:tcBorders>
                  <w:noWrap w:val="0"/>
                  <w:vAlign w:val="center"/>
                </w:tcPr>
                <w:p w14:paraId="20185D6B">
                  <w:pPr>
                    <w:spacing w:line="240" w:lineRule="auto"/>
                    <w:jc w:val="center"/>
                    <w:rPr>
                      <w:rFonts w:hint="default" w:ascii="Times New Roman" w:hAnsi="Times New Roman" w:eastAsia="Calibri" w:cs="Times New Roman"/>
                      <w:color w:val="auto"/>
                      <w:kern w:val="2"/>
                      <w:sz w:val="21"/>
                      <w:szCs w:val="21"/>
                      <w:lang w:val="en-US" w:eastAsia="zh-CN"/>
                    </w:rPr>
                  </w:pPr>
                </w:p>
              </w:tc>
              <w:tc>
                <w:tcPr>
                  <w:tcW w:w="1118" w:type="dxa"/>
                  <w:tcBorders>
                    <w:tl2br w:val="nil"/>
                    <w:tr2bl w:val="nil"/>
                  </w:tcBorders>
                  <w:noWrap w:val="0"/>
                  <w:vAlign w:val="center"/>
                </w:tcPr>
                <w:p w14:paraId="38FFCD3D">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cs="Times New Roman"/>
                      <w:color w:val="auto"/>
                      <w:kern w:val="2"/>
                      <w:sz w:val="21"/>
                      <w:szCs w:val="21"/>
                      <w:lang w:val="en-US" w:eastAsia="zh-CN"/>
                    </w:rPr>
                    <w:t>水性</w:t>
                  </w:r>
                  <w:r>
                    <w:rPr>
                      <w:rFonts w:hint="default" w:ascii="Times New Roman" w:hAnsi="Times New Roman" w:eastAsia="宋体" w:cs="Times New Roman"/>
                      <w:color w:val="auto"/>
                      <w:kern w:val="2"/>
                      <w:sz w:val="21"/>
                      <w:szCs w:val="21"/>
                      <w:lang w:val="en-US" w:eastAsia="zh-CN"/>
                    </w:rPr>
                    <w:t>贴面</w:t>
                  </w:r>
                  <w:r>
                    <w:rPr>
                      <w:rFonts w:hint="default" w:ascii="Times New Roman" w:hAnsi="Times New Roman" w:eastAsia="宋体" w:cs="Times New Roman"/>
                      <w:color w:val="auto"/>
                      <w:kern w:val="2"/>
                      <w:sz w:val="21"/>
                      <w:szCs w:val="21"/>
                      <w:lang w:val="zh-CN" w:eastAsia="zh-CN"/>
                    </w:rPr>
                    <w:t>胶</w:t>
                  </w:r>
                </w:p>
              </w:tc>
              <w:tc>
                <w:tcPr>
                  <w:tcW w:w="755" w:type="dxa"/>
                  <w:tcBorders>
                    <w:tl2br w:val="nil"/>
                    <w:tr2bl w:val="nil"/>
                  </w:tcBorders>
                  <w:noWrap w:val="0"/>
                  <w:vAlign w:val="center"/>
                </w:tcPr>
                <w:p w14:paraId="7B273595">
                  <w:pPr>
                    <w:spacing w:line="240" w:lineRule="auto"/>
                    <w:jc w:val="center"/>
                    <w:rPr>
                      <w:rFonts w:hint="eastAsia"/>
                      <w:bCs/>
                      <w:color w:val="auto"/>
                      <w:szCs w:val="21"/>
                      <w:highlight w:val="none"/>
                    </w:rPr>
                  </w:pPr>
                  <w:r>
                    <w:rPr>
                      <w:rFonts w:hint="eastAsia"/>
                      <w:bCs/>
                      <w:color w:val="auto"/>
                      <w:szCs w:val="21"/>
                      <w:highlight w:val="none"/>
                    </w:rPr>
                    <w:t>t/a</w:t>
                  </w:r>
                </w:p>
              </w:tc>
              <w:tc>
                <w:tcPr>
                  <w:tcW w:w="954" w:type="dxa"/>
                  <w:tcBorders>
                    <w:tl2br w:val="nil"/>
                    <w:tr2bl w:val="nil"/>
                  </w:tcBorders>
                  <w:noWrap w:val="0"/>
                  <w:vAlign w:val="center"/>
                </w:tcPr>
                <w:p w14:paraId="6C7A0693">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cs="Times New Roman"/>
                      <w:color w:val="auto"/>
                      <w:sz w:val="21"/>
                      <w:szCs w:val="21"/>
                      <w:lang w:val="en-US" w:eastAsia="zh-CN"/>
                    </w:rPr>
                    <w:t>1</w:t>
                  </w:r>
                </w:p>
              </w:tc>
              <w:tc>
                <w:tcPr>
                  <w:tcW w:w="964" w:type="dxa"/>
                  <w:tcBorders>
                    <w:tl2br w:val="nil"/>
                    <w:tr2bl w:val="nil"/>
                  </w:tcBorders>
                  <w:noWrap w:val="0"/>
                  <w:vAlign w:val="center"/>
                </w:tcPr>
                <w:p w14:paraId="38EBAECD">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lang w:val="en-US" w:eastAsia="zh-CN"/>
                    </w:rPr>
                    <w:t>0</w:t>
                  </w:r>
                </w:p>
              </w:tc>
              <w:tc>
                <w:tcPr>
                  <w:tcW w:w="973" w:type="dxa"/>
                  <w:tcBorders>
                    <w:tl2br w:val="nil"/>
                    <w:tr2bl w:val="nil"/>
                  </w:tcBorders>
                  <w:noWrap w:val="0"/>
                  <w:vAlign w:val="center"/>
                </w:tcPr>
                <w:p w14:paraId="652E019E">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cs="Times New Roman"/>
                      <w:color w:val="auto"/>
                      <w:sz w:val="21"/>
                      <w:szCs w:val="21"/>
                      <w:lang w:val="en-US" w:eastAsia="zh-CN"/>
                    </w:rPr>
                    <w:t>1</w:t>
                  </w:r>
                </w:p>
              </w:tc>
              <w:tc>
                <w:tcPr>
                  <w:tcW w:w="1654" w:type="dxa"/>
                  <w:tcBorders>
                    <w:tl2br w:val="nil"/>
                    <w:tr2bl w:val="nil"/>
                  </w:tcBorders>
                  <w:noWrap w:val="0"/>
                  <w:vAlign w:val="center"/>
                </w:tcPr>
                <w:p w14:paraId="564D9EF9">
                  <w:pPr>
                    <w:spacing w:line="240" w:lineRule="auto"/>
                    <w:jc w:val="center"/>
                    <w:rPr>
                      <w:rFonts w:hint="default" w:ascii="Times New Roman" w:hAnsi="Times New Roman" w:eastAsia="Calibri" w:cs="Times New Roman"/>
                      <w:b w:val="0"/>
                      <w:bCs w:val="0"/>
                      <w:color w:val="auto"/>
                      <w:kern w:val="2"/>
                      <w:sz w:val="21"/>
                      <w:szCs w:val="21"/>
                      <w:highlight w:val="none"/>
                      <w:lang w:val="en-US" w:eastAsia="zh-CN"/>
                    </w:rPr>
                  </w:pPr>
                  <w:r>
                    <w:rPr>
                      <w:rFonts w:hint="default" w:ascii="Times New Roman" w:hAnsi="Times New Roman" w:eastAsia="宋体" w:cs="Times New Roman"/>
                      <w:color w:val="auto"/>
                      <w:sz w:val="21"/>
                      <w:szCs w:val="21"/>
                      <w:lang w:val="en-US" w:eastAsia="zh-CN"/>
                    </w:rPr>
                    <w:t>/</w:t>
                  </w:r>
                </w:p>
              </w:tc>
              <w:tc>
                <w:tcPr>
                  <w:tcW w:w="1445" w:type="dxa"/>
                  <w:tcBorders>
                    <w:tl2br w:val="nil"/>
                    <w:tr2bl w:val="nil"/>
                  </w:tcBorders>
                  <w:noWrap w:val="0"/>
                  <w:vAlign w:val="center"/>
                </w:tcPr>
                <w:p w14:paraId="0091B9A7">
                  <w:pPr>
                    <w:spacing w:line="240" w:lineRule="auto"/>
                    <w:jc w:val="center"/>
                    <w:rPr>
                      <w:rFonts w:hint="default" w:ascii="Times New Roman" w:hAnsi="Times New Roman" w:eastAsia="Calibri" w:cs="Times New Roman"/>
                      <w:b w:val="0"/>
                      <w:bCs w:val="0"/>
                      <w:color w:val="auto"/>
                      <w:kern w:val="2"/>
                      <w:sz w:val="21"/>
                      <w:szCs w:val="21"/>
                      <w:highlight w:val="none"/>
                      <w:lang w:val="en-US"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搭口胶</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用于组装</w:t>
                  </w:r>
                </w:p>
              </w:tc>
            </w:tr>
            <w:tr w14:paraId="02FEDE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92" w:type="dxa"/>
                  <w:vMerge w:val="continue"/>
                  <w:tcBorders>
                    <w:tl2br w:val="nil"/>
                    <w:tr2bl w:val="nil"/>
                  </w:tcBorders>
                  <w:noWrap w:val="0"/>
                  <w:vAlign w:val="center"/>
                </w:tcPr>
                <w:p w14:paraId="1C9398B3">
                  <w:pPr>
                    <w:spacing w:line="240" w:lineRule="auto"/>
                    <w:jc w:val="center"/>
                    <w:rPr>
                      <w:rFonts w:hint="default" w:ascii="Times New Roman" w:hAnsi="Times New Roman" w:eastAsia="Calibri" w:cs="Times New Roman"/>
                      <w:color w:val="auto"/>
                      <w:kern w:val="2"/>
                      <w:sz w:val="21"/>
                      <w:szCs w:val="21"/>
                      <w:lang w:val="en-US" w:eastAsia="zh-CN"/>
                    </w:rPr>
                  </w:pPr>
                </w:p>
              </w:tc>
              <w:tc>
                <w:tcPr>
                  <w:tcW w:w="1118" w:type="dxa"/>
                  <w:tcBorders>
                    <w:tl2br w:val="nil"/>
                    <w:tr2bl w:val="nil"/>
                  </w:tcBorders>
                  <w:noWrap w:val="0"/>
                  <w:vAlign w:val="center"/>
                </w:tcPr>
                <w:p w14:paraId="5BC25BF1">
                  <w:pPr>
                    <w:spacing w:line="240" w:lineRule="auto"/>
                    <w:jc w:val="center"/>
                    <w:rPr>
                      <w:rFonts w:hint="default" w:ascii="Times New Roman" w:hAnsi="Times New Roman" w:eastAsia="Calibri" w:cs="Times New Roman"/>
                      <w:color w:val="auto"/>
                      <w:kern w:val="2"/>
                      <w:sz w:val="21"/>
                      <w:szCs w:val="21"/>
                      <w:highlight w:val="yellow"/>
                      <w:lang w:val="en-US" w:eastAsia="zh-CN"/>
                    </w:rPr>
                  </w:pPr>
                  <w:r>
                    <w:rPr>
                      <w:rFonts w:hint="default" w:ascii="Times New Roman" w:hAnsi="Times New Roman" w:cs="Times New Roman"/>
                      <w:color w:val="auto"/>
                      <w:kern w:val="2"/>
                      <w:sz w:val="21"/>
                      <w:szCs w:val="21"/>
                      <w:lang w:val="en-US" w:eastAsia="zh-CN"/>
                    </w:rPr>
                    <w:t>包装纸盒</w:t>
                  </w:r>
                </w:p>
              </w:tc>
              <w:tc>
                <w:tcPr>
                  <w:tcW w:w="755" w:type="dxa"/>
                  <w:tcBorders>
                    <w:tl2br w:val="nil"/>
                    <w:tr2bl w:val="nil"/>
                  </w:tcBorders>
                  <w:noWrap w:val="0"/>
                  <w:vAlign w:val="center"/>
                </w:tcPr>
                <w:p w14:paraId="1397B0FE">
                  <w:pPr>
                    <w:spacing w:line="240" w:lineRule="auto"/>
                    <w:jc w:val="center"/>
                    <w:rPr>
                      <w:rFonts w:hint="eastAsia"/>
                      <w:bCs/>
                      <w:color w:val="auto"/>
                      <w:szCs w:val="21"/>
                      <w:highlight w:val="yellow"/>
                    </w:rPr>
                  </w:pPr>
                  <w:r>
                    <w:rPr>
                      <w:rFonts w:hint="eastAsia"/>
                      <w:bCs/>
                      <w:color w:val="auto"/>
                      <w:szCs w:val="21"/>
                      <w:highlight w:val="none"/>
                    </w:rPr>
                    <w:t>t/a</w:t>
                  </w:r>
                </w:p>
              </w:tc>
              <w:tc>
                <w:tcPr>
                  <w:tcW w:w="954" w:type="dxa"/>
                  <w:tcBorders>
                    <w:tl2br w:val="nil"/>
                    <w:tr2bl w:val="nil"/>
                  </w:tcBorders>
                  <w:noWrap w:val="0"/>
                  <w:vAlign w:val="center"/>
                </w:tcPr>
                <w:p w14:paraId="0B2E827C">
                  <w:pPr>
                    <w:spacing w:line="240" w:lineRule="auto"/>
                    <w:jc w:val="center"/>
                    <w:rPr>
                      <w:rFonts w:hint="default" w:ascii="Times New Roman" w:hAnsi="Times New Roman" w:eastAsia="Calibri" w:cs="Times New Roman"/>
                      <w:color w:val="auto"/>
                      <w:kern w:val="2"/>
                      <w:sz w:val="21"/>
                      <w:szCs w:val="21"/>
                      <w:highlight w:val="yellow"/>
                      <w:lang w:val="en-US" w:eastAsia="zh-CN"/>
                    </w:rPr>
                  </w:pPr>
                  <w:r>
                    <w:rPr>
                      <w:rFonts w:hint="default" w:ascii="Times New Roman" w:hAnsi="Times New Roman" w:eastAsia="宋体" w:cs="Times New Roman"/>
                      <w:color w:val="auto"/>
                      <w:kern w:val="2"/>
                      <w:sz w:val="21"/>
                      <w:szCs w:val="21"/>
                      <w:lang w:val="en-US"/>
                    </w:rPr>
                    <w:t>100</w:t>
                  </w:r>
                </w:p>
              </w:tc>
              <w:tc>
                <w:tcPr>
                  <w:tcW w:w="964" w:type="dxa"/>
                  <w:tcBorders>
                    <w:tl2br w:val="nil"/>
                    <w:tr2bl w:val="nil"/>
                  </w:tcBorders>
                  <w:noWrap w:val="0"/>
                  <w:vAlign w:val="center"/>
                </w:tcPr>
                <w:p w14:paraId="50AEEAA6">
                  <w:pPr>
                    <w:spacing w:line="240" w:lineRule="auto"/>
                    <w:jc w:val="center"/>
                    <w:rPr>
                      <w:rFonts w:hint="default" w:ascii="Times New Roman" w:hAnsi="Times New Roman" w:eastAsia="Calibri" w:cs="Times New Roman"/>
                      <w:color w:val="auto"/>
                      <w:kern w:val="2"/>
                      <w:sz w:val="21"/>
                      <w:szCs w:val="21"/>
                      <w:highlight w:val="yellow"/>
                      <w:lang w:val="en-US" w:eastAsia="zh-CN"/>
                    </w:rPr>
                  </w:pPr>
                  <w:r>
                    <w:rPr>
                      <w:rFonts w:hint="eastAsia" w:eastAsia="Calibri" w:cs="Times New Roman"/>
                      <w:color w:val="auto"/>
                      <w:kern w:val="2"/>
                      <w:sz w:val="21"/>
                      <w:szCs w:val="21"/>
                      <w:lang w:val="en-US" w:eastAsia="zh-CN"/>
                    </w:rPr>
                    <w:t>0</w:t>
                  </w:r>
                </w:p>
              </w:tc>
              <w:tc>
                <w:tcPr>
                  <w:tcW w:w="973" w:type="dxa"/>
                  <w:tcBorders>
                    <w:tl2br w:val="nil"/>
                    <w:tr2bl w:val="nil"/>
                  </w:tcBorders>
                  <w:noWrap w:val="0"/>
                  <w:vAlign w:val="center"/>
                </w:tcPr>
                <w:p w14:paraId="26CE457A">
                  <w:pPr>
                    <w:spacing w:line="240" w:lineRule="auto"/>
                    <w:jc w:val="center"/>
                    <w:rPr>
                      <w:rFonts w:hint="default" w:ascii="Times New Roman" w:hAnsi="Times New Roman" w:eastAsia="Calibri" w:cs="Times New Roman"/>
                      <w:color w:val="auto"/>
                      <w:kern w:val="2"/>
                      <w:sz w:val="21"/>
                      <w:szCs w:val="21"/>
                      <w:highlight w:val="yellow"/>
                      <w:lang w:val="en-US" w:eastAsia="zh-CN"/>
                    </w:rPr>
                  </w:pPr>
                  <w:r>
                    <w:rPr>
                      <w:rFonts w:hint="default" w:ascii="Times New Roman" w:hAnsi="Times New Roman" w:eastAsia="宋体" w:cs="Times New Roman"/>
                      <w:color w:val="auto"/>
                      <w:kern w:val="2"/>
                      <w:sz w:val="21"/>
                      <w:szCs w:val="21"/>
                      <w:lang w:val="en-US"/>
                    </w:rPr>
                    <w:t>100</w:t>
                  </w:r>
                </w:p>
              </w:tc>
              <w:tc>
                <w:tcPr>
                  <w:tcW w:w="1654" w:type="dxa"/>
                  <w:tcBorders>
                    <w:tl2br w:val="nil"/>
                    <w:tr2bl w:val="nil"/>
                  </w:tcBorders>
                  <w:noWrap w:val="0"/>
                  <w:vAlign w:val="center"/>
                </w:tcPr>
                <w:p w14:paraId="15587C0F">
                  <w:pPr>
                    <w:spacing w:line="240" w:lineRule="auto"/>
                    <w:jc w:val="center"/>
                    <w:rPr>
                      <w:rFonts w:hint="default" w:ascii="Times New Roman" w:hAnsi="Times New Roman" w:eastAsia="Calibri" w:cs="Times New Roman"/>
                      <w:color w:val="auto"/>
                      <w:kern w:val="2"/>
                      <w:sz w:val="21"/>
                      <w:szCs w:val="21"/>
                      <w:highlight w:val="yellow"/>
                      <w:lang w:val="en-US" w:eastAsia="zh-CN"/>
                    </w:rPr>
                  </w:pPr>
                  <w:r>
                    <w:rPr>
                      <w:rFonts w:hint="default" w:ascii="Times New Roman" w:hAnsi="Times New Roman" w:eastAsia="宋体" w:cs="Times New Roman"/>
                      <w:color w:val="auto"/>
                      <w:sz w:val="21"/>
                      <w:szCs w:val="21"/>
                      <w:lang w:val="en-US" w:eastAsia="zh-CN"/>
                    </w:rPr>
                    <w:t>/</w:t>
                  </w:r>
                </w:p>
              </w:tc>
              <w:tc>
                <w:tcPr>
                  <w:tcW w:w="1445" w:type="dxa"/>
                  <w:tcBorders>
                    <w:tl2br w:val="nil"/>
                    <w:tr2bl w:val="nil"/>
                  </w:tcBorders>
                  <w:noWrap w:val="0"/>
                  <w:vAlign w:val="center"/>
                </w:tcPr>
                <w:p w14:paraId="7783D437">
                  <w:pPr>
                    <w:spacing w:line="240" w:lineRule="auto"/>
                    <w:jc w:val="center"/>
                    <w:rPr>
                      <w:rFonts w:hint="default" w:ascii="Times New Roman" w:hAnsi="Times New Roman" w:eastAsia="Calibri" w:cs="Times New Roman"/>
                      <w:color w:val="auto"/>
                      <w:kern w:val="2"/>
                      <w:sz w:val="21"/>
                      <w:szCs w:val="21"/>
                      <w:highlight w:val="yellow"/>
                      <w:lang w:val="en-US" w:eastAsia="zh-CN"/>
                    </w:rPr>
                  </w:pPr>
                  <w:r>
                    <w:rPr>
                      <w:rFonts w:hint="default" w:ascii="Times New Roman" w:hAnsi="Times New Roman" w:cs="Times New Roman"/>
                      <w:color w:val="auto"/>
                      <w:kern w:val="2"/>
                      <w:sz w:val="21"/>
                      <w:szCs w:val="21"/>
                      <w:lang w:val="en-US" w:eastAsia="zh-CN"/>
                    </w:rPr>
                    <w:t>外购成品，用于包装</w:t>
                  </w:r>
                </w:p>
              </w:tc>
            </w:tr>
            <w:tr w14:paraId="013D06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92" w:type="dxa"/>
                  <w:vMerge w:val="continue"/>
                  <w:tcBorders>
                    <w:tl2br w:val="nil"/>
                    <w:tr2bl w:val="nil"/>
                  </w:tcBorders>
                  <w:noWrap w:val="0"/>
                  <w:vAlign w:val="center"/>
                </w:tcPr>
                <w:p w14:paraId="24903501">
                  <w:pPr>
                    <w:spacing w:line="240" w:lineRule="auto"/>
                    <w:jc w:val="center"/>
                    <w:rPr>
                      <w:rFonts w:hint="default" w:ascii="Times New Roman" w:hAnsi="Times New Roman" w:eastAsia="Calibri" w:cs="Times New Roman"/>
                      <w:color w:val="auto"/>
                      <w:kern w:val="2"/>
                      <w:sz w:val="21"/>
                      <w:szCs w:val="21"/>
                      <w:lang w:val="en-US" w:eastAsia="zh-CN"/>
                    </w:rPr>
                  </w:pPr>
                </w:p>
              </w:tc>
              <w:tc>
                <w:tcPr>
                  <w:tcW w:w="1118" w:type="dxa"/>
                  <w:tcBorders>
                    <w:tl2br w:val="nil"/>
                    <w:tr2bl w:val="nil"/>
                  </w:tcBorders>
                  <w:noWrap w:val="0"/>
                  <w:vAlign w:val="center"/>
                </w:tcPr>
                <w:p w14:paraId="09E3893D">
                  <w:pPr>
                    <w:spacing w:line="240" w:lineRule="auto"/>
                    <w:jc w:val="center"/>
                    <w:rPr>
                      <w:rFonts w:hint="eastAsia" w:eastAsia="Calibri" w:cs="Times New Roman"/>
                      <w:color w:val="auto"/>
                      <w:kern w:val="2"/>
                      <w:sz w:val="21"/>
                      <w:szCs w:val="21"/>
                      <w:highlight w:val="yellow"/>
                      <w:lang w:val="en-US" w:eastAsia="zh-CN"/>
                    </w:rPr>
                  </w:pPr>
                  <w:r>
                    <w:rPr>
                      <w:rFonts w:hint="default" w:ascii="Times New Roman" w:hAnsi="Times New Roman" w:cs="Times New Roman"/>
                      <w:color w:val="auto"/>
                      <w:kern w:val="2"/>
                      <w:sz w:val="21"/>
                      <w:szCs w:val="21"/>
                      <w:lang w:val="en-US" w:eastAsia="zh-CN"/>
                    </w:rPr>
                    <w:t>钢制模具</w:t>
                  </w:r>
                </w:p>
              </w:tc>
              <w:tc>
                <w:tcPr>
                  <w:tcW w:w="755" w:type="dxa"/>
                  <w:tcBorders>
                    <w:tl2br w:val="nil"/>
                    <w:tr2bl w:val="nil"/>
                  </w:tcBorders>
                  <w:noWrap w:val="0"/>
                  <w:vAlign w:val="center"/>
                </w:tcPr>
                <w:p w14:paraId="3AD723B4">
                  <w:pPr>
                    <w:spacing w:line="240" w:lineRule="auto"/>
                    <w:jc w:val="center"/>
                    <w:rPr>
                      <w:rFonts w:hint="eastAsia"/>
                      <w:bCs/>
                      <w:color w:val="auto"/>
                      <w:szCs w:val="21"/>
                      <w:highlight w:val="yellow"/>
                    </w:rPr>
                  </w:pPr>
                  <w:r>
                    <w:rPr>
                      <w:rFonts w:hint="eastAsia"/>
                      <w:bCs/>
                      <w:color w:val="auto"/>
                      <w:szCs w:val="21"/>
                      <w:highlight w:val="none"/>
                    </w:rPr>
                    <w:t>t/a</w:t>
                  </w:r>
                </w:p>
              </w:tc>
              <w:tc>
                <w:tcPr>
                  <w:tcW w:w="954" w:type="dxa"/>
                  <w:tcBorders>
                    <w:tl2br w:val="nil"/>
                    <w:tr2bl w:val="nil"/>
                  </w:tcBorders>
                  <w:noWrap w:val="0"/>
                  <w:vAlign w:val="center"/>
                </w:tcPr>
                <w:p w14:paraId="20ED80B7">
                  <w:pPr>
                    <w:spacing w:line="240" w:lineRule="auto"/>
                    <w:jc w:val="center"/>
                    <w:rPr>
                      <w:rFonts w:hint="default" w:ascii="Times New Roman" w:hAnsi="Times New Roman" w:eastAsia="Calibri" w:cs="Times New Roman"/>
                      <w:color w:val="auto"/>
                      <w:kern w:val="2"/>
                      <w:sz w:val="21"/>
                      <w:szCs w:val="21"/>
                      <w:highlight w:val="yellow"/>
                      <w:lang w:val="en-US" w:eastAsia="zh-CN"/>
                    </w:rPr>
                  </w:pPr>
                  <w:r>
                    <w:rPr>
                      <w:rFonts w:hint="default" w:ascii="Times New Roman" w:hAnsi="Times New Roman" w:cs="Times New Roman"/>
                      <w:color w:val="auto"/>
                      <w:kern w:val="2"/>
                      <w:sz w:val="21"/>
                      <w:szCs w:val="21"/>
                      <w:lang w:val="en-US" w:eastAsia="zh-CN"/>
                    </w:rPr>
                    <w:t>1</w:t>
                  </w:r>
                </w:p>
              </w:tc>
              <w:tc>
                <w:tcPr>
                  <w:tcW w:w="964" w:type="dxa"/>
                  <w:tcBorders>
                    <w:tl2br w:val="nil"/>
                    <w:tr2bl w:val="nil"/>
                  </w:tcBorders>
                  <w:noWrap w:val="0"/>
                  <w:vAlign w:val="center"/>
                </w:tcPr>
                <w:p w14:paraId="247C7BE0">
                  <w:pPr>
                    <w:spacing w:line="240" w:lineRule="auto"/>
                    <w:jc w:val="center"/>
                    <w:rPr>
                      <w:rFonts w:hint="default" w:ascii="Times New Roman" w:hAnsi="Times New Roman" w:eastAsia="Calibri" w:cs="Times New Roman"/>
                      <w:color w:val="auto"/>
                      <w:kern w:val="2"/>
                      <w:sz w:val="21"/>
                      <w:szCs w:val="21"/>
                      <w:highlight w:val="yellow"/>
                      <w:lang w:val="en-US" w:eastAsia="zh-CN"/>
                    </w:rPr>
                  </w:pPr>
                  <w:r>
                    <w:rPr>
                      <w:rFonts w:hint="eastAsia" w:eastAsia="Calibri" w:cs="Times New Roman"/>
                      <w:color w:val="auto"/>
                      <w:kern w:val="2"/>
                      <w:sz w:val="21"/>
                      <w:szCs w:val="21"/>
                      <w:lang w:val="en-US" w:eastAsia="zh-CN"/>
                    </w:rPr>
                    <w:t>0</w:t>
                  </w:r>
                </w:p>
              </w:tc>
              <w:tc>
                <w:tcPr>
                  <w:tcW w:w="973" w:type="dxa"/>
                  <w:tcBorders>
                    <w:tl2br w:val="nil"/>
                    <w:tr2bl w:val="nil"/>
                  </w:tcBorders>
                  <w:noWrap w:val="0"/>
                  <w:vAlign w:val="center"/>
                </w:tcPr>
                <w:p w14:paraId="202CD9D2">
                  <w:pPr>
                    <w:spacing w:line="240" w:lineRule="auto"/>
                    <w:jc w:val="center"/>
                    <w:rPr>
                      <w:rFonts w:hint="default" w:ascii="Times New Roman" w:hAnsi="Times New Roman" w:eastAsia="Calibri" w:cs="Times New Roman"/>
                      <w:color w:val="auto"/>
                      <w:kern w:val="2"/>
                      <w:sz w:val="21"/>
                      <w:szCs w:val="21"/>
                      <w:highlight w:val="yellow"/>
                      <w:lang w:val="en-US" w:eastAsia="zh-CN"/>
                    </w:rPr>
                  </w:pPr>
                  <w:r>
                    <w:rPr>
                      <w:rFonts w:hint="default" w:ascii="Times New Roman" w:hAnsi="Times New Roman" w:cs="Times New Roman"/>
                      <w:color w:val="auto"/>
                      <w:kern w:val="2"/>
                      <w:sz w:val="21"/>
                      <w:szCs w:val="21"/>
                      <w:lang w:val="en-US" w:eastAsia="zh-CN"/>
                    </w:rPr>
                    <w:t>1</w:t>
                  </w:r>
                </w:p>
              </w:tc>
              <w:tc>
                <w:tcPr>
                  <w:tcW w:w="1654" w:type="dxa"/>
                  <w:tcBorders>
                    <w:tl2br w:val="nil"/>
                    <w:tr2bl w:val="nil"/>
                  </w:tcBorders>
                  <w:noWrap w:val="0"/>
                  <w:vAlign w:val="center"/>
                </w:tcPr>
                <w:p w14:paraId="3D69CAD7">
                  <w:pPr>
                    <w:spacing w:line="240" w:lineRule="auto"/>
                    <w:jc w:val="center"/>
                    <w:rPr>
                      <w:rFonts w:hint="default" w:ascii="Times New Roman" w:hAnsi="Times New Roman" w:eastAsia="Calibri" w:cs="Times New Roman"/>
                      <w:color w:val="auto"/>
                      <w:kern w:val="2"/>
                      <w:sz w:val="21"/>
                      <w:szCs w:val="21"/>
                      <w:highlight w:val="yellow"/>
                      <w:lang w:val="en-US" w:eastAsia="zh-CN"/>
                    </w:rPr>
                  </w:pPr>
                  <w:r>
                    <w:rPr>
                      <w:rFonts w:hint="default" w:ascii="Times New Roman" w:hAnsi="Times New Roman" w:cs="Times New Roman"/>
                      <w:color w:val="auto"/>
                      <w:sz w:val="21"/>
                      <w:szCs w:val="21"/>
                      <w:lang w:val="en-US" w:eastAsia="zh-CN"/>
                    </w:rPr>
                    <w:t>/</w:t>
                  </w:r>
                </w:p>
              </w:tc>
              <w:tc>
                <w:tcPr>
                  <w:tcW w:w="1445" w:type="dxa"/>
                  <w:tcBorders>
                    <w:tl2br w:val="nil"/>
                    <w:tr2bl w:val="nil"/>
                  </w:tcBorders>
                  <w:noWrap w:val="0"/>
                  <w:vAlign w:val="center"/>
                </w:tcPr>
                <w:p w14:paraId="6259D068">
                  <w:pPr>
                    <w:spacing w:line="240" w:lineRule="auto"/>
                    <w:jc w:val="center"/>
                    <w:rPr>
                      <w:rFonts w:hint="default" w:ascii="Times New Roman" w:hAnsi="Times New Roman" w:eastAsia="Calibri" w:cs="Times New Roman"/>
                      <w:color w:val="auto"/>
                      <w:kern w:val="2"/>
                      <w:sz w:val="21"/>
                      <w:szCs w:val="21"/>
                      <w:highlight w:val="yellow"/>
                      <w:lang w:val="en-US" w:eastAsia="zh-CN"/>
                    </w:rPr>
                  </w:pPr>
                  <w:r>
                    <w:rPr>
                      <w:rFonts w:hint="default" w:ascii="Times New Roman" w:hAnsi="Times New Roman" w:cs="Times New Roman"/>
                      <w:color w:val="auto"/>
                      <w:kern w:val="2"/>
                      <w:sz w:val="21"/>
                      <w:szCs w:val="21"/>
                      <w:lang w:val="en-US" w:eastAsia="zh-CN"/>
                    </w:rPr>
                    <w:t>委外，用于注塑</w:t>
                  </w:r>
                </w:p>
              </w:tc>
            </w:tr>
            <w:tr w14:paraId="68D7D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92" w:type="dxa"/>
                  <w:vMerge w:val="continue"/>
                  <w:tcBorders>
                    <w:tl2br w:val="nil"/>
                    <w:tr2bl w:val="nil"/>
                  </w:tcBorders>
                  <w:noWrap w:val="0"/>
                  <w:vAlign w:val="center"/>
                </w:tcPr>
                <w:p w14:paraId="14CC6CE6">
                  <w:pPr>
                    <w:spacing w:line="240" w:lineRule="auto"/>
                    <w:jc w:val="center"/>
                    <w:rPr>
                      <w:rFonts w:hint="default" w:ascii="Times New Roman" w:hAnsi="Times New Roman" w:eastAsia="Calibri" w:cs="Times New Roman"/>
                      <w:color w:val="auto"/>
                      <w:kern w:val="2"/>
                      <w:sz w:val="21"/>
                      <w:szCs w:val="21"/>
                      <w:lang w:val="en-US" w:eastAsia="zh-CN"/>
                    </w:rPr>
                  </w:pPr>
                </w:p>
              </w:tc>
              <w:tc>
                <w:tcPr>
                  <w:tcW w:w="1118" w:type="dxa"/>
                  <w:tcBorders>
                    <w:tl2br w:val="nil"/>
                    <w:tr2bl w:val="nil"/>
                  </w:tcBorders>
                  <w:noWrap w:val="0"/>
                  <w:vAlign w:val="center"/>
                </w:tcPr>
                <w:p w14:paraId="3DC846A3">
                  <w:pPr>
                    <w:spacing w:line="240" w:lineRule="auto"/>
                    <w:jc w:val="center"/>
                    <w:rPr>
                      <w:rFonts w:hint="eastAsia" w:eastAsia="Calibri" w:cs="Times New Roman"/>
                      <w:color w:val="auto"/>
                      <w:kern w:val="2"/>
                      <w:sz w:val="21"/>
                      <w:szCs w:val="21"/>
                      <w:highlight w:val="yellow"/>
                      <w:lang w:val="en-US" w:eastAsia="zh-CN"/>
                    </w:rPr>
                  </w:pPr>
                  <w:r>
                    <w:rPr>
                      <w:rFonts w:hint="default" w:ascii="Times New Roman" w:hAnsi="Times New Roman" w:cs="Times New Roman"/>
                      <w:color w:val="auto"/>
                      <w:kern w:val="2"/>
                      <w:sz w:val="21"/>
                      <w:szCs w:val="21"/>
                      <w:lang w:val="en-US" w:eastAsia="zh-CN"/>
                    </w:rPr>
                    <w:t>网版</w:t>
                  </w:r>
                </w:p>
              </w:tc>
              <w:tc>
                <w:tcPr>
                  <w:tcW w:w="755" w:type="dxa"/>
                  <w:tcBorders>
                    <w:tl2br w:val="nil"/>
                    <w:tr2bl w:val="nil"/>
                  </w:tcBorders>
                  <w:noWrap w:val="0"/>
                  <w:vAlign w:val="center"/>
                </w:tcPr>
                <w:p w14:paraId="2AE3615A">
                  <w:pPr>
                    <w:spacing w:line="240" w:lineRule="auto"/>
                    <w:jc w:val="center"/>
                    <w:rPr>
                      <w:rFonts w:hint="eastAsia"/>
                      <w:bCs/>
                      <w:color w:val="auto"/>
                      <w:szCs w:val="21"/>
                      <w:highlight w:val="yellow"/>
                    </w:rPr>
                  </w:pPr>
                  <w:r>
                    <w:rPr>
                      <w:rFonts w:hint="eastAsia"/>
                      <w:bCs/>
                      <w:color w:val="auto"/>
                      <w:szCs w:val="21"/>
                      <w:highlight w:val="none"/>
                    </w:rPr>
                    <w:t>t/a</w:t>
                  </w:r>
                </w:p>
              </w:tc>
              <w:tc>
                <w:tcPr>
                  <w:tcW w:w="954" w:type="dxa"/>
                  <w:tcBorders>
                    <w:tl2br w:val="nil"/>
                    <w:tr2bl w:val="nil"/>
                  </w:tcBorders>
                  <w:noWrap w:val="0"/>
                  <w:vAlign w:val="center"/>
                </w:tcPr>
                <w:p w14:paraId="010F4387">
                  <w:pPr>
                    <w:spacing w:line="240" w:lineRule="auto"/>
                    <w:jc w:val="center"/>
                    <w:rPr>
                      <w:rFonts w:hint="default" w:ascii="Times New Roman" w:hAnsi="Times New Roman" w:eastAsia="Calibri" w:cs="Times New Roman"/>
                      <w:color w:val="auto"/>
                      <w:kern w:val="2"/>
                      <w:sz w:val="21"/>
                      <w:szCs w:val="21"/>
                      <w:highlight w:val="yellow"/>
                      <w:lang w:val="en-US" w:eastAsia="zh-CN"/>
                    </w:rPr>
                  </w:pPr>
                  <w:r>
                    <w:rPr>
                      <w:rFonts w:hint="default" w:ascii="Times New Roman" w:hAnsi="Times New Roman" w:cs="Times New Roman"/>
                      <w:color w:val="auto"/>
                      <w:kern w:val="2"/>
                      <w:sz w:val="21"/>
                      <w:szCs w:val="21"/>
                      <w:lang w:val="en-US" w:eastAsia="zh-CN"/>
                    </w:rPr>
                    <w:t>0.5</w:t>
                  </w:r>
                </w:p>
              </w:tc>
              <w:tc>
                <w:tcPr>
                  <w:tcW w:w="964" w:type="dxa"/>
                  <w:tcBorders>
                    <w:tl2br w:val="nil"/>
                    <w:tr2bl w:val="nil"/>
                  </w:tcBorders>
                  <w:noWrap w:val="0"/>
                  <w:vAlign w:val="center"/>
                </w:tcPr>
                <w:p w14:paraId="1E20010B">
                  <w:pPr>
                    <w:spacing w:line="240" w:lineRule="auto"/>
                    <w:jc w:val="center"/>
                    <w:rPr>
                      <w:rFonts w:hint="default" w:ascii="Times New Roman" w:hAnsi="Times New Roman" w:eastAsia="Calibri" w:cs="Times New Roman"/>
                      <w:color w:val="auto"/>
                      <w:kern w:val="2"/>
                      <w:sz w:val="21"/>
                      <w:szCs w:val="21"/>
                      <w:highlight w:val="yellow"/>
                      <w:lang w:val="en-US" w:eastAsia="zh-CN"/>
                    </w:rPr>
                  </w:pPr>
                  <w:r>
                    <w:rPr>
                      <w:rFonts w:hint="eastAsia" w:eastAsia="Calibri" w:cs="Times New Roman"/>
                      <w:color w:val="auto"/>
                      <w:kern w:val="2"/>
                      <w:sz w:val="21"/>
                      <w:szCs w:val="21"/>
                      <w:lang w:val="en-US" w:eastAsia="zh-CN"/>
                    </w:rPr>
                    <w:t>0</w:t>
                  </w:r>
                </w:p>
              </w:tc>
              <w:tc>
                <w:tcPr>
                  <w:tcW w:w="973" w:type="dxa"/>
                  <w:tcBorders>
                    <w:tl2br w:val="nil"/>
                    <w:tr2bl w:val="nil"/>
                  </w:tcBorders>
                  <w:noWrap w:val="0"/>
                  <w:vAlign w:val="center"/>
                </w:tcPr>
                <w:p w14:paraId="6B62A08C">
                  <w:pPr>
                    <w:spacing w:line="240" w:lineRule="auto"/>
                    <w:jc w:val="center"/>
                    <w:rPr>
                      <w:rFonts w:hint="default" w:ascii="Times New Roman" w:hAnsi="Times New Roman" w:eastAsia="Calibri" w:cs="Times New Roman"/>
                      <w:color w:val="auto"/>
                      <w:kern w:val="2"/>
                      <w:sz w:val="21"/>
                      <w:szCs w:val="21"/>
                      <w:highlight w:val="yellow"/>
                      <w:lang w:val="en-US" w:eastAsia="zh-CN"/>
                    </w:rPr>
                  </w:pPr>
                  <w:r>
                    <w:rPr>
                      <w:rFonts w:hint="default" w:ascii="Times New Roman" w:hAnsi="Times New Roman" w:cs="Times New Roman"/>
                      <w:color w:val="auto"/>
                      <w:kern w:val="2"/>
                      <w:sz w:val="21"/>
                      <w:szCs w:val="21"/>
                      <w:lang w:val="en-US" w:eastAsia="zh-CN"/>
                    </w:rPr>
                    <w:t>0.5</w:t>
                  </w:r>
                </w:p>
              </w:tc>
              <w:tc>
                <w:tcPr>
                  <w:tcW w:w="1654" w:type="dxa"/>
                  <w:tcBorders>
                    <w:tl2br w:val="nil"/>
                    <w:tr2bl w:val="nil"/>
                  </w:tcBorders>
                  <w:noWrap w:val="0"/>
                  <w:vAlign w:val="center"/>
                </w:tcPr>
                <w:p w14:paraId="18DD988C">
                  <w:pPr>
                    <w:spacing w:line="240" w:lineRule="auto"/>
                    <w:jc w:val="center"/>
                    <w:rPr>
                      <w:rFonts w:hint="default" w:ascii="Times New Roman" w:hAnsi="Times New Roman" w:eastAsia="Calibri" w:cs="Times New Roman"/>
                      <w:color w:val="auto"/>
                      <w:kern w:val="2"/>
                      <w:sz w:val="21"/>
                      <w:szCs w:val="21"/>
                      <w:highlight w:val="yellow"/>
                      <w:lang w:val="en-US" w:eastAsia="zh-CN"/>
                    </w:rPr>
                  </w:pPr>
                  <w:r>
                    <w:rPr>
                      <w:rFonts w:hint="default" w:ascii="Times New Roman" w:hAnsi="Times New Roman" w:cs="Times New Roman"/>
                      <w:color w:val="auto"/>
                      <w:sz w:val="21"/>
                      <w:szCs w:val="21"/>
                      <w:lang w:val="en-US" w:eastAsia="zh-CN"/>
                    </w:rPr>
                    <w:t>/</w:t>
                  </w:r>
                </w:p>
              </w:tc>
              <w:tc>
                <w:tcPr>
                  <w:tcW w:w="1445" w:type="dxa"/>
                  <w:tcBorders>
                    <w:tl2br w:val="nil"/>
                    <w:tr2bl w:val="nil"/>
                  </w:tcBorders>
                  <w:noWrap w:val="0"/>
                  <w:vAlign w:val="center"/>
                </w:tcPr>
                <w:p w14:paraId="113C1FF4">
                  <w:pPr>
                    <w:spacing w:line="240" w:lineRule="auto"/>
                    <w:jc w:val="center"/>
                    <w:rPr>
                      <w:rFonts w:hint="default" w:ascii="Times New Roman" w:hAnsi="Times New Roman" w:eastAsia="Calibri" w:cs="Times New Roman"/>
                      <w:color w:val="auto"/>
                      <w:kern w:val="2"/>
                      <w:sz w:val="21"/>
                      <w:szCs w:val="21"/>
                      <w:highlight w:val="yellow"/>
                      <w:lang w:val="en-US" w:eastAsia="zh-CN"/>
                    </w:rPr>
                  </w:pPr>
                  <w:r>
                    <w:rPr>
                      <w:rFonts w:hint="default" w:ascii="Times New Roman" w:hAnsi="Times New Roman" w:cs="Times New Roman"/>
                      <w:color w:val="auto"/>
                      <w:kern w:val="2"/>
                      <w:sz w:val="21"/>
                      <w:szCs w:val="21"/>
                      <w:lang w:val="en-US" w:eastAsia="zh-CN"/>
                    </w:rPr>
                    <w:t>用于丝印/热转印</w:t>
                  </w:r>
                </w:p>
              </w:tc>
            </w:tr>
            <w:tr w14:paraId="0EB95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92" w:type="dxa"/>
                  <w:vMerge w:val="restart"/>
                  <w:tcBorders>
                    <w:tl2br w:val="nil"/>
                    <w:tr2bl w:val="nil"/>
                  </w:tcBorders>
                  <w:noWrap w:val="0"/>
                  <w:vAlign w:val="center"/>
                </w:tcPr>
                <w:p w14:paraId="5DC3F052">
                  <w:pPr>
                    <w:spacing w:line="240" w:lineRule="auto"/>
                    <w:jc w:val="center"/>
                    <w:rPr>
                      <w:rFonts w:hint="default" w:ascii="Times New Roman" w:hAnsi="Times New Roman" w:eastAsia="Calibri" w:cs="Times New Roman"/>
                      <w:color w:val="auto"/>
                      <w:kern w:val="2"/>
                      <w:sz w:val="21"/>
                      <w:szCs w:val="21"/>
                      <w:highlight w:val="none"/>
                      <w:lang w:val="en-US" w:eastAsia="zh-CN" w:bidi="ar-SA"/>
                    </w:rPr>
                  </w:pPr>
                  <w:r>
                    <w:rPr>
                      <w:rFonts w:hint="default" w:ascii="Times New Roman" w:hAnsi="Times New Roman" w:eastAsia="Calibri" w:cs="Times New Roman"/>
                      <w:color w:val="auto"/>
                      <w:kern w:val="2"/>
                      <w:sz w:val="21"/>
                      <w:szCs w:val="21"/>
                      <w:highlight w:val="none"/>
                      <w:lang w:val="en-US" w:eastAsia="zh-CN"/>
                    </w:rPr>
                    <w:t>原辅材料</w:t>
                  </w:r>
                  <w:r>
                    <w:rPr>
                      <w:rFonts w:hint="eastAsia" w:cs="Times New Roman"/>
                      <w:color w:val="auto"/>
                      <w:sz w:val="21"/>
                      <w:szCs w:val="21"/>
                      <w:highlight w:val="none"/>
                      <w:lang w:val="en-US" w:eastAsia="zh-CN"/>
                    </w:rPr>
                    <w:t>（2#车间）</w:t>
                  </w:r>
                </w:p>
              </w:tc>
              <w:tc>
                <w:tcPr>
                  <w:tcW w:w="1118" w:type="dxa"/>
                  <w:tcBorders>
                    <w:tl2br w:val="nil"/>
                    <w:tr2bl w:val="nil"/>
                  </w:tcBorders>
                  <w:noWrap w:val="0"/>
                  <w:vAlign w:val="center"/>
                </w:tcPr>
                <w:p w14:paraId="567041D7">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sz w:val="21"/>
                      <w:szCs w:val="21"/>
                      <w:highlight w:val="none"/>
                      <w:lang w:val="en-US" w:eastAsia="zh-CN"/>
                    </w:rPr>
                    <w:t>金卡纸</w:t>
                  </w:r>
                </w:p>
              </w:tc>
              <w:tc>
                <w:tcPr>
                  <w:tcW w:w="755" w:type="dxa"/>
                  <w:tcBorders>
                    <w:tl2br w:val="nil"/>
                    <w:tr2bl w:val="nil"/>
                  </w:tcBorders>
                  <w:noWrap w:val="0"/>
                  <w:vAlign w:val="center"/>
                </w:tcPr>
                <w:p w14:paraId="21DEB7DD">
                  <w:pPr>
                    <w:spacing w:line="240" w:lineRule="auto"/>
                    <w:jc w:val="center"/>
                    <w:rPr>
                      <w:rFonts w:hint="eastAsia"/>
                      <w:bCs/>
                      <w:color w:val="auto"/>
                      <w:szCs w:val="21"/>
                      <w:highlight w:val="none"/>
                    </w:rPr>
                  </w:pPr>
                  <w:r>
                    <w:rPr>
                      <w:rFonts w:hint="eastAsia"/>
                      <w:bCs/>
                      <w:color w:val="auto"/>
                      <w:szCs w:val="21"/>
                      <w:highlight w:val="none"/>
                    </w:rPr>
                    <w:t>t/a</w:t>
                  </w:r>
                </w:p>
              </w:tc>
              <w:tc>
                <w:tcPr>
                  <w:tcW w:w="954" w:type="dxa"/>
                  <w:tcBorders>
                    <w:tl2br w:val="nil"/>
                    <w:tr2bl w:val="nil"/>
                  </w:tcBorders>
                  <w:noWrap w:val="0"/>
                  <w:vAlign w:val="center"/>
                </w:tcPr>
                <w:p w14:paraId="2B68C383">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0</w:t>
                  </w:r>
                </w:p>
              </w:tc>
              <w:tc>
                <w:tcPr>
                  <w:tcW w:w="964" w:type="dxa"/>
                  <w:tcBorders>
                    <w:tl2br w:val="nil"/>
                    <w:tr2bl w:val="nil"/>
                  </w:tcBorders>
                  <w:noWrap w:val="0"/>
                  <w:vAlign w:val="center"/>
                </w:tcPr>
                <w:p w14:paraId="0450C1AE">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+50</w:t>
                  </w:r>
                </w:p>
              </w:tc>
              <w:tc>
                <w:tcPr>
                  <w:tcW w:w="973" w:type="dxa"/>
                  <w:tcBorders>
                    <w:tl2br w:val="nil"/>
                    <w:tr2bl w:val="nil"/>
                  </w:tcBorders>
                  <w:noWrap w:val="0"/>
                  <w:vAlign w:val="center"/>
                </w:tcPr>
                <w:p w14:paraId="419FE602">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50</w:t>
                  </w:r>
                </w:p>
              </w:tc>
              <w:tc>
                <w:tcPr>
                  <w:tcW w:w="1654" w:type="dxa"/>
                  <w:tcBorders>
                    <w:tl2br w:val="nil"/>
                    <w:tr2bl w:val="nil"/>
                  </w:tcBorders>
                  <w:noWrap w:val="0"/>
                  <w:vAlign w:val="center"/>
                </w:tcPr>
                <w:p w14:paraId="6F74ADCC">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250-300克</w:t>
                  </w:r>
                </w:p>
              </w:tc>
              <w:tc>
                <w:tcPr>
                  <w:tcW w:w="1445" w:type="dxa"/>
                  <w:tcBorders>
                    <w:tl2br w:val="nil"/>
                    <w:tr2bl w:val="nil"/>
                  </w:tcBorders>
                  <w:noWrap w:val="0"/>
                  <w:vAlign w:val="center"/>
                </w:tcPr>
                <w:p w14:paraId="777D0241">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外购</w:t>
                  </w:r>
                </w:p>
              </w:tc>
            </w:tr>
            <w:tr w14:paraId="16A0A6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2" w:type="dxa"/>
                  <w:vMerge w:val="continue"/>
                  <w:tcBorders>
                    <w:tl2br w:val="nil"/>
                    <w:tr2bl w:val="nil"/>
                  </w:tcBorders>
                  <w:noWrap w:val="0"/>
                  <w:vAlign w:val="center"/>
                </w:tcPr>
                <w:p w14:paraId="01E9146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1118" w:type="dxa"/>
                  <w:tcBorders>
                    <w:tl2br w:val="nil"/>
                    <w:tr2bl w:val="nil"/>
                  </w:tcBorders>
                  <w:noWrap w:val="0"/>
                  <w:vAlign w:val="center"/>
                </w:tcPr>
                <w:p w14:paraId="0B49CB6C">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sz w:val="21"/>
                      <w:szCs w:val="21"/>
                      <w:highlight w:val="none"/>
                      <w:lang w:val="en-US" w:eastAsia="zh-CN"/>
                    </w:rPr>
                    <w:t>银卡纸</w:t>
                  </w:r>
                </w:p>
              </w:tc>
              <w:tc>
                <w:tcPr>
                  <w:tcW w:w="755" w:type="dxa"/>
                  <w:tcBorders>
                    <w:tl2br w:val="nil"/>
                    <w:tr2bl w:val="nil"/>
                  </w:tcBorders>
                  <w:noWrap w:val="0"/>
                  <w:vAlign w:val="center"/>
                </w:tcPr>
                <w:p w14:paraId="38872226">
                  <w:pPr>
                    <w:spacing w:line="240" w:lineRule="auto"/>
                    <w:jc w:val="center"/>
                    <w:rPr>
                      <w:rFonts w:hint="eastAsia"/>
                      <w:bCs/>
                      <w:color w:val="auto"/>
                      <w:szCs w:val="21"/>
                      <w:highlight w:val="none"/>
                    </w:rPr>
                  </w:pPr>
                  <w:r>
                    <w:rPr>
                      <w:rFonts w:hint="eastAsia"/>
                      <w:bCs/>
                      <w:color w:val="auto"/>
                      <w:szCs w:val="21"/>
                      <w:highlight w:val="none"/>
                    </w:rPr>
                    <w:t>t/a</w:t>
                  </w:r>
                </w:p>
              </w:tc>
              <w:tc>
                <w:tcPr>
                  <w:tcW w:w="954" w:type="dxa"/>
                  <w:tcBorders>
                    <w:tl2br w:val="nil"/>
                    <w:tr2bl w:val="nil"/>
                  </w:tcBorders>
                  <w:noWrap w:val="0"/>
                  <w:vAlign w:val="center"/>
                </w:tcPr>
                <w:p w14:paraId="606BBA20">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0</w:t>
                  </w:r>
                </w:p>
              </w:tc>
              <w:tc>
                <w:tcPr>
                  <w:tcW w:w="964" w:type="dxa"/>
                  <w:tcBorders>
                    <w:tl2br w:val="nil"/>
                    <w:tr2bl w:val="nil"/>
                  </w:tcBorders>
                  <w:noWrap w:val="0"/>
                  <w:vAlign w:val="center"/>
                </w:tcPr>
                <w:p w14:paraId="2C01D307">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+60</w:t>
                  </w:r>
                </w:p>
              </w:tc>
              <w:tc>
                <w:tcPr>
                  <w:tcW w:w="973" w:type="dxa"/>
                  <w:tcBorders>
                    <w:tl2br w:val="nil"/>
                    <w:tr2bl w:val="nil"/>
                  </w:tcBorders>
                  <w:noWrap w:val="0"/>
                  <w:vAlign w:val="center"/>
                </w:tcPr>
                <w:p w14:paraId="1B6D7C28">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60</w:t>
                  </w:r>
                </w:p>
              </w:tc>
              <w:tc>
                <w:tcPr>
                  <w:tcW w:w="1654" w:type="dxa"/>
                  <w:tcBorders>
                    <w:tl2br w:val="nil"/>
                    <w:tr2bl w:val="nil"/>
                  </w:tcBorders>
                  <w:noWrap w:val="0"/>
                  <w:vAlign w:val="center"/>
                </w:tcPr>
                <w:p w14:paraId="2334C39A">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787mm</w:t>
                  </w:r>
                </w:p>
              </w:tc>
              <w:tc>
                <w:tcPr>
                  <w:tcW w:w="1445" w:type="dxa"/>
                  <w:tcBorders>
                    <w:tl2br w:val="nil"/>
                    <w:tr2bl w:val="nil"/>
                  </w:tcBorders>
                  <w:noWrap w:val="0"/>
                  <w:vAlign w:val="center"/>
                </w:tcPr>
                <w:p w14:paraId="2ECA6872">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外购</w:t>
                  </w:r>
                </w:p>
              </w:tc>
            </w:tr>
            <w:tr w14:paraId="48D8BB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2" w:type="dxa"/>
                  <w:vMerge w:val="continue"/>
                  <w:tcBorders>
                    <w:tl2br w:val="nil"/>
                    <w:tr2bl w:val="nil"/>
                  </w:tcBorders>
                  <w:noWrap w:val="0"/>
                  <w:vAlign w:val="center"/>
                </w:tcPr>
                <w:p w14:paraId="498F00F0">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1118" w:type="dxa"/>
                  <w:tcBorders>
                    <w:tl2br w:val="nil"/>
                    <w:tr2bl w:val="nil"/>
                  </w:tcBorders>
                  <w:noWrap w:val="0"/>
                  <w:vAlign w:val="center"/>
                </w:tcPr>
                <w:p w14:paraId="3D39D1C1">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sz w:val="21"/>
                      <w:szCs w:val="21"/>
                      <w:highlight w:val="none"/>
                      <w:lang w:val="en-US" w:eastAsia="zh-CN"/>
                    </w:rPr>
                    <w:t>特种纸</w:t>
                  </w:r>
                </w:p>
              </w:tc>
              <w:tc>
                <w:tcPr>
                  <w:tcW w:w="755" w:type="dxa"/>
                  <w:tcBorders>
                    <w:tl2br w:val="nil"/>
                    <w:tr2bl w:val="nil"/>
                  </w:tcBorders>
                  <w:noWrap w:val="0"/>
                  <w:vAlign w:val="center"/>
                </w:tcPr>
                <w:p w14:paraId="7E89FEC6">
                  <w:pPr>
                    <w:spacing w:line="240" w:lineRule="auto"/>
                    <w:jc w:val="center"/>
                    <w:rPr>
                      <w:rFonts w:hint="eastAsia"/>
                      <w:bCs/>
                      <w:color w:val="auto"/>
                      <w:szCs w:val="21"/>
                      <w:highlight w:val="none"/>
                    </w:rPr>
                  </w:pPr>
                  <w:r>
                    <w:rPr>
                      <w:rFonts w:hint="eastAsia"/>
                      <w:bCs/>
                      <w:color w:val="auto"/>
                      <w:szCs w:val="21"/>
                      <w:highlight w:val="none"/>
                    </w:rPr>
                    <w:t>t/a</w:t>
                  </w:r>
                </w:p>
              </w:tc>
              <w:tc>
                <w:tcPr>
                  <w:tcW w:w="954" w:type="dxa"/>
                  <w:tcBorders>
                    <w:tl2br w:val="nil"/>
                    <w:tr2bl w:val="nil"/>
                  </w:tcBorders>
                  <w:noWrap w:val="0"/>
                  <w:vAlign w:val="center"/>
                </w:tcPr>
                <w:p w14:paraId="072B5F43">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0</w:t>
                  </w:r>
                </w:p>
              </w:tc>
              <w:tc>
                <w:tcPr>
                  <w:tcW w:w="964" w:type="dxa"/>
                  <w:tcBorders>
                    <w:tl2br w:val="nil"/>
                    <w:tr2bl w:val="nil"/>
                  </w:tcBorders>
                  <w:noWrap w:val="0"/>
                  <w:vAlign w:val="center"/>
                </w:tcPr>
                <w:p w14:paraId="1FF443FB">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+4</w:t>
                  </w:r>
                </w:p>
              </w:tc>
              <w:tc>
                <w:tcPr>
                  <w:tcW w:w="973" w:type="dxa"/>
                  <w:tcBorders>
                    <w:tl2br w:val="nil"/>
                    <w:tr2bl w:val="nil"/>
                  </w:tcBorders>
                  <w:noWrap w:val="0"/>
                  <w:vAlign w:val="center"/>
                </w:tcPr>
                <w:p w14:paraId="7E4449C5">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4</w:t>
                  </w:r>
                </w:p>
              </w:tc>
              <w:tc>
                <w:tcPr>
                  <w:tcW w:w="1654" w:type="dxa"/>
                  <w:tcBorders>
                    <w:tl2br w:val="nil"/>
                    <w:tr2bl w:val="nil"/>
                  </w:tcBorders>
                  <w:noWrap w:val="0"/>
                  <w:vAlign w:val="center"/>
                </w:tcPr>
                <w:p w14:paraId="263EC89F">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1092mm</w:t>
                  </w:r>
                </w:p>
              </w:tc>
              <w:tc>
                <w:tcPr>
                  <w:tcW w:w="1445" w:type="dxa"/>
                  <w:tcBorders>
                    <w:tl2br w:val="nil"/>
                    <w:tr2bl w:val="nil"/>
                  </w:tcBorders>
                  <w:noWrap w:val="0"/>
                  <w:vAlign w:val="center"/>
                </w:tcPr>
                <w:p w14:paraId="46240F0C">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外购</w:t>
                  </w:r>
                </w:p>
              </w:tc>
            </w:tr>
            <w:tr w14:paraId="3A7D1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92" w:type="dxa"/>
                  <w:vMerge w:val="continue"/>
                  <w:tcBorders>
                    <w:tl2br w:val="nil"/>
                    <w:tr2bl w:val="nil"/>
                  </w:tcBorders>
                  <w:noWrap w:val="0"/>
                  <w:vAlign w:val="center"/>
                </w:tcPr>
                <w:p w14:paraId="72F0D8F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1118" w:type="dxa"/>
                  <w:tcBorders>
                    <w:tl2br w:val="nil"/>
                    <w:tr2bl w:val="nil"/>
                  </w:tcBorders>
                  <w:noWrap w:val="0"/>
                  <w:vAlign w:val="center"/>
                </w:tcPr>
                <w:p w14:paraId="3ED9D4C8">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木制底座</w:t>
                  </w:r>
                </w:p>
              </w:tc>
              <w:tc>
                <w:tcPr>
                  <w:tcW w:w="755" w:type="dxa"/>
                  <w:tcBorders>
                    <w:tl2br w:val="nil"/>
                    <w:tr2bl w:val="nil"/>
                  </w:tcBorders>
                  <w:noWrap w:val="0"/>
                  <w:vAlign w:val="center"/>
                </w:tcPr>
                <w:p w14:paraId="0B99BC26">
                  <w:pPr>
                    <w:spacing w:line="240" w:lineRule="auto"/>
                    <w:jc w:val="center"/>
                    <w:rPr>
                      <w:rFonts w:hint="default" w:eastAsia="宋体"/>
                      <w:bCs/>
                      <w:color w:val="auto"/>
                      <w:szCs w:val="21"/>
                      <w:highlight w:val="none"/>
                      <w:lang w:val="en-US" w:eastAsia="zh-CN"/>
                    </w:rPr>
                  </w:pPr>
                  <w:r>
                    <w:rPr>
                      <w:rFonts w:hint="eastAsia"/>
                      <w:bCs/>
                      <w:color w:val="auto"/>
                      <w:szCs w:val="21"/>
                      <w:highlight w:val="none"/>
                      <w:lang w:val="en-US" w:eastAsia="zh-CN"/>
                    </w:rPr>
                    <w:t>万个/a</w:t>
                  </w:r>
                </w:p>
              </w:tc>
              <w:tc>
                <w:tcPr>
                  <w:tcW w:w="954" w:type="dxa"/>
                  <w:tcBorders>
                    <w:tl2br w:val="nil"/>
                    <w:tr2bl w:val="nil"/>
                  </w:tcBorders>
                  <w:noWrap w:val="0"/>
                  <w:vAlign w:val="center"/>
                </w:tcPr>
                <w:p w14:paraId="64B3C8F2">
                  <w:pPr>
                    <w:spacing w:line="240" w:lineRule="auto"/>
                    <w:jc w:val="center"/>
                    <w:rPr>
                      <w:rFonts w:hint="default"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0</w:t>
                  </w:r>
                </w:p>
              </w:tc>
              <w:tc>
                <w:tcPr>
                  <w:tcW w:w="964" w:type="dxa"/>
                  <w:tcBorders>
                    <w:tl2br w:val="nil"/>
                    <w:tr2bl w:val="nil"/>
                  </w:tcBorders>
                  <w:noWrap w:val="0"/>
                  <w:vAlign w:val="center"/>
                </w:tcPr>
                <w:p w14:paraId="55645513">
                  <w:pPr>
                    <w:spacing w:line="240" w:lineRule="auto"/>
                    <w:jc w:val="center"/>
                    <w:rPr>
                      <w:rFonts w:hint="default"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+10</w:t>
                  </w:r>
                </w:p>
              </w:tc>
              <w:tc>
                <w:tcPr>
                  <w:tcW w:w="973" w:type="dxa"/>
                  <w:tcBorders>
                    <w:tl2br w:val="nil"/>
                    <w:tr2bl w:val="nil"/>
                  </w:tcBorders>
                  <w:noWrap w:val="0"/>
                  <w:vAlign w:val="center"/>
                </w:tcPr>
                <w:p w14:paraId="63FABD4B">
                  <w:pPr>
                    <w:spacing w:line="240" w:lineRule="auto"/>
                    <w:jc w:val="center"/>
                    <w:rPr>
                      <w:rFonts w:hint="default"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10</w:t>
                  </w:r>
                </w:p>
              </w:tc>
              <w:tc>
                <w:tcPr>
                  <w:tcW w:w="1654" w:type="dxa"/>
                  <w:tcBorders>
                    <w:tl2br w:val="nil"/>
                    <w:tr2bl w:val="nil"/>
                  </w:tcBorders>
                  <w:noWrap w:val="0"/>
                  <w:vAlign w:val="center"/>
                </w:tcPr>
                <w:p w14:paraId="16C78ECD">
                  <w:pPr>
                    <w:spacing w:line="240" w:lineRule="auto"/>
                    <w:jc w:val="center"/>
                    <w:rPr>
                      <w:rFonts w:hint="eastAsia" w:eastAsia="Calibri" w:cs="Times New Roman"/>
                      <w:color w:val="auto"/>
                      <w:kern w:val="2"/>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445" w:type="dxa"/>
                  <w:tcBorders>
                    <w:tl2br w:val="nil"/>
                    <w:tr2bl w:val="nil"/>
                  </w:tcBorders>
                  <w:noWrap w:val="0"/>
                  <w:vAlign w:val="center"/>
                </w:tcPr>
                <w:p w14:paraId="034ED78E">
                  <w:pPr>
                    <w:spacing w:line="240" w:lineRule="auto"/>
                    <w:jc w:val="center"/>
                    <w:rPr>
                      <w:rFonts w:hint="eastAsia"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外购</w:t>
                  </w:r>
                </w:p>
              </w:tc>
            </w:tr>
            <w:tr w14:paraId="4EB31A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592" w:type="dxa"/>
                  <w:vMerge w:val="continue"/>
                  <w:tcBorders>
                    <w:tl2br w:val="nil"/>
                    <w:tr2bl w:val="nil"/>
                  </w:tcBorders>
                  <w:noWrap w:val="0"/>
                  <w:vAlign w:val="center"/>
                </w:tcPr>
                <w:p w14:paraId="4F2E2D04">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1118" w:type="dxa"/>
                  <w:tcBorders>
                    <w:tl2br w:val="nil"/>
                    <w:tr2bl w:val="nil"/>
                  </w:tcBorders>
                  <w:noWrap w:val="0"/>
                  <w:vAlign w:val="center"/>
                </w:tcPr>
                <w:p w14:paraId="6736DB64">
                  <w:pPr>
                    <w:spacing w:line="240" w:lineRule="auto"/>
                    <w:jc w:val="center"/>
                    <w:rPr>
                      <w:rFonts w:hint="eastAsia" w:eastAsia="Calibri"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zh-CN" w:eastAsia="zh-CN"/>
                    </w:rPr>
                    <w:t>电化铝箔</w:t>
                  </w:r>
                </w:p>
              </w:tc>
              <w:tc>
                <w:tcPr>
                  <w:tcW w:w="755" w:type="dxa"/>
                  <w:tcBorders>
                    <w:tl2br w:val="nil"/>
                    <w:tr2bl w:val="nil"/>
                  </w:tcBorders>
                  <w:noWrap w:val="0"/>
                  <w:vAlign w:val="center"/>
                </w:tcPr>
                <w:p w14:paraId="01969460">
                  <w:pPr>
                    <w:spacing w:line="240" w:lineRule="auto"/>
                    <w:jc w:val="center"/>
                    <w:rPr>
                      <w:rFonts w:hint="eastAsia"/>
                      <w:bCs/>
                      <w:color w:val="auto"/>
                      <w:szCs w:val="21"/>
                      <w:highlight w:val="none"/>
                      <w:lang w:val="en-US" w:eastAsia="zh-CN"/>
                    </w:rPr>
                  </w:pPr>
                  <w:r>
                    <w:rPr>
                      <w:rFonts w:hint="eastAsia"/>
                      <w:bCs/>
                      <w:color w:val="auto"/>
                      <w:szCs w:val="21"/>
                      <w:highlight w:val="none"/>
                    </w:rPr>
                    <w:t>t/a</w:t>
                  </w:r>
                </w:p>
              </w:tc>
              <w:tc>
                <w:tcPr>
                  <w:tcW w:w="954" w:type="dxa"/>
                  <w:tcBorders>
                    <w:tl2br w:val="nil"/>
                    <w:tr2bl w:val="nil"/>
                  </w:tcBorders>
                  <w:noWrap w:val="0"/>
                  <w:vAlign w:val="center"/>
                </w:tcPr>
                <w:p w14:paraId="612E00C9">
                  <w:pPr>
                    <w:spacing w:line="240" w:lineRule="auto"/>
                    <w:jc w:val="center"/>
                    <w:rPr>
                      <w:rFonts w:hint="eastAsia"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w:t>
                  </w:r>
                </w:p>
              </w:tc>
              <w:tc>
                <w:tcPr>
                  <w:tcW w:w="964" w:type="dxa"/>
                  <w:tcBorders>
                    <w:tl2br w:val="nil"/>
                    <w:tr2bl w:val="nil"/>
                  </w:tcBorders>
                  <w:noWrap w:val="0"/>
                  <w:vAlign w:val="center"/>
                </w:tcPr>
                <w:p w14:paraId="7628651B">
                  <w:pPr>
                    <w:spacing w:line="240" w:lineRule="auto"/>
                    <w:jc w:val="center"/>
                    <w:rPr>
                      <w:rFonts w:hint="eastAsia"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+2</w:t>
                  </w:r>
                </w:p>
              </w:tc>
              <w:tc>
                <w:tcPr>
                  <w:tcW w:w="973" w:type="dxa"/>
                  <w:tcBorders>
                    <w:tl2br w:val="nil"/>
                    <w:tr2bl w:val="nil"/>
                  </w:tcBorders>
                  <w:noWrap w:val="0"/>
                  <w:vAlign w:val="center"/>
                </w:tcPr>
                <w:p w14:paraId="780069AF">
                  <w:pPr>
                    <w:spacing w:line="240" w:lineRule="auto"/>
                    <w:jc w:val="center"/>
                    <w:rPr>
                      <w:rFonts w:hint="eastAsia" w:eastAsia="Calibri"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2</w:t>
                  </w:r>
                </w:p>
              </w:tc>
              <w:tc>
                <w:tcPr>
                  <w:tcW w:w="1654" w:type="dxa"/>
                  <w:tcBorders>
                    <w:tl2br w:val="nil"/>
                    <w:tr2bl w:val="nil"/>
                  </w:tcBorders>
                  <w:noWrap w:val="0"/>
                  <w:vAlign w:val="center"/>
                </w:tcPr>
                <w:p w14:paraId="0BA35128">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3×8×120cm/卷</w:t>
                  </w:r>
                </w:p>
              </w:tc>
              <w:tc>
                <w:tcPr>
                  <w:tcW w:w="1445" w:type="dxa"/>
                  <w:tcBorders>
                    <w:tl2br w:val="nil"/>
                    <w:tr2bl w:val="nil"/>
                  </w:tcBorders>
                  <w:noWrap w:val="0"/>
                  <w:vAlign w:val="center"/>
                </w:tcPr>
                <w:p w14:paraId="0061DB50">
                  <w:pPr>
                    <w:spacing w:line="240" w:lineRule="auto"/>
                    <w:jc w:val="center"/>
                    <w:rPr>
                      <w:rFonts w:hint="eastAsia" w:eastAsia="Calibri"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zh-CN" w:eastAsia="zh-CN"/>
                    </w:rPr>
                    <w:t>用于烫金</w:t>
                  </w:r>
                </w:p>
              </w:tc>
            </w:tr>
            <w:tr w14:paraId="1E7F0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592" w:type="dxa"/>
                  <w:vMerge w:val="continue"/>
                  <w:tcBorders>
                    <w:tl2br w:val="nil"/>
                    <w:tr2bl w:val="nil"/>
                  </w:tcBorders>
                  <w:noWrap w:val="0"/>
                  <w:vAlign w:val="center"/>
                </w:tcPr>
                <w:p w14:paraId="3862614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1118" w:type="dxa"/>
                  <w:tcBorders>
                    <w:tl2br w:val="nil"/>
                    <w:tr2bl w:val="nil"/>
                  </w:tcBorders>
                  <w:noWrap w:val="0"/>
                  <w:vAlign w:val="center"/>
                </w:tcPr>
                <w:p w14:paraId="4F703701">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光油</w:t>
                  </w:r>
                </w:p>
              </w:tc>
              <w:tc>
                <w:tcPr>
                  <w:tcW w:w="755" w:type="dxa"/>
                  <w:tcBorders>
                    <w:tl2br w:val="nil"/>
                    <w:tr2bl w:val="nil"/>
                  </w:tcBorders>
                  <w:noWrap w:val="0"/>
                  <w:vAlign w:val="center"/>
                </w:tcPr>
                <w:p w14:paraId="78446E7B">
                  <w:pPr>
                    <w:spacing w:line="240" w:lineRule="auto"/>
                    <w:jc w:val="center"/>
                    <w:rPr>
                      <w:rFonts w:hint="eastAsia"/>
                      <w:bCs/>
                      <w:color w:val="auto"/>
                      <w:szCs w:val="21"/>
                      <w:highlight w:val="none"/>
                    </w:rPr>
                  </w:pPr>
                  <w:r>
                    <w:rPr>
                      <w:rFonts w:hint="eastAsia"/>
                      <w:bCs/>
                      <w:color w:val="auto"/>
                      <w:szCs w:val="21"/>
                      <w:highlight w:val="none"/>
                    </w:rPr>
                    <w:t>t/a</w:t>
                  </w:r>
                </w:p>
              </w:tc>
              <w:tc>
                <w:tcPr>
                  <w:tcW w:w="954" w:type="dxa"/>
                  <w:tcBorders>
                    <w:tl2br w:val="nil"/>
                    <w:tr2bl w:val="nil"/>
                  </w:tcBorders>
                  <w:noWrap w:val="0"/>
                  <w:vAlign w:val="center"/>
                </w:tcPr>
                <w:p w14:paraId="229BDE11">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0</w:t>
                  </w:r>
                </w:p>
              </w:tc>
              <w:tc>
                <w:tcPr>
                  <w:tcW w:w="964" w:type="dxa"/>
                  <w:tcBorders>
                    <w:tl2br w:val="nil"/>
                    <w:tr2bl w:val="nil"/>
                  </w:tcBorders>
                  <w:noWrap w:val="0"/>
                  <w:vAlign w:val="center"/>
                </w:tcPr>
                <w:p w14:paraId="51063B79">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+0.8</w:t>
                  </w:r>
                </w:p>
              </w:tc>
              <w:tc>
                <w:tcPr>
                  <w:tcW w:w="973" w:type="dxa"/>
                  <w:tcBorders>
                    <w:tl2br w:val="nil"/>
                    <w:tr2bl w:val="nil"/>
                  </w:tcBorders>
                  <w:noWrap w:val="0"/>
                  <w:vAlign w:val="center"/>
                </w:tcPr>
                <w:p w14:paraId="69EDDAC7">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0.8</w:t>
                  </w:r>
                </w:p>
              </w:tc>
              <w:tc>
                <w:tcPr>
                  <w:tcW w:w="1654" w:type="dxa"/>
                  <w:tcBorders>
                    <w:tl2br w:val="nil"/>
                    <w:tr2bl w:val="nil"/>
                  </w:tcBorders>
                  <w:noWrap w:val="0"/>
                  <w:vAlign w:val="center"/>
                </w:tcPr>
                <w:p w14:paraId="4D81FCB4">
                  <w:pPr>
                    <w:jc w:val="center"/>
                    <w:rPr>
                      <w:rFonts w:hint="default" w:ascii="Times New Roman" w:hAnsi="Times New Roman" w:eastAsia="Calibri" w:cs="Times New Roman"/>
                      <w:color w:val="auto"/>
                      <w:kern w:val="2"/>
                      <w:sz w:val="21"/>
                      <w:szCs w:val="21"/>
                      <w:highlight w:val="none"/>
                      <w:lang w:val="en-US" w:eastAsia="zh-CN"/>
                    </w:rPr>
                  </w:pPr>
                  <w:r>
                    <w:rPr>
                      <w:color w:val="auto"/>
                      <w:spacing w:val="8"/>
                      <w:szCs w:val="21"/>
                      <w:highlight w:val="none"/>
                    </w:rPr>
                    <w:t>20</w:t>
                  </w:r>
                  <w:r>
                    <w:rPr>
                      <w:color w:val="auto"/>
                      <w:szCs w:val="21"/>
                      <w:highlight w:val="none"/>
                    </w:rPr>
                    <w:t>kg</w:t>
                  </w:r>
                  <w:r>
                    <w:rPr>
                      <w:color w:val="auto"/>
                      <w:spacing w:val="8"/>
                      <w:szCs w:val="21"/>
                      <w:highlight w:val="none"/>
                    </w:rPr>
                    <w:t>/桶</w:t>
                  </w:r>
                </w:p>
              </w:tc>
              <w:tc>
                <w:tcPr>
                  <w:tcW w:w="1445" w:type="dxa"/>
                  <w:tcBorders>
                    <w:tl2br w:val="nil"/>
                    <w:tr2bl w:val="nil"/>
                  </w:tcBorders>
                  <w:noWrap w:val="0"/>
                  <w:vAlign w:val="center"/>
                </w:tcPr>
                <w:p w14:paraId="3E5E7A2B">
                  <w:pPr>
                    <w:jc w:val="center"/>
                    <w:rPr>
                      <w:rFonts w:hint="default" w:ascii="Times New Roman" w:hAnsi="Times New Roman" w:eastAsia="Calibri" w:cs="Times New Roman"/>
                      <w:color w:val="auto"/>
                      <w:kern w:val="2"/>
                      <w:sz w:val="21"/>
                      <w:szCs w:val="21"/>
                      <w:highlight w:val="none"/>
                      <w:lang w:val="en-US" w:eastAsia="zh-CN"/>
                    </w:rPr>
                  </w:pPr>
                  <w:r>
                    <w:rPr>
                      <w:rFonts w:hint="eastAsia"/>
                      <w:color w:val="auto"/>
                      <w:szCs w:val="21"/>
                      <w:highlight w:val="none"/>
                      <w:lang w:val="en-US" w:eastAsia="zh-CN"/>
                    </w:rPr>
                    <w:t>纸盒局部</w:t>
                  </w:r>
                  <w:r>
                    <w:rPr>
                      <w:rFonts w:hint="eastAsia"/>
                      <w:color w:val="auto"/>
                      <w:szCs w:val="21"/>
                      <w:highlight w:val="none"/>
                    </w:rPr>
                    <w:t>上光油</w:t>
                  </w:r>
                </w:p>
              </w:tc>
            </w:tr>
            <w:tr w14:paraId="69B1E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592" w:type="dxa"/>
                  <w:vMerge w:val="continue"/>
                  <w:tcBorders>
                    <w:tl2br w:val="nil"/>
                    <w:tr2bl w:val="nil"/>
                  </w:tcBorders>
                  <w:noWrap w:val="0"/>
                  <w:vAlign w:val="center"/>
                </w:tcPr>
                <w:p w14:paraId="67A8727F">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1118" w:type="dxa"/>
                  <w:tcBorders>
                    <w:tl2br w:val="nil"/>
                    <w:tr2bl w:val="nil"/>
                  </w:tcBorders>
                  <w:noWrap w:val="0"/>
                  <w:vAlign w:val="center"/>
                </w:tcPr>
                <w:p w14:paraId="02D075F8">
                  <w:pPr>
                    <w:jc w:val="center"/>
                    <w:rPr>
                      <w:rFonts w:hint="eastAsia" w:eastAsia="Calibri" w:cs="Times New Roman"/>
                      <w:color w:val="auto"/>
                      <w:kern w:val="2"/>
                      <w:sz w:val="21"/>
                      <w:szCs w:val="21"/>
                      <w:highlight w:val="none"/>
                      <w:lang w:val="en-US" w:eastAsia="zh-CN"/>
                    </w:rPr>
                  </w:pPr>
                  <w:r>
                    <w:rPr>
                      <w:rFonts w:hint="eastAsia"/>
                      <w:color w:val="auto"/>
                      <w:spacing w:val="17"/>
                      <w:szCs w:val="21"/>
                      <w:highlight w:val="none"/>
                    </w:rPr>
                    <w:t>U</w:t>
                  </w:r>
                  <w:r>
                    <w:rPr>
                      <w:color w:val="auto"/>
                      <w:spacing w:val="17"/>
                      <w:szCs w:val="21"/>
                      <w:highlight w:val="none"/>
                    </w:rPr>
                    <w:t>V</w:t>
                  </w:r>
                  <w:r>
                    <w:rPr>
                      <w:rFonts w:hint="eastAsia"/>
                      <w:color w:val="auto"/>
                      <w:spacing w:val="17"/>
                      <w:szCs w:val="21"/>
                      <w:highlight w:val="none"/>
                    </w:rPr>
                    <w:t>油墨</w:t>
                  </w:r>
                </w:p>
              </w:tc>
              <w:tc>
                <w:tcPr>
                  <w:tcW w:w="755" w:type="dxa"/>
                  <w:tcBorders>
                    <w:tl2br w:val="nil"/>
                    <w:tr2bl w:val="nil"/>
                  </w:tcBorders>
                  <w:noWrap w:val="0"/>
                  <w:vAlign w:val="center"/>
                </w:tcPr>
                <w:p w14:paraId="03C0C2E7">
                  <w:pPr>
                    <w:jc w:val="center"/>
                    <w:rPr>
                      <w:rFonts w:hint="eastAsia"/>
                      <w:bCs/>
                      <w:color w:val="auto"/>
                      <w:szCs w:val="21"/>
                      <w:highlight w:val="none"/>
                    </w:rPr>
                  </w:pPr>
                  <w:r>
                    <w:rPr>
                      <w:color w:val="auto"/>
                      <w:spacing w:val="1"/>
                      <w:szCs w:val="21"/>
                      <w:highlight w:val="none"/>
                    </w:rPr>
                    <w:t>t/a</w:t>
                  </w:r>
                </w:p>
              </w:tc>
              <w:tc>
                <w:tcPr>
                  <w:tcW w:w="954" w:type="dxa"/>
                  <w:tcBorders>
                    <w:tl2br w:val="nil"/>
                    <w:tr2bl w:val="nil"/>
                  </w:tcBorders>
                  <w:noWrap w:val="0"/>
                  <w:vAlign w:val="center"/>
                </w:tcPr>
                <w:p w14:paraId="1E8C3CEA">
                  <w:pPr>
                    <w:jc w:val="center"/>
                    <w:rPr>
                      <w:rFonts w:hint="eastAsia" w:eastAsia="Calibri" w:cs="Times New Roman"/>
                      <w:color w:val="auto"/>
                      <w:kern w:val="2"/>
                      <w:sz w:val="21"/>
                      <w:szCs w:val="21"/>
                      <w:highlight w:val="none"/>
                      <w:lang w:val="en-US" w:eastAsia="zh-CN"/>
                    </w:rPr>
                  </w:pPr>
                  <w:r>
                    <w:rPr>
                      <w:rFonts w:hint="eastAsia"/>
                      <w:color w:val="auto"/>
                      <w:spacing w:val="1"/>
                      <w:szCs w:val="21"/>
                      <w:highlight w:val="none"/>
                    </w:rPr>
                    <w:t>0</w:t>
                  </w:r>
                </w:p>
              </w:tc>
              <w:tc>
                <w:tcPr>
                  <w:tcW w:w="964" w:type="dxa"/>
                  <w:tcBorders>
                    <w:tl2br w:val="nil"/>
                    <w:tr2bl w:val="nil"/>
                  </w:tcBorders>
                  <w:noWrap w:val="0"/>
                  <w:vAlign w:val="center"/>
                </w:tcPr>
                <w:p w14:paraId="763C6505">
                  <w:pPr>
                    <w:jc w:val="center"/>
                    <w:rPr>
                      <w:rFonts w:hint="eastAsia" w:eastAsia="Calibri" w:cs="Times New Roman"/>
                      <w:color w:val="auto"/>
                      <w:kern w:val="2"/>
                      <w:sz w:val="21"/>
                      <w:szCs w:val="21"/>
                      <w:highlight w:val="none"/>
                      <w:lang w:val="en-US" w:eastAsia="zh-CN"/>
                    </w:rPr>
                  </w:pPr>
                  <w:r>
                    <w:rPr>
                      <w:rFonts w:hint="eastAsia"/>
                      <w:color w:val="auto"/>
                      <w:szCs w:val="21"/>
                      <w:highlight w:val="none"/>
                    </w:rPr>
                    <w:t>+</w:t>
                  </w:r>
                  <w:r>
                    <w:rPr>
                      <w:rFonts w:hint="eastAsia"/>
                      <w:color w:val="auto"/>
                      <w:szCs w:val="21"/>
                      <w:highlight w:val="none"/>
                      <w:lang w:val="en-US" w:eastAsia="zh-CN"/>
                    </w:rPr>
                    <w:t>6.5</w:t>
                  </w:r>
                </w:p>
              </w:tc>
              <w:tc>
                <w:tcPr>
                  <w:tcW w:w="973" w:type="dxa"/>
                  <w:tcBorders>
                    <w:tl2br w:val="nil"/>
                    <w:tr2bl w:val="nil"/>
                  </w:tcBorders>
                  <w:noWrap w:val="0"/>
                  <w:vAlign w:val="center"/>
                </w:tcPr>
                <w:p w14:paraId="4DCA735F">
                  <w:pPr>
                    <w:jc w:val="center"/>
                    <w:rPr>
                      <w:rFonts w:hint="eastAsia" w:eastAsia="Calibri" w:cs="Times New Roman"/>
                      <w:color w:val="auto"/>
                      <w:kern w:val="2"/>
                      <w:sz w:val="21"/>
                      <w:szCs w:val="21"/>
                      <w:highlight w:val="none"/>
                      <w:lang w:val="en-US" w:eastAsia="zh-CN"/>
                    </w:rPr>
                  </w:pPr>
                  <w:r>
                    <w:rPr>
                      <w:rFonts w:hint="eastAsia"/>
                      <w:color w:val="auto"/>
                      <w:szCs w:val="21"/>
                      <w:highlight w:val="none"/>
                      <w:lang w:val="en-US" w:eastAsia="zh-CN"/>
                    </w:rPr>
                    <w:t>6.5</w:t>
                  </w:r>
                </w:p>
              </w:tc>
              <w:tc>
                <w:tcPr>
                  <w:tcW w:w="1654" w:type="dxa"/>
                  <w:tcBorders>
                    <w:tl2br w:val="nil"/>
                    <w:tr2bl w:val="nil"/>
                  </w:tcBorders>
                  <w:noWrap w:val="0"/>
                  <w:vAlign w:val="center"/>
                </w:tcPr>
                <w:p w14:paraId="148561D2">
                  <w:pPr>
                    <w:jc w:val="center"/>
                    <w:rPr>
                      <w:color w:val="auto"/>
                      <w:spacing w:val="8"/>
                      <w:szCs w:val="21"/>
                      <w:highlight w:val="none"/>
                    </w:rPr>
                  </w:pPr>
                  <w:r>
                    <w:rPr>
                      <w:color w:val="auto"/>
                      <w:spacing w:val="8"/>
                      <w:szCs w:val="21"/>
                      <w:highlight w:val="none"/>
                    </w:rPr>
                    <w:t>2.5kg/桶</w:t>
                  </w:r>
                </w:p>
              </w:tc>
              <w:tc>
                <w:tcPr>
                  <w:tcW w:w="1445" w:type="dxa"/>
                  <w:tcBorders>
                    <w:tl2br w:val="nil"/>
                    <w:tr2bl w:val="nil"/>
                  </w:tcBorders>
                  <w:noWrap w:val="0"/>
                  <w:vAlign w:val="center"/>
                </w:tcPr>
                <w:p w14:paraId="1DFED589">
                  <w:pPr>
                    <w:jc w:val="center"/>
                    <w:rPr>
                      <w:rFonts w:hint="eastAsia" w:eastAsia="宋体"/>
                      <w:color w:val="auto"/>
                      <w:szCs w:val="21"/>
                      <w:highlight w:val="none"/>
                      <w:lang w:val="en-US" w:eastAsia="zh-CN"/>
                    </w:rPr>
                  </w:pPr>
                  <w:r>
                    <w:rPr>
                      <w:rFonts w:hint="eastAsia"/>
                      <w:color w:val="auto"/>
                      <w:spacing w:val="17"/>
                      <w:szCs w:val="21"/>
                      <w:highlight w:val="none"/>
                    </w:rPr>
                    <w:t>U</w:t>
                  </w:r>
                  <w:r>
                    <w:rPr>
                      <w:color w:val="auto"/>
                      <w:spacing w:val="17"/>
                      <w:szCs w:val="21"/>
                      <w:highlight w:val="none"/>
                    </w:rPr>
                    <w:t>V</w:t>
                  </w:r>
                  <w:r>
                    <w:rPr>
                      <w:rFonts w:hint="eastAsia"/>
                      <w:color w:val="auto"/>
                      <w:spacing w:val="17"/>
                      <w:szCs w:val="21"/>
                      <w:highlight w:val="none"/>
                      <w:lang w:val="en-US" w:eastAsia="zh-CN"/>
                    </w:rPr>
                    <w:t>印刷</w:t>
                  </w:r>
                </w:p>
              </w:tc>
            </w:tr>
            <w:tr w14:paraId="0B176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92" w:type="dxa"/>
                  <w:vMerge w:val="continue"/>
                  <w:tcBorders>
                    <w:tl2br w:val="nil"/>
                    <w:tr2bl w:val="nil"/>
                  </w:tcBorders>
                  <w:noWrap w:val="0"/>
                  <w:vAlign w:val="center"/>
                </w:tcPr>
                <w:p w14:paraId="01352477">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1118" w:type="dxa"/>
                  <w:tcBorders>
                    <w:tl2br w:val="nil"/>
                    <w:tr2bl w:val="nil"/>
                  </w:tcBorders>
                  <w:noWrap w:val="0"/>
                  <w:vAlign w:val="center"/>
                </w:tcPr>
                <w:p w14:paraId="052DCC76">
                  <w:pPr>
                    <w:jc w:val="center"/>
                    <w:rPr>
                      <w:rFonts w:hint="eastAsia" w:eastAsia="宋体"/>
                      <w:color w:val="auto"/>
                      <w:spacing w:val="17"/>
                      <w:szCs w:val="21"/>
                      <w:highlight w:val="none"/>
                      <w:lang w:eastAsia="zh-CN"/>
                    </w:rPr>
                  </w:pPr>
                  <w:r>
                    <w:rPr>
                      <w:rFonts w:hint="eastAsia"/>
                      <w:color w:val="auto"/>
                      <w:spacing w:val="17"/>
                      <w:szCs w:val="21"/>
                      <w:highlight w:val="none"/>
                    </w:rPr>
                    <w:t>U</w:t>
                  </w:r>
                  <w:r>
                    <w:rPr>
                      <w:color w:val="auto"/>
                      <w:spacing w:val="17"/>
                      <w:szCs w:val="21"/>
                      <w:highlight w:val="none"/>
                    </w:rPr>
                    <w:t>V</w:t>
                  </w:r>
                  <w:r>
                    <w:rPr>
                      <w:rFonts w:hint="eastAsia"/>
                      <w:color w:val="auto"/>
                      <w:spacing w:val="17"/>
                      <w:szCs w:val="21"/>
                      <w:highlight w:val="none"/>
                    </w:rPr>
                    <w:t>油墨</w:t>
                  </w:r>
                  <w:r>
                    <w:rPr>
                      <w:rFonts w:hint="eastAsia"/>
                      <w:color w:val="auto"/>
                      <w:spacing w:val="17"/>
                      <w:szCs w:val="21"/>
                      <w:highlight w:val="none"/>
                      <w:lang w:eastAsia="zh-CN"/>
                    </w:rPr>
                    <w:t>（</w:t>
                  </w:r>
                  <w:r>
                    <w:rPr>
                      <w:rFonts w:hint="eastAsia"/>
                      <w:color w:val="auto"/>
                      <w:spacing w:val="17"/>
                      <w:szCs w:val="21"/>
                      <w:highlight w:val="none"/>
                      <w:lang w:val="en-US" w:eastAsia="zh-CN"/>
                    </w:rPr>
                    <w:t>打样</w:t>
                  </w:r>
                  <w:r>
                    <w:rPr>
                      <w:rFonts w:hint="eastAsia"/>
                      <w:color w:val="auto"/>
                      <w:spacing w:val="17"/>
                      <w:szCs w:val="21"/>
                      <w:highlight w:val="none"/>
                      <w:lang w:eastAsia="zh-CN"/>
                    </w:rPr>
                    <w:t>）</w:t>
                  </w:r>
                </w:p>
              </w:tc>
              <w:tc>
                <w:tcPr>
                  <w:tcW w:w="755" w:type="dxa"/>
                  <w:tcBorders>
                    <w:tl2br w:val="nil"/>
                    <w:tr2bl w:val="nil"/>
                  </w:tcBorders>
                  <w:noWrap w:val="0"/>
                  <w:vAlign w:val="center"/>
                </w:tcPr>
                <w:p w14:paraId="324BF2F9">
                  <w:pPr>
                    <w:jc w:val="center"/>
                    <w:rPr>
                      <w:color w:val="auto"/>
                      <w:spacing w:val="1"/>
                      <w:szCs w:val="21"/>
                      <w:highlight w:val="none"/>
                    </w:rPr>
                  </w:pPr>
                  <w:r>
                    <w:rPr>
                      <w:color w:val="auto"/>
                      <w:spacing w:val="1"/>
                      <w:szCs w:val="21"/>
                      <w:highlight w:val="none"/>
                    </w:rPr>
                    <w:t>t/a</w:t>
                  </w:r>
                </w:p>
              </w:tc>
              <w:tc>
                <w:tcPr>
                  <w:tcW w:w="954" w:type="dxa"/>
                  <w:tcBorders>
                    <w:tl2br w:val="nil"/>
                    <w:tr2bl w:val="nil"/>
                  </w:tcBorders>
                  <w:noWrap w:val="0"/>
                  <w:vAlign w:val="center"/>
                </w:tcPr>
                <w:p w14:paraId="3613FD81">
                  <w:pPr>
                    <w:jc w:val="center"/>
                    <w:rPr>
                      <w:rFonts w:hint="eastAsia"/>
                      <w:color w:val="auto"/>
                      <w:spacing w:val="1"/>
                      <w:szCs w:val="21"/>
                      <w:highlight w:val="none"/>
                    </w:rPr>
                  </w:pPr>
                  <w:r>
                    <w:rPr>
                      <w:rFonts w:hint="eastAsia"/>
                      <w:color w:val="auto"/>
                      <w:spacing w:val="1"/>
                      <w:szCs w:val="21"/>
                      <w:highlight w:val="none"/>
                    </w:rPr>
                    <w:t>0</w:t>
                  </w:r>
                </w:p>
              </w:tc>
              <w:tc>
                <w:tcPr>
                  <w:tcW w:w="964" w:type="dxa"/>
                  <w:tcBorders>
                    <w:tl2br w:val="nil"/>
                    <w:tr2bl w:val="nil"/>
                  </w:tcBorders>
                  <w:noWrap w:val="0"/>
                  <w:vAlign w:val="center"/>
                </w:tcPr>
                <w:p w14:paraId="374641D0">
                  <w:pPr>
                    <w:jc w:val="center"/>
                    <w:rPr>
                      <w:rFonts w:hint="eastAsia"/>
                      <w:color w:val="auto"/>
                      <w:szCs w:val="21"/>
                      <w:highlight w:val="none"/>
                    </w:rPr>
                  </w:pPr>
                  <w:r>
                    <w:rPr>
                      <w:rFonts w:hint="eastAsia"/>
                      <w:color w:val="auto"/>
                      <w:szCs w:val="21"/>
                      <w:highlight w:val="none"/>
                    </w:rPr>
                    <w:t>+</w:t>
                  </w:r>
                  <w:r>
                    <w:rPr>
                      <w:rFonts w:hint="eastAsia"/>
                      <w:color w:val="auto"/>
                      <w:szCs w:val="21"/>
                      <w:highlight w:val="none"/>
                      <w:lang w:val="en-US" w:eastAsia="zh-CN"/>
                    </w:rPr>
                    <w:t>0.75</w:t>
                  </w:r>
                </w:p>
              </w:tc>
              <w:tc>
                <w:tcPr>
                  <w:tcW w:w="973" w:type="dxa"/>
                  <w:tcBorders>
                    <w:tl2br w:val="nil"/>
                    <w:tr2bl w:val="nil"/>
                  </w:tcBorders>
                  <w:noWrap w:val="0"/>
                  <w:vAlign w:val="center"/>
                </w:tcPr>
                <w:p w14:paraId="0CFDDCBF">
                  <w:pPr>
                    <w:jc w:val="center"/>
                    <w:rPr>
                      <w:rFonts w:hint="eastAsia"/>
                      <w:color w:val="auto"/>
                      <w:szCs w:val="21"/>
                      <w:highlight w:val="none"/>
                      <w:lang w:val="en-US" w:eastAsia="zh-CN"/>
                    </w:rPr>
                  </w:pPr>
                  <w:r>
                    <w:rPr>
                      <w:rFonts w:hint="eastAsia"/>
                      <w:color w:val="auto"/>
                      <w:szCs w:val="21"/>
                      <w:highlight w:val="none"/>
                      <w:lang w:val="en-US" w:eastAsia="zh-CN"/>
                    </w:rPr>
                    <w:t>0.75</w:t>
                  </w:r>
                </w:p>
              </w:tc>
              <w:tc>
                <w:tcPr>
                  <w:tcW w:w="1654" w:type="dxa"/>
                  <w:tcBorders>
                    <w:tl2br w:val="nil"/>
                    <w:tr2bl w:val="nil"/>
                  </w:tcBorders>
                  <w:noWrap w:val="0"/>
                  <w:vAlign w:val="center"/>
                </w:tcPr>
                <w:p w14:paraId="5911A138">
                  <w:pPr>
                    <w:jc w:val="center"/>
                    <w:rPr>
                      <w:color w:val="auto"/>
                      <w:spacing w:val="8"/>
                      <w:szCs w:val="21"/>
                      <w:highlight w:val="none"/>
                    </w:rPr>
                  </w:pPr>
                  <w:r>
                    <w:rPr>
                      <w:color w:val="auto"/>
                      <w:spacing w:val="8"/>
                      <w:szCs w:val="21"/>
                      <w:highlight w:val="none"/>
                    </w:rPr>
                    <w:t>2.5kg/桶</w:t>
                  </w:r>
                </w:p>
              </w:tc>
              <w:tc>
                <w:tcPr>
                  <w:tcW w:w="1445" w:type="dxa"/>
                  <w:tcBorders>
                    <w:tl2br w:val="nil"/>
                    <w:tr2bl w:val="nil"/>
                  </w:tcBorders>
                  <w:noWrap w:val="0"/>
                  <w:vAlign w:val="center"/>
                </w:tcPr>
                <w:p w14:paraId="5AF5DD5A">
                  <w:pPr>
                    <w:jc w:val="center"/>
                    <w:rPr>
                      <w:rFonts w:hint="eastAsia" w:eastAsia="宋体"/>
                      <w:color w:val="auto"/>
                      <w:spacing w:val="17"/>
                      <w:szCs w:val="21"/>
                      <w:highlight w:val="none"/>
                      <w:lang w:eastAsia="zh-CN"/>
                    </w:rPr>
                  </w:pPr>
                  <w:r>
                    <w:rPr>
                      <w:rFonts w:hint="eastAsia"/>
                      <w:color w:val="auto"/>
                      <w:spacing w:val="17"/>
                      <w:szCs w:val="21"/>
                      <w:highlight w:val="none"/>
                      <w:lang w:val="en-US" w:eastAsia="zh-CN"/>
                    </w:rPr>
                    <w:t>打样</w:t>
                  </w:r>
                </w:p>
              </w:tc>
            </w:tr>
            <w:tr w14:paraId="4A136F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592" w:type="dxa"/>
                  <w:vMerge w:val="continue"/>
                  <w:tcBorders>
                    <w:tl2br w:val="nil"/>
                    <w:tr2bl w:val="nil"/>
                  </w:tcBorders>
                  <w:noWrap w:val="0"/>
                  <w:vAlign w:val="center"/>
                </w:tcPr>
                <w:p w14:paraId="15845B5D">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1118" w:type="dxa"/>
                  <w:tcBorders>
                    <w:tl2br w:val="nil"/>
                    <w:tr2bl w:val="nil"/>
                  </w:tcBorders>
                  <w:noWrap w:val="0"/>
                  <w:vAlign w:val="center"/>
                </w:tcPr>
                <w:p w14:paraId="484A99C8">
                  <w:pPr>
                    <w:jc w:val="center"/>
                    <w:rPr>
                      <w:rFonts w:hint="eastAsia" w:eastAsia="Calibri" w:cs="Times New Roman"/>
                      <w:color w:val="auto"/>
                      <w:kern w:val="2"/>
                      <w:sz w:val="21"/>
                      <w:szCs w:val="21"/>
                      <w:highlight w:val="none"/>
                      <w:lang w:val="en-US" w:eastAsia="zh-CN"/>
                    </w:rPr>
                  </w:pPr>
                  <w:r>
                    <w:rPr>
                      <w:rFonts w:hint="eastAsia"/>
                      <w:color w:val="auto"/>
                      <w:spacing w:val="17"/>
                      <w:szCs w:val="21"/>
                      <w:highlight w:val="none"/>
                    </w:rPr>
                    <w:t>水性喷墨</w:t>
                  </w:r>
                </w:p>
              </w:tc>
              <w:tc>
                <w:tcPr>
                  <w:tcW w:w="755" w:type="dxa"/>
                  <w:tcBorders>
                    <w:tl2br w:val="nil"/>
                    <w:tr2bl w:val="nil"/>
                  </w:tcBorders>
                  <w:noWrap w:val="0"/>
                  <w:vAlign w:val="center"/>
                </w:tcPr>
                <w:p w14:paraId="7445DDD0">
                  <w:pPr>
                    <w:jc w:val="center"/>
                    <w:rPr>
                      <w:rFonts w:hint="eastAsia"/>
                      <w:bCs/>
                      <w:color w:val="auto"/>
                      <w:szCs w:val="21"/>
                      <w:highlight w:val="none"/>
                    </w:rPr>
                  </w:pPr>
                  <w:r>
                    <w:rPr>
                      <w:rFonts w:hint="eastAsia"/>
                      <w:color w:val="auto"/>
                      <w:spacing w:val="1"/>
                      <w:szCs w:val="21"/>
                      <w:highlight w:val="none"/>
                    </w:rPr>
                    <w:t>t/a</w:t>
                  </w:r>
                </w:p>
              </w:tc>
              <w:tc>
                <w:tcPr>
                  <w:tcW w:w="954" w:type="dxa"/>
                  <w:tcBorders>
                    <w:tl2br w:val="nil"/>
                    <w:tr2bl w:val="nil"/>
                  </w:tcBorders>
                  <w:noWrap w:val="0"/>
                  <w:vAlign w:val="center"/>
                </w:tcPr>
                <w:p w14:paraId="72E27BDD">
                  <w:pPr>
                    <w:jc w:val="center"/>
                    <w:rPr>
                      <w:rFonts w:hint="eastAsia" w:eastAsia="Calibri" w:cs="Times New Roman"/>
                      <w:color w:val="auto"/>
                      <w:kern w:val="2"/>
                      <w:sz w:val="21"/>
                      <w:szCs w:val="21"/>
                      <w:highlight w:val="none"/>
                      <w:lang w:val="en-US" w:eastAsia="zh-CN"/>
                    </w:rPr>
                  </w:pPr>
                  <w:r>
                    <w:rPr>
                      <w:rFonts w:hint="eastAsia"/>
                      <w:color w:val="auto"/>
                      <w:spacing w:val="1"/>
                      <w:szCs w:val="21"/>
                      <w:highlight w:val="none"/>
                    </w:rPr>
                    <w:t>0</w:t>
                  </w:r>
                </w:p>
              </w:tc>
              <w:tc>
                <w:tcPr>
                  <w:tcW w:w="964" w:type="dxa"/>
                  <w:tcBorders>
                    <w:tl2br w:val="nil"/>
                    <w:tr2bl w:val="nil"/>
                  </w:tcBorders>
                  <w:noWrap w:val="0"/>
                  <w:vAlign w:val="center"/>
                </w:tcPr>
                <w:p w14:paraId="4040C94B">
                  <w:pPr>
                    <w:jc w:val="center"/>
                    <w:rPr>
                      <w:rFonts w:hint="eastAsia" w:eastAsia="Calibri" w:cs="Times New Roman"/>
                      <w:color w:val="auto"/>
                      <w:kern w:val="2"/>
                      <w:sz w:val="21"/>
                      <w:szCs w:val="21"/>
                      <w:highlight w:val="none"/>
                      <w:lang w:val="en-US" w:eastAsia="zh-CN"/>
                    </w:rPr>
                  </w:pPr>
                  <w:r>
                    <w:rPr>
                      <w:rFonts w:hint="eastAsia"/>
                      <w:color w:val="auto"/>
                      <w:szCs w:val="21"/>
                      <w:highlight w:val="none"/>
                    </w:rPr>
                    <w:t>+</w:t>
                  </w:r>
                  <w:r>
                    <w:rPr>
                      <w:rFonts w:hint="eastAsia"/>
                      <w:color w:val="auto"/>
                      <w:szCs w:val="21"/>
                      <w:highlight w:val="none"/>
                      <w:lang w:val="en-US" w:eastAsia="zh-CN"/>
                    </w:rPr>
                    <w:t>0.08</w:t>
                  </w:r>
                </w:p>
              </w:tc>
              <w:tc>
                <w:tcPr>
                  <w:tcW w:w="973" w:type="dxa"/>
                  <w:tcBorders>
                    <w:tl2br w:val="nil"/>
                    <w:tr2bl w:val="nil"/>
                  </w:tcBorders>
                  <w:noWrap w:val="0"/>
                  <w:vAlign w:val="center"/>
                </w:tcPr>
                <w:p w14:paraId="1D6DE47E">
                  <w:pPr>
                    <w:jc w:val="center"/>
                    <w:rPr>
                      <w:rFonts w:hint="eastAsia" w:eastAsia="Calibri" w:cs="Times New Roman"/>
                      <w:color w:val="auto"/>
                      <w:kern w:val="2"/>
                      <w:sz w:val="21"/>
                      <w:szCs w:val="21"/>
                      <w:highlight w:val="none"/>
                      <w:lang w:val="en-US" w:eastAsia="zh-CN"/>
                    </w:rPr>
                  </w:pPr>
                  <w:r>
                    <w:rPr>
                      <w:rFonts w:hint="eastAsia"/>
                      <w:color w:val="auto"/>
                      <w:szCs w:val="21"/>
                      <w:highlight w:val="none"/>
                      <w:lang w:val="en-US" w:eastAsia="zh-CN"/>
                    </w:rPr>
                    <w:t>0.08</w:t>
                  </w:r>
                </w:p>
              </w:tc>
              <w:tc>
                <w:tcPr>
                  <w:tcW w:w="1654" w:type="dxa"/>
                  <w:tcBorders>
                    <w:tl2br w:val="nil"/>
                    <w:tr2bl w:val="nil"/>
                  </w:tcBorders>
                  <w:noWrap w:val="0"/>
                  <w:vAlign w:val="center"/>
                </w:tcPr>
                <w:p w14:paraId="7C55C6C5">
                  <w:pPr>
                    <w:jc w:val="center"/>
                    <w:rPr>
                      <w:color w:val="auto"/>
                      <w:spacing w:val="8"/>
                      <w:szCs w:val="21"/>
                      <w:highlight w:val="none"/>
                    </w:rPr>
                  </w:pPr>
                  <w:r>
                    <w:rPr>
                      <w:rFonts w:hint="eastAsia"/>
                      <w:color w:val="auto"/>
                      <w:spacing w:val="8"/>
                      <w:szCs w:val="21"/>
                      <w:highlight w:val="none"/>
                    </w:rPr>
                    <w:t>500mL/瓶</w:t>
                  </w:r>
                </w:p>
              </w:tc>
              <w:tc>
                <w:tcPr>
                  <w:tcW w:w="1445" w:type="dxa"/>
                  <w:tcBorders>
                    <w:tl2br w:val="nil"/>
                    <w:tr2bl w:val="nil"/>
                  </w:tcBorders>
                  <w:noWrap w:val="0"/>
                  <w:vAlign w:val="center"/>
                </w:tcPr>
                <w:p w14:paraId="1908D253">
                  <w:pPr>
                    <w:jc w:val="center"/>
                    <w:rPr>
                      <w:rFonts w:hint="default"/>
                      <w:color w:val="auto"/>
                      <w:szCs w:val="21"/>
                      <w:highlight w:val="none"/>
                      <w:lang w:val="en-US" w:eastAsia="zh-CN"/>
                    </w:rPr>
                  </w:pPr>
                  <w:r>
                    <w:rPr>
                      <w:rFonts w:hint="eastAsia"/>
                      <w:color w:val="auto"/>
                      <w:szCs w:val="21"/>
                      <w:highlight w:val="none"/>
                      <w:lang w:val="en-US" w:eastAsia="zh-CN"/>
                    </w:rPr>
                    <w:t>用于喷防伪二维码</w:t>
                  </w:r>
                </w:p>
              </w:tc>
            </w:tr>
            <w:tr w14:paraId="4B912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92" w:type="dxa"/>
                  <w:vMerge w:val="continue"/>
                  <w:tcBorders>
                    <w:tl2br w:val="nil"/>
                    <w:tr2bl w:val="nil"/>
                  </w:tcBorders>
                  <w:noWrap w:val="0"/>
                  <w:vAlign w:val="center"/>
                </w:tcPr>
                <w:p w14:paraId="0831486B">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1118" w:type="dxa"/>
                  <w:tcBorders>
                    <w:tl2br w:val="nil"/>
                    <w:tr2bl w:val="nil"/>
                  </w:tcBorders>
                  <w:noWrap w:val="0"/>
                  <w:vAlign w:val="center"/>
                </w:tcPr>
                <w:p w14:paraId="29B484FC">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sz w:val="21"/>
                      <w:szCs w:val="21"/>
                      <w:highlight w:val="none"/>
                      <w:lang w:val="en-US" w:eastAsia="zh-CN"/>
                    </w:rPr>
                    <w:t>水性干式覆膜胶</w:t>
                  </w:r>
                </w:p>
              </w:tc>
              <w:tc>
                <w:tcPr>
                  <w:tcW w:w="755" w:type="dxa"/>
                  <w:tcBorders>
                    <w:tl2br w:val="nil"/>
                    <w:tr2bl w:val="nil"/>
                  </w:tcBorders>
                  <w:noWrap w:val="0"/>
                  <w:vAlign w:val="center"/>
                </w:tcPr>
                <w:p w14:paraId="6392096F">
                  <w:pPr>
                    <w:spacing w:line="240" w:lineRule="auto"/>
                    <w:jc w:val="center"/>
                    <w:rPr>
                      <w:rFonts w:hint="eastAsia"/>
                      <w:bCs/>
                      <w:color w:val="auto"/>
                      <w:szCs w:val="21"/>
                      <w:highlight w:val="none"/>
                    </w:rPr>
                  </w:pPr>
                  <w:r>
                    <w:rPr>
                      <w:rFonts w:hint="eastAsia"/>
                      <w:bCs/>
                      <w:color w:val="auto"/>
                      <w:szCs w:val="21"/>
                      <w:highlight w:val="none"/>
                    </w:rPr>
                    <w:t>t/a</w:t>
                  </w:r>
                </w:p>
              </w:tc>
              <w:tc>
                <w:tcPr>
                  <w:tcW w:w="954" w:type="dxa"/>
                  <w:tcBorders>
                    <w:tl2br w:val="nil"/>
                    <w:tr2bl w:val="nil"/>
                  </w:tcBorders>
                  <w:noWrap w:val="0"/>
                  <w:vAlign w:val="center"/>
                </w:tcPr>
                <w:p w14:paraId="1F46AD39">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0</w:t>
                  </w:r>
                </w:p>
              </w:tc>
              <w:tc>
                <w:tcPr>
                  <w:tcW w:w="964" w:type="dxa"/>
                  <w:tcBorders>
                    <w:tl2br w:val="nil"/>
                    <w:tr2bl w:val="nil"/>
                  </w:tcBorders>
                  <w:noWrap w:val="0"/>
                  <w:vAlign w:val="center"/>
                </w:tcPr>
                <w:p w14:paraId="5E9D999C">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等线"/>
                      <w:color w:val="auto"/>
                      <w:szCs w:val="21"/>
                      <w:highlight w:val="none"/>
                      <w:lang w:val="en-US" w:eastAsia="zh-CN"/>
                    </w:rPr>
                    <w:t>+19.5</w:t>
                  </w:r>
                </w:p>
              </w:tc>
              <w:tc>
                <w:tcPr>
                  <w:tcW w:w="973" w:type="dxa"/>
                  <w:tcBorders>
                    <w:tl2br w:val="nil"/>
                    <w:tr2bl w:val="nil"/>
                  </w:tcBorders>
                  <w:noWrap w:val="0"/>
                  <w:vAlign w:val="center"/>
                </w:tcPr>
                <w:p w14:paraId="0FEF7621">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等线"/>
                      <w:color w:val="auto"/>
                      <w:szCs w:val="21"/>
                      <w:highlight w:val="none"/>
                      <w:lang w:val="en-US" w:eastAsia="zh-CN"/>
                    </w:rPr>
                    <w:t>19.5</w:t>
                  </w:r>
                </w:p>
              </w:tc>
              <w:tc>
                <w:tcPr>
                  <w:tcW w:w="1654" w:type="dxa"/>
                  <w:tcBorders>
                    <w:tl2br w:val="nil"/>
                    <w:tr2bl w:val="nil"/>
                  </w:tcBorders>
                  <w:noWrap w:val="0"/>
                  <w:vAlign w:val="center"/>
                </w:tcPr>
                <w:p w14:paraId="10CFE9FC">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sz w:val="21"/>
                      <w:szCs w:val="21"/>
                      <w:highlight w:val="none"/>
                      <w:lang w:val="en-US" w:eastAsia="zh-CN"/>
                    </w:rPr>
                    <w:t>20kg/桶</w:t>
                  </w:r>
                </w:p>
              </w:tc>
              <w:tc>
                <w:tcPr>
                  <w:tcW w:w="1445" w:type="dxa"/>
                  <w:tcBorders>
                    <w:tl2br w:val="nil"/>
                    <w:tr2bl w:val="nil"/>
                  </w:tcBorders>
                  <w:noWrap w:val="0"/>
                  <w:vAlign w:val="center"/>
                </w:tcPr>
                <w:p w14:paraId="311965C0">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color w:val="auto"/>
                      <w:szCs w:val="21"/>
                      <w:highlight w:val="none"/>
                      <w:lang w:val="en-US" w:eastAsia="zh-CN"/>
                    </w:rPr>
                    <w:t>纸盒覆膜</w:t>
                  </w:r>
                </w:p>
              </w:tc>
            </w:tr>
            <w:tr w14:paraId="7C161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592" w:type="dxa"/>
                  <w:vMerge w:val="continue"/>
                  <w:tcBorders>
                    <w:tl2br w:val="nil"/>
                    <w:tr2bl w:val="nil"/>
                  </w:tcBorders>
                  <w:noWrap w:val="0"/>
                  <w:vAlign w:val="center"/>
                </w:tcPr>
                <w:p w14:paraId="2F44BD15">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1118" w:type="dxa"/>
                  <w:tcBorders>
                    <w:tl2br w:val="nil"/>
                    <w:tr2bl w:val="nil"/>
                  </w:tcBorders>
                  <w:noWrap w:val="0"/>
                  <w:vAlign w:val="center"/>
                </w:tcPr>
                <w:p w14:paraId="0DBE9E57">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sz w:val="21"/>
                      <w:szCs w:val="21"/>
                      <w:highlight w:val="none"/>
                      <w:lang w:val="en-US" w:eastAsia="zh-CN"/>
                    </w:rPr>
                    <w:t>BOPP膜</w:t>
                  </w:r>
                </w:p>
              </w:tc>
              <w:tc>
                <w:tcPr>
                  <w:tcW w:w="755" w:type="dxa"/>
                  <w:tcBorders>
                    <w:tl2br w:val="nil"/>
                    <w:tr2bl w:val="nil"/>
                  </w:tcBorders>
                  <w:noWrap w:val="0"/>
                  <w:vAlign w:val="center"/>
                </w:tcPr>
                <w:p w14:paraId="1B4E14E8">
                  <w:pPr>
                    <w:spacing w:line="240" w:lineRule="auto"/>
                    <w:jc w:val="center"/>
                    <w:rPr>
                      <w:rFonts w:hint="eastAsia"/>
                      <w:bCs/>
                      <w:color w:val="auto"/>
                      <w:szCs w:val="21"/>
                      <w:highlight w:val="none"/>
                    </w:rPr>
                  </w:pPr>
                  <w:r>
                    <w:rPr>
                      <w:rFonts w:hint="eastAsia"/>
                      <w:bCs/>
                      <w:color w:val="auto"/>
                      <w:szCs w:val="21"/>
                      <w:highlight w:val="none"/>
                    </w:rPr>
                    <w:t>t/a</w:t>
                  </w:r>
                </w:p>
              </w:tc>
              <w:tc>
                <w:tcPr>
                  <w:tcW w:w="954" w:type="dxa"/>
                  <w:tcBorders>
                    <w:tl2br w:val="nil"/>
                    <w:tr2bl w:val="nil"/>
                  </w:tcBorders>
                  <w:noWrap w:val="0"/>
                  <w:vAlign w:val="center"/>
                </w:tcPr>
                <w:p w14:paraId="4F160CCE">
                  <w:pPr>
                    <w:spacing w:line="240" w:lineRule="auto"/>
                    <w:jc w:val="center"/>
                    <w:rPr>
                      <w:rFonts w:hint="default"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0</w:t>
                  </w:r>
                </w:p>
              </w:tc>
              <w:tc>
                <w:tcPr>
                  <w:tcW w:w="964" w:type="dxa"/>
                  <w:tcBorders>
                    <w:tl2br w:val="nil"/>
                    <w:tr2bl w:val="nil"/>
                  </w:tcBorders>
                  <w:noWrap w:val="0"/>
                  <w:vAlign w:val="center"/>
                </w:tcPr>
                <w:p w14:paraId="0D09E907">
                  <w:pPr>
                    <w:spacing w:line="240" w:lineRule="auto"/>
                    <w:jc w:val="center"/>
                    <w:rPr>
                      <w:rFonts w:hint="default" w:eastAsia="等线"/>
                      <w:color w:val="auto"/>
                      <w:szCs w:val="21"/>
                      <w:highlight w:val="none"/>
                      <w:lang w:val="en-US" w:eastAsia="zh-CN"/>
                    </w:rPr>
                  </w:pPr>
                  <w:r>
                    <w:rPr>
                      <w:rFonts w:hint="eastAsia" w:eastAsia="等线"/>
                      <w:color w:val="auto"/>
                      <w:szCs w:val="21"/>
                      <w:highlight w:val="none"/>
                      <w:lang w:val="en-US" w:eastAsia="zh-CN"/>
                    </w:rPr>
                    <w:t>+10</w:t>
                  </w:r>
                </w:p>
              </w:tc>
              <w:tc>
                <w:tcPr>
                  <w:tcW w:w="973" w:type="dxa"/>
                  <w:tcBorders>
                    <w:tl2br w:val="nil"/>
                    <w:tr2bl w:val="nil"/>
                  </w:tcBorders>
                  <w:noWrap w:val="0"/>
                  <w:vAlign w:val="center"/>
                </w:tcPr>
                <w:p w14:paraId="7A088E8A">
                  <w:pPr>
                    <w:spacing w:line="240" w:lineRule="auto"/>
                    <w:jc w:val="center"/>
                    <w:rPr>
                      <w:rFonts w:hint="default" w:eastAsia="等线"/>
                      <w:color w:val="auto"/>
                      <w:szCs w:val="21"/>
                      <w:highlight w:val="none"/>
                      <w:lang w:val="en-US" w:eastAsia="zh-CN"/>
                    </w:rPr>
                  </w:pPr>
                  <w:r>
                    <w:rPr>
                      <w:rFonts w:hint="eastAsia" w:eastAsia="等线"/>
                      <w:color w:val="auto"/>
                      <w:szCs w:val="21"/>
                      <w:highlight w:val="none"/>
                      <w:lang w:val="en-US" w:eastAsia="zh-CN"/>
                    </w:rPr>
                    <w:t>10</w:t>
                  </w:r>
                </w:p>
              </w:tc>
              <w:tc>
                <w:tcPr>
                  <w:tcW w:w="1654" w:type="dxa"/>
                  <w:tcBorders>
                    <w:tl2br w:val="nil"/>
                    <w:tr2bl w:val="nil"/>
                  </w:tcBorders>
                  <w:noWrap w:val="0"/>
                  <w:vAlign w:val="center"/>
                </w:tcPr>
                <w:p w14:paraId="1AC89BBC">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sz w:val="21"/>
                      <w:szCs w:val="21"/>
                      <w:highlight w:val="none"/>
                      <w:lang w:val="en-US" w:eastAsia="zh-CN"/>
                    </w:rPr>
                    <w:t>/</w:t>
                  </w:r>
                </w:p>
              </w:tc>
              <w:tc>
                <w:tcPr>
                  <w:tcW w:w="1445" w:type="dxa"/>
                  <w:tcBorders>
                    <w:tl2br w:val="nil"/>
                    <w:tr2bl w:val="nil"/>
                  </w:tcBorders>
                  <w:noWrap w:val="0"/>
                  <w:vAlign w:val="center"/>
                </w:tcPr>
                <w:p w14:paraId="5C5820FA">
                  <w:pPr>
                    <w:spacing w:line="240" w:lineRule="auto"/>
                    <w:jc w:val="center"/>
                    <w:rPr>
                      <w:rFonts w:hint="eastAsia"/>
                      <w:color w:val="auto"/>
                      <w:szCs w:val="21"/>
                      <w:highlight w:val="none"/>
                      <w:lang w:val="en-US" w:eastAsia="zh-CN"/>
                    </w:rPr>
                  </w:pPr>
                  <w:r>
                    <w:rPr>
                      <w:rFonts w:hint="eastAsia"/>
                      <w:color w:val="auto"/>
                      <w:szCs w:val="21"/>
                      <w:highlight w:val="none"/>
                      <w:lang w:val="en-US" w:eastAsia="zh-CN"/>
                    </w:rPr>
                    <w:t>纸盒覆膜</w:t>
                  </w:r>
                </w:p>
              </w:tc>
            </w:tr>
            <w:tr w14:paraId="16B3D1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92" w:type="dxa"/>
                  <w:vMerge w:val="continue"/>
                  <w:tcBorders>
                    <w:tl2br w:val="nil"/>
                    <w:tr2bl w:val="nil"/>
                  </w:tcBorders>
                  <w:noWrap w:val="0"/>
                  <w:vAlign w:val="center"/>
                </w:tcPr>
                <w:p w14:paraId="272F2625">
                  <w:pPr>
                    <w:spacing w:line="240" w:lineRule="auto"/>
                    <w:jc w:val="center"/>
                    <w:rPr>
                      <w:rFonts w:hint="default" w:ascii="Times New Roman" w:hAnsi="Times New Roman" w:eastAsia="Calibri" w:cs="Times New Roman"/>
                      <w:color w:val="auto"/>
                      <w:kern w:val="2"/>
                      <w:sz w:val="21"/>
                      <w:szCs w:val="21"/>
                      <w:highlight w:val="none"/>
                      <w:lang w:val="en-US" w:eastAsia="zh-CN"/>
                    </w:rPr>
                  </w:pPr>
                </w:p>
              </w:tc>
              <w:tc>
                <w:tcPr>
                  <w:tcW w:w="1118" w:type="dxa"/>
                  <w:tcBorders>
                    <w:tl2br w:val="nil"/>
                    <w:tr2bl w:val="nil"/>
                  </w:tcBorders>
                  <w:noWrap w:val="0"/>
                  <w:vAlign w:val="center"/>
                </w:tcPr>
                <w:p w14:paraId="1C5D760D">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sz w:val="21"/>
                      <w:szCs w:val="21"/>
                      <w:highlight w:val="none"/>
                      <w:lang w:val="en-US" w:eastAsia="zh-CN"/>
                    </w:rPr>
                    <w:t>水性</w:t>
                  </w:r>
                  <w:r>
                    <w:rPr>
                      <w:rFonts w:hint="eastAsia" w:eastAsia="Calibri" w:cs="Times New Roman"/>
                      <w:color w:val="auto"/>
                      <w:kern w:val="2"/>
                      <w:sz w:val="21"/>
                      <w:szCs w:val="21"/>
                      <w:highlight w:val="none"/>
                      <w:lang w:val="en-US" w:eastAsia="zh-CN"/>
                    </w:rPr>
                    <w:t>胶粘剂</w:t>
                  </w:r>
                </w:p>
              </w:tc>
              <w:tc>
                <w:tcPr>
                  <w:tcW w:w="755" w:type="dxa"/>
                  <w:tcBorders>
                    <w:tl2br w:val="nil"/>
                    <w:tr2bl w:val="nil"/>
                  </w:tcBorders>
                  <w:noWrap w:val="0"/>
                  <w:vAlign w:val="center"/>
                </w:tcPr>
                <w:p w14:paraId="397B9C6B">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bCs/>
                      <w:color w:val="auto"/>
                      <w:szCs w:val="21"/>
                      <w:highlight w:val="none"/>
                    </w:rPr>
                    <w:t>t/a</w:t>
                  </w:r>
                </w:p>
              </w:tc>
              <w:tc>
                <w:tcPr>
                  <w:tcW w:w="954" w:type="dxa"/>
                  <w:tcBorders>
                    <w:tl2br w:val="nil"/>
                    <w:tr2bl w:val="nil"/>
                  </w:tcBorders>
                  <w:noWrap w:val="0"/>
                  <w:vAlign w:val="center"/>
                </w:tcPr>
                <w:p w14:paraId="3CA46F74">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0</w:t>
                  </w:r>
                </w:p>
              </w:tc>
              <w:tc>
                <w:tcPr>
                  <w:tcW w:w="964" w:type="dxa"/>
                  <w:tcBorders>
                    <w:tl2br w:val="nil"/>
                    <w:tr2bl w:val="nil"/>
                  </w:tcBorders>
                  <w:noWrap w:val="0"/>
                  <w:vAlign w:val="center"/>
                </w:tcPr>
                <w:p w14:paraId="770C69FD">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+24.5</w:t>
                  </w:r>
                </w:p>
              </w:tc>
              <w:tc>
                <w:tcPr>
                  <w:tcW w:w="973" w:type="dxa"/>
                  <w:tcBorders>
                    <w:tl2br w:val="nil"/>
                    <w:tr2bl w:val="nil"/>
                  </w:tcBorders>
                  <w:noWrap w:val="0"/>
                  <w:vAlign w:val="center"/>
                </w:tcPr>
                <w:p w14:paraId="35C951D5">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24.5</w:t>
                  </w:r>
                </w:p>
              </w:tc>
              <w:tc>
                <w:tcPr>
                  <w:tcW w:w="1654" w:type="dxa"/>
                  <w:tcBorders>
                    <w:tl2br w:val="nil"/>
                    <w:tr2bl w:val="nil"/>
                  </w:tcBorders>
                  <w:noWrap w:val="0"/>
                  <w:vAlign w:val="center"/>
                </w:tcPr>
                <w:p w14:paraId="5D5B0949">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sz w:val="21"/>
                      <w:szCs w:val="21"/>
                      <w:highlight w:val="none"/>
                      <w:lang w:val="en-US" w:eastAsia="zh-CN"/>
                    </w:rPr>
                    <w:t>20kg/桶</w:t>
                  </w:r>
                </w:p>
              </w:tc>
              <w:tc>
                <w:tcPr>
                  <w:tcW w:w="1445" w:type="dxa"/>
                  <w:tcBorders>
                    <w:tl2br w:val="nil"/>
                    <w:tr2bl w:val="nil"/>
                  </w:tcBorders>
                  <w:noWrap w:val="0"/>
                  <w:vAlign w:val="center"/>
                </w:tcPr>
                <w:p w14:paraId="69E7D36B">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color w:val="auto"/>
                      <w:spacing w:val="10"/>
                      <w:szCs w:val="21"/>
                      <w:highlight w:val="none"/>
                      <w:lang w:val="en-US" w:eastAsia="zh-CN"/>
                    </w:rPr>
                    <w:t>纸盒</w:t>
                  </w:r>
                  <w:r>
                    <w:rPr>
                      <w:rFonts w:hint="eastAsia"/>
                      <w:color w:val="auto"/>
                      <w:spacing w:val="10"/>
                      <w:szCs w:val="21"/>
                      <w:highlight w:val="none"/>
                    </w:rPr>
                    <w:t>对裱</w:t>
                  </w:r>
                </w:p>
              </w:tc>
            </w:tr>
            <w:tr w14:paraId="23608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92" w:type="dxa"/>
                  <w:vMerge w:val="continue"/>
                  <w:tcBorders>
                    <w:tl2br w:val="nil"/>
                    <w:tr2bl w:val="nil"/>
                  </w:tcBorders>
                  <w:noWrap w:val="0"/>
                  <w:vAlign w:val="center"/>
                </w:tcPr>
                <w:p w14:paraId="3F820B3E">
                  <w:pPr>
                    <w:spacing w:line="240" w:lineRule="auto"/>
                    <w:jc w:val="center"/>
                    <w:rPr>
                      <w:rFonts w:hint="default" w:ascii="Times New Roman" w:hAnsi="Times New Roman" w:eastAsia="Calibri" w:cs="Times New Roman"/>
                      <w:color w:val="auto"/>
                      <w:kern w:val="2"/>
                      <w:sz w:val="21"/>
                      <w:szCs w:val="21"/>
                      <w:lang w:val="en-US" w:eastAsia="zh-CN"/>
                    </w:rPr>
                  </w:pPr>
                </w:p>
              </w:tc>
              <w:tc>
                <w:tcPr>
                  <w:tcW w:w="1118" w:type="dxa"/>
                  <w:tcBorders>
                    <w:tl2br w:val="nil"/>
                    <w:tr2bl w:val="nil"/>
                  </w:tcBorders>
                  <w:noWrap w:val="0"/>
                  <w:vAlign w:val="center"/>
                </w:tcPr>
                <w:p w14:paraId="4FA1E421">
                  <w:pPr>
                    <w:jc w:val="center"/>
                    <w:rPr>
                      <w:rFonts w:hint="default" w:ascii="Times New Roman" w:hAnsi="Times New Roman" w:eastAsia="Calibri" w:cs="Times New Roman"/>
                      <w:color w:val="auto"/>
                      <w:kern w:val="2"/>
                      <w:sz w:val="21"/>
                      <w:szCs w:val="21"/>
                      <w:lang w:val="en-US" w:eastAsia="zh-CN"/>
                    </w:rPr>
                  </w:pPr>
                  <w:r>
                    <w:rPr>
                      <w:color w:val="auto"/>
                      <w:szCs w:val="21"/>
                    </w:rPr>
                    <w:t>CTP版</w:t>
                  </w:r>
                </w:p>
              </w:tc>
              <w:tc>
                <w:tcPr>
                  <w:tcW w:w="755" w:type="dxa"/>
                  <w:tcBorders>
                    <w:tl2br w:val="nil"/>
                    <w:tr2bl w:val="nil"/>
                  </w:tcBorders>
                  <w:noWrap w:val="0"/>
                  <w:vAlign w:val="center"/>
                </w:tcPr>
                <w:p w14:paraId="1F4AF6B7">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eastAsia="Calibri" w:cs="Times New Roman"/>
                      <w:color w:val="auto"/>
                      <w:kern w:val="2"/>
                      <w:sz w:val="21"/>
                      <w:szCs w:val="21"/>
                      <w:lang w:val="en-US" w:eastAsia="zh-CN"/>
                    </w:rPr>
                    <w:t>张/a</w:t>
                  </w:r>
                </w:p>
              </w:tc>
              <w:tc>
                <w:tcPr>
                  <w:tcW w:w="954" w:type="dxa"/>
                  <w:tcBorders>
                    <w:tl2br w:val="nil"/>
                    <w:tr2bl w:val="nil"/>
                  </w:tcBorders>
                  <w:noWrap w:val="0"/>
                  <w:vAlign w:val="center"/>
                </w:tcPr>
                <w:p w14:paraId="7516C3E6">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eastAsia="Calibri" w:cs="Times New Roman"/>
                      <w:color w:val="auto"/>
                      <w:kern w:val="2"/>
                      <w:sz w:val="21"/>
                      <w:szCs w:val="21"/>
                      <w:lang w:val="en-US" w:eastAsia="zh-CN"/>
                    </w:rPr>
                    <w:t>0</w:t>
                  </w:r>
                </w:p>
              </w:tc>
              <w:tc>
                <w:tcPr>
                  <w:tcW w:w="964" w:type="dxa"/>
                  <w:tcBorders>
                    <w:tl2br w:val="nil"/>
                    <w:tr2bl w:val="nil"/>
                  </w:tcBorders>
                  <w:noWrap w:val="0"/>
                  <w:vAlign w:val="center"/>
                </w:tcPr>
                <w:p w14:paraId="2B51D801">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eastAsia="Calibri" w:cs="Times New Roman"/>
                      <w:color w:val="auto"/>
                      <w:kern w:val="2"/>
                      <w:sz w:val="21"/>
                      <w:szCs w:val="21"/>
                      <w:lang w:val="en-US" w:eastAsia="zh-CN"/>
                    </w:rPr>
                    <w:t>+300</w:t>
                  </w:r>
                </w:p>
              </w:tc>
              <w:tc>
                <w:tcPr>
                  <w:tcW w:w="973" w:type="dxa"/>
                  <w:tcBorders>
                    <w:tl2br w:val="nil"/>
                    <w:tr2bl w:val="nil"/>
                  </w:tcBorders>
                  <w:noWrap w:val="0"/>
                  <w:vAlign w:val="center"/>
                </w:tcPr>
                <w:p w14:paraId="3331F1D0">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eastAsia="Calibri" w:cs="Times New Roman"/>
                      <w:color w:val="auto"/>
                      <w:kern w:val="2"/>
                      <w:sz w:val="21"/>
                      <w:szCs w:val="21"/>
                      <w:lang w:val="en-US" w:eastAsia="zh-CN"/>
                    </w:rPr>
                    <w:t>300</w:t>
                  </w:r>
                </w:p>
              </w:tc>
              <w:tc>
                <w:tcPr>
                  <w:tcW w:w="1654" w:type="dxa"/>
                  <w:tcBorders>
                    <w:tl2br w:val="nil"/>
                    <w:tr2bl w:val="nil"/>
                  </w:tcBorders>
                  <w:noWrap w:val="0"/>
                  <w:vAlign w:val="center"/>
                </w:tcPr>
                <w:p w14:paraId="59A2A9F2">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eastAsia="Calibri" w:cs="Times New Roman"/>
                      <w:color w:val="auto"/>
                      <w:kern w:val="2"/>
                      <w:sz w:val="21"/>
                      <w:szCs w:val="21"/>
                      <w:lang w:val="en-US" w:eastAsia="zh-CN"/>
                    </w:rPr>
                    <w:t>0.40mm</w:t>
                  </w:r>
                </w:p>
              </w:tc>
              <w:tc>
                <w:tcPr>
                  <w:tcW w:w="1445" w:type="dxa"/>
                  <w:tcBorders>
                    <w:tl2br w:val="nil"/>
                    <w:tr2bl w:val="nil"/>
                  </w:tcBorders>
                  <w:noWrap w:val="0"/>
                  <w:vAlign w:val="center"/>
                </w:tcPr>
                <w:p w14:paraId="40F40392">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eastAsia="Calibri" w:cs="Times New Roman"/>
                      <w:color w:val="auto"/>
                      <w:kern w:val="2"/>
                      <w:sz w:val="21"/>
                      <w:szCs w:val="21"/>
                      <w:lang w:val="en-US" w:eastAsia="zh-CN"/>
                    </w:rPr>
                    <w:t>板材</w:t>
                  </w:r>
                </w:p>
              </w:tc>
            </w:tr>
            <w:tr w14:paraId="44FC2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33" w:hRule="atLeast"/>
                <w:jc w:val="center"/>
              </w:trPr>
              <w:tc>
                <w:tcPr>
                  <w:tcW w:w="592" w:type="dxa"/>
                  <w:vMerge w:val="continue"/>
                  <w:tcBorders>
                    <w:tl2br w:val="nil"/>
                    <w:tr2bl w:val="nil"/>
                  </w:tcBorders>
                  <w:noWrap w:val="0"/>
                  <w:vAlign w:val="center"/>
                </w:tcPr>
                <w:p w14:paraId="77C17500">
                  <w:pPr>
                    <w:spacing w:line="240" w:lineRule="auto"/>
                    <w:jc w:val="center"/>
                    <w:rPr>
                      <w:rFonts w:hint="default" w:ascii="Times New Roman" w:hAnsi="Times New Roman" w:eastAsia="Calibri" w:cs="Times New Roman"/>
                      <w:color w:val="auto"/>
                      <w:kern w:val="2"/>
                      <w:sz w:val="21"/>
                      <w:szCs w:val="21"/>
                      <w:highlight w:val="none"/>
                      <w:lang w:val="en-US" w:eastAsia="zh-CN"/>
                    </w:rPr>
                  </w:pPr>
                </w:p>
              </w:tc>
              <w:tc>
                <w:tcPr>
                  <w:tcW w:w="1118" w:type="dxa"/>
                  <w:tcBorders>
                    <w:tl2br w:val="nil"/>
                    <w:tr2bl w:val="nil"/>
                  </w:tcBorders>
                  <w:noWrap w:val="0"/>
                  <w:vAlign w:val="center"/>
                </w:tcPr>
                <w:p w14:paraId="1565CAAF">
                  <w:pPr>
                    <w:jc w:val="center"/>
                    <w:rPr>
                      <w:rFonts w:hint="default" w:ascii="Times New Roman" w:hAnsi="Times New Roman" w:eastAsia="Calibri" w:cs="Times New Roman"/>
                      <w:color w:val="auto"/>
                      <w:kern w:val="2"/>
                      <w:sz w:val="21"/>
                      <w:szCs w:val="21"/>
                      <w:highlight w:val="none"/>
                      <w:lang w:val="en-US" w:eastAsia="zh-CN"/>
                    </w:rPr>
                  </w:pPr>
                  <w:r>
                    <w:rPr>
                      <w:color w:val="auto"/>
                      <w:szCs w:val="21"/>
                      <w:highlight w:val="none"/>
                    </w:rPr>
                    <w:t>CTP显影液</w:t>
                  </w:r>
                </w:p>
              </w:tc>
              <w:tc>
                <w:tcPr>
                  <w:tcW w:w="755" w:type="dxa"/>
                  <w:tcBorders>
                    <w:tl2br w:val="nil"/>
                    <w:tr2bl w:val="nil"/>
                  </w:tcBorders>
                  <w:noWrap w:val="0"/>
                  <w:vAlign w:val="center"/>
                </w:tcPr>
                <w:p w14:paraId="4CA9148B">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bCs/>
                      <w:color w:val="auto"/>
                      <w:szCs w:val="21"/>
                      <w:highlight w:val="none"/>
                    </w:rPr>
                    <w:t>t/a</w:t>
                  </w:r>
                </w:p>
              </w:tc>
              <w:tc>
                <w:tcPr>
                  <w:tcW w:w="954" w:type="dxa"/>
                  <w:tcBorders>
                    <w:tl2br w:val="nil"/>
                    <w:tr2bl w:val="nil"/>
                  </w:tcBorders>
                  <w:noWrap w:val="0"/>
                  <w:vAlign w:val="center"/>
                </w:tcPr>
                <w:p w14:paraId="70B8CB7F">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0</w:t>
                  </w:r>
                </w:p>
              </w:tc>
              <w:tc>
                <w:tcPr>
                  <w:tcW w:w="964" w:type="dxa"/>
                  <w:tcBorders>
                    <w:tl2br w:val="nil"/>
                    <w:tr2bl w:val="nil"/>
                  </w:tcBorders>
                  <w:noWrap w:val="0"/>
                  <w:vAlign w:val="center"/>
                </w:tcPr>
                <w:p w14:paraId="637E37A8">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+0.6</w:t>
                  </w:r>
                </w:p>
              </w:tc>
              <w:tc>
                <w:tcPr>
                  <w:tcW w:w="973" w:type="dxa"/>
                  <w:tcBorders>
                    <w:tl2br w:val="nil"/>
                    <w:tr2bl w:val="nil"/>
                  </w:tcBorders>
                  <w:noWrap w:val="0"/>
                  <w:vAlign w:val="center"/>
                </w:tcPr>
                <w:p w14:paraId="3B654D16">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0.6</w:t>
                  </w:r>
                </w:p>
              </w:tc>
              <w:tc>
                <w:tcPr>
                  <w:tcW w:w="1654" w:type="dxa"/>
                  <w:tcBorders>
                    <w:tl2br w:val="nil"/>
                    <w:tr2bl w:val="nil"/>
                  </w:tcBorders>
                  <w:noWrap w:val="0"/>
                  <w:vAlign w:val="center"/>
                </w:tcPr>
                <w:p w14:paraId="0FC1BCC1">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sz w:val="21"/>
                      <w:szCs w:val="21"/>
                      <w:highlight w:val="none"/>
                      <w:lang w:val="en-US" w:eastAsia="zh-CN"/>
                    </w:rPr>
                    <w:t>20kg/桶</w:t>
                  </w:r>
                </w:p>
              </w:tc>
              <w:tc>
                <w:tcPr>
                  <w:tcW w:w="1445" w:type="dxa"/>
                  <w:tcBorders>
                    <w:tl2br w:val="nil"/>
                    <w:tr2bl w:val="nil"/>
                  </w:tcBorders>
                  <w:noWrap w:val="0"/>
                  <w:vAlign w:val="center"/>
                </w:tcPr>
                <w:p w14:paraId="67232454">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color w:val="auto"/>
                      <w:spacing w:val="9"/>
                      <w:szCs w:val="21"/>
                      <w:highlight w:val="none"/>
                    </w:rPr>
                    <w:t>显影</w:t>
                  </w:r>
                </w:p>
              </w:tc>
            </w:tr>
            <w:tr w14:paraId="2A9A1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92" w:type="dxa"/>
                  <w:vMerge w:val="continue"/>
                  <w:tcBorders>
                    <w:tl2br w:val="nil"/>
                    <w:tr2bl w:val="nil"/>
                  </w:tcBorders>
                  <w:noWrap w:val="0"/>
                  <w:vAlign w:val="center"/>
                </w:tcPr>
                <w:p w14:paraId="628F7CAB">
                  <w:pPr>
                    <w:spacing w:line="240" w:lineRule="auto"/>
                    <w:jc w:val="center"/>
                    <w:rPr>
                      <w:rFonts w:hint="default" w:ascii="Times New Roman" w:hAnsi="Times New Roman" w:eastAsia="Calibri" w:cs="Times New Roman"/>
                      <w:color w:val="auto"/>
                      <w:kern w:val="2"/>
                      <w:sz w:val="21"/>
                      <w:szCs w:val="21"/>
                      <w:lang w:val="en-US" w:eastAsia="zh-CN"/>
                    </w:rPr>
                  </w:pPr>
                </w:p>
              </w:tc>
              <w:tc>
                <w:tcPr>
                  <w:tcW w:w="1118" w:type="dxa"/>
                  <w:tcBorders>
                    <w:tl2br w:val="nil"/>
                    <w:tr2bl w:val="nil"/>
                  </w:tcBorders>
                  <w:noWrap w:val="0"/>
                  <w:vAlign w:val="center"/>
                </w:tcPr>
                <w:p w14:paraId="268D16DA">
                  <w:pPr>
                    <w:jc w:val="center"/>
                    <w:rPr>
                      <w:rFonts w:hint="default" w:ascii="Times New Roman" w:hAnsi="Times New Roman" w:eastAsia="Calibri" w:cs="Times New Roman"/>
                      <w:color w:val="auto"/>
                      <w:kern w:val="2"/>
                      <w:sz w:val="21"/>
                      <w:szCs w:val="21"/>
                      <w:highlight w:val="none"/>
                      <w:lang w:val="en-US" w:eastAsia="zh-CN"/>
                    </w:rPr>
                  </w:pPr>
                  <w:r>
                    <w:rPr>
                      <w:color w:val="auto"/>
                      <w:spacing w:val="14"/>
                      <w:szCs w:val="21"/>
                      <w:highlight w:val="none"/>
                    </w:rPr>
                    <w:t>润版液</w:t>
                  </w:r>
                </w:p>
              </w:tc>
              <w:tc>
                <w:tcPr>
                  <w:tcW w:w="755" w:type="dxa"/>
                  <w:tcBorders>
                    <w:tl2br w:val="nil"/>
                    <w:tr2bl w:val="nil"/>
                  </w:tcBorders>
                  <w:noWrap w:val="0"/>
                  <w:vAlign w:val="center"/>
                </w:tcPr>
                <w:p w14:paraId="08BE869E">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bCs/>
                      <w:color w:val="auto"/>
                      <w:szCs w:val="21"/>
                      <w:highlight w:val="none"/>
                    </w:rPr>
                    <w:t>t/a</w:t>
                  </w:r>
                </w:p>
              </w:tc>
              <w:tc>
                <w:tcPr>
                  <w:tcW w:w="954" w:type="dxa"/>
                  <w:tcBorders>
                    <w:tl2br w:val="nil"/>
                    <w:tr2bl w:val="nil"/>
                  </w:tcBorders>
                  <w:noWrap w:val="0"/>
                  <w:vAlign w:val="center"/>
                </w:tcPr>
                <w:p w14:paraId="0FB7F04F">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0</w:t>
                  </w:r>
                </w:p>
              </w:tc>
              <w:tc>
                <w:tcPr>
                  <w:tcW w:w="964" w:type="dxa"/>
                  <w:tcBorders>
                    <w:tl2br w:val="nil"/>
                    <w:tr2bl w:val="nil"/>
                  </w:tcBorders>
                  <w:noWrap w:val="0"/>
                  <w:vAlign w:val="center"/>
                </w:tcPr>
                <w:p w14:paraId="713F8F43">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+0.6</w:t>
                  </w:r>
                </w:p>
              </w:tc>
              <w:tc>
                <w:tcPr>
                  <w:tcW w:w="973" w:type="dxa"/>
                  <w:tcBorders>
                    <w:tl2br w:val="nil"/>
                    <w:tr2bl w:val="nil"/>
                  </w:tcBorders>
                  <w:noWrap w:val="0"/>
                  <w:vAlign w:val="center"/>
                </w:tcPr>
                <w:p w14:paraId="6085E010">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0.6</w:t>
                  </w:r>
                </w:p>
              </w:tc>
              <w:tc>
                <w:tcPr>
                  <w:tcW w:w="1654" w:type="dxa"/>
                  <w:tcBorders>
                    <w:tl2br w:val="nil"/>
                    <w:tr2bl w:val="nil"/>
                  </w:tcBorders>
                  <w:noWrap w:val="0"/>
                  <w:vAlign w:val="center"/>
                </w:tcPr>
                <w:p w14:paraId="10FC8A31">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default" w:ascii="Times New Roman" w:hAnsi="Times New Roman" w:eastAsia="Calibri" w:cs="Times New Roman"/>
                      <w:color w:val="auto"/>
                      <w:kern w:val="2"/>
                      <w:sz w:val="21"/>
                      <w:szCs w:val="21"/>
                      <w:highlight w:val="none"/>
                      <w:lang w:val="en-US" w:eastAsia="zh-CN"/>
                    </w:rPr>
                    <w:t>20</w:t>
                  </w:r>
                  <w:r>
                    <w:rPr>
                      <w:rFonts w:hint="eastAsia" w:ascii="Times New Roman" w:hAnsi="Times New Roman" w:eastAsia="Calibri" w:cs="Times New Roman"/>
                      <w:color w:val="auto"/>
                      <w:kern w:val="2"/>
                      <w:sz w:val="21"/>
                      <w:szCs w:val="21"/>
                      <w:highlight w:val="none"/>
                      <w:lang w:val="en-US" w:eastAsia="zh-CN"/>
                    </w:rPr>
                    <w:t>L</w:t>
                  </w:r>
                  <w:r>
                    <w:rPr>
                      <w:rFonts w:hint="default" w:ascii="Times New Roman" w:hAnsi="Times New Roman" w:eastAsia="Calibri" w:cs="Times New Roman"/>
                      <w:color w:val="auto"/>
                      <w:kern w:val="2"/>
                      <w:sz w:val="21"/>
                      <w:szCs w:val="21"/>
                      <w:highlight w:val="none"/>
                      <w:lang w:val="en-US" w:eastAsia="zh-CN"/>
                    </w:rPr>
                    <w:t>/桶</w:t>
                  </w:r>
                </w:p>
              </w:tc>
              <w:tc>
                <w:tcPr>
                  <w:tcW w:w="1445" w:type="dxa"/>
                  <w:tcBorders>
                    <w:tl2br w:val="nil"/>
                    <w:tr2bl w:val="nil"/>
                  </w:tcBorders>
                  <w:noWrap w:val="0"/>
                  <w:vAlign w:val="center"/>
                </w:tcPr>
                <w:p w14:paraId="66D8B814">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color w:val="auto"/>
                      <w:szCs w:val="21"/>
                      <w:highlight w:val="none"/>
                    </w:rPr>
                    <w:t>印前润版</w:t>
                  </w:r>
                </w:p>
              </w:tc>
            </w:tr>
            <w:tr w14:paraId="13B22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92" w:type="dxa"/>
                  <w:vMerge w:val="continue"/>
                  <w:tcBorders>
                    <w:tl2br w:val="nil"/>
                    <w:tr2bl w:val="nil"/>
                  </w:tcBorders>
                  <w:noWrap w:val="0"/>
                  <w:vAlign w:val="center"/>
                </w:tcPr>
                <w:p w14:paraId="28D7DBB9">
                  <w:pPr>
                    <w:spacing w:line="240" w:lineRule="auto"/>
                    <w:jc w:val="center"/>
                    <w:rPr>
                      <w:rFonts w:hint="default" w:ascii="Times New Roman" w:hAnsi="Times New Roman" w:eastAsia="Calibri" w:cs="Times New Roman"/>
                      <w:color w:val="auto"/>
                      <w:kern w:val="2"/>
                      <w:sz w:val="21"/>
                      <w:szCs w:val="21"/>
                      <w:lang w:val="en-US" w:eastAsia="zh-CN"/>
                    </w:rPr>
                  </w:pPr>
                </w:p>
              </w:tc>
              <w:tc>
                <w:tcPr>
                  <w:tcW w:w="1118" w:type="dxa"/>
                  <w:tcBorders>
                    <w:tl2br w:val="nil"/>
                    <w:tr2bl w:val="nil"/>
                  </w:tcBorders>
                  <w:noWrap w:val="0"/>
                  <w:vAlign w:val="center"/>
                </w:tcPr>
                <w:p w14:paraId="2716DFEB">
                  <w:pPr>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酒精</w:t>
                  </w:r>
                </w:p>
              </w:tc>
              <w:tc>
                <w:tcPr>
                  <w:tcW w:w="755" w:type="dxa"/>
                  <w:tcBorders>
                    <w:tl2br w:val="nil"/>
                    <w:tr2bl w:val="nil"/>
                  </w:tcBorders>
                  <w:noWrap w:val="0"/>
                  <w:vAlign w:val="center"/>
                </w:tcPr>
                <w:p w14:paraId="593EEEC7">
                  <w:pPr>
                    <w:spacing w:line="240" w:lineRule="auto"/>
                    <w:jc w:val="center"/>
                    <w:rPr>
                      <w:rFonts w:hint="default" w:eastAsia="宋体"/>
                      <w:bCs/>
                      <w:color w:val="auto"/>
                      <w:szCs w:val="21"/>
                      <w:highlight w:val="none"/>
                      <w:lang w:val="en-US" w:eastAsia="zh-CN"/>
                    </w:rPr>
                  </w:pPr>
                  <w:r>
                    <w:rPr>
                      <w:rFonts w:hint="eastAsia"/>
                      <w:bCs/>
                      <w:color w:val="auto"/>
                      <w:szCs w:val="21"/>
                      <w:highlight w:val="none"/>
                    </w:rPr>
                    <w:t>t/a</w:t>
                  </w:r>
                </w:p>
              </w:tc>
              <w:tc>
                <w:tcPr>
                  <w:tcW w:w="954" w:type="dxa"/>
                  <w:tcBorders>
                    <w:tl2br w:val="nil"/>
                    <w:tr2bl w:val="nil"/>
                  </w:tcBorders>
                  <w:noWrap w:val="0"/>
                  <w:vAlign w:val="center"/>
                </w:tcPr>
                <w:p w14:paraId="40693DF5">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0</w:t>
                  </w:r>
                </w:p>
              </w:tc>
              <w:tc>
                <w:tcPr>
                  <w:tcW w:w="964" w:type="dxa"/>
                  <w:tcBorders>
                    <w:tl2br w:val="nil"/>
                    <w:tr2bl w:val="nil"/>
                  </w:tcBorders>
                  <w:noWrap w:val="0"/>
                  <w:vAlign w:val="center"/>
                </w:tcPr>
                <w:p w14:paraId="2CDF6E3B">
                  <w:pPr>
                    <w:spacing w:line="240" w:lineRule="auto"/>
                    <w:jc w:val="center"/>
                    <w:rPr>
                      <w:rFonts w:hint="default" w:ascii="Times New Roman" w:hAnsi="Times New Roman" w:eastAsia="Calibri" w:cs="Times New Roman"/>
                      <w:color w:val="auto"/>
                      <w:kern w:val="2"/>
                      <w:sz w:val="21"/>
                      <w:szCs w:val="21"/>
                      <w:highlight w:val="yellow"/>
                      <w:lang w:val="en-US" w:eastAsia="zh-CN"/>
                    </w:rPr>
                  </w:pPr>
                  <w:r>
                    <w:rPr>
                      <w:rFonts w:hint="eastAsia" w:eastAsia="Calibri" w:cs="Times New Roman"/>
                      <w:color w:val="auto"/>
                      <w:kern w:val="2"/>
                      <w:sz w:val="21"/>
                      <w:szCs w:val="21"/>
                      <w:highlight w:val="none"/>
                      <w:lang w:val="en-US" w:eastAsia="zh-CN"/>
                    </w:rPr>
                    <w:t>+0.04</w:t>
                  </w:r>
                </w:p>
              </w:tc>
              <w:tc>
                <w:tcPr>
                  <w:tcW w:w="973" w:type="dxa"/>
                  <w:tcBorders>
                    <w:tl2br w:val="nil"/>
                    <w:tr2bl w:val="nil"/>
                  </w:tcBorders>
                  <w:noWrap w:val="0"/>
                  <w:vAlign w:val="center"/>
                </w:tcPr>
                <w:p w14:paraId="77869961">
                  <w:pPr>
                    <w:spacing w:line="240" w:lineRule="auto"/>
                    <w:jc w:val="center"/>
                    <w:rPr>
                      <w:rFonts w:hint="default" w:ascii="Times New Roman" w:hAnsi="Times New Roman" w:eastAsia="Calibri" w:cs="Times New Roman"/>
                      <w:color w:val="auto"/>
                      <w:kern w:val="2"/>
                      <w:sz w:val="21"/>
                      <w:szCs w:val="21"/>
                      <w:highlight w:val="yellow"/>
                      <w:lang w:val="en-US" w:eastAsia="zh-CN"/>
                    </w:rPr>
                  </w:pPr>
                  <w:r>
                    <w:rPr>
                      <w:rFonts w:hint="eastAsia" w:eastAsia="Calibri" w:cs="Times New Roman"/>
                      <w:color w:val="auto"/>
                      <w:kern w:val="2"/>
                      <w:sz w:val="21"/>
                      <w:szCs w:val="21"/>
                      <w:highlight w:val="none"/>
                      <w:lang w:val="en-US" w:eastAsia="zh-CN"/>
                    </w:rPr>
                    <w:t>0.04</w:t>
                  </w:r>
                </w:p>
              </w:tc>
              <w:tc>
                <w:tcPr>
                  <w:tcW w:w="1654" w:type="dxa"/>
                  <w:tcBorders>
                    <w:tl2br w:val="nil"/>
                    <w:tr2bl w:val="nil"/>
                  </w:tcBorders>
                  <w:noWrap w:val="0"/>
                  <w:vAlign w:val="center"/>
                </w:tcPr>
                <w:p w14:paraId="770ED9F9">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0.5L/瓶</w:t>
                  </w:r>
                </w:p>
              </w:tc>
              <w:tc>
                <w:tcPr>
                  <w:tcW w:w="1445" w:type="dxa"/>
                  <w:tcBorders>
                    <w:tl2br w:val="nil"/>
                    <w:tr2bl w:val="nil"/>
                  </w:tcBorders>
                  <w:noWrap w:val="0"/>
                  <w:vAlign w:val="center"/>
                </w:tcPr>
                <w:p w14:paraId="6361EF1A">
                  <w:pPr>
                    <w:spacing w:line="240" w:lineRule="auto"/>
                    <w:jc w:val="center"/>
                    <w:rPr>
                      <w:rFonts w:hint="default" w:ascii="Times New Roman" w:hAnsi="Times New Roman" w:eastAsia="Calibri" w:cs="Times New Roman"/>
                      <w:color w:val="auto"/>
                      <w:kern w:val="2"/>
                      <w:sz w:val="21"/>
                      <w:szCs w:val="21"/>
                      <w:highlight w:val="none"/>
                      <w:lang w:val="en-US" w:eastAsia="zh-CN"/>
                    </w:rPr>
                  </w:pPr>
                  <w:r>
                    <w:rPr>
                      <w:rFonts w:hint="eastAsia" w:eastAsia="Calibri" w:cs="Times New Roman"/>
                      <w:color w:val="auto"/>
                      <w:kern w:val="2"/>
                      <w:sz w:val="21"/>
                      <w:szCs w:val="21"/>
                      <w:highlight w:val="none"/>
                      <w:lang w:val="en-US" w:eastAsia="zh-CN"/>
                    </w:rPr>
                    <w:t>清洁</w:t>
                  </w:r>
                </w:p>
              </w:tc>
            </w:tr>
            <w:tr w14:paraId="16C2B6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92" w:type="dxa"/>
                  <w:vMerge w:val="restart"/>
                  <w:tcBorders>
                    <w:tl2br w:val="nil"/>
                    <w:tr2bl w:val="nil"/>
                  </w:tcBorders>
                  <w:noWrap w:val="0"/>
                  <w:vAlign w:val="center"/>
                </w:tcPr>
                <w:p w14:paraId="3895638F">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eastAsia="Calibri" w:cs="Times New Roman"/>
                      <w:color w:val="auto"/>
                      <w:kern w:val="2"/>
                      <w:sz w:val="21"/>
                      <w:szCs w:val="21"/>
                      <w:lang w:val="en-US" w:eastAsia="zh-CN"/>
                    </w:rPr>
                    <w:t>其他材料</w:t>
                  </w:r>
                </w:p>
              </w:tc>
              <w:tc>
                <w:tcPr>
                  <w:tcW w:w="1118" w:type="dxa"/>
                  <w:tcBorders>
                    <w:tl2br w:val="nil"/>
                    <w:tr2bl w:val="nil"/>
                  </w:tcBorders>
                  <w:noWrap w:val="0"/>
                  <w:vAlign w:val="center"/>
                </w:tcPr>
                <w:p w14:paraId="7959C1EC">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润滑油</w:t>
                  </w:r>
                </w:p>
              </w:tc>
              <w:tc>
                <w:tcPr>
                  <w:tcW w:w="755" w:type="dxa"/>
                  <w:tcBorders>
                    <w:tl2br w:val="nil"/>
                    <w:tr2bl w:val="nil"/>
                  </w:tcBorders>
                  <w:noWrap w:val="0"/>
                  <w:vAlign w:val="center"/>
                </w:tcPr>
                <w:p w14:paraId="206B7BA5">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bCs/>
                      <w:color w:val="auto"/>
                      <w:szCs w:val="21"/>
                    </w:rPr>
                    <w:t>t/a</w:t>
                  </w:r>
                </w:p>
              </w:tc>
              <w:tc>
                <w:tcPr>
                  <w:tcW w:w="954" w:type="dxa"/>
                  <w:tcBorders>
                    <w:tl2br w:val="nil"/>
                    <w:tr2bl w:val="nil"/>
                  </w:tcBorders>
                  <w:noWrap w:val="0"/>
                  <w:vAlign w:val="center"/>
                </w:tcPr>
                <w:p w14:paraId="678ADF25">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0.1</w:t>
                  </w:r>
                </w:p>
              </w:tc>
              <w:tc>
                <w:tcPr>
                  <w:tcW w:w="964" w:type="dxa"/>
                  <w:tcBorders>
                    <w:tl2br w:val="nil"/>
                    <w:tr2bl w:val="nil"/>
                  </w:tcBorders>
                  <w:noWrap w:val="0"/>
                  <w:vAlign w:val="center"/>
                </w:tcPr>
                <w:p w14:paraId="191A5067">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eastAsia="Calibri" w:cs="Times New Roman"/>
                      <w:color w:val="auto"/>
                      <w:kern w:val="2"/>
                      <w:sz w:val="21"/>
                      <w:szCs w:val="21"/>
                      <w:lang w:val="en-US" w:eastAsia="zh-CN"/>
                    </w:rPr>
                    <w:t>+</w:t>
                  </w:r>
                  <w:r>
                    <w:rPr>
                      <w:rFonts w:hint="default" w:ascii="Times New Roman" w:hAnsi="Times New Roman" w:eastAsia="Calibri" w:cs="Times New Roman"/>
                      <w:color w:val="auto"/>
                      <w:kern w:val="2"/>
                      <w:sz w:val="21"/>
                      <w:szCs w:val="21"/>
                      <w:lang w:val="en-US" w:eastAsia="zh-CN"/>
                    </w:rPr>
                    <w:t>0.1</w:t>
                  </w:r>
                </w:p>
              </w:tc>
              <w:tc>
                <w:tcPr>
                  <w:tcW w:w="973" w:type="dxa"/>
                  <w:tcBorders>
                    <w:tl2br w:val="nil"/>
                    <w:tr2bl w:val="nil"/>
                  </w:tcBorders>
                  <w:noWrap w:val="0"/>
                  <w:vAlign w:val="center"/>
                </w:tcPr>
                <w:p w14:paraId="6532E32F">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0.</w:t>
                  </w:r>
                  <w:r>
                    <w:rPr>
                      <w:rFonts w:hint="eastAsia" w:eastAsia="Calibri" w:cs="Times New Roman"/>
                      <w:color w:val="auto"/>
                      <w:kern w:val="2"/>
                      <w:sz w:val="21"/>
                      <w:szCs w:val="21"/>
                      <w:lang w:val="en-US" w:eastAsia="zh-CN"/>
                    </w:rPr>
                    <w:t>2</w:t>
                  </w:r>
                </w:p>
              </w:tc>
              <w:tc>
                <w:tcPr>
                  <w:tcW w:w="1654" w:type="dxa"/>
                  <w:tcBorders>
                    <w:tl2br w:val="nil"/>
                    <w:tr2bl w:val="nil"/>
                  </w:tcBorders>
                  <w:noWrap w:val="0"/>
                  <w:vAlign w:val="center"/>
                </w:tcPr>
                <w:p w14:paraId="4CC84B66">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5kg/瓶</w:t>
                  </w:r>
                </w:p>
              </w:tc>
              <w:tc>
                <w:tcPr>
                  <w:tcW w:w="1445" w:type="dxa"/>
                  <w:tcBorders>
                    <w:tl2br w:val="nil"/>
                    <w:tr2bl w:val="nil"/>
                  </w:tcBorders>
                  <w:noWrap w:val="0"/>
                  <w:vAlign w:val="center"/>
                </w:tcPr>
                <w:p w14:paraId="165141BB">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设备维护保养</w:t>
                  </w:r>
                </w:p>
              </w:tc>
            </w:tr>
            <w:tr w14:paraId="34314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92" w:type="dxa"/>
                  <w:vMerge w:val="continue"/>
                  <w:tcBorders>
                    <w:tl2br w:val="nil"/>
                    <w:tr2bl w:val="nil"/>
                  </w:tcBorders>
                  <w:noWrap w:val="0"/>
                  <w:vAlign w:val="center"/>
                </w:tcPr>
                <w:p w14:paraId="258554C3">
                  <w:pPr>
                    <w:spacing w:line="240" w:lineRule="auto"/>
                    <w:jc w:val="center"/>
                    <w:rPr>
                      <w:rFonts w:hint="default" w:ascii="Times New Roman" w:hAnsi="Times New Roman" w:eastAsia="Calibri" w:cs="Times New Roman"/>
                      <w:color w:val="auto"/>
                      <w:kern w:val="2"/>
                      <w:sz w:val="21"/>
                      <w:szCs w:val="21"/>
                      <w:lang w:val="en-US" w:eastAsia="zh-CN"/>
                    </w:rPr>
                  </w:pPr>
                </w:p>
              </w:tc>
              <w:tc>
                <w:tcPr>
                  <w:tcW w:w="1118" w:type="dxa"/>
                  <w:tcBorders>
                    <w:tl2br w:val="nil"/>
                    <w:tr2bl w:val="nil"/>
                  </w:tcBorders>
                  <w:noWrap w:val="0"/>
                  <w:vAlign w:val="center"/>
                </w:tcPr>
                <w:p w14:paraId="47E479A9">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手套、棉布</w:t>
                  </w:r>
                </w:p>
              </w:tc>
              <w:tc>
                <w:tcPr>
                  <w:tcW w:w="755" w:type="dxa"/>
                  <w:tcBorders>
                    <w:tl2br w:val="nil"/>
                    <w:tr2bl w:val="nil"/>
                  </w:tcBorders>
                  <w:noWrap w:val="0"/>
                  <w:vAlign w:val="center"/>
                </w:tcPr>
                <w:p w14:paraId="71170986">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bCs/>
                      <w:color w:val="auto"/>
                      <w:szCs w:val="21"/>
                    </w:rPr>
                    <w:t>t/a</w:t>
                  </w:r>
                </w:p>
              </w:tc>
              <w:tc>
                <w:tcPr>
                  <w:tcW w:w="954" w:type="dxa"/>
                  <w:tcBorders>
                    <w:tl2br w:val="nil"/>
                    <w:tr2bl w:val="nil"/>
                  </w:tcBorders>
                  <w:noWrap w:val="0"/>
                  <w:vAlign w:val="center"/>
                </w:tcPr>
                <w:p w14:paraId="63DF437B">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0.02</w:t>
                  </w:r>
                </w:p>
              </w:tc>
              <w:tc>
                <w:tcPr>
                  <w:tcW w:w="964" w:type="dxa"/>
                  <w:tcBorders>
                    <w:tl2br w:val="nil"/>
                    <w:tr2bl w:val="nil"/>
                  </w:tcBorders>
                  <w:noWrap w:val="0"/>
                  <w:vAlign w:val="center"/>
                </w:tcPr>
                <w:p w14:paraId="6CC14C1A">
                  <w:pPr>
                    <w:spacing w:line="240" w:lineRule="auto"/>
                    <w:jc w:val="center"/>
                    <w:rPr>
                      <w:rFonts w:hint="default" w:ascii="Times New Roman" w:hAnsi="Times New Roman" w:eastAsia="Calibri" w:cs="Times New Roman"/>
                      <w:color w:val="auto"/>
                      <w:kern w:val="2"/>
                      <w:sz w:val="21"/>
                      <w:szCs w:val="21"/>
                      <w:lang w:val="en-US" w:eastAsia="zh-CN"/>
                    </w:rPr>
                  </w:pPr>
                </w:p>
              </w:tc>
              <w:tc>
                <w:tcPr>
                  <w:tcW w:w="973" w:type="dxa"/>
                  <w:tcBorders>
                    <w:tl2br w:val="nil"/>
                    <w:tr2bl w:val="nil"/>
                  </w:tcBorders>
                  <w:noWrap w:val="0"/>
                  <w:vAlign w:val="center"/>
                </w:tcPr>
                <w:p w14:paraId="78682FF2">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0.02</w:t>
                  </w:r>
                </w:p>
              </w:tc>
              <w:tc>
                <w:tcPr>
                  <w:tcW w:w="1654" w:type="dxa"/>
                  <w:tcBorders>
                    <w:tl2br w:val="nil"/>
                    <w:tr2bl w:val="nil"/>
                  </w:tcBorders>
                  <w:noWrap w:val="0"/>
                  <w:vAlign w:val="center"/>
                </w:tcPr>
                <w:p w14:paraId="3A903F63">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w:t>
                  </w:r>
                </w:p>
              </w:tc>
              <w:tc>
                <w:tcPr>
                  <w:tcW w:w="1445" w:type="dxa"/>
                  <w:tcBorders>
                    <w:tl2br w:val="nil"/>
                    <w:tr2bl w:val="nil"/>
                  </w:tcBorders>
                  <w:noWrap w:val="0"/>
                  <w:vAlign w:val="center"/>
                </w:tcPr>
                <w:p w14:paraId="29132DCD">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设备维护保养</w:t>
                  </w:r>
                </w:p>
              </w:tc>
            </w:tr>
            <w:tr w14:paraId="66E1F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592" w:type="dxa"/>
                  <w:vMerge w:val="restart"/>
                  <w:tcBorders>
                    <w:tl2br w:val="nil"/>
                    <w:tr2bl w:val="nil"/>
                  </w:tcBorders>
                  <w:noWrap w:val="0"/>
                  <w:vAlign w:val="center"/>
                </w:tcPr>
                <w:p w14:paraId="700EA001">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能耗</w:t>
                  </w:r>
                </w:p>
              </w:tc>
              <w:tc>
                <w:tcPr>
                  <w:tcW w:w="1118" w:type="dxa"/>
                  <w:tcBorders>
                    <w:tl2br w:val="nil"/>
                    <w:tr2bl w:val="nil"/>
                  </w:tcBorders>
                  <w:noWrap w:val="0"/>
                  <w:vAlign w:val="center"/>
                </w:tcPr>
                <w:p w14:paraId="732EFE53">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水</w:t>
                  </w:r>
                </w:p>
              </w:tc>
              <w:tc>
                <w:tcPr>
                  <w:tcW w:w="755" w:type="dxa"/>
                  <w:tcBorders>
                    <w:tl2br w:val="nil"/>
                    <w:tr2bl w:val="nil"/>
                  </w:tcBorders>
                  <w:noWrap w:val="0"/>
                  <w:vAlign w:val="center"/>
                </w:tcPr>
                <w:p w14:paraId="049DC64F">
                  <w:pPr>
                    <w:spacing w:line="240" w:lineRule="auto"/>
                    <w:jc w:val="center"/>
                    <w:rPr>
                      <w:rFonts w:hint="default" w:ascii="Times New Roman" w:hAnsi="Times New Roman" w:eastAsia="Calibri" w:cs="Times New Roman"/>
                      <w:color w:val="auto"/>
                      <w:kern w:val="2"/>
                      <w:sz w:val="21"/>
                      <w:szCs w:val="21"/>
                      <w:lang w:val="en-US" w:eastAsia="zh-CN"/>
                    </w:rPr>
                  </w:pPr>
                  <w:r>
                    <w:rPr>
                      <w:rFonts w:hint="eastAsia"/>
                      <w:bCs/>
                      <w:color w:val="auto"/>
                      <w:szCs w:val="21"/>
                    </w:rPr>
                    <w:t>m</w:t>
                  </w:r>
                  <w:r>
                    <w:rPr>
                      <w:rFonts w:hint="eastAsia"/>
                      <w:bCs/>
                      <w:color w:val="auto"/>
                      <w:szCs w:val="21"/>
                      <w:vertAlign w:val="superscript"/>
                    </w:rPr>
                    <w:t>3</w:t>
                  </w:r>
                  <w:r>
                    <w:rPr>
                      <w:rFonts w:hint="eastAsia"/>
                      <w:bCs/>
                      <w:color w:val="auto"/>
                      <w:szCs w:val="21"/>
                    </w:rPr>
                    <w:t>/a</w:t>
                  </w:r>
                </w:p>
              </w:tc>
              <w:tc>
                <w:tcPr>
                  <w:tcW w:w="954" w:type="dxa"/>
                  <w:tcBorders>
                    <w:tl2br w:val="nil"/>
                    <w:tr2bl w:val="nil"/>
                  </w:tcBorders>
                  <w:noWrap w:val="0"/>
                  <w:vAlign w:val="center"/>
                </w:tcPr>
                <w:p w14:paraId="65AF6F8D">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795</w:t>
                  </w:r>
                </w:p>
              </w:tc>
              <w:tc>
                <w:tcPr>
                  <w:tcW w:w="964" w:type="dxa"/>
                  <w:tcBorders>
                    <w:tl2br w:val="nil"/>
                    <w:tr2bl w:val="nil"/>
                  </w:tcBorders>
                  <w:noWrap w:val="0"/>
                  <w:vAlign w:val="center"/>
                </w:tcPr>
                <w:p w14:paraId="1C693673">
                  <w:pPr>
                    <w:spacing w:line="240" w:lineRule="auto"/>
                    <w:jc w:val="center"/>
                    <w:rPr>
                      <w:rFonts w:hint="default" w:ascii="Times New Roman" w:hAnsi="Times New Roman" w:eastAsia="Calibri" w:cs="Times New Roman"/>
                      <w:color w:val="auto"/>
                      <w:kern w:val="2"/>
                      <w:sz w:val="21"/>
                      <w:szCs w:val="21"/>
                      <w:lang w:val="en-US" w:eastAsia="zh-CN"/>
                    </w:rPr>
                  </w:pPr>
                </w:p>
              </w:tc>
              <w:tc>
                <w:tcPr>
                  <w:tcW w:w="973" w:type="dxa"/>
                  <w:tcBorders>
                    <w:tl2br w:val="nil"/>
                    <w:tr2bl w:val="nil"/>
                  </w:tcBorders>
                  <w:noWrap w:val="0"/>
                  <w:vAlign w:val="center"/>
                </w:tcPr>
                <w:p w14:paraId="543F9A58">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795</w:t>
                  </w:r>
                </w:p>
              </w:tc>
              <w:tc>
                <w:tcPr>
                  <w:tcW w:w="1654" w:type="dxa"/>
                  <w:tcBorders>
                    <w:tl2br w:val="nil"/>
                    <w:tr2bl w:val="nil"/>
                  </w:tcBorders>
                  <w:noWrap w:val="0"/>
                  <w:vAlign w:val="center"/>
                </w:tcPr>
                <w:p w14:paraId="0FF1F739">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w:t>
                  </w:r>
                </w:p>
              </w:tc>
              <w:tc>
                <w:tcPr>
                  <w:tcW w:w="1445" w:type="dxa"/>
                  <w:tcBorders>
                    <w:tl2br w:val="nil"/>
                    <w:tr2bl w:val="nil"/>
                  </w:tcBorders>
                  <w:noWrap w:val="0"/>
                  <w:vAlign w:val="center"/>
                </w:tcPr>
                <w:p w14:paraId="42B51E22">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市政供水</w:t>
                  </w:r>
                </w:p>
              </w:tc>
            </w:tr>
            <w:tr w14:paraId="109DB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92" w:type="dxa"/>
                  <w:vMerge w:val="continue"/>
                  <w:tcBorders>
                    <w:tl2br w:val="nil"/>
                    <w:tr2bl w:val="nil"/>
                  </w:tcBorders>
                  <w:noWrap w:val="0"/>
                  <w:vAlign w:val="center"/>
                </w:tcPr>
                <w:p w14:paraId="5D32E6BF">
                  <w:pPr>
                    <w:spacing w:line="240" w:lineRule="auto"/>
                    <w:jc w:val="center"/>
                    <w:rPr>
                      <w:rFonts w:hint="default" w:ascii="Times New Roman" w:hAnsi="Times New Roman" w:eastAsia="Calibri" w:cs="Times New Roman"/>
                      <w:color w:val="auto"/>
                      <w:kern w:val="2"/>
                      <w:sz w:val="21"/>
                      <w:szCs w:val="21"/>
                      <w:lang w:val="en-US" w:eastAsia="zh-CN"/>
                    </w:rPr>
                  </w:pPr>
                </w:p>
              </w:tc>
              <w:tc>
                <w:tcPr>
                  <w:tcW w:w="1118" w:type="dxa"/>
                  <w:tcBorders>
                    <w:tl2br w:val="nil"/>
                    <w:tr2bl w:val="nil"/>
                  </w:tcBorders>
                  <w:noWrap w:val="0"/>
                  <w:vAlign w:val="center"/>
                </w:tcPr>
                <w:p w14:paraId="656A0E16">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电</w:t>
                  </w:r>
                </w:p>
              </w:tc>
              <w:tc>
                <w:tcPr>
                  <w:tcW w:w="755" w:type="dxa"/>
                  <w:tcBorders>
                    <w:tl2br w:val="nil"/>
                    <w:tr2bl w:val="nil"/>
                  </w:tcBorders>
                  <w:noWrap w:val="0"/>
                  <w:vAlign w:val="center"/>
                </w:tcPr>
                <w:p w14:paraId="5EA6CBF7">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KW·h</w:t>
                  </w:r>
                </w:p>
              </w:tc>
              <w:tc>
                <w:tcPr>
                  <w:tcW w:w="954" w:type="dxa"/>
                  <w:tcBorders>
                    <w:tl2br w:val="nil"/>
                    <w:tr2bl w:val="nil"/>
                  </w:tcBorders>
                  <w:noWrap w:val="0"/>
                  <w:vAlign w:val="center"/>
                </w:tcPr>
                <w:p w14:paraId="5986E846">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1.5×106</w:t>
                  </w:r>
                </w:p>
              </w:tc>
              <w:tc>
                <w:tcPr>
                  <w:tcW w:w="964" w:type="dxa"/>
                  <w:tcBorders>
                    <w:tl2br w:val="nil"/>
                    <w:tr2bl w:val="nil"/>
                  </w:tcBorders>
                  <w:noWrap w:val="0"/>
                  <w:vAlign w:val="center"/>
                </w:tcPr>
                <w:p w14:paraId="06C562A8">
                  <w:pPr>
                    <w:spacing w:line="240" w:lineRule="auto"/>
                    <w:jc w:val="center"/>
                    <w:rPr>
                      <w:rFonts w:hint="default" w:ascii="Times New Roman" w:hAnsi="Times New Roman" w:eastAsia="Calibri" w:cs="Times New Roman"/>
                      <w:color w:val="auto"/>
                      <w:kern w:val="2"/>
                      <w:sz w:val="21"/>
                      <w:szCs w:val="21"/>
                      <w:lang w:val="en-US" w:eastAsia="zh-CN"/>
                    </w:rPr>
                  </w:pPr>
                </w:p>
              </w:tc>
              <w:tc>
                <w:tcPr>
                  <w:tcW w:w="973" w:type="dxa"/>
                  <w:tcBorders>
                    <w:tl2br w:val="nil"/>
                    <w:tr2bl w:val="nil"/>
                  </w:tcBorders>
                  <w:noWrap w:val="0"/>
                  <w:vAlign w:val="center"/>
                </w:tcPr>
                <w:p w14:paraId="163A7743">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1.5×106</w:t>
                  </w:r>
                </w:p>
              </w:tc>
              <w:tc>
                <w:tcPr>
                  <w:tcW w:w="1654" w:type="dxa"/>
                  <w:tcBorders>
                    <w:tl2br w:val="nil"/>
                    <w:tr2bl w:val="nil"/>
                  </w:tcBorders>
                  <w:noWrap w:val="0"/>
                  <w:vAlign w:val="center"/>
                </w:tcPr>
                <w:p w14:paraId="54D6DE00">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w:t>
                  </w:r>
                </w:p>
              </w:tc>
              <w:tc>
                <w:tcPr>
                  <w:tcW w:w="1445" w:type="dxa"/>
                  <w:tcBorders>
                    <w:tl2br w:val="nil"/>
                    <w:tr2bl w:val="nil"/>
                  </w:tcBorders>
                  <w:noWrap w:val="0"/>
                  <w:vAlign w:val="center"/>
                </w:tcPr>
                <w:p w14:paraId="1255ABCA">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市政供电</w:t>
                  </w:r>
                </w:p>
              </w:tc>
            </w:tr>
          </w:tbl>
          <w:p w14:paraId="5106403F">
            <w:pPr>
              <w:adjustRightInd w:val="0"/>
              <w:snapToGrid w:val="0"/>
              <w:spacing w:before="120" w:beforeLines="50" w:line="360" w:lineRule="auto"/>
              <w:ind w:firstLine="482" w:firstLineChars="200"/>
              <w:rPr>
                <w:b/>
                <w:color w:val="auto"/>
                <w:sz w:val="24"/>
              </w:rPr>
            </w:pPr>
            <w:r>
              <w:rPr>
                <w:rFonts w:hint="eastAsia"/>
                <w:b/>
                <w:color w:val="auto"/>
                <w:sz w:val="24"/>
              </w:rPr>
              <w:t>（1）主要原辅料理化特性</w:t>
            </w:r>
          </w:p>
          <w:p w14:paraId="577D04BD">
            <w:pPr>
              <w:adjustRightInd w:val="0"/>
              <w:snapToGrid w:val="0"/>
              <w:spacing w:line="360" w:lineRule="auto"/>
              <w:ind w:firstLine="482" w:firstLineChars="200"/>
              <w:rPr>
                <w:b/>
                <w:color w:val="auto"/>
                <w:sz w:val="24"/>
                <w:highlight w:val="none"/>
              </w:rPr>
            </w:pPr>
            <w:r>
              <w:rPr>
                <w:b/>
                <w:color w:val="auto"/>
                <w:sz w:val="24"/>
                <w:highlight w:val="none"/>
              </w:rPr>
              <w:t xml:space="preserve"> </w:t>
            </w:r>
            <w:r>
              <w:rPr>
                <w:rFonts w:hint="eastAsia"/>
                <w:b/>
                <w:color w:val="auto"/>
                <w:sz w:val="24"/>
                <w:highlight w:val="none"/>
                <w:lang w:val="en-US" w:eastAsia="zh-CN"/>
              </w:rPr>
              <w:t>①</w:t>
            </w:r>
            <w:r>
              <w:rPr>
                <w:rFonts w:hint="eastAsia"/>
                <w:b/>
                <w:color w:val="auto"/>
                <w:sz w:val="24"/>
                <w:highlight w:val="none"/>
              </w:rPr>
              <w:t>U</w:t>
            </w:r>
            <w:r>
              <w:rPr>
                <w:b/>
                <w:color w:val="auto"/>
                <w:sz w:val="24"/>
                <w:highlight w:val="none"/>
              </w:rPr>
              <w:t>V</w:t>
            </w:r>
            <w:r>
              <w:rPr>
                <w:rFonts w:hint="eastAsia"/>
                <w:b/>
                <w:color w:val="auto"/>
                <w:sz w:val="24"/>
                <w:highlight w:val="none"/>
              </w:rPr>
              <w:t>油墨</w:t>
            </w:r>
          </w:p>
          <w:p w14:paraId="0C05F252">
            <w:pPr>
              <w:spacing w:line="360" w:lineRule="auto"/>
              <w:ind w:firstLine="480" w:firstLineChars="200"/>
              <w:rPr>
                <w:color w:val="auto"/>
                <w:sz w:val="24"/>
              </w:rPr>
            </w:pPr>
            <w:r>
              <w:rPr>
                <w:color w:val="auto"/>
                <w:sz w:val="24"/>
              </w:rPr>
              <w:t>UV油墨是一种</w:t>
            </w:r>
            <w:bookmarkStart w:id="27" w:name="OLE_LINK17"/>
            <w:r>
              <w:rPr>
                <w:color w:val="auto"/>
                <w:sz w:val="24"/>
              </w:rPr>
              <w:t>在紫外线照射下能够迅速固化的油墨</w:t>
            </w:r>
            <w:bookmarkEnd w:id="27"/>
            <w:r>
              <w:rPr>
                <w:rFonts w:hint="eastAsia"/>
                <w:color w:val="auto"/>
                <w:sz w:val="24"/>
              </w:rPr>
              <w:t>，固化后的 UV 油墨膜层具有硬度高、耐磨性好、耐化学性强、光泽度高、色彩鲜艳等优点，能够满足各种高端印刷产品的需求，广泛用于包装印刷、标签印刷、广告印刷、电子印刷。</w:t>
            </w:r>
          </w:p>
          <w:p w14:paraId="0785CE17">
            <w:pPr>
              <w:spacing w:line="360" w:lineRule="auto"/>
              <w:ind w:firstLine="480" w:firstLineChars="200"/>
              <w:rPr>
                <w:color w:val="auto"/>
                <w:sz w:val="24"/>
              </w:rPr>
            </w:pPr>
            <w:r>
              <w:rPr>
                <w:color w:val="auto"/>
                <w:sz w:val="24"/>
              </w:rPr>
              <w:t>根据建设单位</w:t>
            </w:r>
            <w:r>
              <w:rPr>
                <w:rFonts w:hint="eastAsia"/>
                <w:color w:val="auto"/>
                <w:sz w:val="24"/>
              </w:rPr>
              <w:t>提供的UV雪花油物质安全资料表及VOC检测报告（附件</w:t>
            </w:r>
            <w:r>
              <w:rPr>
                <w:rFonts w:hint="eastAsia"/>
                <w:color w:val="auto"/>
                <w:sz w:val="24"/>
                <w:lang w:val="en-US" w:eastAsia="zh-CN"/>
              </w:rPr>
              <w:t>11</w:t>
            </w:r>
            <w:r>
              <w:rPr>
                <w:rFonts w:hint="eastAsia"/>
                <w:color w:val="auto"/>
                <w:sz w:val="24"/>
              </w:rPr>
              <w:t>），UV雪花油挥发性有机化合物未检出，检出限为0.1%。根据《油墨中可挥发性有机化合物（VOCs）含量的限值》（GB 38507-2020）中表1，能量固化油墨网印油墨挥发性有机化合物（VOCs）限值5%，本项目使用的UV雪花油VOCs含量符合《油墨中可挥发性有机化合物（VOCs）含量的限值》（GB 38507-2020）要求。</w:t>
            </w:r>
          </w:p>
          <w:p w14:paraId="530DEF2E">
            <w:pPr>
              <w:adjustRightInd w:val="0"/>
              <w:snapToGrid w:val="0"/>
              <w:spacing w:line="360" w:lineRule="auto"/>
              <w:ind w:firstLine="482" w:firstLineChars="200"/>
              <w:rPr>
                <w:b/>
                <w:color w:val="auto"/>
                <w:sz w:val="24"/>
                <w:highlight w:val="none"/>
              </w:rPr>
            </w:pPr>
            <w:r>
              <w:rPr>
                <w:rFonts w:hint="eastAsia"/>
                <w:b/>
                <w:bCs w:val="0"/>
                <w:color w:val="auto"/>
                <w:sz w:val="24"/>
                <w:highlight w:val="none"/>
                <w:lang w:val="en-US" w:eastAsia="zh-CN"/>
              </w:rPr>
              <w:t>②</w:t>
            </w:r>
            <w:r>
              <w:rPr>
                <w:rFonts w:hint="eastAsia"/>
                <w:b/>
                <w:bCs w:val="0"/>
                <w:color w:val="auto"/>
                <w:sz w:val="24"/>
                <w:highlight w:val="none"/>
              </w:rPr>
              <w:t>水性喷</w:t>
            </w:r>
            <w:r>
              <w:rPr>
                <w:rFonts w:hint="eastAsia"/>
                <w:b/>
                <w:color w:val="auto"/>
                <w:sz w:val="24"/>
                <w:highlight w:val="none"/>
              </w:rPr>
              <w:t>墨</w:t>
            </w:r>
          </w:p>
          <w:p w14:paraId="7D2163E7">
            <w:pPr>
              <w:adjustRightInd w:val="0"/>
              <w:snapToGrid w:val="0"/>
              <w:spacing w:line="360" w:lineRule="auto"/>
              <w:ind w:firstLine="480" w:firstLineChars="200"/>
              <w:rPr>
                <w:rFonts w:hint="eastAsia"/>
                <w:bCs/>
                <w:color w:val="auto"/>
                <w:sz w:val="24"/>
                <w:highlight w:val="none"/>
                <w:u w:val="single"/>
              </w:rPr>
            </w:pPr>
            <w:r>
              <w:rPr>
                <w:rFonts w:hint="eastAsia"/>
                <w:bCs/>
                <w:color w:val="auto"/>
                <w:sz w:val="24"/>
                <w:highlight w:val="none"/>
              </w:rPr>
              <w:t>水性喷墨是一种将纳米级粒径颜料、聚胺树脂、助剂溶解于水的环保功能型墨水。本项目使用的水性喷墨为北京方正印捷数码技术有限公司所生产的方正优尚黑墨（水性喷墨墨水）。</w:t>
            </w:r>
            <w:r>
              <w:rPr>
                <w:color w:val="auto"/>
                <w:sz w:val="24"/>
              </w:rPr>
              <w:t>根据建设单位</w:t>
            </w:r>
            <w:r>
              <w:rPr>
                <w:rFonts w:hint="eastAsia"/>
                <w:color w:val="auto"/>
                <w:sz w:val="24"/>
              </w:rPr>
              <w:t>提供</w:t>
            </w:r>
            <w:r>
              <w:rPr>
                <w:rFonts w:hint="eastAsia"/>
                <w:bCs/>
                <w:color w:val="auto"/>
                <w:sz w:val="24"/>
                <w:highlight w:val="none"/>
              </w:rPr>
              <w:t>的检测报告，水性喷墨中的</w:t>
            </w:r>
            <w:r>
              <w:rPr>
                <w:rFonts w:hint="eastAsia"/>
                <w:bCs/>
                <w:color w:val="auto"/>
                <w:sz w:val="24"/>
                <w:highlight w:val="none"/>
                <w:u w:val="single"/>
              </w:rPr>
              <w:t>挥发性有机化学物（V</w:t>
            </w:r>
            <w:r>
              <w:rPr>
                <w:bCs/>
                <w:color w:val="auto"/>
                <w:sz w:val="24"/>
                <w:highlight w:val="none"/>
                <w:u w:val="single"/>
              </w:rPr>
              <w:t>OC</w:t>
            </w:r>
            <w:r>
              <w:rPr>
                <w:rFonts w:hint="eastAsia"/>
                <w:bCs/>
                <w:color w:val="auto"/>
                <w:sz w:val="24"/>
                <w:highlight w:val="none"/>
                <w:u w:val="single"/>
              </w:rPr>
              <w:t>s）的含量为1.1%，满足《油墨中可挥发性有机化合物(VOCs)含量的限值》（</w:t>
            </w:r>
            <w:r>
              <w:rPr>
                <w:bCs/>
                <w:color w:val="auto"/>
                <w:sz w:val="24"/>
                <w:highlight w:val="none"/>
                <w:u w:val="single"/>
              </w:rPr>
              <w:t>GB 38507-2020</w:t>
            </w:r>
            <w:r>
              <w:rPr>
                <w:rFonts w:hint="eastAsia"/>
                <w:bCs/>
                <w:color w:val="auto"/>
                <w:sz w:val="24"/>
                <w:highlight w:val="none"/>
                <w:u w:val="single"/>
              </w:rPr>
              <w:t>）水性油墨-喷墨印刷油墨挥发性有机化合物（V</w:t>
            </w:r>
            <w:r>
              <w:rPr>
                <w:bCs/>
                <w:color w:val="auto"/>
                <w:sz w:val="24"/>
                <w:highlight w:val="none"/>
                <w:u w:val="single"/>
              </w:rPr>
              <w:t>OC</w:t>
            </w:r>
            <w:r>
              <w:rPr>
                <w:rFonts w:hint="eastAsia"/>
                <w:bCs/>
                <w:color w:val="auto"/>
                <w:sz w:val="24"/>
                <w:highlight w:val="none"/>
                <w:u w:val="single"/>
              </w:rPr>
              <w:t>s）限值≤30%的要求。</w:t>
            </w:r>
          </w:p>
          <w:p w14:paraId="31C780D9">
            <w:pPr>
              <w:adjustRightInd w:val="0"/>
              <w:snapToGrid w:val="0"/>
              <w:spacing w:line="360" w:lineRule="auto"/>
              <w:ind w:firstLine="482" w:firstLineChars="200"/>
              <w:rPr>
                <w:b/>
                <w:color w:val="auto"/>
                <w:sz w:val="24"/>
                <w:highlight w:val="none"/>
              </w:rPr>
            </w:pPr>
            <w:r>
              <w:rPr>
                <w:rFonts w:hint="eastAsia"/>
                <w:b/>
                <w:color w:val="auto"/>
                <w:sz w:val="24"/>
                <w:highlight w:val="none"/>
              </w:rPr>
              <w:t>③水性光油</w:t>
            </w:r>
          </w:p>
          <w:p w14:paraId="400CBC86">
            <w:pPr>
              <w:adjustRightInd w:val="0"/>
              <w:snapToGrid w:val="0"/>
              <w:spacing w:line="360" w:lineRule="auto"/>
              <w:ind w:firstLine="480" w:firstLineChars="200"/>
              <w:rPr>
                <w:rFonts w:hint="eastAsia"/>
                <w:bCs/>
                <w:color w:val="auto"/>
                <w:sz w:val="24"/>
                <w:highlight w:val="none"/>
                <w:u w:val="single"/>
              </w:rPr>
            </w:pPr>
            <w:r>
              <w:rPr>
                <w:rFonts w:hint="eastAsia"/>
                <w:bCs/>
                <w:color w:val="auto"/>
                <w:sz w:val="24"/>
                <w:highlight w:val="none"/>
              </w:rPr>
              <w:t>水性光油是指以水为载体的，用印刷机联机或上光机离线涂布的，用来增加纸质印刷品的光泽度、耐水性、耐磨性的一种液体。</w:t>
            </w:r>
            <w:r>
              <w:rPr>
                <w:color w:val="auto"/>
                <w:sz w:val="24"/>
                <w:highlight w:val="none"/>
              </w:rPr>
              <w:t>根据建设单位</w:t>
            </w:r>
            <w:r>
              <w:rPr>
                <w:rFonts w:hint="eastAsia"/>
                <w:color w:val="auto"/>
                <w:sz w:val="24"/>
                <w:highlight w:val="none"/>
              </w:rPr>
              <w:t>提供</w:t>
            </w:r>
            <w:r>
              <w:rPr>
                <w:rFonts w:hint="eastAsia"/>
                <w:bCs/>
                <w:color w:val="auto"/>
                <w:sz w:val="24"/>
                <w:highlight w:val="none"/>
              </w:rPr>
              <w:t>的检测报告，水性光油是一种由水性丙烯酸树脂、苯丙乳液、水、助剂组成的混合物，物理性状为乳白色液态，有特殊气味，pH值6</w:t>
            </w:r>
            <w:r>
              <w:rPr>
                <w:bCs/>
                <w:color w:val="auto"/>
                <w:sz w:val="24"/>
                <w:highlight w:val="none"/>
              </w:rPr>
              <w:t>.5</w:t>
            </w:r>
            <w:r>
              <w:rPr>
                <w:rFonts w:hint="eastAsia"/>
                <w:bCs/>
                <w:color w:val="auto"/>
                <w:sz w:val="24"/>
                <w:highlight w:val="none"/>
              </w:rPr>
              <w:t>~</w:t>
            </w:r>
            <w:r>
              <w:rPr>
                <w:bCs/>
                <w:color w:val="auto"/>
                <w:sz w:val="24"/>
                <w:highlight w:val="none"/>
              </w:rPr>
              <w:t>8.5</w:t>
            </w:r>
            <w:r>
              <w:rPr>
                <w:rFonts w:hint="eastAsia"/>
                <w:bCs/>
                <w:color w:val="auto"/>
                <w:sz w:val="24"/>
                <w:highlight w:val="none"/>
              </w:rPr>
              <w:t>，密度0</w:t>
            </w:r>
            <w:r>
              <w:rPr>
                <w:bCs/>
                <w:color w:val="auto"/>
                <w:sz w:val="24"/>
                <w:highlight w:val="none"/>
              </w:rPr>
              <w:t>.96</w:t>
            </w:r>
            <w:r>
              <w:rPr>
                <w:rFonts w:hint="eastAsia"/>
                <w:bCs/>
                <w:color w:val="auto"/>
                <w:sz w:val="24"/>
                <w:highlight w:val="none"/>
              </w:rPr>
              <w:t>-</w:t>
            </w:r>
            <w:r>
              <w:rPr>
                <w:bCs/>
                <w:color w:val="auto"/>
                <w:sz w:val="24"/>
                <w:highlight w:val="none"/>
              </w:rPr>
              <w:t>1.10</w:t>
            </w:r>
            <w:r>
              <w:rPr>
                <w:rFonts w:hint="eastAsia"/>
                <w:bCs/>
                <w:color w:val="auto"/>
                <w:sz w:val="24"/>
                <w:highlight w:val="none"/>
              </w:rPr>
              <w:t>g/cm</w:t>
            </w:r>
            <w:r>
              <w:rPr>
                <w:bCs/>
                <w:color w:val="auto"/>
                <w:sz w:val="24"/>
                <w:highlight w:val="none"/>
                <w:vertAlign w:val="superscript"/>
              </w:rPr>
              <w:t>3</w:t>
            </w:r>
            <w:r>
              <w:rPr>
                <w:rFonts w:hint="eastAsia"/>
                <w:bCs/>
                <w:color w:val="auto"/>
                <w:sz w:val="24"/>
                <w:highlight w:val="none"/>
              </w:rPr>
              <w:t>，溶于水，可混溶于苯、醇、醚等多数有机溶剂。</w:t>
            </w:r>
            <w:r>
              <w:rPr>
                <w:rFonts w:hint="eastAsia"/>
                <w:bCs/>
                <w:color w:val="auto"/>
                <w:sz w:val="24"/>
                <w:highlight w:val="none"/>
                <w:u w:val="single"/>
              </w:rPr>
              <w:t>根据企业提供的检测报告，水性光油中挥发性有机化学物（V</w:t>
            </w:r>
            <w:r>
              <w:rPr>
                <w:bCs/>
                <w:color w:val="auto"/>
                <w:sz w:val="24"/>
                <w:highlight w:val="none"/>
                <w:u w:val="single"/>
              </w:rPr>
              <w:t>OC</w:t>
            </w:r>
            <w:r>
              <w:rPr>
                <w:rFonts w:hint="eastAsia"/>
                <w:bCs/>
                <w:color w:val="auto"/>
                <w:sz w:val="24"/>
                <w:highlight w:val="none"/>
                <w:u w:val="single"/>
              </w:rPr>
              <w:t>）的含量为3</w:t>
            </w:r>
            <w:r>
              <w:rPr>
                <w:bCs/>
                <w:color w:val="auto"/>
                <w:sz w:val="24"/>
                <w:highlight w:val="none"/>
                <w:u w:val="single"/>
              </w:rPr>
              <w:t>7</w:t>
            </w:r>
            <w:r>
              <w:rPr>
                <w:rFonts w:hint="eastAsia"/>
                <w:bCs/>
                <w:color w:val="auto"/>
                <w:sz w:val="24"/>
                <w:highlight w:val="none"/>
                <w:u w:val="single"/>
              </w:rPr>
              <w:t>g/</w:t>
            </w:r>
            <w:r>
              <w:rPr>
                <w:bCs/>
                <w:color w:val="auto"/>
                <w:sz w:val="24"/>
                <w:highlight w:val="none"/>
                <w:u w:val="single"/>
              </w:rPr>
              <w:t>L</w:t>
            </w:r>
            <w:r>
              <w:rPr>
                <w:rFonts w:hint="eastAsia"/>
                <w:bCs/>
                <w:color w:val="auto"/>
                <w:sz w:val="24"/>
                <w:highlight w:val="none"/>
                <w:u w:val="single"/>
              </w:rPr>
              <w:t>，满足《胶粘剂挥发性有机化合物限量》（</w:t>
            </w:r>
            <w:r>
              <w:rPr>
                <w:bCs/>
                <w:color w:val="auto"/>
                <w:sz w:val="24"/>
                <w:highlight w:val="none"/>
                <w:u w:val="single"/>
              </w:rPr>
              <w:t>GB33372-2020</w:t>
            </w:r>
            <w:r>
              <w:rPr>
                <w:rFonts w:hint="eastAsia"/>
                <w:bCs/>
                <w:color w:val="auto"/>
                <w:sz w:val="24"/>
                <w:highlight w:val="none"/>
                <w:u w:val="single"/>
              </w:rPr>
              <w:t>）水基型胶粘剂包装领域其他类中V</w:t>
            </w:r>
            <w:r>
              <w:rPr>
                <w:bCs/>
                <w:color w:val="auto"/>
                <w:sz w:val="24"/>
                <w:highlight w:val="none"/>
                <w:u w:val="single"/>
              </w:rPr>
              <w:t>OC</w:t>
            </w:r>
            <w:r>
              <w:rPr>
                <w:rFonts w:hint="eastAsia"/>
                <w:bCs/>
                <w:color w:val="auto"/>
                <w:sz w:val="24"/>
                <w:highlight w:val="none"/>
                <w:u w:val="single"/>
              </w:rPr>
              <w:t>含量的要求，挥发性有机化合物（V</w:t>
            </w:r>
            <w:r>
              <w:rPr>
                <w:bCs/>
                <w:color w:val="auto"/>
                <w:sz w:val="24"/>
                <w:highlight w:val="none"/>
                <w:u w:val="single"/>
              </w:rPr>
              <w:t>OC</w:t>
            </w:r>
            <w:r>
              <w:rPr>
                <w:rFonts w:hint="eastAsia"/>
                <w:bCs/>
                <w:color w:val="auto"/>
                <w:sz w:val="24"/>
                <w:highlight w:val="none"/>
                <w:u w:val="single"/>
              </w:rPr>
              <w:t>s）含量≤5</w:t>
            </w:r>
            <w:r>
              <w:rPr>
                <w:bCs/>
                <w:color w:val="auto"/>
                <w:sz w:val="24"/>
                <w:highlight w:val="none"/>
                <w:u w:val="single"/>
              </w:rPr>
              <w:t>0</w:t>
            </w:r>
            <w:r>
              <w:rPr>
                <w:rFonts w:hint="eastAsia"/>
                <w:bCs/>
                <w:color w:val="auto"/>
                <w:sz w:val="24"/>
                <w:highlight w:val="none"/>
                <w:u w:val="single"/>
              </w:rPr>
              <w:t>g/</w:t>
            </w:r>
            <w:r>
              <w:rPr>
                <w:bCs/>
                <w:color w:val="auto"/>
                <w:sz w:val="24"/>
                <w:highlight w:val="none"/>
                <w:u w:val="single"/>
              </w:rPr>
              <w:t>L</w:t>
            </w:r>
            <w:r>
              <w:rPr>
                <w:rFonts w:hint="eastAsia"/>
                <w:bCs/>
                <w:color w:val="auto"/>
                <w:sz w:val="24"/>
                <w:highlight w:val="none"/>
                <w:u w:val="single"/>
              </w:rPr>
              <w:t>的要求。</w:t>
            </w:r>
          </w:p>
          <w:p w14:paraId="0DA32478">
            <w:pPr>
              <w:adjustRightInd w:val="0"/>
              <w:snapToGrid w:val="0"/>
              <w:spacing w:line="360" w:lineRule="auto"/>
              <w:ind w:firstLine="482" w:firstLineChars="200"/>
              <w:rPr>
                <w:b/>
                <w:color w:val="auto"/>
                <w:sz w:val="24"/>
                <w:highlight w:val="none"/>
              </w:rPr>
            </w:pPr>
            <w:r>
              <w:rPr>
                <w:rFonts w:hint="eastAsia"/>
                <w:b/>
                <w:color w:val="auto"/>
                <w:sz w:val="24"/>
                <w:highlight w:val="none"/>
                <w:lang w:val="en-US" w:eastAsia="zh-CN"/>
              </w:rPr>
              <w:t>④</w:t>
            </w:r>
            <w:r>
              <w:rPr>
                <w:rFonts w:hint="eastAsia"/>
                <w:b/>
                <w:color w:val="auto"/>
                <w:sz w:val="24"/>
                <w:highlight w:val="none"/>
              </w:rPr>
              <w:t>水性</w:t>
            </w:r>
            <w:r>
              <w:rPr>
                <w:rFonts w:hint="eastAsia"/>
                <w:b/>
                <w:color w:val="auto"/>
                <w:sz w:val="24"/>
                <w:highlight w:val="none"/>
                <w:lang w:val="en-US" w:eastAsia="zh-CN"/>
              </w:rPr>
              <w:t>胶粘</w:t>
            </w:r>
            <w:r>
              <w:rPr>
                <w:rFonts w:hint="eastAsia"/>
                <w:b/>
                <w:color w:val="auto"/>
                <w:sz w:val="24"/>
                <w:highlight w:val="none"/>
              </w:rPr>
              <w:t>剂</w:t>
            </w:r>
          </w:p>
          <w:p w14:paraId="6DD39496">
            <w:pPr>
              <w:adjustRightInd w:val="0"/>
              <w:snapToGrid w:val="0"/>
              <w:spacing w:line="360" w:lineRule="auto"/>
              <w:ind w:firstLine="480" w:firstLineChars="200"/>
              <w:rPr>
                <w:bCs/>
                <w:color w:val="auto"/>
                <w:sz w:val="24"/>
                <w:highlight w:val="none"/>
                <w:u w:val="single"/>
              </w:rPr>
            </w:pPr>
            <w:r>
              <w:rPr>
                <w:rFonts w:hint="eastAsia"/>
                <w:bCs/>
                <w:color w:val="auto"/>
                <w:sz w:val="24"/>
                <w:highlight w:val="none"/>
              </w:rPr>
              <w:t>本项目使用的粘合剂为成都朗珀科技有限公司生产的水性粘合剂，为丙烯酸酯类水基型胶粘剂。</w:t>
            </w:r>
            <w:r>
              <w:rPr>
                <w:rFonts w:hint="eastAsia"/>
                <w:bCs/>
                <w:color w:val="auto"/>
                <w:sz w:val="24"/>
                <w:highlight w:val="none"/>
                <w:u w:val="single"/>
              </w:rPr>
              <w:t>根据企业提供的检测报告，本项目使用的水性粘合剂挥发性有机物（V</w:t>
            </w:r>
            <w:r>
              <w:rPr>
                <w:bCs/>
                <w:color w:val="auto"/>
                <w:sz w:val="24"/>
                <w:highlight w:val="none"/>
                <w:u w:val="single"/>
              </w:rPr>
              <w:t>OC</w:t>
            </w:r>
            <w:r>
              <w:rPr>
                <w:rFonts w:hint="eastAsia"/>
                <w:bCs/>
                <w:color w:val="auto"/>
                <w:sz w:val="24"/>
                <w:highlight w:val="none"/>
                <w:u w:val="single"/>
              </w:rPr>
              <w:t>）含量为</w:t>
            </w:r>
            <w:r>
              <w:rPr>
                <w:bCs/>
                <w:color w:val="auto"/>
                <w:sz w:val="24"/>
                <w:highlight w:val="none"/>
                <w:u w:val="single"/>
              </w:rPr>
              <w:t>4</w:t>
            </w:r>
            <w:r>
              <w:rPr>
                <w:rFonts w:hint="eastAsia"/>
                <w:bCs/>
                <w:color w:val="auto"/>
                <w:sz w:val="24"/>
                <w:highlight w:val="none"/>
                <w:u w:val="single"/>
              </w:rPr>
              <w:t>g/</w:t>
            </w:r>
            <w:r>
              <w:rPr>
                <w:bCs/>
                <w:color w:val="auto"/>
                <w:sz w:val="24"/>
                <w:highlight w:val="none"/>
                <w:u w:val="single"/>
              </w:rPr>
              <w:t>L</w:t>
            </w:r>
            <w:r>
              <w:rPr>
                <w:rFonts w:hint="eastAsia"/>
                <w:bCs/>
                <w:color w:val="auto"/>
                <w:sz w:val="24"/>
                <w:highlight w:val="none"/>
                <w:u w:val="single"/>
              </w:rPr>
              <w:t>，满足《胶粘剂挥发性有机化合物限量》（</w:t>
            </w:r>
            <w:r>
              <w:rPr>
                <w:bCs/>
                <w:color w:val="auto"/>
                <w:sz w:val="24"/>
                <w:highlight w:val="none"/>
                <w:u w:val="single"/>
              </w:rPr>
              <w:t>GB33372-2020</w:t>
            </w:r>
            <w:r>
              <w:rPr>
                <w:rFonts w:hint="eastAsia"/>
                <w:bCs/>
                <w:color w:val="auto"/>
                <w:sz w:val="24"/>
                <w:highlight w:val="none"/>
                <w:u w:val="single"/>
              </w:rPr>
              <w:t>）水基型胶粘剂-丙烯酸酯类水基型胶粘剂中V</w:t>
            </w:r>
            <w:r>
              <w:rPr>
                <w:bCs/>
                <w:color w:val="auto"/>
                <w:sz w:val="24"/>
                <w:highlight w:val="none"/>
                <w:u w:val="single"/>
              </w:rPr>
              <w:t>OC</w:t>
            </w:r>
            <w:r>
              <w:rPr>
                <w:rFonts w:hint="eastAsia"/>
                <w:bCs/>
                <w:color w:val="auto"/>
                <w:sz w:val="24"/>
                <w:highlight w:val="none"/>
                <w:u w:val="single"/>
              </w:rPr>
              <w:t>含量的要求，挥发性有机化合物（V</w:t>
            </w:r>
            <w:r>
              <w:rPr>
                <w:bCs/>
                <w:color w:val="auto"/>
                <w:sz w:val="24"/>
                <w:highlight w:val="none"/>
                <w:u w:val="single"/>
              </w:rPr>
              <w:t>OC</w:t>
            </w:r>
            <w:r>
              <w:rPr>
                <w:rFonts w:hint="eastAsia"/>
                <w:bCs/>
                <w:color w:val="auto"/>
                <w:sz w:val="24"/>
                <w:highlight w:val="none"/>
                <w:u w:val="single"/>
              </w:rPr>
              <w:t>s）含量≤5</w:t>
            </w:r>
            <w:r>
              <w:rPr>
                <w:bCs/>
                <w:color w:val="auto"/>
                <w:sz w:val="24"/>
                <w:highlight w:val="none"/>
                <w:u w:val="single"/>
              </w:rPr>
              <w:t>0</w:t>
            </w:r>
            <w:r>
              <w:rPr>
                <w:rFonts w:hint="eastAsia"/>
                <w:bCs/>
                <w:color w:val="auto"/>
                <w:sz w:val="24"/>
                <w:highlight w:val="none"/>
                <w:u w:val="single"/>
              </w:rPr>
              <w:t>g/</w:t>
            </w:r>
            <w:r>
              <w:rPr>
                <w:bCs/>
                <w:color w:val="auto"/>
                <w:sz w:val="24"/>
                <w:highlight w:val="none"/>
                <w:u w:val="single"/>
              </w:rPr>
              <w:t>L</w:t>
            </w:r>
            <w:r>
              <w:rPr>
                <w:rFonts w:hint="eastAsia"/>
                <w:bCs/>
                <w:color w:val="auto"/>
                <w:sz w:val="24"/>
                <w:highlight w:val="none"/>
                <w:u w:val="single"/>
              </w:rPr>
              <w:t>的要求。</w:t>
            </w:r>
          </w:p>
          <w:p w14:paraId="1EDF24DD">
            <w:pPr>
              <w:adjustRightInd w:val="0"/>
              <w:snapToGrid w:val="0"/>
              <w:spacing w:line="360" w:lineRule="auto"/>
              <w:ind w:firstLine="482" w:firstLineChars="200"/>
              <w:rPr>
                <w:b/>
                <w:color w:val="auto"/>
                <w:sz w:val="24"/>
                <w:highlight w:val="none"/>
              </w:rPr>
            </w:pPr>
            <w:r>
              <w:rPr>
                <w:rFonts w:hint="eastAsia"/>
                <w:b/>
                <w:color w:val="auto"/>
                <w:sz w:val="24"/>
                <w:highlight w:val="none"/>
              </w:rPr>
              <w:t>⑤水性干式覆膜胶</w:t>
            </w:r>
          </w:p>
          <w:p w14:paraId="69CD2560">
            <w:pPr>
              <w:adjustRightInd w:val="0"/>
              <w:snapToGrid w:val="0"/>
              <w:spacing w:line="360" w:lineRule="auto"/>
              <w:ind w:firstLine="480" w:firstLineChars="200"/>
              <w:rPr>
                <w:rFonts w:hint="eastAsia"/>
                <w:bCs/>
                <w:color w:val="auto"/>
                <w:sz w:val="24"/>
                <w:highlight w:val="none"/>
                <w:u w:val="single"/>
              </w:rPr>
            </w:pPr>
            <w:r>
              <w:rPr>
                <w:rFonts w:hint="eastAsia"/>
                <w:bCs/>
                <w:color w:val="auto"/>
                <w:sz w:val="24"/>
                <w:highlight w:val="none"/>
              </w:rPr>
              <w:t>覆膜是对印刷品表面进行加工，达到提高印刷品表面光泽度、强度，增强美感效果的效果。本项目使用的覆膜使用水性热覆胶，又叫水性干式覆膜胶，是一种利用水为溶剂，将具有热塑性的熔胶颗粒经过一系列加热（对于高熔点的材料还需要加压）熔化、中和、乳化后制成的水性体系，是一种高固含量、低粘度的自交联型水性胶粘剂，适用于BOPP、PET膜与各种彩印纸的高速粘合。本项目使用的水性干式覆膜胶生产厂家为眉山水滴化学有限公司，外观为白色液体，</w:t>
            </w:r>
            <w:r>
              <w:rPr>
                <w:rFonts w:hint="eastAsia"/>
                <w:bCs/>
                <w:color w:val="auto"/>
                <w:sz w:val="24"/>
                <w:highlight w:val="none"/>
                <w:u w:val="single"/>
              </w:rPr>
              <w:t>根据企业提供的检测报告，水性干式覆膜胶中挥发性有机化学物（V</w:t>
            </w:r>
            <w:r>
              <w:rPr>
                <w:bCs/>
                <w:color w:val="auto"/>
                <w:sz w:val="24"/>
                <w:highlight w:val="none"/>
                <w:u w:val="single"/>
              </w:rPr>
              <w:t>OC</w:t>
            </w:r>
            <w:r>
              <w:rPr>
                <w:rFonts w:hint="eastAsia"/>
                <w:bCs/>
                <w:color w:val="auto"/>
                <w:sz w:val="24"/>
                <w:highlight w:val="none"/>
                <w:u w:val="single"/>
              </w:rPr>
              <w:t>）的含量为1</w:t>
            </w:r>
            <w:r>
              <w:rPr>
                <w:bCs/>
                <w:color w:val="auto"/>
                <w:sz w:val="24"/>
                <w:highlight w:val="none"/>
                <w:u w:val="single"/>
              </w:rPr>
              <w:t>0</w:t>
            </w:r>
            <w:r>
              <w:rPr>
                <w:rFonts w:hint="eastAsia"/>
                <w:bCs/>
                <w:color w:val="auto"/>
                <w:sz w:val="24"/>
                <w:highlight w:val="none"/>
                <w:u w:val="single"/>
              </w:rPr>
              <w:t>g/</w:t>
            </w:r>
            <w:r>
              <w:rPr>
                <w:bCs/>
                <w:color w:val="auto"/>
                <w:sz w:val="24"/>
                <w:highlight w:val="none"/>
                <w:u w:val="single"/>
              </w:rPr>
              <w:t>L</w:t>
            </w:r>
            <w:r>
              <w:rPr>
                <w:rFonts w:hint="eastAsia"/>
                <w:bCs/>
                <w:color w:val="auto"/>
                <w:sz w:val="24"/>
                <w:highlight w:val="none"/>
                <w:u w:val="single"/>
              </w:rPr>
              <w:t>，满足《胶粘剂挥发性有机化合物限量》（</w:t>
            </w:r>
            <w:r>
              <w:rPr>
                <w:bCs/>
                <w:color w:val="auto"/>
                <w:sz w:val="24"/>
                <w:highlight w:val="none"/>
                <w:u w:val="single"/>
              </w:rPr>
              <w:t>GB33372-2020</w:t>
            </w:r>
            <w:r>
              <w:rPr>
                <w:rFonts w:hint="eastAsia"/>
                <w:bCs/>
                <w:color w:val="auto"/>
                <w:sz w:val="24"/>
                <w:highlight w:val="none"/>
                <w:u w:val="single"/>
              </w:rPr>
              <w:t>）水基型胶粘剂-包装聚氨酯类中V</w:t>
            </w:r>
            <w:r>
              <w:rPr>
                <w:bCs/>
                <w:color w:val="auto"/>
                <w:sz w:val="24"/>
                <w:highlight w:val="none"/>
                <w:u w:val="single"/>
              </w:rPr>
              <w:t>OC</w:t>
            </w:r>
            <w:r>
              <w:rPr>
                <w:rFonts w:hint="eastAsia"/>
                <w:bCs/>
                <w:color w:val="auto"/>
                <w:sz w:val="24"/>
                <w:highlight w:val="none"/>
                <w:u w:val="single"/>
              </w:rPr>
              <w:t>含量的要求，挥发性有机化合物（V</w:t>
            </w:r>
            <w:r>
              <w:rPr>
                <w:bCs/>
                <w:color w:val="auto"/>
                <w:sz w:val="24"/>
                <w:highlight w:val="none"/>
                <w:u w:val="single"/>
              </w:rPr>
              <w:t>OC</w:t>
            </w:r>
            <w:r>
              <w:rPr>
                <w:rFonts w:hint="eastAsia"/>
                <w:bCs/>
                <w:color w:val="auto"/>
                <w:sz w:val="24"/>
                <w:highlight w:val="none"/>
                <w:u w:val="single"/>
              </w:rPr>
              <w:t>s）含量≤</w:t>
            </w:r>
            <w:r>
              <w:rPr>
                <w:bCs/>
                <w:color w:val="auto"/>
                <w:sz w:val="24"/>
                <w:highlight w:val="none"/>
                <w:u w:val="single"/>
              </w:rPr>
              <w:t>50</w:t>
            </w:r>
            <w:r>
              <w:rPr>
                <w:rFonts w:hint="eastAsia"/>
                <w:bCs/>
                <w:color w:val="auto"/>
                <w:sz w:val="24"/>
                <w:highlight w:val="none"/>
                <w:u w:val="single"/>
              </w:rPr>
              <w:t>g/</w:t>
            </w:r>
            <w:r>
              <w:rPr>
                <w:bCs/>
                <w:color w:val="auto"/>
                <w:sz w:val="24"/>
                <w:highlight w:val="none"/>
                <w:u w:val="single"/>
              </w:rPr>
              <w:t>L</w:t>
            </w:r>
            <w:r>
              <w:rPr>
                <w:rFonts w:hint="eastAsia"/>
                <w:bCs/>
                <w:color w:val="auto"/>
                <w:sz w:val="24"/>
                <w:highlight w:val="none"/>
                <w:u w:val="single"/>
              </w:rPr>
              <w:t>的要求。</w:t>
            </w:r>
          </w:p>
          <w:p w14:paraId="686D335E">
            <w:pPr>
              <w:adjustRightInd w:val="0"/>
              <w:snapToGrid w:val="0"/>
              <w:spacing w:line="360" w:lineRule="auto"/>
              <w:ind w:firstLine="482" w:firstLineChars="200"/>
              <w:rPr>
                <w:b/>
                <w:color w:val="auto"/>
                <w:sz w:val="24"/>
                <w:highlight w:val="none"/>
              </w:rPr>
            </w:pPr>
            <w:r>
              <w:rPr>
                <w:rFonts w:hint="eastAsia"/>
                <w:b/>
                <w:color w:val="auto"/>
                <w:sz w:val="24"/>
                <w:highlight w:val="none"/>
                <w:lang w:val="en-US" w:eastAsia="zh-CN"/>
              </w:rPr>
              <w:t>⑥</w:t>
            </w:r>
            <w:r>
              <w:rPr>
                <w:rFonts w:hint="eastAsia"/>
                <w:b/>
                <w:color w:val="auto"/>
                <w:sz w:val="24"/>
                <w:highlight w:val="none"/>
              </w:rPr>
              <w:t>半水基油墨清洗剂</w:t>
            </w:r>
          </w:p>
          <w:p w14:paraId="489D234F">
            <w:pPr>
              <w:adjustRightInd w:val="0"/>
              <w:snapToGrid w:val="0"/>
              <w:spacing w:line="360" w:lineRule="auto"/>
              <w:ind w:firstLine="480" w:firstLineChars="200"/>
              <w:rPr>
                <w:rFonts w:hint="eastAsia"/>
                <w:bCs/>
                <w:color w:val="auto"/>
                <w:sz w:val="24"/>
                <w:highlight w:val="none"/>
                <w:u w:val="single"/>
              </w:rPr>
            </w:pPr>
            <w:r>
              <w:rPr>
                <w:rFonts w:hint="eastAsia"/>
                <w:bCs/>
                <w:color w:val="auto"/>
                <w:sz w:val="24"/>
                <w:highlight w:val="none"/>
              </w:rPr>
              <w:t>印刷机在换墨之前，要用到洗车水来洗掉橡皮布上的油墨，传统的洗车水，一般是用煤油，随着环保意识的加强，越来越多的印刷企业改用环保洗车水。本项目选用的苏州易能环保科技有限公司生产的半水基油墨清洗剂，半水基清洗剂是以有机溶剂、表面活性剂、酸碱调节剂等有机物为主要成分，再添加少量的水制成。</w:t>
            </w:r>
            <w:r>
              <w:rPr>
                <w:rFonts w:hint="eastAsia"/>
                <w:bCs/>
                <w:color w:val="auto"/>
                <w:sz w:val="24"/>
                <w:highlight w:val="none"/>
                <w:u w:val="single"/>
              </w:rPr>
              <w:t>根据企业提供的检测报告，半水基油墨清洗剂中挥发性有机化学物（V</w:t>
            </w:r>
            <w:r>
              <w:rPr>
                <w:bCs/>
                <w:color w:val="auto"/>
                <w:sz w:val="24"/>
                <w:highlight w:val="none"/>
                <w:u w:val="single"/>
              </w:rPr>
              <w:t>OCs</w:t>
            </w:r>
            <w:r>
              <w:rPr>
                <w:rFonts w:hint="eastAsia"/>
                <w:bCs/>
                <w:color w:val="auto"/>
                <w:sz w:val="24"/>
                <w:highlight w:val="none"/>
                <w:u w:val="single"/>
              </w:rPr>
              <w:t>）的含量为</w:t>
            </w:r>
            <w:r>
              <w:rPr>
                <w:bCs/>
                <w:color w:val="auto"/>
                <w:sz w:val="24"/>
                <w:highlight w:val="none"/>
                <w:u w:val="single"/>
              </w:rPr>
              <w:t>76</w:t>
            </w:r>
            <w:r>
              <w:rPr>
                <w:rFonts w:hint="eastAsia"/>
                <w:bCs/>
                <w:color w:val="auto"/>
                <w:sz w:val="24"/>
                <w:highlight w:val="none"/>
                <w:u w:val="single"/>
              </w:rPr>
              <w:t>g/</w:t>
            </w:r>
            <w:r>
              <w:rPr>
                <w:bCs/>
                <w:color w:val="auto"/>
                <w:sz w:val="24"/>
                <w:highlight w:val="none"/>
                <w:u w:val="single"/>
              </w:rPr>
              <w:t>L</w:t>
            </w:r>
            <w:r>
              <w:rPr>
                <w:rFonts w:hint="eastAsia"/>
                <w:bCs/>
                <w:color w:val="auto"/>
                <w:sz w:val="24"/>
                <w:highlight w:val="none"/>
                <w:u w:val="single"/>
              </w:rPr>
              <w:t>，满足《清洗剂挥发性有机化合物含量限值》（</w:t>
            </w:r>
            <w:r>
              <w:rPr>
                <w:bCs/>
                <w:color w:val="auto"/>
                <w:sz w:val="24"/>
                <w:highlight w:val="none"/>
                <w:u w:val="single"/>
              </w:rPr>
              <w:t>GB 38508-2020</w:t>
            </w:r>
            <w:r>
              <w:rPr>
                <w:rFonts w:hint="eastAsia"/>
                <w:bCs/>
                <w:color w:val="auto"/>
                <w:sz w:val="24"/>
                <w:highlight w:val="none"/>
                <w:u w:val="single"/>
              </w:rPr>
              <w:t>）低V</w:t>
            </w:r>
            <w:r>
              <w:rPr>
                <w:bCs/>
                <w:color w:val="auto"/>
                <w:sz w:val="24"/>
                <w:highlight w:val="none"/>
                <w:u w:val="single"/>
              </w:rPr>
              <w:t>OC</w:t>
            </w:r>
            <w:r>
              <w:rPr>
                <w:rFonts w:hint="eastAsia"/>
                <w:bCs/>
                <w:color w:val="auto"/>
                <w:sz w:val="24"/>
                <w:highlight w:val="none"/>
                <w:u w:val="single"/>
              </w:rPr>
              <w:t>含量半水基清洗剂挥发性有机化合物（V</w:t>
            </w:r>
            <w:r>
              <w:rPr>
                <w:bCs/>
                <w:color w:val="auto"/>
                <w:sz w:val="24"/>
                <w:highlight w:val="none"/>
                <w:u w:val="single"/>
              </w:rPr>
              <w:t>OC</w:t>
            </w:r>
            <w:r>
              <w:rPr>
                <w:rFonts w:hint="eastAsia"/>
                <w:bCs/>
                <w:color w:val="auto"/>
                <w:sz w:val="24"/>
                <w:highlight w:val="none"/>
                <w:u w:val="single"/>
              </w:rPr>
              <w:t>）限值≤1</w:t>
            </w:r>
            <w:r>
              <w:rPr>
                <w:bCs/>
                <w:color w:val="auto"/>
                <w:sz w:val="24"/>
                <w:highlight w:val="none"/>
                <w:u w:val="single"/>
              </w:rPr>
              <w:t>00</w:t>
            </w:r>
            <w:r>
              <w:rPr>
                <w:rFonts w:hint="eastAsia"/>
                <w:bCs/>
                <w:color w:val="auto"/>
                <w:sz w:val="24"/>
                <w:highlight w:val="none"/>
                <w:u w:val="single"/>
              </w:rPr>
              <w:t>g/</w:t>
            </w:r>
            <w:r>
              <w:rPr>
                <w:bCs/>
                <w:color w:val="auto"/>
                <w:sz w:val="24"/>
                <w:highlight w:val="none"/>
                <w:u w:val="single"/>
              </w:rPr>
              <w:t>L</w:t>
            </w:r>
            <w:r>
              <w:rPr>
                <w:rFonts w:hint="eastAsia"/>
                <w:bCs/>
                <w:color w:val="auto"/>
                <w:sz w:val="24"/>
                <w:highlight w:val="none"/>
                <w:u w:val="single"/>
              </w:rPr>
              <w:t>的要求。</w:t>
            </w:r>
          </w:p>
          <w:p w14:paraId="7D145BDB">
            <w:pPr>
              <w:adjustRightInd w:val="0"/>
              <w:snapToGrid w:val="0"/>
              <w:spacing w:line="360" w:lineRule="auto"/>
              <w:ind w:firstLine="482" w:firstLineChars="200"/>
              <w:rPr>
                <w:b/>
                <w:color w:val="auto"/>
                <w:sz w:val="24"/>
                <w:highlight w:val="none"/>
              </w:rPr>
            </w:pPr>
            <w:r>
              <w:rPr>
                <w:rFonts w:hint="eastAsia"/>
                <w:b/>
                <w:color w:val="auto"/>
                <w:sz w:val="24"/>
                <w:highlight w:val="none"/>
                <w:lang w:val="en-US" w:eastAsia="zh-CN"/>
              </w:rPr>
              <w:t>⑦</w:t>
            </w:r>
            <w:r>
              <w:rPr>
                <w:rFonts w:hint="eastAsia"/>
                <w:b/>
                <w:color w:val="auto"/>
                <w:sz w:val="24"/>
                <w:highlight w:val="none"/>
              </w:rPr>
              <w:t>润版液</w:t>
            </w:r>
          </w:p>
          <w:p w14:paraId="0CE5CCC0">
            <w:pPr>
              <w:adjustRightInd w:val="0"/>
              <w:snapToGrid w:val="0"/>
              <w:spacing w:line="360" w:lineRule="auto"/>
              <w:ind w:firstLine="480" w:firstLineChars="200"/>
              <w:rPr>
                <w:rFonts w:hint="eastAsia"/>
                <w:bCs/>
                <w:color w:val="auto"/>
                <w:sz w:val="24"/>
                <w:highlight w:val="none"/>
                <w:u w:val="single"/>
              </w:rPr>
            </w:pPr>
            <w:r>
              <w:rPr>
                <w:rFonts w:hint="eastAsia"/>
                <w:bCs/>
                <w:color w:val="auto"/>
                <w:sz w:val="24"/>
                <w:highlight w:val="none"/>
              </w:rPr>
              <w:t>润版液是印刷过程中不可缺少的一种化学助剂，润版液所起的作用主要体现在三方面：一是在印版空白部份形成水膜；二是补充在印刷过程中损坏的亲水层；三是降低印版的表面温度。本项目使用的润版液为东莞市弘源印刷材料有限公司生产的免酒精润版液，外观为白色液体，无味，</w:t>
            </w:r>
            <w:r>
              <w:rPr>
                <w:bCs/>
                <w:color w:val="auto"/>
                <w:sz w:val="24"/>
                <w:highlight w:val="none"/>
              </w:rPr>
              <w:t>pH4.5</w:t>
            </w:r>
            <w:r>
              <w:rPr>
                <w:rFonts w:hint="eastAsia"/>
                <w:bCs/>
                <w:color w:val="auto"/>
                <w:sz w:val="24"/>
                <w:highlight w:val="none"/>
              </w:rPr>
              <w:t>，相对密度0</w:t>
            </w:r>
            <w:r>
              <w:rPr>
                <w:bCs/>
                <w:color w:val="auto"/>
                <w:sz w:val="24"/>
                <w:highlight w:val="none"/>
              </w:rPr>
              <w:t>.98~1.0</w:t>
            </w:r>
            <w:r>
              <w:rPr>
                <w:rFonts w:hint="eastAsia"/>
                <w:bCs/>
                <w:color w:val="auto"/>
                <w:sz w:val="24"/>
                <w:highlight w:val="none"/>
              </w:rPr>
              <w:t>，易与水混溶，使用时将本品原液直接使用或按3</w:t>
            </w:r>
            <w:r>
              <w:rPr>
                <w:bCs/>
                <w:color w:val="auto"/>
                <w:sz w:val="24"/>
                <w:highlight w:val="none"/>
              </w:rPr>
              <w:t>%</w:t>
            </w:r>
            <w:r>
              <w:rPr>
                <w:rFonts w:hint="eastAsia"/>
                <w:bCs/>
                <w:color w:val="auto"/>
                <w:sz w:val="24"/>
                <w:highlight w:val="none"/>
              </w:rPr>
              <w:t>~</w:t>
            </w:r>
            <w:r>
              <w:rPr>
                <w:bCs/>
                <w:color w:val="auto"/>
                <w:sz w:val="24"/>
                <w:highlight w:val="none"/>
              </w:rPr>
              <w:t>5%</w:t>
            </w:r>
            <w:r>
              <w:rPr>
                <w:rFonts w:hint="eastAsia"/>
                <w:bCs/>
                <w:color w:val="auto"/>
                <w:sz w:val="24"/>
                <w:highlight w:val="none"/>
              </w:rPr>
              <w:t>兑清水稀释后使用。主要成分为表面活性剂、有机缓冲物、酸类助剂等，具体为表面活性剂3%、缓冲剂9%、食用保护胶1</w:t>
            </w:r>
            <w:r>
              <w:rPr>
                <w:bCs/>
                <w:color w:val="auto"/>
                <w:sz w:val="24"/>
                <w:highlight w:val="none"/>
              </w:rPr>
              <w:t>0</w:t>
            </w:r>
            <w:r>
              <w:rPr>
                <w:rFonts w:hint="eastAsia"/>
                <w:bCs/>
                <w:color w:val="auto"/>
                <w:sz w:val="24"/>
                <w:highlight w:val="none"/>
              </w:rPr>
              <w:t>%、丙三醇2</w:t>
            </w:r>
            <w:r>
              <w:rPr>
                <w:bCs/>
                <w:color w:val="auto"/>
                <w:sz w:val="24"/>
                <w:highlight w:val="none"/>
              </w:rPr>
              <w:t>5</w:t>
            </w:r>
            <w:r>
              <w:rPr>
                <w:rFonts w:hint="eastAsia"/>
                <w:bCs/>
                <w:color w:val="auto"/>
                <w:sz w:val="24"/>
                <w:highlight w:val="none"/>
              </w:rPr>
              <w:t>%、水5</w:t>
            </w:r>
            <w:r>
              <w:rPr>
                <w:bCs/>
                <w:color w:val="auto"/>
                <w:sz w:val="24"/>
                <w:highlight w:val="none"/>
              </w:rPr>
              <w:t>3</w:t>
            </w:r>
            <w:r>
              <w:rPr>
                <w:rFonts w:hint="eastAsia"/>
                <w:bCs/>
                <w:color w:val="auto"/>
                <w:sz w:val="24"/>
                <w:highlight w:val="none"/>
              </w:rPr>
              <w:t>%，无易挥发有机物。</w:t>
            </w:r>
            <w:r>
              <w:rPr>
                <w:rFonts w:hint="eastAsia"/>
                <w:bCs/>
                <w:color w:val="auto"/>
                <w:sz w:val="24"/>
                <w:highlight w:val="none"/>
                <w:u w:val="single"/>
              </w:rPr>
              <w:t>根据企业提供的检测报告，挥发性有机化合物（VOCs）含量低于1g/L的检出限值，未检出。</w:t>
            </w:r>
          </w:p>
          <w:p w14:paraId="7B05C6C4">
            <w:pPr>
              <w:adjustRightInd w:val="0"/>
              <w:snapToGrid w:val="0"/>
              <w:spacing w:line="360" w:lineRule="auto"/>
              <w:ind w:firstLine="482" w:firstLineChars="200"/>
              <w:rPr>
                <w:b/>
                <w:color w:val="auto"/>
                <w:sz w:val="24"/>
                <w:highlight w:val="none"/>
              </w:rPr>
            </w:pPr>
            <w:r>
              <w:rPr>
                <w:rFonts w:hint="eastAsia"/>
                <w:b/>
                <w:color w:val="auto"/>
                <w:sz w:val="24"/>
                <w:highlight w:val="none"/>
                <w:lang w:val="en-US" w:eastAsia="zh-CN"/>
              </w:rPr>
              <w:t>⑧</w:t>
            </w:r>
            <w:r>
              <w:rPr>
                <w:rFonts w:hint="eastAsia"/>
                <w:b/>
                <w:color w:val="auto"/>
                <w:sz w:val="24"/>
                <w:highlight w:val="none"/>
              </w:rPr>
              <w:t>CTP显影液</w:t>
            </w:r>
          </w:p>
          <w:p w14:paraId="68427215">
            <w:pPr>
              <w:adjustRightInd w:val="0"/>
              <w:snapToGrid w:val="0"/>
              <w:spacing w:line="360" w:lineRule="auto"/>
              <w:ind w:firstLine="480" w:firstLineChars="200"/>
              <w:rPr>
                <w:bCs/>
                <w:color w:val="auto"/>
                <w:sz w:val="24"/>
                <w:highlight w:val="none"/>
              </w:rPr>
            </w:pPr>
            <w:r>
              <w:rPr>
                <w:rFonts w:hint="eastAsia"/>
                <w:bCs/>
                <w:color w:val="auto"/>
                <w:sz w:val="24"/>
                <w:highlight w:val="none"/>
              </w:rPr>
              <w:t>显影液是银盐胶片显影用的药液，显影液的主要成分是显影剂。为了完善性能，通常还加一些其他成分，诸如促进显影的促进剂，防止显影剂氧化的保护剂，防灰雾生成的灰雾抑制剂和防灰雾剂等。本项目使用乐凯华光印刷科技有限公司供应的TPD85型热敏CTP版显影液，根据其M</w:t>
            </w:r>
            <w:r>
              <w:rPr>
                <w:bCs/>
                <w:color w:val="auto"/>
                <w:sz w:val="24"/>
                <w:highlight w:val="none"/>
              </w:rPr>
              <w:t>SDS</w:t>
            </w:r>
            <w:r>
              <w:rPr>
                <w:rFonts w:hint="eastAsia"/>
                <w:bCs/>
                <w:color w:val="auto"/>
                <w:sz w:val="24"/>
                <w:highlight w:val="none"/>
              </w:rPr>
              <w:t>数据，显影液为微黄色半透明液体，主要成分为泡花碱10~12</w:t>
            </w:r>
            <w:r>
              <w:rPr>
                <w:bCs/>
                <w:color w:val="auto"/>
                <w:sz w:val="24"/>
                <w:highlight w:val="none"/>
              </w:rPr>
              <w:t>%</w:t>
            </w:r>
            <w:r>
              <w:rPr>
                <w:rFonts w:hint="eastAsia"/>
                <w:bCs/>
                <w:color w:val="auto"/>
                <w:sz w:val="24"/>
                <w:highlight w:val="none"/>
              </w:rPr>
              <w:t>、氢氧化钾0.3~0.6</w:t>
            </w:r>
            <w:r>
              <w:rPr>
                <w:bCs/>
                <w:color w:val="auto"/>
                <w:sz w:val="24"/>
                <w:highlight w:val="none"/>
              </w:rPr>
              <w:t>%</w:t>
            </w:r>
            <w:r>
              <w:rPr>
                <w:rFonts w:hint="eastAsia"/>
                <w:bCs/>
                <w:color w:val="auto"/>
                <w:sz w:val="24"/>
                <w:highlight w:val="none"/>
              </w:rPr>
              <w:t>、PO/EO共聚物2~5</w:t>
            </w:r>
            <w:r>
              <w:rPr>
                <w:bCs/>
                <w:color w:val="auto"/>
                <w:sz w:val="24"/>
                <w:highlight w:val="none"/>
              </w:rPr>
              <w:t>%</w:t>
            </w:r>
            <w:r>
              <w:rPr>
                <w:rFonts w:hint="eastAsia"/>
                <w:bCs/>
                <w:color w:val="auto"/>
                <w:sz w:val="24"/>
                <w:highlight w:val="none"/>
              </w:rPr>
              <w:t>。</w:t>
            </w:r>
          </w:p>
          <w:p w14:paraId="34D6ECA6">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⑨</w:t>
            </w:r>
            <w:r>
              <w:rPr>
                <w:rFonts w:hint="default" w:ascii="Times New Roman" w:hAnsi="Times New Roman" w:cs="Times New Roman"/>
                <w:b/>
                <w:color w:val="auto"/>
                <w:sz w:val="24"/>
                <w:highlight w:val="none"/>
              </w:rPr>
              <w:t>CTP版</w:t>
            </w:r>
          </w:p>
          <w:p w14:paraId="25E1BA08">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CTP版材按制版成像原理分类主要有四种类型：感光体系CTP版材、感热体系CTP版材、紫激光体系CTP版材和其他体系CTP版材。本项目使用的CTP版为感热体系CTP版材，属交联型感光性聚合物版材。在这种版材上，使用激光使印版的非印刷部分成像，热激光光束分解光聚合物，使成像区在显影过程中变为可溶的，而未经曝光部分保持不溶。由于这一过程与用阳图胶片晒制印版是相同的，所以称之为“阳图”热敏版材。</w:t>
            </w:r>
          </w:p>
          <w:p w14:paraId="3A840658">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⑩</w:t>
            </w:r>
            <w:r>
              <w:rPr>
                <w:rFonts w:hint="default" w:ascii="Times New Roman" w:hAnsi="Times New Roman" w:cs="Times New Roman"/>
                <w:b/>
                <w:color w:val="auto"/>
                <w:sz w:val="24"/>
                <w:highlight w:val="none"/>
              </w:rPr>
              <w:t>电化铝箔</w:t>
            </w:r>
          </w:p>
          <w:p w14:paraId="5584FB63">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 xml:space="preserve">烫金纸俗称电化铝箔，它是由在聚酯薄膜（PET）和在其表面涂布的多层化学涂层组成。 </w:t>
            </w:r>
          </w:p>
          <w:p w14:paraId="773E00E8">
            <w:pPr>
              <w:adjustRightInd w:val="0"/>
              <w:snapToGrid w:val="0"/>
              <w:spacing w:before="120" w:beforeLines="50" w:line="360" w:lineRule="auto"/>
              <w:ind w:firstLine="482" w:firstLineChars="200"/>
              <w:rPr>
                <w:rFonts w:hint="eastAsia"/>
                <w:b/>
                <w:color w:val="auto"/>
                <w:sz w:val="24"/>
                <w:highlight w:val="none"/>
              </w:rPr>
            </w:pPr>
            <w:r>
              <w:rPr>
                <w:rFonts w:hint="eastAsia"/>
                <w:b/>
                <w:color w:val="auto"/>
                <w:sz w:val="24"/>
                <w:highlight w:val="none"/>
              </w:rPr>
              <w:t>（2）主要原辅材料用量分析</w:t>
            </w:r>
          </w:p>
          <w:p w14:paraId="3EB3DE80">
            <w:pPr>
              <w:pStyle w:val="92"/>
              <w:spacing w:line="360" w:lineRule="auto"/>
              <w:ind w:firstLine="480" w:firstLineChars="200"/>
              <w:rPr>
                <w:rFonts w:hint="eastAsia"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本项目印刷主要采用丝网印刷，二维码采用水性喷墨。</w:t>
            </w:r>
          </w:p>
          <w:p w14:paraId="102BFD1D">
            <w:pPr>
              <w:adjustRightInd w:val="0"/>
              <w:snapToGrid w:val="0"/>
              <w:spacing w:line="360" w:lineRule="auto"/>
              <w:ind w:firstLine="482" w:firstLineChars="200"/>
              <w:rPr>
                <w:rFonts w:hint="eastAsia"/>
                <w:b/>
                <w:bCs/>
                <w:color w:val="auto"/>
                <w:sz w:val="24"/>
                <w:highlight w:val="none"/>
                <w:lang w:val="en-US" w:eastAsia="zh-CN"/>
              </w:rPr>
            </w:pPr>
            <w:r>
              <w:rPr>
                <w:rFonts w:hint="eastAsia"/>
                <w:b/>
                <w:color w:val="auto"/>
                <w:sz w:val="24"/>
              </w:rPr>
              <w:t>①油墨、光油用量分析</w:t>
            </w:r>
          </w:p>
          <w:p w14:paraId="305A4AFB">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eastAsia"/>
                <w:b/>
                <w:bCs/>
                <w:color w:val="auto"/>
                <w:sz w:val="24"/>
                <w:highlight w:val="none"/>
                <w:lang w:val="en-US" w:eastAsia="zh-CN"/>
              </w:rPr>
            </w:pPr>
            <w:r>
              <w:rPr>
                <w:rFonts w:hint="eastAsia"/>
                <w:b/>
                <w:bCs/>
                <w:color w:val="auto"/>
                <w:sz w:val="24"/>
                <w:highlight w:val="none"/>
                <w:lang w:val="en-US" w:eastAsia="zh-CN"/>
              </w:rPr>
              <w:t>本项目UV油墨、水性光油、水性油墨用量参照下述公式进行计算：</w:t>
            </w:r>
          </w:p>
          <w:p w14:paraId="1675E500">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eastAsia"/>
                <w:b/>
                <w:bCs/>
                <w:color w:val="auto"/>
                <w:sz w:val="24"/>
                <w:highlight w:val="none"/>
                <w:lang w:val="en-US" w:eastAsia="zh-CN"/>
              </w:rPr>
            </w:pPr>
            <w:r>
              <w:rPr>
                <w:rFonts w:hint="eastAsia"/>
                <w:b/>
                <w:bCs/>
                <w:color w:val="auto"/>
                <w:sz w:val="24"/>
                <w:highlight w:val="none"/>
                <w:lang w:val="en-US" w:eastAsia="zh-CN"/>
              </w:rPr>
              <w:drawing>
                <wp:inline distT="0" distB="0" distL="114300" distR="114300">
                  <wp:extent cx="4208145" cy="490855"/>
                  <wp:effectExtent l="0" t="0" r="1905" b="4445"/>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7"/>
                          <a:stretch>
                            <a:fillRect/>
                          </a:stretch>
                        </pic:blipFill>
                        <pic:spPr>
                          <a:xfrm>
                            <a:off x="0" y="0"/>
                            <a:ext cx="4208145" cy="490855"/>
                          </a:xfrm>
                          <a:prstGeom prst="rect">
                            <a:avLst/>
                          </a:prstGeom>
                          <a:noFill/>
                          <a:ln>
                            <a:noFill/>
                          </a:ln>
                        </pic:spPr>
                      </pic:pic>
                    </a:graphicData>
                  </a:graphic>
                </wp:inline>
              </w:drawing>
            </w:r>
          </w:p>
          <w:p w14:paraId="61408383">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eastAsia"/>
                <w:b/>
                <w:bCs/>
                <w:color w:val="auto"/>
                <w:sz w:val="24"/>
                <w:highlight w:val="yellow"/>
              </w:rPr>
            </w:pPr>
            <w:r>
              <w:rPr>
                <w:rFonts w:hint="eastAsia"/>
                <w:b/>
                <w:bCs/>
                <w:color w:val="auto"/>
                <w:sz w:val="21"/>
                <w:szCs w:val="21"/>
                <w:highlight w:val="none"/>
                <w:lang w:val="en-US" w:eastAsia="zh-CN"/>
              </w:rPr>
              <w:t xml:space="preserve">表2-6 </w:t>
            </w:r>
            <w:r>
              <w:rPr>
                <w:rFonts w:hint="eastAsia"/>
                <w:b/>
                <w:bCs/>
                <w:color w:val="auto"/>
                <w:sz w:val="21"/>
                <w:szCs w:val="21"/>
                <w:highlight w:val="none"/>
              </w:rPr>
              <w:t>本项目</w:t>
            </w:r>
            <w:r>
              <w:rPr>
                <w:rFonts w:hint="eastAsia"/>
                <w:b/>
                <w:bCs/>
                <w:color w:val="auto"/>
                <w:sz w:val="21"/>
                <w:szCs w:val="21"/>
                <w:highlight w:val="none"/>
                <w:lang w:val="en-US" w:eastAsia="zh-CN"/>
              </w:rPr>
              <w:t>UV油墨</w:t>
            </w:r>
            <w:r>
              <w:rPr>
                <w:rFonts w:hint="eastAsia"/>
                <w:b/>
                <w:bCs/>
                <w:color w:val="auto"/>
                <w:sz w:val="21"/>
                <w:szCs w:val="21"/>
                <w:highlight w:val="none"/>
              </w:rPr>
              <w:t>用量核算</w:t>
            </w:r>
          </w:p>
          <w:tbl>
            <w:tblPr>
              <w:tblStyle w:val="25"/>
              <w:tblW w:w="8573" w:type="dxa"/>
              <w:tblInd w:w="-76" w:type="dxa"/>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871"/>
              <w:gridCol w:w="1046"/>
              <w:gridCol w:w="1192"/>
              <w:gridCol w:w="963"/>
              <w:gridCol w:w="887"/>
              <w:gridCol w:w="1225"/>
              <w:gridCol w:w="1050"/>
              <w:gridCol w:w="1339"/>
            </w:tblGrid>
            <w:tr w14:paraId="1F134ED7">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71" w:type="dxa"/>
                  <w:noWrap w:val="0"/>
                  <w:vAlign w:val="center"/>
                </w:tcPr>
                <w:p w14:paraId="23043A6F">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b/>
                      <w:bCs/>
                      <w:color w:val="auto"/>
                      <w:szCs w:val="21"/>
                      <w:lang w:eastAsia="en-US"/>
                    </w:rPr>
                  </w:pPr>
                  <w:r>
                    <w:rPr>
                      <w:rFonts w:hint="eastAsia"/>
                      <w:b/>
                      <w:bCs/>
                      <w:color w:val="auto"/>
                      <w:szCs w:val="21"/>
                    </w:rPr>
                    <w:t>产品</w:t>
                  </w:r>
                </w:p>
              </w:tc>
              <w:tc>
                <w:tcPr>
                  <w:tcW w:w="1046" w:type="dxa"/>
                  <w:noWrap w:val="0"/>
                  <w:vAlign w:val="center"/>
                </w:tcPr>
                <w:p w14:paraId="7AF8F6FD">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b/>
                      <w:bCs/>
                      <w:color w:val="auto"/>
                      <w:szCs w:val="21"/>
                    </w:rPr>
                  </w:pPr>
                  <w:r>
                    <w:rPr>
                      <w:rFonts w:hint="eastAsia"/>
                      <w:b/>
                      <w:bCs/>
                      <w:color w:val="auto"/>
                      <w:szCs w:val="21"/>
                    </w:rPr>
                    <w:t>产能</w:t>
                  </w:r>
                </w:p>
              </w:tc>
              <w:tc>
                <w:tcPr>
                  <w:tcW w:w="1192" w:type="dxa"/>
                  <w:noWrap w:val="0"/>
                  <w:vAlign w:val="center"/>
                </w:tcPr>
                <w:p w14:paraId="6F39C3DF">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auto"/>
                      <w:szCs w:val="21"/>
                    </w:rPr>
                  </w:pPr>
                  <w:r>
                    <w:rPr>
                      <w:rFonts w:hint="eastAsia"/>
                      <w:b/>
                      <w:bCs/>
                      <w:color w:val="auto"/>
                      <w:szCs w:val="21"/>
                    </w:rPr>
                    <w:t>平均印刷面积</w:t>
                  </w:r>
                </w:p>
              </w:tc>
              <w:tc>
                <w:tcPr>
                  <w:tcW w:w="963" w:type="dxa"/>
                  <w:noWrap w:val="0"/>
                  <w:vAlign w:val="center"/>
                </w:tcPr>
                <w:p w14:paraId="58A38045">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b/>
                      <w:bCs/>
                      <w:color w:val="auto"/>
                      <w:szCs w:val="21"/>
                    </w:rPr>
                  </w:pPr>
                  <w:r>
                    <w:rPr>
                      <w:rFonts w:hint="eastAsia"/>
                      <w:b/>
                      <w:bCs/>
                      <w:color w:val="auto"/>
                      <w:szCs w:val="21"/>
                    </w:rPr>
                    <w:t>油墨覆盖面积</w:t>
                  </w:r>
                </w:p>
              </w:tc>
              <w:tc>
                <w:tcPr>
                  <w:tcW w:w="887" w:type="dxa"/>
                  <w:noWrap w:val="0"/>
                  <w:vAlign w:val="center"/>
                </w:tcPr>
                <w:p w14:paraId="56DB01B5">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b/>
                      <w:bCs/>
                      <w:color w:val="auto"/>
                      <w:szCs w:val="21"/>
                    </w:rPr>
                  </w:pPr>
                  <w:r>
                    <w:rPr>
                      <w:rFonts w:hint="eastAsia"/>
                      <w:b/>
                      <w:bCs/>
                      <w:color w:val="auto"/>
                      <w:szCs w:val="21"/>
                    </w:rPr>
                    <w:t>印刷厚度</w:t>
                  </w:r>
                </w:p>
              </w:tc>
              <w:tc>
                <w:tcPr>
                  <w:tcW w:w="1225" w:type="dxa"/>
                  <w:noWrap w:val="0"/>
                  <w:vAlign w:val="center"/>
                </w:tcPr>
                <w:p w14:paraId="28D57275">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b/>
                      <w:bCs/>
                      <w:color w:val="auto"/>
                      <w:szCs w:val="21"/>
                    </w:rPr>
                  </w:pPr>
                  <w:r>
                    <w:rPr>
                      <w:rFonts w:hint="eastAsia"/>
                      <w:b/>
                      <w:bCs/>
                      <w:color w:val="auto"/>
                      <w:szCs w:val="21"/>
                    </w:rPr>
                    <w:t>密度</w:t>
                  </w:r>
                </w:p>
              </w:tc>
              <w:tc>
                <w:tcPr>
                  <w:tcW w:w="1050" w:type="dxa"/>
                  <w:noWrap w:val="0"/>
                  <w:vAlign w:val="center"/>
                </w:tcPr>
                <w:p w14:paraId="4678516D">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b/>
                      <w:bCs/>
                      <w:color w:val="auto"/>
                      <w:szCs w:val="21"/>
                    </w:rPr>
                  </w:pPr>
                  <w:r>
                    <w:rPr>
                      <w:rFonts w:hint="eastAsia"/>
                      <w:b/>
                      <w:bCs/>
                      <w:color w:val="auto"/>
                      <w:szCs w:val="21"/>
                    </w:rPr>
                    <w:t>油墨固分含量</w:t>
                  </w:r>
                </w:p>
              </w:tc>
              <w:tc>
                <w:tcPr>
                  <w:tcW w:w="1339" w:type="dxa"/>
                  <w:noWrap w:val="0"/>
                  <w:vAlign w:val="center"/>
                </w:tcPr>
                <w:p w14:paraId="2C860550">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b/>
                      <w:bCs/>
                      <w:color w:val="auto"/>
                      <w:szCs w:val="21"/>
                    </w:rPr>
                  </w:pPr>
                  <w:r>
                    <w:rPr>
                      <w:rFonts w:hint="eastAsia"/>
                      <w:b/>
                      <w:bCs/>
                      <w:color w:val="auto"/>
                      <w:szCs w:val="21"/>
                      <w:lang w:val="en-US" w:eastAsia="zh-CN"/>
                    </w:rPr>
                    <w:t>UV</w:t>
                  </w:r>
                  <w:r>
                    <w:rPr>
                      <w:rFonts w:hint="eastAsia"/>
                      <w:b/>
                      <w:bCs/>
                      <w:color w:val="auto"/>
                      <w:szCs w:val="21"/>
                    </w:rPr>
                    <w:t>油墨理论计算量</w:t>
                  </w:r>
                </w:p>
              </w:tc>
            </w:tr>
            <w:tr w14:paraId="7B1D7986">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9" w:hRule="atLeast"/>
              </w:trPr>
              <w:tc>
                <w:tcPr>
                  <w:tcW w:w="871" w:type="dxa"/>
                  <w:noWrap w:val="0"/>
                  <w:vAlign w:val="center"/>
                </w:tcPr>
                <w:p w14:paraId="28459704">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rPr>
                  </w:pPr>
                  <w:r>
                    <w:rPr>
                      <w:rFonts w:hint="default"/>
                      <w:color w:val="auto"/>
                      <w:szCs w:val="21"/>
                      <w:lang w:val="en-US" w:eastAsia="zh-CN"/>
                    </w:rPr>
                    <w:t>酒类礼品包装盒</w:t>
                  </w:r>
                </w:p>
              </w:tc>
              <w:tc>
                <w:tcPr>
                  <w:tcW w:w="1046" w:type="dxa"/>
                  <w:noWrap w:val="0"/>
                  <w:vAlign w:val="center"/>
                </w:tcPr>
                <w:p w14:paraId="390C1C76">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olor w:val="auto"/>
                      <w:szCs w:val="21"/>
                      <w:lang w:val="en-US" w:eastAsia="zh-CN"/>
                    </w:rPr>
                  </w:pPr>
                  <w:r>
                    <w:rPr>
                      <w:rFonts w:hint="eastAsia"/>
                      <w:color w:val="auto"/>
                      <w:spacing w:val="-1"/>
                      <w:szCs w:val="21"/>
                      <w:lang w:val="en-US" w:eastAsia="zh-CN"/>
                    </w:rPr>
                    <w:t>750</w:t>
                  </w:r>
                  <w:r>
                    <w:rPr>
                      <w:color w:val="auto"/>
                      <w:spacing w:val="-1"/>
                      <w:szCs w:val="21"/>
                    </w:rPr>
                    <w:t>万</w:t>
                  </w:r>
                  <w:r>
                    <w:rPr>
                      <w:rFonts w:hint="eastAsia"/>
                      <w:color w:val="auto"/>
                      <w:spacing w:val="-1"/>
                      <w:szCs w:val="21"/>
                      <w:lang w:val="en-US" w:eastAsia="zh-CN"/>
                    </w:rPr>
                    <w:t>只</w:t>
                  </w:r>
                </w:p>
              </w:tc>
              <w:tc>
                <w:tcPr>
                  <w:tcW w:w="1192" w:type="dxa"/>
                  <w:noWrap w:val="0"/>
                  <w:vAlign w:val="center"/>
                </w:tcPr>
                <w:p w14:paraId="4D075132">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olor w:val="auto"/>
                      <w:szCs w:val="21"/>
                      <w:lang w:eastAsia="zh-CN"/>
                    </w:rPr>
                  </w:pPr>
                  <w:r>
                    <w:rPr>
                      <w:rFonts w:hint="eastAsia"/>
                      <w:color w:val="auto"/>
                      <w:szCs w:val="21"/>
                      <w:lang w:val="en-US" w:eastAsia="zh-CN"/>
                    </w:rPr>
                    <w:t>0.16</w:t>
                  </w:r>
                  <w:r>
                    <w:rPr>
                      <w:rFonts w:hint="eastAsia"/>
                      <w:color w:val="auto"/>
                      <w:szCs w:val="21"/>
                    </w:rPr>
                    <w:t>m</w:t>
                  </w:r>
                  <w:r>
                    <w:rPr>
                      <w:rFonts w:hint="eastAsia"/>
                      <w:color w:val="auto"/>
                      <w:szCs w:val="21"/>
                      <w:vertAlign w:val="superscript"/>
                    </w:rPr>
                    <w:t>2</w:t>
                  </w:r>
                  <w:r>
                    <w:rPr>
                      <w:rFonts w:hint="eastAsia"/>
                      <w:color w:val="auto"/>
                      <w:szCs w:val="21"/>
                    </w:rPr>
                    <w:t>/</w:t>
                  </w:r>
                  <w:r>
                    <w:rPr>
                      <w:rFonts w:hint="eastAsia"/>
                      <w:color w:val="auto"/>
                      <w:szCs w:val="21"/>
                      <w:lang w:val="en-US" w:eastAsia="zh-CN"/>
                    </w:rPr>
                    <w:t>只</w:t>
                  </w:r>
                </w:p>
              </w:tc>
              <w:tc>
                <w:tcPr>
                  <w:tcW w:w="963" w:type="dxa"/>
                  <w:noWrap w:val="0"/>
                  <w:vAlign w:val="center"/>
                </w:tcPr>
                <w:p w14:paraId="4EE25086">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lang w:val="en-US" w:eastAsia="zh-CN"/>
                    </w:rPr>
                    <w:t>95</w:t>
                  </w:r>
                  <w:r>
                    <w:rPr>
                      <w:color w:val="auto"/>
                      <w:szCs w:val="21"/>
                    </w:rPr>
                    <w:t>%</w:t>
                  </w:r>
                </w:p>
              </w:tc>
              <w:tc>
                <w:tcPr>
                  <w:tcW w:w="887" w:type="dxa"/>
                  <w:noWrap w:val="0"/>
                  <w:vAlign w:val="center"/>
                </w:tcPr>
                <w:p w14:paraId="3955D55E">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lang w:val="en-US" w:eastAsia="zh-CN"/>
                    </w:rPr>
                    <w:t>5</w:t>
                  </w:r>
                  <w:r>
                    <w:rPr>
                      <w:color w:val="auto"/>
                      <w:szCs w:val="21"/>
                    </w:rPr>
                    <w:t>μm</w:t>
                  </w:r>
                </w:p>
              </w:tc>
              <w:tc>
                <w:tcPr>
                  <w:tcW w:w="1225" w:type="dxa"/>
                  <w:noWrap w:val="0"/>
                  <w:vAlign w:val="center"/>
                </w:tcPr>
                <w:p w14:paraId="44E982BC">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rPr>
                  </w:pPr>
                  <w:r>
                    <w:rPr>
                      <w:rFonts w:hint="eastAsia"/>
                      <w:bCs/>
                      <w:color w:val="auto"/>
                      <w:szCs w:val="21"/>
                      <w:lang w:val="en-US" w:eastAsia="zh-CN"/>
                    </w:rPr>
                    <w:t>1.1</w:t>
                  </w:r>
                  <w:r>
                    <w:rPr>
                      <w:rFonts w:hint="eastAsia"/>
                      <w:bCs/>
                      <w:color w:val="auto"/>
                      <w:szCs w:val="21"/>
                    </w:rPr>
                    <w:t>g/cm</w:t>
                  </w:r>
                  <w:r>
                    <w:rPr>
                      <w:bCs/>
                      <w:color w:val="auto"/>
                      <w:szCs w:val="21"/>
                      <w:vertAlign w:val="superscript"/>
                    </w:rPr>
                    <w:t>3</w:t>
                  </w:r>
                </w:p>
              </w:tc>
              <w:tc>
                <w:tcPr>
                  <w:tcW w:w="1050" w:type="dxa"/>
                  <w:noWrap w:val="0"/>
                  <w:vAlign w:val="center"/>
                </w:tcPr>
                <w:p w14:paraId="7353D198">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Cs w:val="21"/>
                    </w:rPr>
                  </w:pPr>
                  <w:r>
                    <w:rPr>
                      <w:rFonts w:hint="eastAsia"/>
                      <w:color w:val="auto"/>
                      <w:szCs w:val="21"/>
                      <w:lang w:val="en-US" w:eastAsia="zh-CN"/>
                    </w:rPr>
                    <w:t>99.9</w:t>
                  </w:r>
                  <w:r>
                    <w:rPr>
                      <w:rFonts w:hint="eastAsia"/>
                      <w:color w:val="auto"/>
                      <w:szCs w:val="21"/>
                    </w:rPr>
                    <w:t>%</w:t>
                  </w:r>
                </w:p>
              </w:tc>
              <w:tc>
                <w:tcPr>
                  <w:tcW w:w="1339" w:type="dxa"/>
                  <w:noWrap w:val="0"/>
                  <w:vAlign w:val="center"/>
                </w:tcPr>
                <w:p w14:paraId="3FB45A57">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Cs w:val="21"/>
                    </w:rPr>
                  </w:pPr>
                  <w:r>
                    <w:rPr>
                      <w:rFonts w:hint="eastAsia"/>
                      <w:color w:val="auto"/>
                      <w:szCs w:val="21"/>
                      <w:lang w:val="en-US" w:eastAsia="zh-CN"/>
                    </w:rPr>
                    <w:t>6.27</w:t>
                  </w:r>
                  <w:r>
                    <w:rPr>
                      <w:rFonts w:hint="eastAsia"/>
                      <w:color w:val="auto"/>
                      <w:szCs w:val="21"/>
                    </w:rPr>
                    <w:t>t/a</w:t>
                  </w:r>
                </w:p>
              </w:tc>
            </w:tr>
            <w:tr w14:paraId="470EAC1C">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71" w:type="dxa"/>
                  <w:noWrap w:val="0"/>
                  <w:vAlign w:val="center"/>
                </w:tcPr>
                <w:p w14:paraId="08A9C6AF">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Cs w:val="21"/>
                    </w:rPr>
                  </w:pPr>
                  <w:r>
                    <w:rPr>
                      <w:rFonts w:hint="eastAsia"/>
                      <w:color w:val="auto"/>
                      <w:szCs w:val="21"/>
                      <w:lang w:val="en-US" w:eastAsia="zh-CN"/>
                    </w:rPr>
                    <w:t>塑纸包装盒</w:t>
                  </w:r>
                </w:p>
              </w:tc>
              <w:tc>
                <w:tcPr>
                  <w:tcW w:w="1046" w:type="dxa"/>
                  <w:noWrap w:val="0"/>
                  <w:vAlign w:val="center"/>
                </w:tcPr>
                <w:p w14:paraId="7E5CC75D">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olor w:val="auto"/>
                      <w:szCs w:val="21"/>
                      <w:lang w:val="en-US" w:eastAsia="zh-CN"/>
                    </w:rPr>
                  </w:pPr>
                  <w:r>
                    <w:rPr>
                      <w:rFonts w:hint="eastAsia"/>
                      <w:color w:val="auto"/>
                      <w:spacing w:val="2"/>
                      <w:szCs w:val="21"/>
                      <w:lang w:val="en-US" w:eastAsia="zh-CN"/>
                    </w:rPr>
                    <w:t>40</w:t>
                  </w:r>
                  <w:r>
                    <w:rPr>
                      <w:color w:val="auto"/>
                      <w:spacing w:val="-1"/>
                      <w:szCs w:val="21"/>
                    </w:rPr>
                    <w:t>万</w:t>
                  </w:r>
                  <w:r>
                    <w:rPr>
                      <w:rFonts w:hint="eastAsia" w:ascii="Times New Roman" w:eastAsia="宋体"/>
                      <w:color w:val="auto"/>
                      <w:spacing w:val="-1"/>
                      <w:szCs w:val="21"/>
                      <w:lang w:val="en-US" w:eastAsia="zh-CN"/>
                    </w:rPr>
                    <w:t>只</w:t>
                  </w:r>
                </w:p>
              </w:tc>
              <w:tc>
                <w:tcPr>
                  <w:tcW w:w="1192" w:type="dxa"/>
                  <w:noWrap w:val="0"/>
                  <w:vAlign w:val="center"/>
                </w:tcPr>
                <w:p w14:paraId="621E5587">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olor w:val="auto"/>
                      <w:szCs w:val="21"/>
                      <w:lang w:eastAsia="zh-CN"/>
                    </w:rPr>
                  </w:pPr>
                  <w:r>
                    <w:rPr>
                      <w:rFonts w:hint="eastAsia"/>
                      <w:color w:val="auto"/>
                      <w:szCs w:val="21"/>
                      <w:lang w:val="en-US" w:eastAsia="zh-CN"/>
                    </w:rPr>
                    <w:t>0.1</w:t>
                  </w:r>
                  <w:r>
                    <w:rPr>
                      <w:rFonts w:hint="eastAsia"/>
                      <w:color w:val="auto"/>
                      <w:szCs w:val="21"/>
                    </w:rPr>
                    <w:t>m</w:t>
                  </w:r>
                  <w:r>
                    <w:rPr>
                      <w:rFonts w:hint="eastAsia"/>
                      <w:color w:val="auto"/>
                      <w:szCs w:val="21"/>
                      <w:vertAlign w:val="superscript"/>
                    </w:rPr>
                    <w:t>2</w:t>
                  </w:r>
                  <w:r>
                    <w:rPr>
                      <w:rFonts w:hint="eastAsia"/>
                      <w:color w:val="auto"/>
                      <w:szCs w:val="21"/>
                    </w:rPr>
                    <w:t>/</w:t>
                  </w:r>
                  <w:r>
                    <w:rPr>
                      <w:rFonts w:hint="eastAsia"/>
                      <w:color w:val="auto"/>
                      <w:szCs w:val="21"/>
                      <w:lang w:val="en-US" w:eastAsia="zh-CN"/>
                    </w:rPr>
                    <w:t>只（纸制品部分）</w:t>
                  </w:r>
                </w:p>
              </w:tc>
              <w:tc>
                <w:tcPr>
                  <w:tcW w:w="963" w:type="dxa"/>
                  <w:noWrap w:val="0"/>
                  <w:vAlign w:val="center"/>
                </w:tcPr>
                <w:p w14:paraId="054CC5F6">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lang w:val="en-US" w:eastAsia="zh-CN"/>
                    </w:rPr>
                    <w:t>95</w:t>
                  </w:r>
                  <w:r>
                    <w:rPr>
                      <w:color w:val="auto"/>
                      <w:szCs w:val="21"/>
                    </w:rPr>
                    <w:t>%</w:t>
                  </w:r>
                </w:p>
              </w:tc>
              <w:tc>
                <w:tcPr>
                  <w:tcW w:w="887" w:type="dxa"/>
                  <w:noWrap w:val="0"/>
                  <w:vAlign w:val="center"/>
                </w:tcPr>
                <w:p w14:paraId="6D55FF88">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lang w:val="en-US" w:eastAsia="zh-CN"/>
                    </w:rPr>
                    <w:t>5</w:t>
                  </w:r>
                  <w:r>
                    <w:rPr>
                      <w:color w:val="auto"/>
                      <w:szCs w:val="21"/>
                    </w:rPr>
                    <w:t>μm</w:t>
                  </w:r>
                </w:p>
              </w:tc>
              <w:tc>
                <w:tcPr>
                  <w:tcW w:w="1225" w:type="dxa"/>
                  <w:noWrap w:val="0"/>
                  <w:vAlign w:val="center"/>
                </w:tcPr>
                <w:p w14:paraId="5A256DAB">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rPr>
                  </w:pPr>
                  <w:r>
                    <w:rPr>
                      <w:rFonts w:hint="eastAsia"/>
                      <w:bCs/>
                      <w:color w:val="auto"/>
                      <w:szCs w:val="21"/>
                      <w:lang w:val="en-US" w:eastAsia="zh-CN"/>
                    </w:rPr>
                    <w:t>1.1</w:t>
                  </w:r>
                  <w:r>
                    <w:rPr>
                      <w:rFonts w:hint="eastAsia"/>
                      <w:bCs/>
                      <w:color w:val="auto"/>
                      <w:szCs w:val="21"/>
                    </w:rPr>
                    <w:t>g/cm</w:t>
                  </w:r>
                  <w:r>
                    <w:rPr>
                      <w:bCs/>
                      <w:color w:val="auto"/>
                      <w:szCs w:val="21"/>
                      <w:vertAlign w:val="superscript"/>
                    </w:rPr>
                    <w:t>3</w:t>
                  </w:r>
                </w:p>
              </w:tc>
              <w:tc>
                <w:tcPr>
                  <w:tcW w:w="1050" w:type="dxa"/>
                  <w:noWrap w:val="0"/>
                  <w:vAlign w:val="center"/>
                </w:tcPr>
                <w:p w14:paraId="29E6D505">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lang w:val="en-US" w:eastAsia="zh-CN"/>
                    </w:rPr>
                    <w:t>99.9</w:t>
                  </w:r>
                  <w:r>
                    <w:rPr>
                      <w:rFonts w:hint="eastAsia"/>
                      <w:color w:val="auto"/>
                      <w:szCs w:val="21"/>
                    </w:rPr>
                    <w:t>%</w:t>
                  </w:r>
                </w:p>
              </w:tc>
              <w:tc>
                <w:tcPr>
                  <w:tcW w:w="1339" w:type="dxa"/>
                  <w:noWrap w:val="0"/>
                  <w:vAlign w:val="center"/>
                </w:tcPr>
                <w:p w14:paraId="3D35E8C0">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Cs w:val="21"/>
                    </w:rPr>
                  </w:pPr>
                  <w:r>
                    <w:rPr>
                      <w:rFonts w:hint="eastAsia"/>
                      <w:color w:val="auto"/>
                      <w:szCs w:val="21"/>
                      <w:lang w:val="en-US" w:eastAsia="zh-CN"/>
                    </w:rPr>
                    <w:t>0.21</w:t>
                  </w:r>
                  <w:r>
                    <w:rPr>
                      <w:rFonts w:hint="eastAsia"/>
                      <w:color w:val="auto"/>
                      <w:szCs w:val="21"/>
                    </w:rPr>
                    <w:t>t/a</w:t>
                  </w:r>
                </w:p>
              </w:tc>
            </w:tr>
            <w:tr w14:paraId="137D12D1">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71" w:type="dxa"/>
                  <w:noWrap w:val="0"/>
                  <w:vAlign w:val="center"/>
                </w:tcPr>
                <w:p w14:paraId="66496DA0">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Cs w:val="21"/>
                    </w:rPr>
                  </w:pPr>
                  <w:r>
                    <w:rPr>
                      <w:rFonts w:hint="eastAsia"/>
                      <w:color w:val="auto"/>
                      <w:szCs w:val="21"/>
                      <w:lang w:val="en-US" w:eastAsia="zh-CN"/>
                    </w:rPr>
                    <w:t>木塑包装盒</w:t>
                  </w:r>
                </w:p>
              </w:tc>
              <w:tc>
                <w:tcPr>
                  <w:tcW w:w="1046" w:type="dxa"/>
                  <w:noWrap w:val="0"/>
                  <w:vAlign w:val="center"/>
                </w:tcPr>
                <w:p w14:paraId="692A2997">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olor w:val="auto"/>
                      <w:szCs w:val="21"/>
                      <w:lang w:eastAsia="zh-CN"/>
                    </w:rPr>
                  </w:pPr>
                  <w:r>
                    <w:rPr>
                      <w:rFonts w:hint="eastAsia"/>
                      <w:color w:val="auto"/>
                      <w:spacing w:val="2"/>
                      <w:szCs w:val="21"/>
                      <w:lang w:val="en-US" w:eastAsia="zh-CN"/>
                    </w:rPr>
                    <w:t>10</w:t>
                  </w:r>
                  <w:r>
                    <w:rPr>
                      <w:color w:val="auto"/>
                      <w:spacing w:val="2"/>
                      <w:szCs w:val="21"/>
                    </w:rPr>
                    <w:t>万</w:t>
                  </w:r>
                  <w:r>
                    <w:rPr>
                      <w:rFonts w:hint="eastAsia"/>
                      <w:color w:val="auto"/>
                      <w:spacing w:val="2"/>
                      <w:szCs w:val="21"/>
                      <w:lang w:val="en-US" w:eastAsia="zh-CN"/>
                    </w:rPr>
                    <w:t>只</w:t>
                  </w:r>
                </w:p>
              </w:tc>
              <w:tc>
                <w:tcPr>
                  <w:tcW w:w="1192" w:type="dxa"/>
                  <w:noWrap w:val="0"/>
                  <w:vAlign w:val="center"/>
                </w:tcPr>
                <w:p w14:paraId="62CE81F2">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olor w:val="auto"/>
                      <w:szCs w:val="21"/>
                      <w:lang w:val="en-US" w:eastAsia="zh-CN"/>
                    </w:rPr>
                  </w:pPr>
                  <w:r>
                    <w:rPr>
                      <w:rFonts w:hint="eastAsia"/>
                      <w:color w:val="auto"/>
                      <w:szCs w:val="21"/>
                      <w:lang w:val="en-US" w:eastAsia="zh-CN"/>
                    </w:rPr>
                    <w:t>0.002</w:t>
                  </w:r>
                  <w:r>
                    <w:rPr>
                      <w:rFonts w:hint="eastAsia"/>
                      <w:color w:val="auto"/>
                      <w:szCs w:val="21"/>
                    </w:rPr>
                    <w:t>m</w:t>
                  </w:r>
                  <w:r>
                    <w:rPr>
                      <w:rFonts w:hint="eastAsia"/>
                      <w:color w:val="auto"/>
                      <w:szCs w:val="21"/>
                      <w:vertAlign w:val="superscript"/>
                    </w:rPr>
                    <w:t>2</w:t>
                  </w:r>
                  <w:r>
                    <w:rPr>
                      <w:rFonts w:hint="eastAsia"/>
                      <w:color w:val="auto"/>
                      <w:szCs w:val="21"/>
                      <w:lang w:eastAsia="zh-CN"/>
                    </w:rPr>
                    <w:t>（</w:t>
                  </w:r>
                  <w:r>
                    <w:rPr>
                      <w:rFonts w:hint="eastAsia"/>
                      <w:color w:val="auto"/>
                      <w:szCs w:val="21"/>
                      <w:lang w:val="en-US" w:eastAsia="zh-CN"/>
                    </w:rPr>
                    <w:t>木制底座</w:t>
                  </w:r>
                  <w:r>
                    <w:rPr>
                      <w:rFonts w:hint="eastAsia"/>
                      <w:color w:val="auto"/>
                      <w:szCs w:val="21"/>
                      <w:lang w:eastAsia="zh-CN"/>
                    </w:rPr>
                    <w:t>）</w:t>
                  </w:r>
                </w:p>
              </w:tc>
              <w:tc>
                <w:tcPr>
                  <w:tcW w:w="963" w:type="dxa"/>
                  <w:noWrap w:val="0"/>
                  <w:vAlign w:val="center"/>
                </w:tcPr>
                <w:p w14:paraId="051B6932">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lang w:val="en-US" w:eastAsia="zh-CN"/>
                    </w:rPr>
                    <w:t>95</w:t>
                  </w:r>
                  <w:r>
                    <w:rPr>
                      <w:color w:val="auto"/>
                      <w:szCs w:val="21"/>
                    </w:rPr>
                    <w:t>%</w:t>
                  </w:r>
                </w:p>
              </w:tc>
              <w:tc>
                <w:tcPr>
                  <w:tcW w:w="887" w:type="dxa"/>
                  <w:noWrap w:val="0"/>
                  <w:vAlign w:val="center"/>
                </w:tcPr>
                <w:p w14:paraId="057C0330">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lang w:val="en-US" w:eastAsia="zh-CN"/>
                    </w:rPr>
                    <w:t>5</w:t>
                  </w:r>
                  <w:r>
                    <w:rPr>
                      <w:color w:val="auto"/>
                      <w:szCs w:val="21"/>
                    </w:rPr>
                    <w:t>μm</w:t>
                  </w:r>
                </w:p>
              </w:tc>
              <w:tc>
                <w:tcPr>
                  <w:tcW w:w="1225" w:type="dxa"/>
                  <w:noWrap w:val="0"/>
                  <w:vAlign w:val="center"/>
                </w:tcPr>
                <w:p w14:paraId="096E3217">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rPr>
                  </w:pPr>
                  <w:r>
                    <w:rPr>
                      <w:rFonts w:hint="eastAsia"/>
                      <w:bCs/>
                      <w:color w:val="auto"/>
                      <w:szCs w:val="21"/>
                      <w:lang w:val="en-US" w:eastAsia="zh-CN"/>
                    </w:rPr>
                    <w:t>1.1</w:t>
                  </w:r>
                  <w:r>
                    <w:rPr>
                      <w:rFonts w:hint="eastAsia"/>
                      <w:bCs/>
                      <w:color w:val="auto"/>
                      <w:szCs w:val="21"/>
                    </w:rPr>
                    <w:t>g/cm</w:t>
                  </w:r>
                  <w:r>
                    <w:rPr>
                      <w:bCs/>
                      <w:color w:val="auto"/>
                      <w:szCs w:val="21"/>
                      <w:vertAlign w:val="superscript"/>
                    </w:rPr>
                    <w:t>3</w:t>
                  </w:r>
                </w:p>
              </w:tc>
              <w:tc>
                <w:tcPr>
                  <w:tcW w:w="1050" w:type="dxa"/>
                  <w:noWrap w:val="0"/>
                  <w:vAlign w:val="center"/>
                </w:tcPr>
                <w:p w14:paraId="0A114C55">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lang w:val="en-US" w:eastAsia="zh-CN"/>
                    </w:rPr>
                    <w:t>99.9</w:t>
                  </w:r>
                  <w:r>
                    <w:rPr>
                      <w:rFonts w:hint="eastAsia"/>
                      <w:color w:val="auto"/>
                      <w:szCs w:val="21"/>
                    </w:rPr>
                    <w:t>%</w:t>
                  </w:r>
                </w:p>
              </w:tc>
              <w:tc>
                <w:tcPr>
                  <w:tcW w:w="1339" w:type="dxa"/>
                  <w:noWrap w:val="0"/>
                  <w:vAlign w:val="center"/>
                </w:tcPr>
                <w:p w14:paraId="618C9077">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Cs w:val="21"/>
                    </w:rPr>
                  </w:pPr>
                  <w:r>
                    <w:rPr>
                      <w:rFonts w:hint="eastAsia"/>
                      <w:color w:val="auto"/>
                      <w:szCs w:val="21"/>
                      <w:lang w:val="en-US" w:eastAsia="zh-CN"/>
                    </w:rPr>
                    <w:t>0.001</w:t>
                  </w:r>
                  <w:r>
                    <w:rPr>
                      <w:rFonts w:hint="eastAsia"/>
                      <w:color w:val="auto"/>
                      <w:szCs w:val="21"/>
                    </w:rPr>
                    <w:t>t/a</w:t>
                  </w:r>
                </w:p>
              </w:tc>
            </w:tr>
            <w:tr w14:paraId="2FEB7973">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71" w:type="dxa"/>
                  <w:noWrap w:val="0"/>
                  <w:vAlign w:val="center"/>
                </w:tcPr>
                <w:p w14:paraId="7B6F4FE2">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Cs w:val="21"/>
                    </w:rPr>
                  </w:pPr>
                  <w:r>
                    <w:rPr>
                      <w:rFonts w:hint="eastAsia"/>
                      <w:color w:val="auto"/>
                      <w:szCs w:val="21"/>
                    </w:rPr>
                    <w:t>合计</w:t>
                  </w:r>
                </w:p>
              </w:tc>
              <w:tc>
                <w:tcPr>
                  <w:tcW w:w="1046" w:type="dxa"/>
                  <w:noWrap w:val="0"/>
                  <w:vAlign w:val="center"/>
                </w:tcPr>
                <w:p w14:paraId="42B3F36C">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rPr>
                    <w:t>/</w:t>
                  </w:r>
                </w:p>
              </w:tc>
              <w:tc>
                <w:tcPr>
                  <w:tcW w:w="1192" w:type="dxa"/>
                  <w:noWrap w:val="0"/>
                  <w:vAlign w:val="center"/>
                </w:tcPr>
                <w:p w14:paraId="498C96D7">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Cs w:val="21"/>
                    </w:rPr>
                  </w:pPr>
                  <w:r>
                    <w:rPr>
                      <w:rFonts w:hint="eastAsia"/>
                      <w:color w:val="auto"/>
                      <w:szCs w:val="21"/>
                    </w:rPr>
                    <w:t>/</w:t>
                  </w:r>
                </w:p>
              </w:tc>
              <w:tc>
                <w:tcPr>
                  <w:tcW w:w="963" w:type="dxa"/>
                  <w:noWrap w:val="0"/>
                  <w:vAlign w:val="center"/>
                </w:tcPr>
                <w:p w14:paraId="617DF84D">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rPr>
                    <w:t>/</w:t>
                  </w:r>
                </w:p>
              </w:tc>
              <w:tc>
                <w:tcPr>
                  <w:tcW w:w="887" w:type="dxa"/>
                  <w:noWrap w:val="0"/>
                  <w:vAlign w:val="center"/>
                </w:tcPr>
                <w:p w14:paraId="6820647E">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rPr>
                    <w:t>/</w:t>
                  </w:r>
                </w:p>
              </w:tc>
              <w:tc>
                <w:tcPr>
                  <w:tcW w:w="1225" w:type="dxa"/>
                  <w:noWrap w:val="0"/>
                  <w:vAlign w:val="center"/>
                </w:tcPr>
                <w:p w14:paraId="6723EAAC">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rPr>
                    <w:t>/</w:t>
                  </w:r>
                </w:p>
              </w:tc>
              <w:tc>
                <w:tcPr>
                  <w:tcW w:w="1050" w:type="dxa"/>
                  <w:noWrap w:val="0"/>
                  <w:vAlign w:val="center"/>
                </w:tcPr>
                <w:p w14:paraId="580F8F65">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rPr>
                  </w:pPr>
                  <w:r>
                    <w:rPr>
                      <w:rFonts w:hint="eastAsia"/>
                      <w:color w:val="auto"/>
                      <w:szCs w:val="21"/>
                    </w:rPr>
                    <w:t>/</w:t>
                  </w:r>
                </w:p>
              </w:tc>
              <w:tc>
                <w:tcPr>
                  <w:tcW w:w="1339" w:type="dxa"/>
                  <w:noWrap w:val="0"/>
                  <w:vAlign w:val="center"/>
                </w:tcPr>
                <w:p w14:paraId="6ED1C73E">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Cs w:val="21"/>
                    </w:rPr>
                  </w:pPr>
                  <w:r>
                    <w:rPr>
                      <w:rFonts w:hint="eastAsia"/>
                      <w:color w:val="auto"/>
                      <w:szCs w:val="21"/>
                      <w:lang w:val="en-US" w:eastAsia="zh-CN"/>
                    </w:rPr>
                    <w:t>6.481</w:t>
                  </w:r>
                  <w:r>
                    <w:rPr>
                      <w:rFonts w:hint="eastAsia"/>
                      <w:color w:val="auto"/>
                      <w:szCs w:val="21"/>
                    </w:rPr>
                    <w:t>t/a</w:t>
                  </w:r>
                </w:p>
              </w:tc>
            </w:tr>
            <w:tr w14:paraId="5C70E0DD">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573" w:type="dxa"/>
                  <w:gridSpan w:val="8"/>
                  <w:shd w:val="clear" w:color="auto" w:fill="auto"/>
                  <w:noWrap w:val="0"/>
                  <w:vAlign w:val="center"/>
                </w:tcPr>
                <w:p w14:paraId="04613035">
                  <w:pPr>
                    <w:pStyle w:val="92"/>
                    <w:rPr>
                      <w:rFonts w:hint="eastAsia" w:ascii="微软雅黑" w:hAnsi="微软雅黑" w:eastAsia="微软雅黑" w:cs="微软雅黑"/>
                      <w:color w:val="auto"/>
                      <w:kern w:val="2"/>
                      <w:sz w:val="19"/>
                      <w:szCs w:val="21"/>
                      <w:lang w:val="en-US" w:eastAsia="zh-CN" w:bidi="ar-SA"/>
                    </w:rPr>
                  </w:pPr>
                  <w:r>
                    <w:rPr>
                      <w:rFonts w:hint="eastAsia" w:ascii="Times New Roman" w:hAnsi="Times New Roman" w:eastAsia="宋体" w:cs="Times New Roman"/>
                      <w:color w:val="auto"/>
                      <w:kern w:val="2"/>
                      <w:sz w:val="21"/>
                      <w:szCs w:val="21"/>
                      <w:lang w:val="en-US" w:eastAsia="zh-CN" w:bidi="ar-SA"/>
                    </w:rPr>
                    <w:t>备注：UV油墨的主要由为树脂、光引发剂、单体、颜料组成，在UV光引发树脂单体发生聚合固化，UV油墨固份含量通常接近100%，根据检测报告，本项目使用的UV油墨挥发性有机化合物（VOCs）含量低于0.1%的检出限值，本次评价按照99.9%固份含量核算原料用量。</w:t>
                  </w:r>
                </w:p>
              </w:tc>
            </w:tr>
          </w:tbl>
          <w:p w14:paraId="57A576E8">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表2-7 本项目光油用量核算</w:t>
            </w:r>
          </w:p>
          <w:tbl>
            <w:tblPr>
              <w:tblStyle w:val="25"/>
              <w:tblW w:w="8395" w:type="dxa"/>
              <w:tblInd w:w="0" w:type="dxa"/>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800"/>
              <w:gridCol w:w="1044"/>
              <w:gridCol w:w="933"/>
              <w:gridCol w:w="933"/>
              <w:gridCol w:w="908"/>
              <w:gridCol w:w="1193"/>
              <w:gridCol w:w="997"/>
              <w:gridCol w:w="1587"/>
            </w:tblGrid>
            <w:tr w14:paraId="51718B38">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476" w:type="pct"/>
                  <w:noWrap w:val="0"/>
                  <w:vAlign w:val="center"/>
                </w:tcPr>
                <w:p w14:paraId="60D0B057">
                  <w:pPr>
                    <w:pStyle w:val="101"/>
                    <w:rPr>
                      <w:b/>
                      <w:bCs/>
                      <w:color w:val="auto"/>
                      <w:szCs w:val="21"/>
                    </w:rPr>
                  </w:pPr>
                  <w:r>
                    <w:rPr>
                      <w:rFonts w:hint="eastAsia"/>
                      <w:b/>
                      <w:bCs/>
                      <w:color w:val="auto"/>
                      <w:szCs w:val="21"/>
                    </w:rPr>
                    <w:t>产品</w:t>
                  </w:r>
                </w:p>
              </w:tc>
              <w:tc>
                <w:tcPr>
                  <w:tcW w:w="621" w:type="pct"/>
                  <w:noWrap w:val="0"/>
                  <w:vAlign w:val="center"/>
                </w:tcPr>
                <w:p w14:paraId="57A86E08">
                  <w:pPr>
                    <w:pStyle w:val="101"/>
                    <w:rPr>
                      <w:b/>
                      <w:bCs/>
                      <w:color w:val="auto"/>
                      <w:szCs w:val="21"/>
                    </w:rPr>
                  </w:pPr>
                  <w:r>
                    <w:rPr>
                      <w:rFonts w:hint="eastAsia"/>
                      <w:b/>
                      <w:bCs/>
                      <w:color w:val="auto"/>
                      <w:szCs w:val="21"/>
                    </w:rPr>
                    <w:t>产能</w:t>
                  </w:r>
                </w:p>
              </w:tc>
              <w:tc>
                <w:tcPr>
                  <w:tcW w:w="555" w:type="pct"/>
                  <w:noWrap w:val="0"/>
                  <w:vAlign w:val="center"/>
                </w:tcPr>
                <w:p w14:paraId="106B55EA">
                  <w:pPr>
                    <w:pStyle w:val="101"/>
                    <w:rPr>
                      <w:rFonts w:hint="eastAsia"/>
                      <w:b/>
                      <w:bCs/>
                      <w:color w:val="auto"/>
                      <w:szCs w:val="21"/>
                    </w:rPr>
                  </w:pPr>
                  <w:r>
                    <w:rPr>
                      <w:rFonts w:hint="eastAsia"/>
                      <w:b/>
                      <w:bCs/>
                      <w:color w:val="auto"/>
                      <w:szCs w:val="21"/>
                    </w:rPr>
                    <w:t>平均印刷面积</w:t>
                  </w:r>
                </w:p>
              </w:tc>
              <w:tc>
                <w:tcPr>
                  <w:tcW w:w="555" w:type="pct"/>
                  <w:noWrap w:val="0"/>
                  <w:vAlign w:val="center"/>
                </w:tcPr>
                <w:p w14:paraId="30D88739">
                  <w:pPr>
                    <w:pStyle w:val="101"/>
                    <w:rPr>
                      <w:b/>
                      <w:bCs/>
                      <w:color w:val="auto"/>
                      <w:szCs w:val="21"/>
                    </w:rPr>
                  </w:pPr>
                  <w:r>
                    <w:rPr>
                      <w:rFonts w:hint="eastAsia"/>
                      <w:b/>
                      <w:bCs/>
                      <w:color w:val="auto"/>
                      <w:szCs w:val="21"/>
                    </w:rPr>
                    <w:t>产品上油率</w:t>
                  </w:r>
                </w:p>
              </w:tc>
              <w:tc>
                <w:tcPr>
                  <w:tcW w:w="540" w:type="pct"/>
                  <w:noWrap w:val="0"/>
                  <w:vAlign w:val="center"/>
                </w:tcPr>
                <w:p w14:paraId="0E761553">
                  <w:pPr>
                    <w:pStyle w:val="101"/>
                    <w:rPr>
                      <w:b/>
                      <w:bCs/>
                      <w:color w:val="auto"/>
                      <w:szCs w:val="21"/>
                    </w:rPr>
                  </w:pPr>
                  <w:r>
                    <w:rPr>
                      <w:rFonts w:hint="eastAsia"/>
                      <w:b/>
                      <w:bCs/>
                      <w:color w:val="auto"/>
                      <w:szCs w:val="21"/>
                    </w:rPr>
                    <w:t>上油厚度</w:t>
                  </w:r>
                </w:p>
              </w:tc>
              <w:tc>
                <w:tcPr>
                  <w:tcW w:w="710" w:type="pct"/>
                  <w:noWrap w:val="0"/>
                  <w:vAlign w:val="center"/>
                </w:tcPr>
                <w:p w14:paraId="34FBBCAB">
                  <w:pPr>
                    <w:pStyle w:val="101"/>
                    <w:rPr>
                      <w:b/>
                      <w:bCs/>
                      <w:color w:val="auto"/>
                      <w:szCs w:val="21"/>
                    </w:rPr>
                  </w:pPr>
                  <w:r>
                    <w:rPr>
                      <w:rFonts w:hint="eastAsia"/>
                      <w:b/>
                      <w:bCs/>
                      <w:color w:val="auto"/>
                      <w:szCs w:val="21"/>
                    </w:rPr>
                    <w:t>密度</w:t>
                  </w:r>
                </w:p>
              </w:tc>
              <w:tc>
                <w:tcPr>
                  <w:tcW w:w="593" w:type="pct"/>
                  <w:noWrap w:val="0"/>
                  <w:vAlign w:val="center"/>
                </w:tcPr>
                <w:p w14:paraId="6AC13700">
                  <w:pPr>
                    <w:pStyle w:val="101"/>
                    <w:rPr>
                      <w:b/>
                      <w:bCs/>
                      <w:color w:val="auto"/>
                      <w:szCs w:val="21"/>
                    </w:rPr>
                  </w:pPr>
                  <w:r>
                    <w:rPr>
                      <w:rFonts w:hint="eastAsia"/>
                      <w:b/>
                      <w:bCs/>
                      <w:color w:val="auto"/>
                      <w:szCs w:val="21"/>
                    </w:rPr>
                    <w:t>固分含量</w:t>
                  </w:r>
                </w:p>
              </w:tc>
              <w:tc>
                <w:tcPr>
                  <w:tcW w:w="945" w:type="pct"/>
                  <w:noWrap w:val="0"/>
                  <w:vAlign w:val="center"/>
                </w:tcPr>
                <w:p w14:paraId="25CE7834">
                  <w:pPr>
                    <w:pStyle w:val="101"/>
                    <w:rPr>
                      <w:b/>
                      <w:bCs/>
                      <w:color w:val="auto"/>
                      <w:szCs w:val="21"/>
                    </w:rPr>
                  </w:pPr>
                  <w:r>
                    <w:rPr>
                      <w:rFonts w:hint="eastAsia"/>
                      <w:b/>
                      <w:bCs/>
                      <w:color w:val="auto"/>
                      <w:szCs w:val="21"/>
                    </w:rPr>
                    <w:t>水性光油理论用量</w:t>
                  </w:r>
                </w:p>
              </w:tc>
            </w:tr>
            <w:tr w14:paraId="33DC8107">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476" w:type="pct"/>
                  <w:noWrap w:val="0"/>
                  <w:vAlign w:val="center"/>
                </w:tcPr>
                <w:p w14:paraId="063F6261">
                  <w:pPr>
                    <w:pStyle w:val="101"/>
                    <w:rPr>
                      <w:color w:val="auto"/>
                      <w:szCs w:val="21"/>
                    </w:rPr>
                  </w:pPr>
                  <w:r>
                    <w:rPr>
                      <w:rFonts w:hint="eastAsia"/>
                      <w:color w:val="auto"/>
                      <w:szCs w:val="21"/>
                    </w:rPr>
                    <w:t>局部上光</w:t>
                  </w:r>
                </w:p>
              </w:tc>
              <w:tc>
                <w:tcPr>
                  <w:tcW w:w="621" w:type="pct"/>
                  <w:noWrap w:val="0"/>
                  <w:vAlign w:val="center"/>
                </w:tcPr>
                <w:p w14:paraId="45EBF74B">
                  <w:pPr>
                    <w:pStyle w:val="101"/>
                    <w:rPr>
                      <w:rFonts w:hint="default"/>
                      <w:color w:val="auto"/>
                      <w:szCs w:val="21"/>
                      <w:lang w:val="en-US"/>
                    </w:rPr>
                  </w:pPr>
                  <w:r>
                    <w:rPr>
                      <w:rFonts w:hint="default"/>
                      <w:color w:val="auto"/>
                      <w:szCs w:val="21"/>
                      <w:lang w:val="en-US" w:eastAsia="zh-CN"/>
                    </w:rPr>
                    <w:t>酒类礼品包装盒</w:t>
                  </w:r>
                  <w:r>
                    <w:rPr>
                      <w:rFonts w:hint="eastAsia"/>
                      <w:color w:val="auto"/>
                      <w:spacing w:val="-1"/>
                      <w:szCs w:val="21"/>
                      <w:lang w:val="en-US" w:eastAsia="zh-CN"/>
                    </w:rPr>
                    <w:t>750</w:t>
                  </w:r>
                  <w:r>
                    <w:rPr>
                      <w:color w:val="auto"/>
                      <w:spacing w:val="-1"/>
                      <w:szCs w:val="21"/>
                    </w:rPr>
                    <w:t>万</w:t>
                  </w:r>
                  <w:r>
                    <w:rPr>
                      <w:rFonts w:hint="eastAsia"/>
                      <w:color w:val="auto"/>
                      <w:spacing w:val="-1"/>
                      <w:szCs w:val="21"/>
                      <w:lang w:val="en-US" w:eastAsia="zh-CN"/>
                    </w:rPr>
                    <w:t>只</w:t>
                  </w:r>
                </w:p>
              </w:tc>
              <w:tc>
                <w:tcPr>
                  <w:tcW w:w="555" w:type="pct"/>
                  <w:noWrap w:val="0"/>
                  <w:vAlign w:val="center"/>
                </w:tcPr>
                <w:p w14:paraId="7CD5A713">
                  <w:pPr>
                    <w:pStyle w:val="101"/>
                    <w:rPr>
                      <w:rFonts w:hint="eastAsia"/>
                      <w:color w:val="auto"/>
                      <w:szCs w:val="21"/>
                    </w:rPr>
                  </w:pPr>
                  <w:r>
                    <w:rPr>
                      <w:rFonts w:hint="eastAsia"/>
                      <w:color w:val="auto"/>
                      <w:szCs w:val="21"/>
                      <w:lang w:val="en-US" w:eastAsia="zh-CN"/>
                    </w:rPr>
                    <w:t>0.003</w:t>
                  </w:r>
                  <w:r>
                    <w:rPr>
                      <w:rFonts w:hint="eastAsia"/>
                      <w:color w:val="auto"/>
                      <w:szCs w:val="21"/>
                    </w:rPr>
                    <w:t>m</w:t>
                  </w:r>
                  <w:r>
                    <w:rPr>
                      <w:rFonts w:hint="eastAsia"/>
                      <w:color w:val="auto"/>
                      <w:szCs w:val="21"/>
                      <w:vertAlign w:val="superscript"/>
                    </w:rPr>
                    <w:t>2</w:t>
                  </w:r>
                  <w:r>
                    <w:rPr>
                      <w:rFonts w:hint="eastAsia"/>
                      <w:color w:val="auto"/>
                      <w:szCs w:val="21"/>
                    </w:rPr>
                    <w:t>/</w:t>
                  </w:r>
                  <w:r>
                    <w:rPr>
                      <w:rFonts w:hint="eastAsia"/>
                      <w:color w:val="auto"/>
                      <w:szCs w:val="21"/>
                      <w:lang w:val="en-US" w:eastAsia="zh-CN"/>
                    </w:rPr>
                    <w:t>只</w:t>
                  </w:r>
                </w:p>
              </w:tc>
              <w:tc>
                <w:tcPr>
                  <w:tcW w:w="555" w:type="pct"/>
                  <w:noWrap w:val="0"/>
                  <w:vAlign w:val="center"/>
                </w:tcPr>
                <w:p w14:paraId="106C8A51">
                  <w:pPr>
                    <w:pStyle w:val="101"/>
                    <w:rPr>
                      <w:color w:val="auto"/>
                      <w:szCs w:val="21"/>
                    </w:rPr>
                  </w:pPr>
                  <w:r>
                    <w:rPr>
                      <w:rFonts w:hint="eastAsia"/>
                      <w:color w:val="auto"/>
                      <w:szCs w:val="21"/>
                    </w:rPr>
                    <w:t>95</w:t>
                  </w:r>
                  <w:r>
                    <w:rPr>
                      <w:color w:val="auto"/>
                      <w:szCs w:val="21"/>
                    </w:rPr>
                    <w:t>%</w:t>
                  </w:r>
                </w:p>
              </w:tc>
              <w:tc>
                <w:tcPr>
                  <w:tcW w:w="540" w:type="pct"/>
                  <w:noWrap w:val="0"/>
                  <w:vAlign w:val="center"/>
                </w:tcPr>
                <w:p w14:paraId="06327765">
                  <w:pPr>
                    <w:pStyle w:val="101"/>
                    <w:rPr>
                      <w:color w:val="auto"/>
                      <w:szCs w:val="21"/>
                    </w:rPr>
                  </w:pPr>
                  <w:r>
                    <w:rPr>
                      <w:rFonts w:hint="eastAsia"/>
                      <w:color w:val="auto"/>
                      <w:szCs w:val="21"/>
                    </w:rPr>
                    <w:t>10</w:t>
                  </w:r>
                  <w:r>
                    <w:rPr>
                      <w:color w:val="auto"/>
                      <w:szCs w:val="21"/>
                    </w:rPr>
                    <w:t>μm</w:t>
                  </w:r>
                </w:p>
              </w:tc>
              <w:tc>
                <w:tcPr>
                  <w:tcW w:w="710" w:type="pct"/>
                  <w:noWrap w:val="0"/>
                  <w:vAlign w:val="center"/>
                </w:tcPr>
                <w:p w14:paraId="294F6C8C">
                  <w:pPr>
                    <w:pStyle w:val="101"/>
                    <w:rPr>
                      <w:color w:val="auto"/>
                      <w:szCs w:val="21"/>
                    </w:rPr>
                  </w:pPr>
                  <w:r>
                    <w:rPr>
                      <w:bCs/>
                      <w:color w:val="auto"/>
                      <w:szCs w:val="21"/>
                    </w:rPr>
                    <w:t>1.0</w:t>
                  </w:r>
                  <w:r>
                    <w:rPr>
                      <w:rFonts w:hint="eastAsia"/>
                      <w:bCs/>
                      <w:color w:val="auto"/>
                      <w:szCs w:val="21"/>
                    </w:rPr>
                    <w:t>3g/cm</w:t>
                  </w:r>
                  <w:r>
                    <w:rPr>
                      <w:bCs/>
                      <w:color w:val="auto"/>
                      <w:szCs w:val="21"/>
                      <w:vertAlign w:val="superscript"/>
                    </w:rPr>
                    <w:t>3</w:t>
                  </w:r>
                </w:p>
              </w:tc>
              <w:tc>
                <w:tcPr>
                  <w:tcW w:w="593" w:type="pct"/>
                  <w:noWrap w:val="0"/>
                  <w:vAlign w:val="center"/>
                </w:tcPr>
                <w:p w14:paraId="19BCF495">
                  <w:pPr>
                    <w:pStyle w:val="101"/>
                    <w:rPr>
                      <w:color w:val="auto"/>
                      <w:szCs w:val="21"/>
                    </w:rPr>
                  </w:pPr>
                  <w:r>
                    <w:rPr>
                      <w:rFonts w:hint="eastAsia"/>
                      <w:color w:val="auto"/>
                      <w:szCs w:val="21"/>
                    </w:rPr>
                    <w:t>3</w:t>
                  </w:r>
                  <w:r>
                    <w:rPr>
                      <w:color w:val="auto"/>
                      <w:szCs w:val="21"/>
                    </w:rPr>
                    <w:t>0%</w:t>
                  </w:r>
                </w:p>
              </w:tc>
              <w:tc>
                <w:tcPr>
                  <w:tcW w:w="945" w:type="pct"/>
                  <w:noWrap w:val="0"/>
                  <w:vAlign w:val="center"/>
                </w:tcPr>
                <w:p w14:paraId="6CF79C69">
                  <w:pPr>
                    <w:pStyle w:val="101"/>
                    <w:rPr>
                      <w:rFonts w:hint="eastAsia"/>
                      <w:color w:val="auto"/>
                      <w:szCs w:val="21"/>
                    </w:rPr>
                  </w:pPr>
                  <w:r>
                    <w:rPr>
                      <w:rFonts w:hint="eastAsia"/>
                      <w:color w:val="auto"/>
                      <w:szCs w:val="21"/>
                      <w:lang w:val="en-US" w:eastAsia="zh-CN"/>
                    </w:rPr>
                    <w:t>0.73</w:t>
                  </w:r>
                  <w:r>
                    <w:rPr>
                      <w:rFonts w:hint="eastAsia"/>
                      <w:color w:val="auto"/>
                      <w:szCs w:val="21"/>
                    </w:rPr>
                    <w:t>t/a</w:t>
                  </w:r>
                </w:p>
              </w:tc>
            </w:tr>
          </w:tbl>
          <w:p w14:paraId="5461BCF7">
            <w:pPr>
              <w:numPr>
                <w:ilvl w:val="0"/>
                <w:numId w:val="0"/>
              </w:numPr>
              <w:adjustRightInd w:val="0"/>
              <w:snapToGrid w:val="0"/>
              <w:spacing w:before="120" w:beforeLines="50"/>
              <w:ind w:left="425" w:leftChars="0"/>
              <w:jc w:val="center"/>
              <w:rPr>
                <w:b/>
                <w:bCs/>
                <w:color w:val="auto"/>
                <w:szCs w:val="21"/>
              </w:rPr>
            </w:pPr>
            <w:r>
              <w:rPr>
                <w:rFonts w:hint="eastAsia"/>
                <w:b/>
                <w:bCs/>
                <w:color w:val="auto"/>
                <w:szCs w:val="21"/>
                <w:lang w:val="en-US" w:eastAsia="zh-CN"/>
              </w:rPr>
              <w:t xml:space="preserve">表2-8 </w:t>
            </w:r>
            <w:r>
              <w:rPr>
                <w:rFonts w:hint="eastAsia"/>
                <w:b/>
                <w:bCs/>
                <w:color w:val="auto"/>
                <w:szCs w:val="21"/>
              </w:rPr>
              <w:t>本项目新增水性喷墨用量核算</w:t>
            </w:r>
            <w:r>
              <w:rPr>
                <w:b/>
                <w:bCs/>
                <w:color w:val="auto"/>
                <w:szCs w:val="21"/>
              </w:rPr>
              <w:t>表</w:t>
            </w:r>
          </w:p>
          <w:tbl>
            <w:tblPr>
              <w:tblStyle w:val="25"/>
              <w:tblW w:w="8409" w:type="dxa"/>
              <w:tblInd w:w="-54" w:type="dxa"/>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865"/>
              <w:gridCol w:w="1058"/>
              <w:gridCol w:w="945"/>
              <w:gridCol w:w="945"/>
              <w:gridCol w:w="920"/>
              <w:gridCol w:w="1209"/>
              <w:gridCol w:w="1258"/>
              <w:gridCol w:w="1209"/>
            </w:tblGrid>
            <w:tr w14:paraId="755799B1">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514" w:type="pct"/>
                  <w:noWrap w:val="0"/>
                  <w:vAlign w:val="center"/>
                </w:tcPr>
                <w:p w14:paraId="6CD9BDAA">
                  <w:pPr>
                    <w:pStyle w:val="101"/>
                    <w:rPr>
                      <w:b/>
                      <w:bCs/>
                      <w:color w:val="auto"/>
                      <w:szCs w:val="21"/>
                      <w:lang w:eastAsia="en-US"/>
                    </w:rPr>
                  </w:pPr>
                  <w:r>
                    <w:rPr>
                      <w:rFonts w:hint="eastAsia"/>
                      <w:b/>
                      <w:bCs/>
                      <w:color w:val="auto"/>
                      <w:szCs w:val="21"/>
                    </w:rPr>
                    <w:t>产品</w:t>
                  </w:r>
                </w:p>
              </w:tc>
              <w:tc>
                <w:tcPr>
                  <w:tcW w:w="629" w:type="pct"/>
                  <w:noWrap w:val="0"/>
                  <w:vAlign w:val="center"/>
                </w:tcPr>
                <w:p w14:paraId="032F5873">
                  <w:pPr>
                    <w:pStyle w:val="101"/>
                    <w:rPr>
                      <w:b/>
                      <w:bCs/>
                      <w:color w:val="auto"/>
                      <w:szCs w:val="21"/>
                    </w:rPr>
                  </w:pPr>
                  <w:r>
                    <w:rPr>
                      <w:rFonts w:hint="eastAsia"/>
                      <w:b/>
                      <w:bCs/>
                      <w:color w:val="auto"/>
                      <w:szCs w:val="21"/>
                    </w:rPr>
                    <w:t>产能</w:t>
                  </w:r>
                </w:p>
              </w:tc>
              <w:tc>
                <w:tcPr>
                  <w:tcW w:w="561" w:type="pct"/>
                  <w:noWrap w:val="0"/>
                  <w:vAlign w:val="center"/>
                </w:tcPr>
                <w:p w14:paraId="4E5FCC0C">
                  <w:pPr>
                    <w:pStyle w:val="101"/>
                    <w:rPr>
                      <w:rFonts w:hint="eastAsia"/>
                      <w:b/>
                      <w:bCs/>
                      <w:color w:val="auto"/>
                      <w:szCs w:val="21"/>
                    </w:rPr>
                  </w:pPr>
                  <w:r>
                    <w:rPr>
                      <w:rFonts w:hint="eastAsia"/>
                      <w:b/>
                      <w:bCs/>
                      <w:color w:val="auto"/>
                      <w:szCs w:val="21"/>
                    </w:rPr>
                    <w:t>平均印刷面积</w:t>
                  </w:r>
                </w:p>
              </w:tc>
              <w:tc>
                <w:tcPr>
                  <w:tcW w:w="561" w:type="pct"/>
                  <w:noWrap w:val="0"/>
                  <w:vAlign w:val="center"/>
                </w:tcPr>
                <w:p w14:paraId="3CEF4978">
                  <w:pPr>
                    <w:pStyle w:val="101"/>
                    <w:rPr>
                      <w:b/>
                      <w:bCs/>
                      <w:color w:val="auto"/>
                      <w:szCs w:val="21"/>
                    </w:rPr>
                  </w:pPr>
                  <w:r>
                    <w:rPr>
                      <w:rFonts w:hint="eastAsia"/>
                      <w:b/>
                      <w:bCs/>
                      <w:color w:val="auto"/>
                      <w:szCs w:val="21"/>
                    </w:rPr>
                    <w:t>油墨覆盖面积</w:t>
                  </w:r>
                </w:p>
              </w:tc>
              <w:tc>
                <w:tcPr>
                  <w:tcW w:w="547" w:type="pct"/>
                  <w:noWrap w:val="0"/>
                  <w:vAlign w:val="center"/>
                </w:tcPr>
                <w:p w14:paraId="4357C005">
                  <w:pPr>
                    <w:pStyle w:val="101"/>
                    <w:rPr>
                      <w:b/>
                      <w:bCs/>
                      <w:color w:val="auto"/>
                      <w:szCs w:val="21"/>
                    </w:rPr>
                  </w:pPr>
                  <w:r>
                    <w:rPr>
                      <w:rFonts w:hint="eastAsia"/>
                      <w:b/>
                      <w:bCs/>
                      <w:color w:val="auto"/>
                      <w:szCs w:val="21"/>
                    </w:rPr>
                    <w:t>印刷厚度</w:t>
                  </w:r>
                </w:p>
              </w:tc>
              <w:tc>
                <w:tcPr>
                  <w:tcW w:w="718" w:type="pct"/>
                  <w:noWrap w:val="0"/>
                  <w:vAlign w:val="center"/>
                </w:tcPr>
                <w:p w14:paraId="3AFAC731">
                  <w:pPr>
                    <w:pStyle w:val="101"/>
                    <w:rPr>
                      <w:b/>
                      <w:bCs/>
                      <w:color w:val="auto"/>
                      <w:szCs w:val="21"/>
                    </w:rPr>
                  </w:pPr>
                  <w:r>
                    <w:rPr>
                      <w:rFonts w:hint="eastAsia"/>
                      <w:b/>
                      <w:bCs/>
                      <w:color w:val="auto"/>
                      <w:szCs w:val="21"/>
                    </w:rPr>
                    <w:t>密度</w:t>
                  </w:r>
                </w:p>
              </w:tc>
              <w:tc>
                <w:tcPr>
                  <w:tcW w:w="748" w:type="pct"/>
                  <w:noWrap w:val="0"/>
                  <w:vAlign w:val="center"/>
                </w:tcPr>
                <w:p w14:paraId="023C4226">
                  <w:pPr>
                    <w:pStyle w:val="101"/>
                    <w:rPr>
                      <w:b/>
                      <w:bCs/>
                      <w:color w:val="auto"/>
                      <w:szCs w:val="21"/>
                    </w:rPr>
                  </w:pPr>
                  <w:r>
                    <w:rPr>
                      <w:rFonts w:hint="eastAsia"/>
                      <w:b/>
                      <w:bCs/>
                      <w:color w:val="auto"/>
                      <w:szCs w:val="21"/>
                    </w:rPr>
                    <w:t>油墨固分含量</w:t>
                  </w:r>
                </w:p>
              </w:tc>
              <w:tc>
                <w:tcPr>
                  <w:tcW w:w="718" w:type="pct"/>
                  <w:noWrap w:val="0"/>
                  <w:vAlign w:val="center"/>
                </w:tcPr>
                <w:p w14:paraId="42636AA4">
                  <w:pPr>
                    <w:pStyle w:val="101"/>
                    <w:rPr>
                      <w:b/>
                      <w:bCs/>
                      <w:color w:val="auto"/>
                      <w:szCs w:val="21"/>
                    </w:rPr>
                  </w:pPr>
                  <w:r>
                    <w:rPr>
                      <w:rFonts w:hint="eastAsia"/>
                      <w:b/>
                      <w:bCs/>
                      <w:color w:val="auto"/>
                      <w:szCs w:val="21"/>
                    </w:rPr>
                    <w:t>水性喷墨理论用量</w:t>
                  </w:r>
                </w:p>
              </w:tc>
            </w:tr>
            <w:tr w14:paraId="436845E3">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514" w:type="pct"/>
                  <w:noWrap w:val="0"/>
                  <w:vAlign w:val="center"/>
                </w:tcPr>
                <w:p w14:paraId="04513A30">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Cs w:val="21"/>
                    </w:rPr>
                  </w:pPr>
                  <w:r>
                    <w:rPr>
                      <w:rFonts w:hint="default"/>
                      <w:color w:val="auto"/>
                      <w:szCs w:val="21"/>
                      <w:lang w:val="en-US" w:eastAsia="zh-CN"/>
                    </w:rPr>
                    <w:t>酒类礼品包装盒</w:t>
                  </w:r>
                </w:p>
              </w:tc>
              <w:tc>
                <w:tcPr>
                  <w:tcW w:w="629" w:type="pct"/>
                  <w:noWrap w:val="0"/>
                  <w:vAlign w:val="center"/>
                </w:tcPr>
                <w:p w14:paraId="4A1912E5">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rPr>
                  </w:pPr>
                  <w:r>
                    <w:rPr>
                      <w:rFonts w:hint="eastAsia"/>
                      <w:color w:val="auto"/>
                      <w:spacing w:val="-1"/>
                      <w:szCs w:val="21"/>
                      <w:lang w:val="en-US" w:eastAsia="zh-CN"/>
                    </w:rPr>
                    <w:t>750</w:t>
                  </w:r>
                  <w:r>
                    <w:rPr>
                      <w:color w:val="auto"/>
                      <w:spacing w:val="-1"/>
                      <w:szCs w:val="21"/>
                    </w:rPr>
                    <w:t>万</w:t>
                  </w:r>
                  <w:r>
                    <w:rPr>
                      <w:rFonts w:hint="eastAsia"/>
                      <w:color w:val="auto"/>
                      <w:spacing w:val="-1"/>
                      <w:szCs w:val="21"/>
                      <w:lang w:val="en-US" w:eastAsia="zh-CN"/>
                    </w:rPr>
                    <w:t>只</w:t>
                  </w:r>
                </w:p>
              </w:tc>
              <w:tc>
                <w:tcPr>
                  <w:tcW w:w="561" w:type="pct"/>
                  <w:noWrap w:val="0"/>
                  <w:vAlign w:val="center"/>
                </w:tcPr>
                <w:p w14:paraId="7CD99058">
                  <w:pPr>
                    <w:pStyle w:val="101"/>
                    <w:rPr>
                      <w:rFonts w:hint="eastAsia"/>
                      <w:color w:val="auto"/>
                      <w:szCs w:val="21"/>
                    </w:rPr>
                  </w:pPr>
                  <w:r>
                    <w:rPr>
                      <w:rFonts w:hint="eastAsia"/>
                      <w:color w:val="auto"/>
                      <w:szCs w:val="21"/>
                      <w:lang w:val="en-US" w:eastAsia="zh-CN"/>
                    </w:rPr>
                    <w:t>0.0016</w:t>
                  </w:r>
                  <w:r>
                    <w:rPr>
                      <w:rFonts w:hint="eastAsia"/>
                      <w:color w:val="auto"/>
                      <w:szCs w:val="21"/>
                    </w:rPr>
                    <w:t>m</w:t>
                  </w:r>
                  <w:r>
                    <w:rPr>
                      <w:rFonts w:hint="eastAsia"/>
                      <w:color w:val="auto"/>
                      <w:szCs w:val="21"/>
                      <w:vertAlign w:val="superscript"/>
                    </w:rPr>
                    <w:t>2</w:t>
                  </w:r>
                  <w:r>
                    <w:rPr>
                      <w:rFonts w:hint="eastAsia"/>
                      <w:color w:val="auto"/>
                      <w:szCs w:val="21"/>
                    </w:rPr>
                    <w:t>/</w:t>
                  </w:r>
                  <w:r>
                    <w:rPr>
                      <w:rFonts w:hint="eastAsia"/>
                      <w:color w:val="auto"/>
                      <w:szCs w:val="21"/>
                      <w:lang w:val="en-US" w:eastAsia="zh-CN"/>
                    </w:rPr>
                    <w:t>只</w:t>
                  </w:r>
                </w:p>
              </w:tc>
              <w:tc>
                <w:tcPr>
                  <w:tcW w:w="561" w:type="pct"/>
                  <w:noWrap w:val="0"/>
                  <w:vAlign w:val="center"/>
                </w:tcPr>
                <w:p w14:paraId="133C3A75">
                  <w:pPr>
                    <w:pStyle w:val="101"/>
                    <w:rPr>
                      <w:color w:val="auto"/>
                      <w:szCs w:val="21"/>
                    </w:rPr>
                  </w:pPr>
                  <w:r>
                    <w:rPr>
                      <w:rFonts w:hint="eastAsia"/>
                      <w:color w:val="auto"/>
                      <w:szCs w:val="21"/>
                      <w:lang w:val="en-US" w:eastAsia="zh-CN"/>
                    </w:rPr>
                    <w:t>50</w:t>
                  </w:r>
                  <w:r>
                    <w:rPr>
                      <w:color w:val="auto"/>
                      <w:szCs w:val="21"/>
                    </w:rPr>
                    <w:t>%</w:t>
                  </w:r>
                </w:p>
              </w:tc>
              <w:tc>
                <w:tcPr>
                  <w:tcW w:w="547" w:type="pct"/>
                  <w:noWrap w:val="0"/>
                  <w:vAlign w:val="center"/>
                </w:tcPr>
                <w:p w14:paraId="5C204285">
                  <w:pPr>
                    <w:pStyle w:val="101"/>
                    <w:rPr>
                      <w:color w:val="auto"/>
                      <w:szCs w:val="21"/>
                    </w:rPr>
                  </w:pPr>
                  <w:r>
                    <w:rPr>
                      <w:rFonts w:hint="eastAsia"/>
                      <w:color w:val="auto"/>
                      <w:szCs w:val="21"/>
                      <w:lang w:val="en-US" w:eastAsia="zh-CN"/>
                    </w:rPr>
                    <w:t>5</w:t>
                  </w:r>
                  <w:r>
                    <w:rPr>
                      <w:color w:val="auto"/>
                      <w:szCs w:val="21"/>
                    </w:rPr>
                    <w:t>μm</w:t>
                  </w:r>
                </w:p>
              </w:tc>
              <w:tc>
                <w:tcPr>
                  <w:tcW w:w="718" w:type="pct"/>
                  <w:noWrap w:val="0"/>
                  <w:vAlign w:val="center"/>
                </w:tcPr>
                <w:p w14:paraId="42806CDA">
                  <w:pPr>
                    <w:pStyle w:val="101"/>
                    <w:rPr>
                      <w:color w:val="auto"/>
                      <w:szCs w:val="21"/>
                    </w:rPr>
                  </w:pPr>
                  <w:r>
                    <w:rPr>
                      <w:bCs/>
                      <w:color w:val="auto"/>
                      <w:szCs w:val="21"/>
                    </w:rPr>
                    <w:t>1.</w:t>
                  </w:r>
                  <w:r>
                    <w:rPr>
                      <w:rFonts w:hint="eastAsia"/>
                      <w:bCs/>
                      <w:color w:val="auto"/>
                      <w:szCs w:val="21"/>
                    </w:rPr>
                    <w:t>16g/cm</w:t>
                  </w:r>
                  <w:r>
                    <w:rPr>
                      <w:bCs/>
                      <w:color w:val="auto"/>
                      <w:szCs w:val="21"/>
                      <w:vertAlign w:val="superscript"/>
                    </w:rPr>
                    <w:t>3</w:t>
                  </w:r>
                </w:p>
              </w:tc>
              <w:tc>
                <w:tcPr>
                  <w:tcW w:w="748" w:type="pct"/>
                  <w:noWrap w:val="0"/>
                  <w:vAlign w:val="center"/>
                </w:tcPr>
                <w:p w14:paraId="0301CD0F">
                  <w:pPr>
                    <w:pStyle w:val="101"/>
                    <w:rPr>
                      <w:rFonts w:hint="eastAsia"/>
                      <w:color w:val="auto"/>
                      <w:szCs w:val="21"/>
                    </w:rPr>
                  </w:pPr>
                  <w:r>
                    <w:rPr>
                      <w:rFonts w:hint="eastAsia"/>
                      <w:color w:val="auto"/>
                      <w:szCs w:val="21"/>
                    </w:rPr>
                    <w:t>50%</w:t>
                  </w:r>
                </w:p>
              </w:tc>
              <w:tc>
                <w:tcPr>
                  <w:tcW w:w="718" w:type="pct"/>
                  <w:noWrap w:val="0"/>
                  <w:vAlign w:val="center"/>
                </w:tcPr>
                <w:p w14:paraId="02D1358C">
                  <w:pPr>
                    <w:pStyle w:val="101"/>
                    <w:rPr>
                      <w:rFonts w:hint="eastAsia"/>
                      <w:color w:val="auto"/>
                      <w:szCs w:val="21"/>
                    </w:rPr>
                  </w:pPr>
                  <w:r>
                    <w:rPr>
                      <w:rFonts w:hint="eastAsia"/>
                      <w:color w:val="auto"/>
                      <w:szCs w:val="21"/>
                    </w:rPr>
                    <w:t>0.</w:t>
                  </w:r>
                  <w:r>
                    <w:rPr>
                      <w:rFonts w:hint="eastAsia"/>
                      <w:color w:val="auto"/>
                      <w:szCs w:val="21"/>
                      <w:lang w:val="en-US" w:eastAsia="zh-CN"/>
                    </w:rPr>
                    <w:t>07</w:t>
                  </w:r>
                  <w:r>
                    <w:rPr>
                      <w:rFonts w:hint="eastAsia"/>
                      <w:color w:val="auto"/>
                      <w:szCs w:val="21"/>
                    </w:rPr>
                    <w:t>t/a</w:t>
                  </w:r>
                </w:p>
              </w:tc>
            </w:tr>
            <w:tr w14:paraId="7CFADFA8">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514" w:type="pct"/>
                  <w:tcBorders>
                    <w:bottom w:val="single" w:color="auto" w:sz="4" w:space="0"/>
                  </w:tcBorders>
                  <w:noWrap w:val="0"/>
                  <w:vAlign w:val="center"/>
                </w:tcPr>
                <w:p w14:paraId="2CDA475A">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Cs w:val="21"/>
                    </w:rPr>
                  </w:pPr>
                  <w:r>
                    <w:rPr>
                      <w:rFonts w:hint="eastAsia"/>
                      <w:color w:val="auto"/>
                      <w:szCs w:val="21"/>
                      <w:lang w:val="en-US" w:eastAsia="zh-CN"/>
                    </w:rPr>
                    <w:t>塑纸包装盒</w:t>
                  </w:r>
                </w:p>
              </w:tc>
              <w:tc>
                <w:tcPr>
                  <w:tcW w:w="629" w:type="pct"/>
                  <w:tcBorders>
                    <w:bottom w:val="single" w:color="auto" w:sz="4" w:space="0"/>
                  </w:tcBorders>
                  <w:noWrap w:val="0"/>
                  <w:vAlign w:val="center"/>
                </w:tcPr>
                <w:p w14:paraId="4ECE09B2">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pacing w:val="4"/>
                      <w:szCs w:val="21"/>
                    </w:rPr>
                  </w:pPr>
                  <w:r>
                    <w:rPr>
                      <w:rFonts w:hint="eastAsia"/>
                      <w:color w:val="auto"/>
                      <w:spacing w:val="2"/>
                      <w:szCs w:val="21"/>
                      <w:lang w:val="en-US" w:eastAsia="zh-CN"/>
                    </w:rPr>
                    <w:t>40</w:t>
                  </w:r>
                  <w:r>
                    <w:rPr>
                      <w:color w:val="auto"/>
                      <w:spacing w:val="-1"/>
                      <w:szCs w:val="21"/>
                    </w:rPr>
                    <w:t>万</w:t>
                  </w:r>
                  <w:r>
                    <w:rPr>
                      <w:rFonts w:hint="eastAsia" w:ascii="Times New Roman" w:eastAsia="宋体"/>
                      <w:color w:val="auto"/>
                      <w:spacing w:val="-1"/>
                      <w:szCs w:val="21"/>
                      <w:lang w:val="en-US" w:eastAsia="zh-CN"/>
                    </w:rPr>
                    <w:t>只</w:t>
                  </w:r>
                </w:p>
              </w:tc>
              <w:tc>
                <w:tcPr>
                  <w:tcW w:w="561" w:type="pct"/>
                  <w:tcBorders>
                    <w:bottom w:val="single" w:color="auto" w:sz="4" w:space="0"/>
                  </w:tcBorders>
                  <w:noWrap w:val="0"/>
                  <w:vAlign w:val="center"/>
                </w:tcPr>
                <w:p w14:paraId="40FEF9FF">
                  <w:pPr>
                    <w:pStyle w:val="101"/>
                    <w:rPr>
                      <w:rFonts w:hint="eastAsia"/>
                      <w:color w:val="auto"/>
                      <w:szCs w:val="21"/>
                    </w:rPr>
                  </w:pPr>
                  <w:r>
                    <w:rPr>
                      <w:rFonts w:hint="eastAsia"/>
                      <w:color w:val="auto"/>
                      <w:szCs w:val="21"/>
                      <w:lang w:val="en-US" w:eastAsia="zh-CN"/>
                    </w:rPr>
                    <w:t>0.0016</w:t>
                  </w:r>
                  <w:r>
                    <w:rPr>
                      <w:rFonts w:hint="eastAsia"/>
                      <w:color w:val="auto"/>
                      <w:szCs w:val="21"/>
                    </w:rPr>
                    <w:t>m</w:t>
                  </w:r>
                  <w:r>
                    <w:rPr>
                      <w:rFonts w:hint="eastAsia"/>
                      <w:color w:val="auto"/>
                      <w:szCs w:val="21"/>
                      <w:vertAlign w:val="superscript"/>
                    </w:rPr>
                    <w:t>2</w:t>
                  </w:r>
                  <w:r>
                    <w:rPr>
                      <w:rFonts w:hint="eastAsia"/>
                      <w:color w:val="auto"/>
                      <w:szCs w:val="21"/>
                    </w:rPr>
                    <w:t>/</w:t>
                  </w:r>
                  <w:r>
                    <w:rPr>
                      <w:rFonts w:hint="eastAsia"/>
                      <w:color w:val="auto"/>
                      <w:szCs w:val="21"/>
                      <w:lang w:val="en-US" w:eastAsia="zh-CN"/>
                    </w:rPr>
                    <w:t>只</w:t>
                  </w:r>
                </w:p>
              </w:tc>
              <w:tc>
                <w:tcPr>
                  <w:tcW w:w="561" w:type="pct"/>
                  <w:tcBorders>
                    <w:bottom w:val="single" w:color="auto" w:sz="4" w:space="0"/>
                  </w:tcBorders>
                  <w:noWrap w:val="0"/>
                  <w:vAlign w:val="center"/>
                </w:tcPr>
                <w:p w14:paraId="1D643673">
                  <w:pPr>
                    <w:pStyle w:val="101"/>
                    <w:rPr>
                      <w:rFonts w:hint="eastAsia"/>
                      <w:color w:val="auto"/>
                      <w:szCs w:val="21"/>
                    </w:rPr>
                  </w:pPr>
                  <w:r>
                    <w:rPr>
                      <w:rFonts w:hint="eastAsia"/>
                      <w:color w:val="auto"/>
                      <w:szCs w:val="21"/>
                      <w:lang w:val="en-US" w:eastAsia="zh-CN"/>
                    </w:rPr>
                    <w:t>50</w:t>
                  </w:r>
                  <w:r>
                    <w:rPr>
                      <w:color w:val="auto"/>
                      <w:szCs w:val="21"/>
                    </w:rPr>
                    <w:t>%</w:t>
                  </w:r>
                </w:p>
              </w:tc>
              <w:tc>
                <w:tcPr>
                  <w:tcW w:w="547" w:type="pct"/>
                  <w:tcBorders>
                    <w:bottom w:val="single" w:color="auto" w:sz="4" w:space="0"/>
                  </w:tcBorders>
                  <w:noWrap w:val="0"/>
                  <w:vAlign w:val="center"/>
                </w:tcPr>
                <w:p w14:paraId="23859205">
                  <w:pPr>
                    <w:pStyle w:val="101"/>
                    <w:rPr>
                      <w:rFonts w:hint="eastAsia"/>
                      <w:color w:val="auto"/>
                      <w:szCs w:val="21"/>
                    </w:rPr>
                  </w:pPr>
                  <w:r>
                    <w:rPr>
                      <w:rFonts w:hint="eastAsia"/>
                      <w:color w:val="auto"/>
                      <w:szCs w:val="21"/>
                      <w:lang w:val="en-US" w:eastAsia="zh-CN"/>
                    </w:rPr>
                    <w:t>5</w:t>
                  </w:r>
                  <w:r>
                    <w:rPr>
                      <w:color w:val="auto"/>
                      <w:szCs w:val="21"/>
                    </w:rPr>
                    <w:t>μm</w:t>
                  </w:r>
                </w:p>
              </w:tc>
              <w:tc>
                <w:tcPr>
                  <w:tcW w:w="718" w:type="pct"/>
                  <w:tcBorders>
                    <w:bottom w:val="single" w:color="auto" w:sz="4" w:space="0"/>
                  </w:tcBorders>
                  <w:noWrap w:val="0"/>
                  <w:vAlign w:val="center"/>
                </w:tcPr>
                <w:p w14:paraId="112CC4F8">
                  <w:pPr>
                    <w:pStyle w:val="101"/>
                    <w:rPr>
                      <w:bCs/>
                      <w:color w:val="auto"/>
                      <w:szCs w:val="21"/>
                    </w:rPr>
                  </w:pPr>
                  <w:r>
                    <w:rPr>
                      <w:bCs/>
                      <w:color w:val="auto"/>
                      <w:szCs w:val="21"/>
                    </w:rPr>
                    <w:t>1.</w:t>
                  </w:r>
                  <w:r>
                    <w:rPr>
                      <w:rFonts w:hint="eastAsia"/>
                      <w:bCs/>
                      <w:color w:val="auto"/>
                      <w:szCs w:val="21"/>
                    </w:rPr>
                    <w:t>16g/cm</w:t>
                  </w:r>
                  <w:r>
                    <w:rPr>
                      <w:bCs/>
                      <w:color w:val="auto"/>
                      <w:szCs w:val="21"/>
                      <w:vertAlign w:val="superscript"/>
                    </w:rPr>
                    <w:t>3</w:t>
                  </w:r>
                </w:p>
              </w:tc>
              <w:tc>
                <w:tcPr>
                  <w:tcW w:w="748" w:type="pct"/>
                  <w:tcBorders>
                    <w:bottom w:val="single" w:color="auto" w:sz="4" w:space="0"/>
                  </w:tcBorders>
                  <w:noWrap w:val="0"/>
                  <w:vAlign w:val="center"/>
                </w:tcPr>
                <w:p w14:paraId="6294FD5B">
                  <w:pPr>
                    <w:pStyle w:val="101"/>
                    <w:rPr>
                      <w:rFonts w:hint="eastAsia"/>
                      <w:color w:val="auto"/>
                      <w:szCs w:val="21"/>
                    </w:rPr>
                  </w:pPr>
                  <w:r>
                    <w:rPr>
                      <w:rFonts w:hint="eastAsia"/>
                      <w:color w:val="auto"/>
                      <w:szCs w:val="21"/>
                    </w:rPr>
                    <w:t>50%</w:t>
                  </w:r>
                </w:p>
              </w:tc>
              <w:tc>
                <w:tcPr>
                  <w:tcW w:w="718" w:type="pct"/>
                  <w:tcBorders>
                    <w:bottom w:val="single" w:color="auto" w:sz="4" w:space="0"/>
                  </w:tcBorders>
                  <w:noWrap w:val="0"/>
                  <w:vAlign w:val="center"/>
                </w:tcPr>
                <w:p w14:paraId="33277945">
                  <w:pPr>
                    <w:pStyle w:val="101"/>
                    <w:rPr>
                      <w:rFonts w:hint="default" w:eastAsia="宋体"/>
                      <w:color w:val="auto"/>
                      <w:szCs w:val="21"/>
                      <w:lang w:val="en-US" w:eastAsia="zh-CN"/>
                    </w:rPr>
                  </w:pPr>
                  <w:r>
                    <w:rPr>
                      <w:rFonts w:hint="eastAsia"/>
                      <w:color w:val="auto"/>
                      <w:szCs w:val="21"/>
                      <w:lang w:val="en-US" w:eastAsia="zh-CN"/>
                    </w:rPr>
                    <w:t>0.004</w:t>
                  </w:r>
                  <w:r>
                    <w:rPr>
                      <w:rFonts w:hint="eastAsia"/>
                      <w:color w:val="auto"/>
                      <w:szCs w:val="21"/>
                    </w:rPr>
                    <w:t>t/a</w:t>
                  </w:r>
                </w:p>
              </w:tc>
            </w:tr>
            <w:tr w14:paraId="4BFBE255">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58" w:hRule="atLeast"/>
              </w:trPr>
              <w:tc>
                <w:tcPr>
                  <w:tcW w:w="514" w:type="pct"/>
                  <w:tcBorders>
                    <w:top w:val="single" w:color="auto" w:sz="4" w:space="0"/>
                  </w:tcBorders>
                  <w:noWrap w:val="0"/>
                  <w:vAlign w:val="center"/>
                </w:tcPr>
                <w:p w14:paraId="06ED52CF">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Cs w:val="21"/>
                      <w:lang w:val="en-US" w:eastAsia="zh-CN"/>
                    </w:rPr>
                  </w:pPr>
                  <w:r>
                    <w:rPr>
                      <w:rFonts w:hint="eastAsia"/>
                      <w:color w:val="auto"/>
                      <w:szCs w:val="21"/>
                    </w:rPr>
                    <w:t>合计</w:t>
                  </w:r>
                </w:p>
              </w:tc>
              <w:tc>
                <w:tcPr>
                  <w:tcW w:w="629" w:type="pct"/>
                  <w:tcBorders>
                    <w:top w:val="single" w:color="auto" w:sz="4" w:space="0"/>
                  </w:tcBorders>
                  <w:noWrap w:val="0"/>
                  <w:vAlign w:val="center"/>
                </w:tcPr>
                <w:p w14:paraId="265201C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pacing w:val="2"/>
                      <w:szCs w:val="21"/>
                      <w:lang w:val="en-US" w:eastAsia="zh-CN"/>
                    </w:rPr>
                  </w:pPr>
                  <w:r>
                    <w:rPr>
                      <w:rFonts w:hint="eastAsia"/>
                      <w:color w:val="auto"/>
                      <w:szCs w:val="21"/>
                    </w:rPr>
                    <w:t>/</w:t>
                  </w:r>
                </w:p>
              </w:tc>
              <w:tc>
                <w:tcPr>
                  <w:tcW w:w="561" w:type="pct"/>
                  <w:tcBorders>
                    <w:top w:val="single" w:color="auto" w:sz="4" w:space="0"/>
                  </w:tcBorders>
                  <w:noWrap w:val="0"/>
                  <w:vAlign w:val="center"/>
                </w:tcPr>
                <w:p w14:paraId="13C5DD25">
                  <w:pPr>
                    <w:jc w:val="center"/>
                    <w:rPr>
                      <w:rFonts w:hint="eastAsia"/>
                      <w:color w:val="auto"/>
                      <w:szCs w:val="21"/>
                      <w:lang w:val="en-US" w:eastAsia="zh-CN"/>
                    </w:rPr>
                  </w:pPr>
                  <w:r>
                    <w:rPr>
                      <w:rFonts w:hint="eastAsia"/>
                      <w:color w:val="auto"/>
                      <w:szCs w:val="21"/>
                    </w:rPr>
                    <w:t>/</w:t>
                  </w:r>
                </w:p>
              </w:tc>
              <w:tc>
                <w:tcPr>
                  <w:tcW w:w="561" w:type="pct"/>
                  <w:tcBorders>
                    <w:top w:val="single" w:color="auto" w:sz="4" w:space="0"/>
                  </w:tcBorders>
                  <w:noWrap w:val="0"/>
                  <w:vAlign w:val="center"/>
                </w:tcPr>
                <w:p w14:paraId="1DDE4B91">
                  <w:pPr>
                    <w:jc w:val="center"/>
                    <w:rPr>
                      <w:rFonts w:hint="eastAsia"/>
                      <w:color w:val="auto"/>
                      <w:szCs w:val="21"/>
                      <w:lang w:val="en-US" w:eastAsia="zh-CN"/>
                    </w:rPr>
                  </w:pPr>
                  <w:r>
                    <w:rPr>
                      <w:rFonts w:hint="eastAsia"/>
                      <w:color w:val="auto"/>
                      <w:szCs w:val="21"/>
                    </w:rPr>
                    <w:t>/</w:t>
                  </w:r>
                </w:p>
              </w:tc>
              <w:tc>
                <w:tcPr>
                  <w:tcW w:w="547" w:type="pct"/>
                  <w:tcBorders>
                    <w:top w:val="single" w:color="auto" w:sz="4" w:space="0"/>
                  </w:tcBorders>
                  <w:noWrap w:val="0"/>
                  <w:vAlign w:val="center"/>
                </w:tcPr>
                <w:p w14:paraId="04A1A73F">
                  <w:pPr>
                    <w:jc w:val="center"/>
                    <w:rPr>
                      <w:rFonts w:hint="eastAsia"/>
                      <w:color w:val="auto"/>
                      <w:szCs w:val="21"/>
                      <w:lang w:val="en-US" w:eastAsia="zh-CN"/>
                    </w:rPr>
                  </w:pPr>
                  <w:r>
                    <w:rPr>
                      <w:rFonts w:hint="eastAsia"/>
                      <w:color w:val="auto"/>
                      <w:szCs w:val="21"/>
                    </w:rPr>
                    <w:t>/</w:t>
                  </w:r>
                </w:p>
              </w:tc>
              <w:tc>
                <w:tcPr>
                  <w:tcW w:w="718" w:type="pct"/>
                  <w:tcBorders>
                    <w:top w:val="single" w:color="auto" w:sz="4" w:space="0"/>
                  </w:tcBorders>
                  <w:noWrap w:val="0"/>
                  <w:vAlign w:val="center"/>
                </w:tcPr>
                <w:p w14:paraId="77789A8B">
                  <w:pPr>
                    <w:jc w:val="center"/>
                    <w:rPr>
                      <w:bCs/>
                      <w:color w:val="auto"/>
                      <w:szCs w:val="21"/>
                    </w:rPr>
                  </w:pPr>
                  <w:r>
                    <w:rPr>
                      <w:rFonts w:hint="eastAsia"/>
                      <w:color w:val="auto"/>
                      <w:szCs w:val="21"/>
                    </w:rPr>
                    <w:t>/</w:t>
                  </w:r>
                </w:p>
              </w:tc>
              <w:tc>
                <w:tcPr>
                  <w:tcW w:w="748" w:type="pct"/>
                  <w:tcBorders>
                    <w:top w:val="single" w:color="auto" w:sz="4" w:space="0"/>
                  </w:tcBorders>
                  <w:noWrap w:val="0"/>
                  <w:vAlign w:val="center"/>
                </w:tcPr>
                <w:p w14:paraId="5626215E">
                  <w:pPr>
                    <w:jc w:val="center"/>
                    <w:rPr>
                      <w:rFonts w:hint="eastAsia"/>
                      <w:color w:val="auto"/>
                      <w:szCs w:val="21"/>
                    </w:rPr>
                  </w:pPr>
                  <w:r>
                    <w:rPr>
                      <w:rFonts w:hint="eastAsia"/>
                      <w:color w:val="auto"/>
                      <w:szCs w:val="21"/>
                    </w:rPr>
                    <w:t>/</w:t>
                  </w:r>
                </w:p>
              </w:tc>
              <w:tc>
                <w:tcPr>
                  <w:tcW w:w="718" w:type="pct"/>
                  <w:tcBorders>
                    <w:top w:val="single" w:color="auto" w:sz="4" w:space="0"/>
                  </w:tcBorders>
                  <w:noWrap w:val="0"/>
                  <w:vAlign w:val="center"/>
                </w:tcPr>
                <w:p w14:paraId="1268682C">
                  <w:pPr>
                    <w:pStyle w:val="101"/>
                    <w:rPr>
                      <w:rFonts w:hint="default"/>
                      <w:color w:val="auto"/>
                      <w:szCs w:val="21"/>
                      <w:lang w:val="en-US" w:eastAsia="zh-CN"/>
                    </w:rPr>
                  </w:pPr>
                  <w:r>
                    <w:rPr>
                      <w:rFonts w:hint="eastAsia"/>
                      <w:color w:val="auto"/>
                      <w:szCs w:val="21"/>
                      <w:lang w:val="en-US" w:eastAsia="zh-CN"/>
                    </w:rPr>
                    <w:t>0.074</w:t>
                  </w:r>
                  <w:r>
                    <w:rPr>
                      <w:rFonts w:hint="eastAsia"/>
                      <w:color w:val="auto"/>
                      <w:szCs w:val="21"/>
                    </w:rPr>
                    <w:t>t/a</w:t>
                  </w:r>
                </w:p>
              </w:tc>
            </w:tr>
            <w:tr w14:paraId="28AFB04D">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5000" w:type="pct"/>
                  <w:gridSpan w:val="8"/>
                  <w:noWrap w:val="0"/>
                  <w:vAlign w:val="center"/>
                </w:tcPr>
                <w:p w14:paraId="6404FD74">
                  <w:pPr>
                    <w:pStyle w:val="101"/>
                    <w:rPr>
                      <w:rFonts w:hint="default" w:eastAsia="宋体"/>
                      <w:color w:val="auto"/>
                      <w:szCs w:val="21"/>
                      <w:lang w:val="en-US" w:eastAsia="zh-CN"/>
                    </w:rPr>
                  </w:pPr>
                  <w:r>
                    <w:rPr>
                      <w:rFonts w:hint="eastAsia"/>
                      <w:color w:val="auto"/>
                      <w:szCs w:val="21"/>
                      <w:lang w:val="en-US" w:eastAsia="zh-CN"/>
                    </w:rPr>
                    <w:t>本项目</w:t>
                  </w:r>
                  <w:r>
                    <w:rPr>
                      <w:rFonts w:hint="default"/>
                      <w:color w:val="auto"/>
                      <w:szCs w:val="21"/>
                      <w:lang w:val="en-US" w:eastAsia="zh-CN"/>
                    </w:rPr>
                    <w:t>酒类礼品包装盒</w:t>
                  </w:r>
                  <w:r>
                    <w:rPr>
                      <w:rFonts w:hint="eastAsia"/>
                      <w:color w:val="auto"/>
                      <w:szCs w:val="21"/>
                      <w:lang w:val="en-US" w:eastAsia="zh-CN"/>
                    </w:rPr>
                    <w:t>、塑纸包装盒需要喷防伪二维码，需用到喷墨</w:t>
                  </w:r>
                </w:p>
              </w:tc>
            </w:tr>
          </w:tbl>
          <w:p w14:paraId="277F962F">
            <w:pPr>
              <w:adjustRightInd w:val="0"/>
              <w:snapToGrid w:val="0"/>
              <w:spacing w:line="360" w:lineRule="auto"/>
              <w:ind w:firstLine="482" w:firstLineChars="200"/>
              <w:rPr>
                <w:b/>
                <w:color w:val="auto"/>
                <w:sz w:val="24"/>
              </w:rPr>
            </w:pPr>
            <w:r>
              <w:rPr>
                <w:rFonts w:hint="eastAsia"/>
                <w:b/>
                <w:color w:val="auto"/>
                <w:sz w:val="24"/>
              </w:rPr>
              <w:t>②水性胶粘剂、水性覆膜胶</w:t>
            </w:r>
          </w:p>
          <w:p w14:paraId="54EA46D1">
            <w:pPr>
              <w:adjustRightInd w:val="0"/>
              <w:snapToGrid w:val="0"/>
              <w:spacing w:line="360" w:lineRule="auto"/>
              <w:ind w:firstLine="480" w:firstLineChars="200"/>
              <w:rPr>
                <w:rFonts w:hint="eastAsia"/>
                <w:bCs/>
                <w:color w:val="auto"/>
                <w:sz w:val="24"/>
              </w:rPr>
            </w:pPr>
            <w:r>
              <w:rPr>
                <w:rFonts w:hint="eastAsia"/>
                <w:bCs/>
                <w:color w:val="auto"/>
                <w:sz w:val="24"/>
              </w:rPr>
              <w:t>水性胶粘剂、水性覆膜胶的用量与粘贴面积、刷胶厚度等参数相关，水性胶粘剂、水性覆膜胶的用量核算见下表：</w:t>
            </w:r>
          </w:p>
          <w:p w14:paraId="6C6394D3">
            <w:pPr>
              <w:numPr>
                <w:ilvl w:val="0"/>
                <w:numId w:val="0"/>
              </w:numPr>
              <w:adjustRightInd w:val="0"/>
              <w:snapToGrid w:val="0"/>
              <w:jc w:val="center"/>
              <w:rPr>
                <w:b/>
                <w:bCs/>
                <w:color w:val="auto"/>
                <w:sz w:val="24"/>
                <w:highlight w:val="none"/>
              </w:rPr>
            </w:pPr>
            <w:r>
              <w:rPr>
                <w:rFonts w:hint="eastAsia"/>
                <w:b/>
                <w:bCs/>
                <w:color w:val="auto"/>
                <w:highlight w:val="none"/>
                <w:lang w:val="en-US" w:eastAsia="zh-CN"/>
              </w:rPr>
              <w:t xml:space="preserve">表2-9 </w:t>
            </w:r>
            <w:r>
              <w:rPr>
                <w:rFonts w:hint="eastAsia"/>
                <w:b/>
                <w:bCs/>
                <w:color w:val="auto"/>
                <w:highlight w:val="none"/>
              </w:rPr>
              <w:t>本项目新增水性胶粘剂用量核算</w:t>
            </w:r>
            <w:r>
              <w:rPr>
                <w:b/>
                <w:bCs/>
                <w:color w:val="auto"/>
                <w:highlight w:val="none"/>
              </w:rPr>
              <w:t>表</w:t>
            </w:r>
          </w:p>
          <w:tbl>
            <w:tblPr>
              <w:tblStyle w:val="25"/>
              <w:tblW w:w="8455" w:type="dxa"/>
              <w:tblInd w:w="0" w:type="dxa"/>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809"/>
              <w:gridCol w:w="1056"/>
              <w:gridCol w:w="1223"/>
              <w:gridCol w:w="1223"/>
              <w:gridCol w:w="1223"/>
              <w:gridCol w:w="1223"/>
              <w:gridCol w:w="1698"/>
            </w:tblGrid>
            <w:tr w14:paraId="4AEE8E52">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78" w:type="pct"/>
                  <w:noWrap w:val="0"/>
                  <w:vAlign w:val="center"/>
                </w:tcPr>
                <w:p w14:paraId="2826180D">
                  <w:pPr>
                    <w:pStyle w:val="101"/>
                    <w:rPr>
                      <w:b/>
                      <w:bCs/>
                      <w:color w:val="auto"/>
                      <w:szCs w:val="21"/>
                      <w:highlight w:val="none"/>
                      <w:lang w:eastAsia="en-US"/>
                    </w:rPr>
                  </w:pPr>
                  <w:r>
                    <w:rPr>
                      <w:rFonts w:hint="eastAsia"/>
                      <w:b/>
                      <w:bCs/>
                      <w:color w:val="auto"/>
                      <w:szCs w:val="21"/>
                      <w:highlight w:val="none"/>
                    </w:rPr>
                    <w:t>产品</w:t>
                  </w:r>
                </w:p>
              </w:tc>
              <w:tc>
                <w:tcPr>
                  <w:tcW w:w="624" w:type="pct"/>
                  <w:noWrap w:val="0"/>
                  <w:vAlign w:val="center"/>
                </w:tcPr>
                <w:p w14:paraId="608FBCFF">
                  <w:pPr>
                    <w:pStyle w:val="101"/>
                    <w:rPr>
                      <w:b/>
                      <w:bCs/>
                      <w:color w:val="auto"/>
                      <w:szCs w:val="21"/>
                      <w:highlight w:val="none"/>
                    </w:rPr>
                  </w:pPr>
                  <w:r>
                    <w:rPr>
                      <w:rFonts w:hint="eastAsia"/>
                      <w:b/>
                      <w:bCs/>
                      <w:color w:val="auto"/>
                      <w:szCs w:val="21"/>
                      <w:highlight w:val="none"/>
                    </w:rPr>
                    <w:t>产能</w:t>
                  </w:r>
                </w:p>
              </w:tc>
              <w:tc>
                <w:tcPr>
                  <w:tcW w:w="723" w:type="pct"/>
                  <w:noWrap w:val="0"/>
                  <w:vAlign w:val="center"/>
                </w:tcPr>
                <w:p w14:paraId="6A094A2A">
                  <w:pPr>
                    <w:pStyle w:val="101"/>
                    <w:rPr>
                      <w:rFonts w:hint="eastAsia"/>
                      <w:b/>
                      <w:bCs/>
                      <w:color w:val="auto"/>
                      <w:szCs w:val="21"/>
                      <w:highlight w:val="none"/>
                    </w:rPr>
                  </w:pPr>
                  <w:r>
                    <w:rPr>
                      <w:rFonts w:hint="eastAsia"/>
                      <w:b/>
                      <w:bCs/>
                      <w:color w:val="auto"/>
                      <w:szCs w:val="21"/>
                      <w:highlight w:val="none"/>
                    </w:rPr>
                    <w:t>纸张面积</w:t>
                  </w:r>
                </w:p>
              </w:tc>
              <w:tc>
                <w:tcPr>
                  <w:tcW w:w="723" w:type="pct"/>
                  <w:noWrap w:val="0"/>
                  <w:vAlign w:val="center"/>
                </w:tcPr>
                <w:p w14:paraId="36154DA6">
                  <w:pPr>
                    <w:pStyle w:val="101"/>
                    <w:rPr>
                      <w:b/>
                      <w:bCs/>
                      <w:color w:val="auto"/>
                      <w:szCs w:val="21"/>
                      <w:highlight w:val="none"/>
                    </w:rPr>
                  </w:pPr>
                  <w:r>
                    <w:rPr>
                      <w:rFonts w:hint="eastAsia"/>
                      <w:b/>
                      <w:bCs/>
                      <w:color w:val="auto"/>
                      <w:szCs w:val="21"/>
                      <w:highlight w:val="none"/>
                    </w:rPr>
                    <w:t>粘贴面积</w:t>
                  </w:r>
                </w:p>
              </w:tc>
              <w:tc>
                <w:tcPr>
                  <w:tcW w:w="723" w:type="pct"/>
                  <w:noWrap w:val="0"/>
                  <w:vAlign w:val="center"/>
                </w:tcPr>
                <w:p w14:paraId="6E0E3A5B">
                  <w:pPr>
                    <w:pStyle w:val="101"/>
                    <w:rPr>
                      <w:b/>
                      <w:bCs/>
                      <w:color w:val="auto"/>
                      <w:szCs w:val="21"/>
                      <w:highlight w:val="none"/>
                    </w:rPr>
                  </w:pPr>
                  <w:r>
                    <w:rPr>
                      <w:rFonts w:hint="eastAsia"/>
                      <w:b/>
                      <w:bCs/>
                      <w:color w:val="auto"/>
                      <w:szCs w:val="21"/>
                      <w:highlight w:val="none"/>
                    </w:rPr>
                    <w:t>刷胶厚度</w:t>
                  </w:r>
                </w:p>
              </w:tc>
              <w:tc>
                <w:tcPr>
                  <w:tcW w:w="723" w:type="pct"/>
                  <w:noWrap w:val="0"/>
                  <w:vAlign w:val="center"/>
                </w:tcPr>
                <w:p w14:paraId="7CE882C5">
                  <w:pPr>
                    <w:pStyle w:val="101"/>
                    <w:rPr>
                      <w:b/>
                      <w:bCs/>
                      <w:color w:val="auto"/>
                      <w:szCs w:val="21"/>
                      <w:highlight w:val="none"/>
                    </w:rPr>
                  </w:pPr>
                  <w:r>
                    <w:rPr>
                      <w:rFonts w:hint="eastAsia"/>
                      <w:b/>
                      <w:bCs/>
                      <w:color w:val="auto"/>
                      <w:szCs w:val="21"/>
                      <w:highlight w:val="none"/>
                    </w:rPr>
                    <w:t>密度</w:t>
                  </w:r>
                </w:p>
              </w:tc>
              <w:tc>
                <w:tcPr>
                  <w:tcW w:w="1004" w:type="pct"/>
                  <w:noWrap w:val="0"/>
                  <w:vAlign w:val="center"/>
                </w:tcPr>
                <w:p w14:paraId="46616839">
                  <w:pPr>
                    <w:pStyle w:val="101"/>
                    <w:rPr>
                      <w:b/>
                      <w:bCs/>
                      <w:color w:val="auto"/>
                      <w:szCs w:val="21"/>
                      <w:highlight w:val="none"/>
                    </w:rPr>
                  </w:pPr>
                  <w:r>
                    <w:rPr>
                      <w:rFonts w:hint="eastAsia"/>
                      <w:b/>
                      <w:bCs/>
                      <w:color w:val="auto"/>
                      <w:szCs w:val="21"/>
                      <w:highlight w:val="none"/>
                    </w:rPr>
                    <w:t>水性粘胶理论用量</w:t>
                  </w:r>
                </w:p>
              </w:tc>
            </w:tr>
            <w:tr w14:paraId="10076442">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88" w:hRule="atLeast"/>
              </w:trPr>
              <w:tc>
                <w:tcPr>
                  <w:tcW w:w="809" w:type="dxa"/>
                  <w:tcBorders>
                    <w:bottom w:val="single" w:color="auto" w:sz="4" w:space="0"/>
                  </w:tcBorders>
                  <w:noWrap w:val="0"/>
                  <w:vAlign w:val="center"/>
                </w:tcPr>
                <w:p w14:paraId="64624C03">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Cs w:val="21"/>
                      <w:highlight w:val="none"/>
                    </w:rPr>
                  </w:pPr>
                  <w:r>
                    <w:rPr>
                      <w:rFonts w:hint="default"/>
                      <w:color w:val="auto"/>
                      <w:szCs w:val="21"/>
                      <w:highlight w:val="none"/>
                      <w:lang w:val="en-US" w:eastAsia="zh-CN"/>
                    </w:rPr>
                    <w:t>酒类礼品包装盒</w:t>
                  </w:r>
                </w:p>
              </w:tc>
              <w:tc>
                <w:tcPr>
                  <w:tcW w:w="1056" w:type="dxa"/>
                  <w:tcBorders>
                    <w:bottom w:val="single" w:color="auto" w:sz="4" w:space="0"/>
                  </w:tcBorders>
                  <w:noWrap w:val="0"/>
                  <w:vAlign w:val="center"/>
                </w:tcPr>
                <w:p w14:paraId="2C7B115A">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pacing w:val="2"/>
                      <w:szCs w:val="21"/>
                      <w:highlight w:val="none"/>
                    </w:rPr>
                  </w:pPr>
                  <w:r>
                    <w:rPr>
                      <w:rFonts w:hint="eastAsia"/>
                      <w:color w:val="auto"/>
                      <w:spacing w:val="-1"/>
                      <w:szCs w:val="21"/>
                      <w:highlight w:val="none"/>
                      <w:lang w:val="en-US" w:eastAsia="zh-CN"/>
                    </w:rPr>
                    <w:t>750</w:t>
                  </w:r>
                  <w:r>
                    <w:rPr>
                      <w:color w:val="auto"/>
                      <w:spacing w:val="-1"/>
                      <w:szCs w:val="21"/>
                      <w:highlight w:val="none"/>
                    </w:rPr>
                    <w:t>万</w:t>
                  </w:r>
                  <w:r>
                    <w:rPr>
                      <w:rFonts w:hint="eastAsia"/>
                      <w:color w:val="auto"/>
                      <w:spacing w:val="-1"/>
                      <w:szCs w:val="21"/>
                      <w:highlight w:val="none"/>
                      <w:lang w:val="en-US" w:eastAsia="zh-CN"/>
                    </w:rPr>
                    <w:t>只</w:t>
                  </w:r>
                </w:p>
              </w:tc>
              <w:tc>
                <w:tcPr>
                  <w:tcW w:w="1223" w:type="dxa"/>
                  <w:tcBorders>
                    <w:bottom w:val="single" w:color="auto" w:sz="4" w:space="0"/>
                  </w:tcBorders>
                  <w:noWrap w:val="0"/>
                  <w:vAlign w:val="center"/>
                </w:tcPr>
                <w:p w14:paraId="4D067ACE">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eastAsia="等线"/>
                      <w:color w:val="auto"/>
                      <w:szCs w:val="21"/>
                      <w:highlight w:val="none"/>
                    </w:rPr>
                  </w:pPr>
                  <w:r>
                    <w:rPr>
                      <w:rFonts w:hint="eastAsia"/>
                      <w:color w:val="auto"/>
                      <w:szCs w:val="21"/>
                      <w:highlight w:val="none"/>
                      <w:lang w:val="en-US" w:eastAsia="zh-CN"/>
                    </w:rPr>
                    <w:t>0.16</w:t>
                  </w:r>
                  <w:r>
                    <w:rPr>
                      <w:rFonts w:hint="eastAsia"/>
                      <w:color w:val="auto"/>
                      <w:szCs w:val="21"/>
                      <w:highlight w:val="none"/>
                    </w:rPr>
                    <w:t>m</w:t>
                  </w:r>
                  <w:r>
                    <w:rPr>
                      <w:rFonts w:hint="eastAsia"/>
                      <w:color w:val="auto"/>
                      <w:szCs w:val="21"/>
                      <w:highlight w:val="none"/>
                      <w:vertAlign w:val="superscript"/>
                    </w:rPr>
                    <w:t>2</w:t>
                  </w:r>
                  <w:r>
                    <w:rPr>
                      <w:rFonts w:hint="eastAsia"/>
                      <w:color w:val="auto"/>
                      <w:szCs w:val="21"/>
                      <w:highlight w:val="none"/>
                    </w:rPr>
                    <w:t>/</w:t>
                  </w:r>
                  <w:r>
                    <w:rPr>
                      <w:rFonts w:hint="eastAsia"/>
                      <w:color w:val="auto"/>
                      <w:szCs w:val="21"/>
                      <w:highlight w:val="none"/>
                      <w:lang w:val="en-US" w:eastAsia="zh-CN"/>
                    </w:rPr>
                    <w:t>只</w:t>
                  </w:r>
                </w:p>
              </w:tc>
              <w:tc>
                <w:tcPr>
                  <w:tcW w:w="723" w:type="pct"/>
                  <w:tcBorders>
                    <w:bottom w:val="single" w:color="auto" w:sz="4" w:space="0"/>
                  </w:tcBorders>
                  <w:noWrap w:val="0"/>
                  <w:vAlign w:val="center"/>
                </w:tcPr>
                <w:p w14:paraId="1841E261">
                  <w:pPr>
                    <w:pStyle w:val="101"/>
                    <w:rPr>
                      <w:rFonts w:eastAsia="等线"/>
                      <w:color w:val="auto"/>
                      <w:szCs w:val="21"/>
                      <w:highlight w:val="none"/>
                    </w:rPr>
                  </w:pPr>
                  <w:r>
                    <w:rPr>
                      <w:rFonts w:eastAsia="等线"/>
                      <w:color w:val="auto"/>
                      <w:szCs w:val="21"/>
                      <w:highlight w:val="none"/>
                    </w:rPr>
                    <w:t>100%</w:t>
                  </w:r>
                </w:p>
              </w:tc>
              <w:tc>
                <w:tcPr>
                  <w:tcW w:w="723" w:type="pct"/>
                  <w:tcBorders>
                    <w:bottom w:val="single" w:color="auto" w:sz="4" w:space="0"/>
                  </w:tcBorders>
                  <w:noWrap w:val="0"/>
                  <w:vAlign w:val="center"/>
                </w:tcPr>
                <w:p w14:paraId="67FB3512">
                  <w:pPr>
                    <w:pStyle w:val="101"/>
                    <w:rPr>
                      <w:rFonts w:eastAsia="等线"/>
                      <w:color w:val="auto"/>
                      <w:szCs w:val="21"/>
                      <w:highlight w:val="none"/>
                    </w:rPr>
                  </w:pPr>
                  <w:r>
                    <w:rPr>
                      <w:rFonts w:hint="eastAsia" w:eastAsia="等线"/>
                      <w:color w:val="auto"/>
                      <w:szCs w:val="21"/>
                      <w:highlight w:val="none"/>
                      <w:lang w:val="en-US" w:eastAsia="zh-CN"/>
                    </w:rPr>
                    <w:t>20</w:t>
                  </w:r>
                  <w:r>
                    <w:rPr>
                      <w:color w:val="auto"/>
                      <w:szCs w:val="21"/>
                      <w:highlight w:val="none"/>
                    </w:rPr>
                    <w:t>μm</w:t>
                  </w:r>
                </w:p>
              </w:tc>
              <w:tc>
                <w:tcPr>
                  <w:tcW w:w="723" w:type="pct"/>
                  <w:tcBorders>
                    <w:bottom w:val="single" w:color="auto" w:sz="4" w:space="0"/>
                  </w:tcBorders>
                  <w:noWrap w:val="0"/>
                  <w:vAlign w:val="center"/>
                </w:tcPr>
                <w:p w14:paraId="609F7321">
                  <w:pPr>
                    <w:jc w:val="center"/>
                    <w:rPr>
                      <w:rFonts w:eastAsia="等线"/>
                      <w:color w:val="auto"/>
                      <w:highlight w:val="none"/>
                    </w:rPr>
                  </w:pPr>
                  <w:r>
                    <w:rPr>
                      <w:rFonts w:hint="eastAsia" w:eastAsia="等线"/>
                      <w:color w:val="auto"/>
                      <w:highlight w:val="none"/>
                      <w:lang w:val="en-US" w:eastAsia="zh-CN"/>
                    </w:rPr>
                    <w:t>0.983</w:t>
                  </w:r>
                  <w:r>
                    <w:rPr>
                      <w:rFonts w:hint="eastAsia"/>
                      <w:bCs/>
                      <w:color w:val="auto"/>
                      <w:szCs w:val="21"/>
                      <w:highlight w:val="none"/>
                    </w:rPr>
                    <w:t>g/cm</w:t>
                  </w:r>
                  <w:r>
                    <w:rPr>
                      <w:bCs/>
                      <w:color w:val="auto"/>
                      <w:szCs w:val="21"/>
                      <w:highlight w:val="none"/>
                      <w:vertAlign w:val="superscript"/>
                    </w:rPr>
                    <w:t>3</w:t>
                  </w:r>
                </w:p>
              </w:tc>
              <w:tc>
                <w:tcPr>
                  <w:tcW w:w="1004" w:type="pct"/>
                  <w:tcBorders>
                    <w:bottom w:val="single" w:color="auto" w:sz="4" w:space="0"/>
                  </w:tcBorders>
                  <w:noWrap w:val="0"/>
                  <w:vAlign w:val="center"/>
                </w:tcPr>
                <w:p w14:paraId="37EFCDC4">
                  <w:pPr>
                    <w:pStyle w:val="101"/>
                    <w:rPr>
                      <w:rFonts w:eastAsia="等线"/>
                      <w:color w:val="auto"/>
                      <w:szCs w:val="21"/>
                      <w:highlight w:val="none"/>
                    </w:rPr>
                  </w:pPr>
                  <w:r>
                    <w:rPr>
                      <w:rFonts w:hint="eastAsia" w:eastAsia="等线"/>
                      <w:color w:val="auto"/>
                      <w:szCs w:val="21"/>
                      <w:highlight w:val="none"/>
                      <w:lang w:val="en-US" w:eastAsia="zh-CN"/>
                    </w:rPr>
                    <w:t>23.59</w:t>
                  </w:r>
                  <w:r>
                    <w:rPr>
                      <w:rFonts w:hint="eastAsia" w:eastAsia="等线"/>
                      <w:color w:val="auto"/>
                      <w:szCs w:val="21"/>
                      <w:highlight w:val="none"/>
                    </w:rPr>
                    <w:t>t/a</w:t>
                  </w:r>
                </w:p>
              </w:tc>
            </w:tr>
            <w:tr w14:paraId="704D03BE">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809" w:type="dxa"/>
                  <w:tcBorders>
                    <w:top w:val="single" w:color="auto" w:sz="4" w:space="0"/>
                  </w:tcBorders>
                  <w:noWrap w:val="0"/>
                  <w:vAlign w:val="center"/>
                </w:tcPr>
                <w:p w14:paraId="681D8B78">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szCs w:val="21"/>
                      <w:highlight w:val="none"/>
                      <w:lang w:val="en-US" w:eastAsia="zh-CN"/>
                    </w:rPr>
                  </w:pPr>
                  <w:r>
                    <w:rPr>
                      <w:rFonts w:hint="eastAsia"/>
                      <w:color w:val="auto"/>
                      <w:szCs w:val="21"/>
                      <w:highlight w:val="none"/>
                      <w:lang w:val="en-US" w:eastAsia="zh-CN"/>
                    </w:rPr>
                    <w:t>塑纸包装盒</w:t>
                  </w:r>
                </w:p>
              </w:tc>
              <w:tc>
                <w:tcPr>
                  <w:tcW w:w="1056" w:type="dxa"/>
                  <w:tcBorders>
                    <w:top w:val="single" w:color="auto" w:sz="4" w:space="0"/>
                  </w:tcBorders>
                  <w:noWrap w:val="0"/>
                  <w:vAlign w:val="center"/>
                </w:tcPr>
                <w:p w14:paraId="0032313F">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pacing w:val="2"/>
                      <w:szCs w:val="21"/>
                      <w:highlight w:val="yellow"/>
                    </w:rPr>
                  </w:pPr>
                  <w:r>
                    <w:rPr>
                      <w:rFonts w:hint="eastAsia"/>
                      <w:color w:val="auto"/>
                      <w:spacing w:val="2"/>
                      <w:szCs w:val="21"/>
                      <w:highlight w:val="none"/>
                      <w:lang w:val="en-US" w:eastAsia="zh-CN"/>
                    </w:rPr>
                    <w:t>40</w:t>
                  </w:r>
                  <w:r>
                    <w:rPr>
                      <w:color w:val="auto"/>
                      <w:spacing w:val="-1"/>
                      <w:szCs w:val="21"/>
                      <w:highlight w:val="none"/>
                    </w:rPr>
                    <w:t>万</w:t>
                  </w:r>
                  <w:r>
                    <w:rPr>
                      <w:rFonts w:hint="eastAsia" w:ascii="Times New Roman" w:eastAsia="宋体"/>
                      <w:color w:val="auto"/>
                      <w:spacing w:val="-1"/>
                      <w:szCs w:val="21"/>
                      <w:highlight w:val="none"/>
                      <w:lang w:val="en-US" w:eastAsia="zh-CN"/>
                    </w:rPr>
                    <w:t>只</w:t>
                  </w:r>
                  <w:r>
                    <w:rPr>
                      <w:rFonts w:hint="eastAsia"/>
                      <w:color w:val="auto"/>
                      <w:spacing w:val="-1"/>
                      <w:szCs w:val="21"/>
                      <w:highlight w:val="none"/>
                      <w:lang w:val="en-US" w:eastAsia="zh-CN"/>
                    </w:rPr>
                    <w:t>（纸制品部分）</w:t>
                  </w:r>
                </w:p>
              </w:tc>
              <w:tc>
                <w:tcPr>
                  <w:tcW w:w="1223" w:type="dxa"/>
                  <w:tcBorders>
                    <w:top w:val="single" w:color="auto" w:sz="4" w:space="0"/>
                  </w:tcBorders>
                  <w:noWrap w:val="0"/>
                  <w:vAlign w:val="center"/>
                </w:tcPr>
                <w:p w14:paraId="170F38A9">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Cs w:val="21"/>
                      <w:highlight w:val="none"/>
                    </w:rPr>
                  </w:pPr>
                  <w:r>
                    <w:rPr>
                      <w:rFonts w:hint="eastAsia"/>
                      <w:color w:val="auto"/>
                      <w:szCs w:val="21"/>
                      <w:highlight w:val="none"/>
                      <w:lang w:val="en-US" w:eastAsia="zh-CN"/>
                    </w:rPr>
                    <w:t>0.1</w:t>
                  </w:r>
                  <w:r>
                    <w:rPr>
                      <w:rFonts w:hint="eastAsia"/>
                      <w:color w:val="auto"/>
                      <w:szCs w:val="21"/>
                      <w:highlight w:val="none"/>
                    </w:rPr>
                    <w:t>m</w:t>
                  </w:r>
                  <w:r>
                    <w:rPr>
                      <w:rFonts w:hint="eastAsia"/>
                      <w:color w:val="auto"/>
                      <w:szCs w:val="21"/>
                      <w:highlight w:val="none"/>
                      <w:vertAlign w:val="superscript"/>
                    </w:rPr>
                    <w:t>2</w:t>
                  </w:r>
                  <w:r>
                    <w:rPr>
                      <w:rFonts w:hint="eastAsia"/>
                      <w:color w:val="auto"/>
                      <w:szCs w:val="21"/>
                      <w:highlight w:val="none"/>
                    </w:rPr>
                    <w:t>/</w:t>
                  </w:r>
                  <w:r>
                    <w:rPr>
                      <w:rFonts w:hint="eastAsia"/>
                      <w:color w:val="auto"/>
                      <w:szCs w:val="21"/>
                      <w:highlight w:val="none"/>
                      <w:lang w:val="en-US" w:eastAsia="zh-CN"/>
                    </w:rPr>
                    <w:t>只</w:t>
                  </w:r>
                </w:p>
              </w:tc>
              <w:tc>
                <w:tcPr>
                  <w:tcW w:w="723" w:type="pct"/>
                  <w:tcBorders>
                    <w:top w:val="single" w:color="auto" w:sz="4" w:space="0"/>
                  </w:tcBorders>
                  <w:noWrap w:val="0"/>
                  <w:vAlign w:val="center"/>
                </w:tcPr>
                <w:p w14:paraId="1A55BBA4">
                  <w:pPr>
                    <w:pStyle w:val="101"/>
                    <w:rPr>
                      <w:rFonts w:hint="eastAsia" w:eastAsia="等线"/>
                      <w:color w:val="auto"/>
                      <w:szCs w:val="21"/>
                      <w:highlight w:val="none"/>
                    </w:rPr>
                  </w:pPr>
                  <w:r>
                    <w:rPr>
                      <w:rFonts w:eastAsia="等线"/>
                      <w:color w:val="auto"/>
                      <w:szCs w:val="21"/>
                      <w:highlight w:val="none"/>
                    </w:rPr>
                    <w:t>100%</w:t>
                  </w:r>
                </w:p>
              </w:tc>
              <w:tc>
                <w:tcPr>
                  <w:tcW w:w="723" w:type="pct"/>
                  <w:tcBorders>
                    <w:top w:val="single" w:color="auto" w:sz="4" w:space="0"/>
                  </w:tcBorders>
                  <w:noWrap w:val="0"/>
                  <w:vAlign w:val="center"/>
                </w:tcPr>
                <w:p w14:paraId="1BC83F5C">
                  <w:pPr>
                    <w:jc w:val="center"/>
                    <w:rPr>
                      <w:rFonts w:hint="eastAsia" w:eastAsia="等线"/>
                      <w:color w:val="auto"/>
                      <w:szCs w:val="21"/>
                      <w:highlight w:val="none"/>
                    </w:rPr>
                  </w:pPr>
                  <w:r>
                    <w:rPr>
                      <w:rFonts w:hint="eastAsia" w:eastAsia="等线"/>
                      <w:color w:val="auto"/>
                      <w:szCs w:val="21"/>
                      <w:highlight w:val="none"/>
                      <w:lang w:val="en-US" w:eastAsia="zh-CN"/>
                    </w:rPr>
                    <w:t>20</w:t>
                  </w:r>
                  <w:r>
                    <w:rPr>
                      <w:color w:val="auto"/>
                      <w:szCs w:val="21"/>
                      <w:highlight w:val="none"/>
                    </w:rPr>
                    <w:t>μm</w:t>
                  </w:r>
                </w:p>
              </w:tc>
              <w:tc>
                <w:tcPr>
                  <w:tcW w:w="723" w:type="pct"/>
                  <w:tcBorders>
                    <w:top w:val="single" w:color="auto" w:sz="4" w:space="0"/>
                  </w:tcBorders>
                  <w:noWrap w:val="0"/>
                  <w:vAlign w:val="center"/>
                </w:tcPr>
                <w:p w14:paraId="252F23D6">
                  <w:pPr>
                    <w:jc w:val="center"/>
                    <w:rPr>
                      <w:rFonts w:eastAsia="等线"/>
                      <w:color w:val="auto"/>
                      <w:highlight w:val="none"/>
                    </w:rPr>
                  </w:pPr>
                  <w:r>
                    <w:rPr>
                      <w:rFonts w:hint="eastAsia" w:eastAsia="等线"/>
                      <w:color w:val="auto"/>
                      <w:highlight w:val="none"/>
                      <w:lang w:val="en-US" w:eastAsia="zh-CN"/>
                    </w:rPr>
                    <w:t>0.983</w:t>
                  </w:r>
                  <w:r>
                    <w:rPr>
                      <w:rFonts w:hint="eastAsia"/>
                      <w:bCs/>
                      <w:color w:val="auto"/>
                      <w:szCs w:val="21"/>
                      <w:highlight w:val="none"/>
                    </w:rPr>
                    <w:t>g/cm</w:t>
                  </w:r>
                  <w:r>
                    <w:rPr>
                      <w:bCs/>
                      <w:color w:val="auto"/>
                      <w:szCs w:val="21"/>
                      <w:highlight w:val="none"/>
                      <w:vertAlign w:val="superscript"/>
                    </w:rPr>
                    <w:t>3</w:t>
                  </w:r>
                </w:p>
              </w:tc>
              <w:tc>
                <w:tcPr>
                  <w:tcW w:w="1004" w:type="pct"/>
                  <w:tcBorders>
                    <w:top w:val="single" w:color="auto" w:sz="4" w:space="0"/>
                  </w:tcBorders>
                  <w:noWrap w:val="0"/>
                  <w:vAlign w:val="center"/>
                </w:tcPr>
                <w:p w14:paraId="763EC7F9">
                  <w:pPr>
                    <w:pStyle w:val="101"/>
                    <w:rPr>
                      <w:rFonts w:hint="eastAsia" w:eastAsia="等线"/>
                      <w:color w:val="auto"/>
                      <w:szCs w:val="21"/>
                      <w:highlight w:val="yellow"/>
                    </w:rPr>
                  </w:pPr>
                  <w:r>
                    <w:rPr>
                      <w:rFonts w:hint="eastAsia" w:eastAsia="等线"/>
                      <w:color w:val="auto"/>
                      <w:szCs w:val="21"/>
                      <w:highlight w:val="none"/>
                      <w:lang w:val="en-US" w:eastAsia="zh-CN"/>
                    </w:rPr>
                    <w:t>0.79</w:t>
                  </w:r>
                  <w:r>
                    <w:rPr>
                      <w:rFonts w:hint="eastAsia" w:eastAsia="等线"/>
                      <w:color w:val="auto"/>
                      <w:szCs w:val="21"/>
                      <w:highlight w:val="none"/>
                    </w:rPr>
                    <w:t>t/a</w:t>
                  </w:r>
                </w:p>
              </w:tc>
            </w:tr>
            <w:tr w14:paraId="3DEFA1F8">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809" w:type="dxa"/>
                  <w:noWrap w:val="0"/>
                  <w:vAlign w:val="center"/>
                </w:tcPr>
                <w:p w14:paraId="329ABB1D">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Cs w:val="21"/>
                      <w:highlight w:val="none"/>
                    </w:rPr>
                  </w:pPr>
                  <w:r>
                    <w:rPr>
                      <w:rFonts w:hint="eastAsia"/>
                      <w:color w:val="auto"/>
                      <w:szCs w:val="21"/>
                      <w:highlight w:val="none"/>
                      <w:lang w:val="en-US" w:eastAsia="zh-CN"/>
                    </w:rPr>
                    <w:t>塑纸包装盒</w:t>
                  </w:r>
                </w:p>
              </w:tc>
              <w:tc>
                <w:tcPr>
                  <w:tcW w:w="624" w:type="pct"/>
                  <w:noWrap w:val="0"/>
                  <w:vAlign w:val="center"/>
                </w:tcPr>
                <w:p w14:paraId="20951219">
                  <w:pPr>
                    <w:pStyle w:val="101"/>
                    <w:rPr>
                      <w:rFonts w:hint="eastAsia"/>
                      <w:color w:val="auto"/>
                      <w:spacing w:val="2"/>
                      <w:szCs w:val="21"/>
                      <w:highlight w:val="none"/>
                    </w:rPr>
                  </w:pPr>
                  <w:r>
                    <w:rPr>
                      <w:rFonts w:hint="eastAsia"/>
                      <w:color w:val="auto"/>
                      <w:spacing w:val="2"/>
                      <w:szCs w:val="21"/>
                      <w:highlight w:val="none"/>
                      <w:lang w:val="en-US" w:eastAsia="zh-CN"/>
                    </w:rPr>
                    <w:t>40</w:t>
                  </w:r>
                  <w:r>
                    <w:rPr>
                      <w:color w:val="auto"/>
                      <w:spacing w:val="-1"/>
                      <w:szCs w:val="21"/>
                      <w:highlight w:val="none"/>
                    </w:rPr>
                    <w:t>万</w:t>
                  </w:r>
                  <w:r>
                    <w:rPr>
                      <w:rFonts w:hint="eastAsia" w:ascii="Times New Roman" w:eastAsia="宋体"/>
                      <w:color w:val="auto"/>
                      <w:spacing w:val="-1"/>
                      <w:szCs w:val="21"/>
                      <w:highlight w:val="none"/>
                      <w:lang w:val="en-US" w:eastAsia="zh-CN"/>
                    </w:rPr>
                    <w:t>只</w:t>
                  </w:r>
                  <w:r>
                    <w:rPr>
                      <w:rFonts w:hint="eastAsia"/>
                      <w:color w:val="auto"/>
                      <w:spacing w:val="-1"/>
                      <w:szCs w:val="21"/>
                      <w:highlight w:val="none"/>
                      <w:lang w:val="en-US" w:eastAsia="zh-CN"/>
                    </w:rPr>
                    <w:t>（塑料和纸制品粘合）</w:t>
                  </w:r>
                </w:p>
              </w:tc>
              <w:tc>
                <w:tcPr>
                  <w:tcW w:w="723" w:type="pct"/>
                  <w:noWrap w:val="0"/>
                  <w:vAlign w:val="center"/>
                </w:tcPr>
                <w:p w14:paraId="6CCD9DE5">
                  <w:pPr>
                    <w:pStyle w:val="101"/>
                    <w:rPr>
                      <w:rFonts w:hint="eastAsia"/>
                      <w:color w:val="auto"/>
                      <w:szCs w:val="21"/>
                      <w:highlight w:val="none"/>
                    </w:rPr>
                  </w:pPr>
                  <w:r>
                    <w:rPr>
                      <w:rFonts w:hint="eastAsia"/>
                      <w:color w:val="auto"/>
                      <w:szCs w:val="21"/>
                      <w:highlight w:val="none"/>
                      <w:lang w:val="en-US" w:eastAsia="zh-CN"/>
                    </w:rPr>
                    <w:t>0.1</w:t>
                  </w:r>
                  <w:r>
                    <w:rPr>
                      <w:rFonts w:hint="eastAsia"/>
                      <w:color w:val="auto"/>
                      <w:szCs w:val="21"/>
                      <w:highlight w:val="none"/>
                    </w:rPr>
                    <w:t>m</w:t>
                  </w:r>
                  <w:r>
                    <w:rPr>
                      <w:rFonts w:hint="eastAsia"/>
                      <w:color w:val="auto"/>
                      <w:szCs w:val="21"/>
                      <w:highlight w:val="none"/>
                      <w:vertAlign w:val="superscript"/>
                    </w:rPr>
                    <w:t>2</w:t>
                  </w:r>
                  <w:r>
                    <w:rPr>
                      <w:rFonts w:hint="eastAsia"/>
                      <w:color w:val="auto"/>
                      <w:szCs w:val="21"/>
                      <w:highlight w:val="none"/>
                    </w:rPr>
                    <w:t>/</w:t>
                  </w:r>
                  <w:r>
                    <w:rPr>
                      <w:rFonts w:hint="eastAsia"/>
                      <w:color w:val="auto"/>
                      <w:szCs w:val="21"/>
                      <w:highlight w:val="none"/>
                      <w:lang w:val="en-US" w:eastAsia="zh-CN"/>
                    </w:rPr>
                    <w:t>只</w:t>
                  </w:r>
                </w:p>
              </w:tc>
              <w:tc>
                <w:tcPr>
                  <w:tcW w:w="723" w:type="pct"/>
                  <w:noWrap w:val="0"/>
                  <w:vAlign w:val="center"/>
                </w:tcPr>
                <w:p w14:paraId="67B7D278">
                  <w:pPr>
                    <w:pStyle w:val="101"/>
                    <w:rPr>
                      <w:rFonts w:hint="eastAsia"/>
                      <w:color w:val="auto"/>
                      <w:szCs w:val="21"/>
                      <w:highlight w:val="none"/>
                    </w:rPr>
                  </w:pPr>
                  <w:r>
                    <w:rPr>
                      <w:rFonts w:hint="eastAsia" w:eastAsia="等线"/>
                      <w:color w:val="auto"/>
                      <w:szCs w:val="21"/>
                      <w:highlight w:val="none"/>
                      <w:lang w:val="en-US" w:eastAsia="zh-CN"/>
                    </w:rPr>
                    <w:t>6</w:t>
                  </w:r>
                  <w:r>
                    <w:rPr>
                      <w:rFonts w:eastAsia="等线"/>
                      <w:color w:val="auto"/>
                      <w:szCs w:val="21"/>
                      <w:highlight w:val="none"/>
                    </w:rPr>
                    <w:t>%</w:t>
                  </w:r>
                </w:p>
              </w:tc>
              <w:tc>
                <w:tcPr>
                  <w:tcW w:w="723" w:type="pct"/>
                  <w:noWrap w:val="0"/>
                  <w:vAlign w:val="center"/>
                </w:tcPr>
                <w:p w14:paraId="0BBB6356">
                  <w:pPr>
                    <w:jc w:val="center"/>
                    <w:rPr>
                      <w:color w:val="auto"/>
                      <w:szCs w:val="21"/>
                      <w:highlight w:val="none"/>
                    </w:rPr>
                  </w:pPr>
                  <w:r>
                    <w:rPr>
                      <w:rFonts w:hint="eastAsia" w:eastAsia="等线"/>
                      <w:color w:val="auto"/>
                      <w:szCs w:val="21"/>
                      <w:highlight w:val="none"/>
                      <w:lang w:val="en-US" w:eastAsia="zh-CN"/>
                    </w:rPr>
                    <w:t>20</w:t>
                  </w:r>
                  <w:r>
                    <w:rPr>
                      <w:color w:val="auto"/>
                      <w:szCs w:val="21"/>
                      <w:highlight w:val="none"/>
                    </w:rPr>
                    <w:t>μm</w:t>
                  </w:r>
                </w:p>
              </w:tc>
              <w:tc>
                <w:tcPr>
                  <w:tcW w:w="723" w:type="pct"/>
                  <w:noWrap w:val="0"/>
                  <w:vAlign w:val="center"/>
                </w:tcPr>
                <w:p w14:paraId="2C17879A">
                  <w:pPr>
                    <w:pStyle w:val="101"/>
                    <w:rPr>
                      <w:bCs/>
                      <w:color w:val="auto"/>
                      <w:sz w:val="24"/>
                      <w:highlight w:val="none"/>
                    </w:rPr>
                  </w:pPr>
                  <w:r>
                    <w:rPr>
                      <w:rFonts w:hint="eastAsia" w:eastAsia="等线"/>
                      <w:color w:val="auto"/>
                      <w:highlight w:val="none"/>
                      <w:lang w:val="en-US" w:eastAsia="zh-CN"/>
                    </w:rPr>
                    <w:t>0.983</w:t>
                  </w:r>
                  <w:r>
                    <w:rPr>
                      <w:rFonts w:hint="eastAsia"/>
                      <w:bCs/>
                      <w:color w:val="auto"/>
                      <w:szCs w:val="21"/>
                      <w:highlight w:val="none"/>
                    </w:rPr>
                    <w:t>g/cm</w:t>
                  </w:r>
                  <w:r>
                    <w:rPr>
                      <w:bCs/>
                      <w:color w:val="auto"/>
                      <w:szCs w:val="21"/>
                      <w:highlight w:val="none"/>
                      <w:vertAlign w:val="superscript"/>
                    </w:rPr>
                    <w:t>3</w:t>
                  </w:r>
                </w:p>
              </w:tc>
              <w:tc>
                <w:tcPr>
                  <w:tcW w:w="1004" w:type="pct"/>
                  <w:noWrap w:val="0"/>
                  <w:vAlign w:val="center"/>
                </w:tcPr>
                <w:p w14:paraId="2F7099C9">
                  <w:pPr>
                    <w:pStyle w:val="101"/>
                    <w:rPr>
                      <w:rFonts w:hint="eastAsia"/>
                      <w:color w:val="auto"/>
                      <w:szCs w:val="21"/>
                      <w:highlight w:val="none"/>
                    </w:rPr>
                  </w:pPr>
                  <w:r>
                    <w:rPr>
                      <w:rFonts w:hint="eastAsia" w:eastAsia="等线"/>
                      <w:color w:val="auto"/>
                      <w:szCs w:val="21"/>
                      <w:highlight w:val="none"/>
                      <w:lang w:val="en-US" w:eastAsia="zh-CN"/>
                    </w:rPr>
                    <w:t>0.05</w:t>
                  </w:r>
                  <w:r>
                    <w:rPr>
                      <w:rFonts w:hint="eastAsia" w:eastAsia="等线"/>
                      <w:color w:val="auto"/>
                      <w:szCs w:val="21"/>
                      <w:highlight w:val="none"/>
                    </w:rPr>
                    <w:t>t/a</w:t>
                  </w:r>
                </w:p>
              </w:tc>
            </w:tr>
            <w:tr w14:paraId="0F15DDB3">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78" w:type="pct"/>
                  <w:noWrap w:val="0"/>
                  <w:vAlign w:val="center"/>
                </w:tcPr>
                <w:p w14:paraId="609A0CA3">
                  <w:pPr>
                    <w:pStyle w:val="101"/>
                    <w:rPr>
                      <w:rFonts w:hint="eastAsia"/>
                      <w:color w:val="auto"/>
                      <w:szCs w:val="21"/>
                      <w:highlight w:val="none"/>
                    </w:rPr>
                  </w:pPr>
                  <w:r>
                    <w:rPr>
                      <w:rFonts w:hint="eastAsia"/>
                      <w:color w:val="auto"/>
                      <w:szCs w:val="21"/>
                      <w:highlight w:val="none"/>
                    </w:rPr>
                    <w:t>合计</w:t>
                  </w:r>
                </w:p>
              </w:tc>
              <w:tc>
                <w:tcPr>
                  <w:tcW w:w="624" w:type="pct"/>
                  <w:noWrap w:val="0"/>
                  <w:vAlign w:val="center"/>
                </w:tcPr>
                <w:p w14:paraId="4C68A9BA">
                  <w:pPr>
                    <w:pStyle w:val="101"/>
                    <w:rPr>
                      <w:rFonts w:hint="eastAsia"/>
                      <w:color w:val="auto"/>
                      <w:spacing w:val="2"/>
                      <w:szCs w:val="21"/>
                      <w:highlight w:val="none"/>
                    </w:rPr>
                  </w:pPr>
                  <w:r>
                    <w:rPr>
                      <w:rFonts w:hint="eastAsia"/>
                      <w:color w:val="auto"/>
                      <w:spacing w:val="2"/>
                      <w:szCs w:val="21"/>
                      <w:highlight w:val="none"/>
                    </w:rPr>
                    <w:t>/</w:t>
                  </w:r>
                </w:p>
              </w:tc>
              <w:tc>
                <w:tcPr>
                  <w:tcW w:w="723" w:type="pct"/>
                  <w:noWrap w:val="0"/>
                  <w:vAlign w:val="center"/>
                </w:tcPr>
                <w:p w14:paraId="1AEC051F">
                  <w:pPr>
                    <w:pStyle w:val="101"/>
                    <w:rPr>
                      <w:rFonts w:eastAsia="等线"/>
                      <w:color w:val="auto"/>
                      <w:szCs w:val="21"/>
                      <w:highlight w:val="none"/>
                    </w:rPr>
                  </w:pPr>
                  <w:r>
                    <w:rPr>
                      <w:rFonts w:hint="eastAsia" w:eastAsia="等线"/>
                      <w:color w:val="auto"/>
                      <w:szCs w:val="21"/>
                      <w:highlight w:val="none"/>
                    </w:rPr>
                    <w:t>/</w:t>
                  </w:r>
                </w:p>
              </w:tc>
              <w:tc>
                <w:tcPr>
                  <w:tcW w:w="723" w:type="pct"/>
                  <w:noWrap w:val="0"/>
                  <w:vAlign w:val="center"/>
                </w:tcPr>
                <w:p w14:paraId="5B995E13">
                  <w:pPr>
                    <w:pStyle w:val="101"/>
                    <w:rPr>
                      <w:rFonts w:eastAsia="等线"/>
                      <w:color w:val="auto"/>
                      <w:szCs w:val="21"/>
                      <w:highlight w:val="none"/>
                    </w:rPr>
                  </w:pPr>
                  <w:r>
                    <w:rPr>
                      <w:rFonts w:hint="eastAsia" w:eastAsia="等线"/>
                      <w:color w:val="auto"/>
                      <w:szCs w:val="21"/>
                      <w:highlight w:val="none"/>
                    </w:rPr>
                    <w:t>/</w:t>
                  </w:r>
                </w:p>
              </w:tc>
              <w:tc>
                <w:tcPr>
                  <w:tcW w:w="723" w:type="pct"/>
                  <w:noWrap w:val="0"/>
                  <w:vAlign w:val="center"/>
                </w:tcPr>
                <w:p w14:paraId="721DA8D0">
                  <w:pPr>
                    <w:pStyle w:val="101"/>
                    <w:rPr>
                      <w:rFonts w:eastAsia="等线"/>
                      <w:color w:val="auto"/>
                      <w:szCs w:val="21"/>
                      <w:highlight w:val="none"/>
                    </w:rPr>
                  </w:pPr>
                  <w:r>
                    <w:rPr>
                      <w:rFonts w:hint="eastAsia" w:eastAsia="等线"/>
                      <w:color w:val="auto"/>
                      <w:szCs w:val="21"/>
                      <w:highlight w:val="none"/>
                    </w:rPr>
                    <w:t>/</w:t>
                  </w:r>
                </w:p>
              </w:tc>
              <w:tc>
                <w:tcPr>
                  <w:tcW w:w="723" w:type="pct"/>
                  <w:noWrap w:val="0"/>
                  <w:vAlign w:val="center"/>
                </w:tcPr>
                <w:p w14:paraId="0A31827D">
                  <w:pPr>
                    <w:pStyle w:val="101"/>
                    <w:rPr>
                      <w:rFonts w:eastAsia="等线"/>
                      <w:color w:val="auto"/>
                      <w:highlight w:val="none"/>
                    </w:rPr>
                  </w:pPr>
                  <w:r>
                    <w:rPr>
                      <w:rFonts w:hint="eastAsia" w:eastAsia="等线"/>
                      <w:color w:val="auto"/>
                      <w:highlight w:val="none"/>
                    </w:rPr>
                    <w:t>/</w:t>
                  </w:r>
                </w:p>
              </w:tc>
              <w:tc>
                <w:tcPr>
                  <w:tcW w:w="1004" w:type="pct"/>
                  <w:noWrap w:val="0"/>
                  <w:vAlign w:val="center"/>
                </w:tcPr>
                <w:p w14:paraId="7AFAF129">
                  <w:pPr>
                    <w:pStyle w:val="101"/>
                    <w:rPr>
                      <w:rFonts w:hint="eastAsia" w:eastAsia="等线"/>
                      <w:color w:val="auto"/>
                      <w:szCs w:val="21"/>
                      <w:highlight w:val="none"/>
                    </w:rPr>
                  </w:pPr>
                  <w:r>
                    <w:rPr>
                      <w:rFonts w:hint="eastAsia" w:eastAsia="等线"/>
                      <w:color w:val="auto"/>
                      <w:szCs w:val="21"/>
                      <w:highlight w:val="none"/>
                      <w:lang w:val="en-US" w:eastAsia="zh-CN"/>
                    </w:rPr>
                    <w:t>24.43t</w:t>
                  </w:r>
                  <w:r>
                    <w:rPr>
                      <w:rFonts w:hint="eastAsia" w:eastAsia="等线"/>
                      <w:color w:val="auto"/>
                      <w:szCs w:val="21"/>
                      <w:highlight w:val="none"/>
                    </w:rPr>
                    <w:t>/a</w:t>
                  </w:r>
                </w:p>
              </w:tc>
            </w:tr>
            <w:tr w14:paraId="6ACF6C24">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5000" w:type="pct"/>
                  <w:gridSpan w:val="7"/>
                  <w:noWrap w:val="0"/>
                  <w:vAlign w:val="center"/>
                </w:tcPr>
                <w:p w14:paraId="0687F8C6">
                  <w:pPr>
                    <w:pStyle w:val="101"/>
                    <w:jc w:val="left"/>
                    <w:rPr>
                      <w:color w:val="auto"/>
                      <w:szCs w:val="21"/>
                      <w:highlight w:val="none"/>
                    </w:rPr>
                  </w:pPr>
                  <w:r>
                    <w:rPr>
                      <w:rFonts w:hint="eastAsia" w:ascii="宋体" w:hAnsi="宋体"/>
                      <w:color w:val="auto"/>
                      <w:szCs w:val="21"/>
                      <w:highlight w:val="none"/>
                    </w:rPr>
                    <w:t>备注：包装盒裱糊需将印刷页与工业卡纸</w:t>
                  </w:r>
                  <w:r>
                    <w:rPr>
                      <w:color w:val="auto"/>
                      <w:szCs w:val="21"/>
                      <w:highlight w:val="none"/>
                    </w:rPr>
                    <w:t>粘合，粘贴面积取100%；</w:t>
                  </w:r>
                </w:p>
                <w:p w14:paraId="1071676B">
                  <w:pPr>
                    <w:pStyle w:val="101"/>
                    <w:jc w:val="left"/>
                    <w:rPr>
                      <w:rFonts w:hint="eastAsia" w:ascii="宋体" w:hAnsi="宋体"/>
                      <w:color w:val="auto"/>
                      <w:szCs w:val="21"/>
                      <w:highlight w:val="yellow"/>
                    </w:rPr>
                  </w:pPr>
                  <w:r>
                    <w:rPr>
                      <w:color w:val="auto"/>
                      <w:szCs w:val="21"/>
                      <w:highlight w:val="none"/>
                    </w:rPr>
                    <w:t xml:space="preserve">    </w:t>
                  </w:r>
                  <w:r>
                    <w:rPr>
                      <w:rFonts w:hint="eastAsia"/>
                      <w:color w:val="auto"/>
                      <w:szCs w:val="21"/>
                      <w:highlight w:val="none"/>
                      <w:lang w:val="en-US" w:eastAsia="zh-CN"/>
                    </w:rPr>
                    <w:t>塑纸包装盒的塑料需和纸制品</w:t>
                  </w:r>
                  <w:r>
                    <w:rPr>
                      <w:color w:val="auto"/>
                      <w:szCs w:val="21"/>
                      <w:highlight w:val="none"/>
                    </w:rPr>
                    <w:t>折合部位粘贴，粘贴面积取6%。</w:t>
                  </w:r>
                </w:p>
              </w:tc>
            </w:tr>
          </w:tbl>
          <w:p w14:paraId="513C7B7F">
            <w:pPr>
              <w:numPr>
                <w:ilvl w:val="0"/>
                <w:numId w:val="0"/>
              </w:numPr>
              <w:adjustRightInd w:val="0"/>
              <w:snapToGrid w:val="0"/>
              <w:spacing w:before="120" w:beforeLines="50"/>
              <w:jc w:val="center"/>
              <w:rPr>
                <w:b/>
                <w:bCs/>
                <w:color w:val="auto"/>
                <w:sz w:val="24"/>
                <w:highlight w:val="none"/>
              </w:rPr>
            </w:pPr>
            <w:r>
              <w:rPr>
                <w:rFonts w:hint="eastAsia"/>
                <w:b/>
                <w:bCs/>
                <w:color w:val="auto"/>
                <w:highlight w:val="none"/>
                <w:lang w:val="en-US" w:eastAsia="zh-CN"/>
              </w:rPr>
              <w:t xml:space="preserve">表2-9 </w:t>
            </w:r>
            <w:r>
              <w:rPr>
                <w:rFonts w:hint="eastAsia"/>
                <w:b/>
                <w:bCs/>
                <w:color w:val="auto"/>
                <w:highlight w:val="none"/>
              </w:rPr>
              <w:t>本项目新增水性覆膜胶用量核算</w:t>
            </w:r>
            <w:r>
              <w:rPr>
                <w:b/>
                <w:bCs/>
                <w:color w:val="auto"/>
                <w:highlight w:val="none"/>
              </w:rPr>
              <w:t>表</w:t>
            </w:r>
          </w:p>
          <w:tbl>
            <w:tblPr>
              <w:tblStyle w:val="25"/>
              <w:tblW w:w="8419" w:type="dxa"/>
              <w:tblInd w:w="0" w:type="dxa"/>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804"/>
              <w:gridCol w:w="1048"/>
              <w:gridCol w:w="1558"/>
              <w:gridCol w:w="1209"/>
              <w:gridCol w:w="1218"/>
              <w:gridCol w:w="1127"/>
              <w:gridCol w:w="1455"/>
            </w:tblGrid>
            <w:tr w14:paraId="39842FBB">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477" w:type="pct"/>
                  <w:noWrap w:val="0"/>
                  <w:vAlign w:val="center"/>
                </w:tcPr>
                <w:p w14:paraId="0FD3AB8F">
                  <w:pPr>
                    <w:pStyle w:val="101"/>
                    <w:rPr>
                      <w:b/>
                      <w:bCs/>
                      <w:color w:val="auto"/>
                      <w:szCs w:val="21"/>
                      <w:highlight w:val="none"/>
                      <w:lang w:eastAsia="en-US"/>
                    </w:rPr>
                  </w:pPr>
                  <w:r>
                    <w:rPr>
                      <w:rFonts w:hint="eastAsia"/>
                      <w:b/>
                      <w:bCs/>
                      <w:color w:val="auto"/>
                      <w:szCs w:val="21"/>
                      <w:highlight w:val="none"/>
                    </w:rPr>
                    <w:t>产品</w:t>
                  </w:r>
                </w:p>
              </w:tc>
              <w:tc>
                <w:tcPr>
                  <w:tcW w:w="622" w:type="pct"/>
                  <w:noWrap w:val="0"/>
                  <w:vAlign w:val="center"/>
                </w:tcPr>
                <w:p w14:paraId="3290F70C">
                  <w:pPr>
                    <w:pStyle w:val="101"/>
                    <w:rPr>
                      <w:b/>
                      <w:bCs/>
                      <w:color w:val="auto"/>
                      <w:szCs w:val="21"/>
                      <w:highlight w:val="none"/>
                    </w:rPr>
                  </w:pPr>
                  <w:r>
                    <w:rPr>
                      <w:rFonts w:hint="eastAsia"/>
                      <w:b/>
                      <w:bCs/>
                      <w:color w:val="auto"/>
                      <w:szCs w:val="21"/>
                      <w:highlight w:val="none"/>
                    </w:rPr>
                    <w:t>产能</w:t>
                  </w:r>
                </w:p>
              </w:tc>
              <w:tc>
                <w:tcPr>
                  <w:tcW w:w="925" w:type="pct"/>
                  <w:noWrap w:val="0"/>
                  <w:vAlign w:val="center"/>
                </w:tcPr>
                <w:p w14:paraId="40946073">
                  <w:pPr>
                    <w:pStyle w:val="101"/>
                    <w:rPr>
                      <w:rFonts w:hint="eastAsia"/>
                      <w:b/>
                      <w:bCs/>
                      <w:color w:val="auto"/>
                      <w:szCs w:val="21"/>
                      <w:highlight w:val="none"/>
                    </w:rPr>
                  </w:pPr>
                  <w:r>
                    <w:rPr>
                      <w:rFonts w:hint="eastAsia"/>
                      <w:b/>
                      <w:bCs/>
                      <w:color w:val="auto"/>
                      <w:szCs w:val="21"/>
                      <w:highlight w:val="none"/>
                    </w:rPr>
                    <w:t>纸张面积</w:t>
                  </w:r>
                </w:p>
              </w:tc>
              <w:tc>
                <w:tcPr>
                  <w:tcW w:w="718" w:type="pct"/>
                  <w:noWrap w:val="0"/>
                  <w:vAlign w:val="center"/>
                </w:tcPr>
                <w:p w14:paraId="647FC92F">
                  <w:pPr>
                    <w:pStyle w:val="101"/>
                    <w:rPr>
                      <w:b/>
                      <w:bCs/>
                      <w:color w:val="auto"/>
                      <w:szCs w:val="21"/>
                      <w:highlight w:val="none"/>
                    </w:rPr>
                  </w:pPr>
                  <w:r>
                    <w:rPr>
                      <w:rFonts w:hint="eastAsia"/>
                      <w:b/>
                      <w:bCs/>
                      <w:color w:val="auto"/>
                      <w:szCs w:val="21"/>
                      <w:highlight w:val="none"/>
                    </w:rPr>
                    <w:t>粘贴面积</w:t>
                  </w:r>
                </w:p>
              </w:tc>
              <w:tc>
                <w:tcPr>
                  <w:tcW w:w="723" w:type="pct"/>
                  <w:noWrap w:val="0"/>
                  <w:vAlign w:val="center"/>
                </w:tcPr>
                <w:p w14:paraId="4971E674">
                  <w:pPr>
                    <w:pStyle w:val="101"/>
                    <w:rPr>
                      <w:b/>
                      <w:bCs/>
                      <w:color w:val="auto"/>
                      <w:szCs w:val="21"/>
                      <w:highlight w:val="none"/>
                    </w:rPr>
                  </w:pPr>
                  <w:r>
                    <w:rPr>
                      <w:rFonts w:hint="eastAsia"/>
                      <w:b/>
                      <w:bCs/>
                      <w:color w:val="auto"/>
                      <w:szCs w:val="21"/>
                      <w:highlight w:val="none"/>
                    </w:rPr>
                    <w:t>刷胶厚度</w:t>
                  </w:r>
                </w:p>
              </w:tc>
              <w:tc>
                <w:tcPr>
                  <w:tcW w:w="669" w:type="pct"/>
                  <w:noWrap w:val="0"/>
                  <w:vAlign w:val="center"/>
                </w:tcPr>
                <w:p w14:paraId="6F9C368A">
                  <w:pPr>
                    <w:pStyle w:val="101"/>
                    <w:rPr>
                      <w:b/>
                      <w:bCs/>
                      <w:color w:val="auto"/>
                      <w:szCs w:val="21"/>
                      <w:highlight w:val="none"/>
                    </w:rPr>
                  </w:pPr>
                  <w:r>
                    <w:rPr>
                      <w:rFonts w:hint="eastAsia"/>
                      <w:b/>
                      <w:bCs/>
                      <w:color w:val="auto"/>
                      <w:szCs w:val="21"/>
                      <w:highlight w:val="none"/>
                    </w:rPr>
                    <w:t>密度</w:t>
                  </w:r>
                </w:p>
              </w:tc>
              <w:tc>
                <w:tcPr>
                  <w:tcW w:w="864" w:type="pct"/>
                  <w:noWrap w:val="0"/>
                  <w:vAlign w:val="center"/>
                </w:tcPr>
                <w:p w14:paraId="092C171F">
                  <w:pPr>
                    <w:pStyle w:val="101"/>
                    <w:rPr>
                      <w:b/>
                      <w:bCs/>
                      <w:color w:val="auto"/>
                      <w:szCs w:val="21"/>
                      <w:highlight w:val="none"/>
                    </w:rPr>
                  </w:pPr>
                  <w:r>
                    <w:rPr>
                      <w:rFonts w:hint="eastAsia"/>
                      <w:b/>
                      <w:bCs/>
                      <w:color w:val="auto"/>
                      <w:highlight w:val="none"/>
                    </w:rPr>
                    <w:t>水性覆膜胶理论</w:t>
                  </w:r>
                  <w:r>
                    <w:rPr>
                      <w:rFonts w:hint="eastAsia"/>
                      <w:b/>
                      <w:bCs/>
                      <w:color w:val="auto"/>
                      <w:szCs w:val="21"/>
                      <w:highlight w:val="none"/>
                    </w:rPr>
                    <w:t>用量</w:t>
                  </w:r>
                </w:p>
              </w:tc>
            </w:tr>
            <w:tr w14:paraId="1F9BA181">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477" w:type="pct"/>
                  <w:noWrap w:val="0"/>
                  <w:vAlign w:val="center"/>
                </w:tcPr>
                <w:p w14:paraId="6DC64A31">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highlight w:val="none"/>
                    </w:rPr>
                  </w:pPr>
                  <w:r>
                    <w:rPr>
                      <w:rFonts w:hint="default"/>
                      <w:color w:val="auto"/>
                      <w:szCs w:val="21"/>
                      <w:highlight w:val="none"/>
                      <w:lang w:val="en-US" w:eastAsia="zh-CN"/>
                    </w:rPr>
                    <w:t>酒类礼品包装盒</w:t>
                  </w:r>
                </w:p>
              </w:tc>
              <w:tc>
                <w:tcPr>
                  <w:tcW w:w="622" w:type="pct"/>
                  <w:noWrap w:val="0"/>
                  <w:vAlign w:val="center"/>
                </w:tcPr>
                <w:p w14:paraId="6516FBFE">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highlight w:val="none"/>
                    </w:rPr>
                  </w:pPr>
                  <w:r>
                    <w:rPr>
                      <w:rFonts w:hint="eastAsia"/>
                      <w:color w:val="auto"/>
                      <w:spacing w:val="-1"/>
                      <w:szCs w:val="21"/>
                      <w:highlight w:val="none"/>
                      <w:lang w:val="en-US" w:eastAsia="zh-CN"/>
                    </w:rPr>
                    <w:t>750</w:t>
                  </w:r>
                  <w:r>
                    <w:rPr>
                      <w:color w:val="auto"/>
                      <w:spacing w:val="-1"/>
                      <w:szCs w:val="21"/>
                      <w:highlight w:val="none"/>
                    </w:rPr>
                    <w:t>万</w:t>
                  </w:r>
                  <w:r>
                    <w:rPr>
                      <w:rFonts w:hint="eastAsia"/>
                      <w:color w:val="auto"/>
                      <w:spacing w:val="-1"/>
                      <w:szCs w:val="21"/>
                      <w:highlight w:val="none"/>
                      <w:lang w:val="en-US" w:eastAsia="zh-CN"/>
                    </w:rPr>
                    <w:t>只</w:t>
                  </w:r>
                </w:p>
              </w:tc>
              <w:tc>
                <w:tcPr>
                  <w:tcW w:w="925" w:type="pct"/>
                  <w:noWrap w:val="0"/>
                  <w:vAlign w:val="center"/>
                </w:tcPr>
                <w:p w14:paraId="48524A8D">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Cs w:val="21"/>
                      <w:highlight w:val="none"/>
                    </w:rPr>
                  </w:pPr>
                  <w:r>
                    <w:rPr>
                      <w:rFonts w:hint="eastAsia"/>
                      <w:color w:val="auto"/>
                      <w:szCs w:val="21"/>
                      <w:highlight w:val="none"/>
                      <w:lang w:val="en-US" w:eastAsia="zh-CN"/>
                    </w:rPr>
                    <w:t>0.16</w:t>
                  </w:r>
                  <w:r>
                    <w:rPr>
                      <w:rFonts w:hint="eastAsia"/>
                      <w:color w:val="auto"/>
                      <w:szCs w:val="21"/>
                      <w:highlight w:val="none"/>
                    </w:rPr>
                    <w:t>m</w:t>
                  </w:r>
                  <w:r>
                    <w:rPr>
                      <w:rFonts w:hint="eastAsia"/>
                      <w:color w:val="auto"/>
                      <w:szCs w:val="21"/>
                      <w:highlight w:val="none"/>
                      <w:vertAlign w:val="superscript"/>
                    </w:rPr>
                    <w:t>2</w:t>
                  </w:r>
                  <w:r>
                    <w:rPr>
                      <w:rFonts w:hint="eastAsia"/>
                      <w:color w:val="auto"/>
                      <w:szCs w:val="21"/>
                      <w:highlight w:val="none"/>
                    </w:rPr>
                    <w:t>/</w:t>
                  </w:r>
                  <w:r>
                    <w:rPr>
                      <w:rFonts w:hint="eastAsia"/>
                      <w:color w:val="auto"/>
                      <w:szCs w:val="21"/>
                      <w:highlight w:val="none"/>
                      <w:lang w:val="en-US" w:eastAsia="zh-CN"/>
                    </w:rPr>
                    <w:t>只</w:t>
                  </w:r>
                </w:p>
              </w:tc>
              <w:tc>
                <w:tcPr>
                  <w:tcW w:w="718" w:type="pct"/>
                  <w:noWrap w:val="0"/>
                  <w:vAlign w:val="center"/>
                </w:tcPr>
                <w:p w14:paraId="3CD0681E">
                  <w:pPr>
                    <w:pStyle w:val="101"/>
                    <w:rPr>
                      <w:color w:val="auto"/>
                      <w:szCs w:val="21"/>
                      <w:highlight w:val="none"/>
                    </w:rPr>
                  </w:pPr>
                  <w:r>
                    <w:rPr>
                      <w:rFonts w:hint="eastAsia" w:eastAsia="等线"/>
                      <w:color w:val="auto"/>
                      <w:szCs w:val="21"/>
                      <w:highlight w:val="none"/>
                    </w:rPr>
                    <w:t>100</w:t>
                  </w:r>
                  <w:r>
                    <w:rPr>
                      <w:rFonts w:eastAsia="等线"/>
                      <w:color w:val="auto"/>
                      <w:szCs w:val="21"/>
                      <w:highlight w:val="none"/>
                    </w:rPr>
                    <w:t>%</w:t>
                  </w:r>
                </w:p>
              </w:tc>
              <w:tc>
                <w:tcPr>
                  <w:tcW w:w="723" w:type="pct"/>
                  <w:noWrap w:val="0"/>
                  <w:vAlign w:val="center"/>
                </w:tcPr>
                <w:p w14:paraId="00E49DCC">
                  <w:pPr>
                    <w:pStyle w:val="101"/>
                    <w:rPr>
                      <w:color w:val="auto"/>
                      <w:szCs w:val="21"/>
                      <w:highlight w:val="none"/>
                    </w:rPr>
                  </w:pPr>
                  <w:r>
                    <w:rPr>
                      <w:rFonts w:hint="eastAsia"/>
                      <w:color w:val="auto"/>
                      <w:szCs w:val="21"/>
                      <w:highlight w:val="none"/>
                    </w:rPr>
                    <w:t>15</w:t>
                  </w:r>
                  <w:r>
                    <w:rPr>
                      <w:color w:val="auto"/>
                      <w:szCs w:val="21"/>
                      <w:highlight w:val="none"/>
                    </w:rPr>
                    <w:t>μm</w:t>
                  </w:r>
                </w:p>
              </w:tc>
              <w:tc>
                <w:tcPr>
                  <w:tcW w:w="669" w:type="pct"/>
                  <w:noWrap w:val="0"/>
                  <w:vAlign w:val="center"/>
                </w:tcPr>
                <w:p w14:paraId="32B94DD7">
                  <w:pPr>
                    <w:pStyle w:val="101"/>
                    <w:rPr>
                      <w:rFonts w:hint="eastAsia"/>
                      <w:color w:val="auto"/>
                      <w:szCs w:val="21"/>
                      <w:highlight w:val="none"/>
                    </w:rPr>
                  </w:pPr>
                  <w:r>
                    <w:rPr>
                      <w:rFonts w:eastAsia="等线"/>
                      <w:color w:val="auto"/>
                      <w:highlight w:val="none"/>
                    </w:rPr>
                    <w:t>1</w:t>
                  </w:r>
                  <w:r>
                    <w:rPr>
                      <w:rFonts w:hint="eastAsia" w:eastAsia="等线"/>
                      <w:color w:val="auto"/>
                      <w:highlight w:val="none"/>
                    </w:rPr>
                    <w:t>.03</w:t>
                  </w:r>
                  <w:r>
                    <w:rPr>
                      <w:rFonts w:hint="eastAsia"/>
                      <w:bCs/>
                      <w:color w:val="auto"/>
                      <w:szCs w:val="21"/>
                      <w:highlight w:val="none"/>
                    </w:rPr>
                    <w:t>g/cm</w:t>
                  </w:r>
                  <w:r>
                    <w:rPr>
                      <w:bCs/>
                      <w:color w:val="auto"/>
                      <w:szCs w:val="21"/>
                      <w:highlight w:val="none"/>
                      <w:vertAlign w:val="superscript"/>
                    </w:rPr>
                    <w:t>3</w:t>
                  </w:r>
                </w:p>
              </w:tc>
              <w:tc>
                <w:tcPr>
                  <w:tcW w:w="864" w:type="pct"/>
                  <w:noWrap w:val="0"/>
                  <w:vAlign w:val="center"/>
                </w:tcPr>
                <w:p w14:paraId="2DCA24A1">
                  <w:pPr>
                    <w:pStyle w:val="101"/>
                    <w:rPr>
                      <w:rFonts w:hint="eastAsia"/>
                      <w:color w:val="auto"/>
                      <w:szCs w:val="21"/>
                      <w:highlight w:val="none"/>
                    </w:rPr>
                  </w:pPr>
                  <w:r>
                    <w:rPr>
                      <w:rFonts w:hint="eastAsia"/>
                      <w:color w:val="auto"/>
                      <w:szCs w:val="21"/>
                      <w:highlight w:val="none"/>
                      <w:lang w:val="en-US" w:eastAsia="zh-CN"/>
                    </w:rPr>
                    <w:t>18.54</w:t>
                  </w:r>
                  <w:r>
                    <w:rPr>
                      <w:rFonts w:hint="eastAsia"/>
                      <w:color w:val="auto"/>
                      <w:szCs w:val="21"/>
                      <w:highlight w:val="none"/>
                    </w:rPr>
                    <w:t>t/a</w:t>
                  </w:r>
                </w:p>
              </w:tc>
            </w:tr>
            <w:tr w14:paraId="66960E7B">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77" w:type="pct"/>
                  <w:noWrap w:val="0"/>
                  <w:vAlign w:val="center"/>
                </w:tcPr>
                <w:p w14:paraId="491C1091">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Cs w:val="21"/>
                      <w:highlight w:val="none"/>
                    </w:rPr>
                  </w:pPr>
                  <w:r>
                    <w:rPr>
                      <w:rFonts w:hint="eastAsia"/>
                      <w:color w:val="auto"/>
                      <w:szCs w:val="21"/>
                      <w:highlight w:val="none"/>
                      <w:lang w:val="en-US" w:eastAsia="zh-CN"/>
                    </w:rPr>
                    <w:t>塑纸包装盒</w:t>
                  </w:r>
                </w:p>
              </w:tc>
              <w:tc>
                <w:tcPr>
                  <w:tcW w:w="622" w:type="pct"/>
                  <w:noWrap w:val="0"/>
                  <w:vAlign w:val="center"/>
                </w:tcPr>
                <w:p w14:paraId="1944F33F">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pacing w:val="2"/>
                      <w:szCs w:val="21"/>
                      <w:highlight w:val="none"/>
                    </w:rPr>
                  </w:pPr>
                  <w:r>
                    <w:rPr>
                      <w:rFonts w:hint="eastAsia"/>
                      <w:color w:val="auto"/>
                      <w:spacing w:val="2"/>
                      <w:szCs w:val="21"/>
                      <w:highlight w:val="none"/>
                      <w:lang w:val="en-US" w:eastAsia="zh-CN"/>
                    </w:rPr>
                    <w:t>40</w:t>
                  </w:r>
                  <w:r>
                    <w:rPr>
                      <w:color w:val="auto"/>
                      <w:spacing w:val="-1"/>
                      <w:szCs w:val="21"/>
                      <w:highlight w:val="none"/>
                    </w:rPr>
                    <w:t>万</w:t>
                  </w:r>
                  <w:r>
                    <w:rPr>
                      <w:rFonts w:hint="eastAsia" w:ascii="Times New Roman" w:eastAsia="宋体"/>
                      <w:color w:val="auto"/>
                      <w:spacing w:val="-1"/>
                      <w:szCs w:val="21"/>
                      <w:highlight w:val="none"/>
                      <w:lang w:val="en-US" w:eastAsia="zh-CN"/>
                    </w:rPr>
                    <w:t>只</w:t>
                  </w:r>
                </w:p>
              </w:tc>
              <w:tc>
                <w:tcPr>
                  <w:tcW w:w="925" w:type="pct"/>
                  <w:noWrap w:val="0"/>
                  <w:vAlign w:val="center"/>
                </w:tcPr>
                <w:p w14:paraId="506F62D8">
                  <w:pPr>
                    <w:pStyle w:val="101"/>
                    <w:keepNext w:val="0"/>
                    <w:keepLines w:val="0"/>
                    <w:pageBreakBefore w:val="0"/>
                    <w:widowControl w:val="0"/>
                    <w:kinsoku/>
                    <w:wordWrap/>
                    <w:overflowPunct/>
                    <w:topLinePunct w:val="0"/>
                    <w:autoSpaceDE/>
                    <w:autoSpaceDN/>
                    <w:bidi w:val="0"/>
                    <w:adjustRightInd/>
                    <w:snapToGrid/>
                    <w:spacing w:line="360" w:lineRule="auto"/>
                    <w:textAlignment w:val="auto"/>
                    <w:rPr>
                      <w:rFonts w:eastAsia="等线"/>
                      <w:color w:val="auto"/>
                      <w:szCs w:val="21"/>
                      <w:highlight w:val="none"/>
                    </w:rPr>
                  </w:pPr>
                  <w:r>
                    <w:rPr>
                      <w:rFonts w:hint="eastAsia"/>
                      <w:color w:val="auto"/>
                      <w:szCs w:val="21"/>
                      <w:highlight w:val="none"/>
                      <w:lang w:val="en-US" w:eastAsia="zh-CN"/>
                    </w:rPr>
                    <w:t>0.1</w:t>
                  </w:r>
                  <w:r>
                    <w:rPr>
                      <w:rFonts w:hint="eastAsia"/>
                      <w:color w:val="auto"/>
                      <w:szCs w:val="21"/>
                      <w:highlight w:val="none"/>
                    </w:rPr>
                    <w:t>m</w:t>
                  </w:r>
                  <w:r>
                    <w:rPr>
                      <w:rFonts w:hint="eastAsia"/>
                      <w:color w:val="auto"/>
                      <w:szCs w:val="21"/>
                      <w:highlight w:val="none"/>
                      <w:vertAlign w:val="superscript"/>
                    </w:rPr>
                    <w:t>2</w:t>
                  </w:r>
                  <w:r>
                    <w:rPr>
                      <w:rFonts w:hint="eastAsia"/>
                      <w:color w:val="auto"/>
                      <w:szCs w:val="21"/>
                      <w:highlight w:val="none"/>
                    </w:rPr>
                    <w:t>/</w:t>
                  </w:r>
                  <w:r>
                    <w:rPr>
                      <w:rFonts w:hint="eastAsia"/>
                      <w:color w:val="auto"/>
                      <w:szCs w:val="21"/>
                      <w:highlight w:val="none"/>
                      <w:lang w:val="en-US" w:eastAsia="zh-CN"/>
                    </w:rPr>
                    <w:t>只</w:t>
                  </w:r>
                </w:p>
              </w:tc>
              <w:tc>
                <w:tcPr>
                  <w:tcW w:w="718" w:type="pct"/>
                  <w:noWrap w:val="0"/>
                  <w:vAlign w:val="center"/>
                </w:tcPr>
                <w:p w14:paraId="34547FEF">
                  <w:pPr>
                    <w:pStyle w:val="101"/>
                    <w:rPr>
                      <w:rFonts w:eastAsia="等线"/>
                      <w:color w:val="auto"/>
                      <w:szCs w:val="21"/>
                      <w:highlight w:val="none"/>
                    </w:rPr>
                  </w:pPr>
                  <w:r>
                    <w:rPr>
                      <w:rFonts w:eastAsia="等线"/>
                      <w:color w:val="auto"/>
                      <w:szCs w:val="21"/>
                      <w:highlight w:val="none"/>
                    </w:rPr>
                    <w:t>100%</w:t>
                  </w:r>
                </w:p>
              </w:tc>
              <w:tc>
                <w:tcPr>
                  <w:tcW w:w="723" w:type="pct"/>
                  <w:noWrap w:val="0"/>
                  <w:vAlign w:val="center"/>
                </w:tcPr>
                <w:p w14:paraId="6E19003C">
                  <w:pPr>
                    <w:pStyle w:val="101"/>
                    <w:rPr>
                      <w:rFonts w:eastAsia="等线"/>
                      <w:color w:val="auto"/>
                      <w:szCs w:val="21"/>
                      <w:highlight w:val="none"/>
                    </w:rPr>
                  </w:pPr>
                  <w:r>
                    <w:rPr>
                      <w:rFonts w:hint="eastAsia" w:eastAsia="等线"/>
                      <w:color w:val="auto"/>
                      <w:szCs w:val="21"/>
                      <w:highlight w:val="none"/>
                    </w:rPr>
                    <w:t>15</w:t>
                  </w:r>
                  <w:r>
                    <w:rPr>
                      <w:color w:val="auto"/>
                      <w:szCs w:val="21"/>
                      <w:highlight w:val="none"/>
                    </w:rPr>
                    <w:t>μm</w:t>
                  </w:r>
                </w:p>
              </w:tc>
              <w:tc>
                <w:tcPr>
                  <w:tcW w:w="669" w:type="pct"/>
                  <w:noWrap w:val="0"/>
                  <w:vAlign w:val="center"/>
                </w:tcPr>
                <w:p w14:paraId="0645D50D">
                  <w:pPr>
                    <w:pStyle w:val="101"/>
                    <w:rPr>
                      <w:rFonts w:hint="eastAsia" w:eastAsia="等线"/>
                      <w:color w:val="auto"/>
                      <w:highlight w:val="none"/>
                    </w:rPr>
                  </w:pPr>
                  <w:r>
                    <w:rPr>
                      <w:rFonts w:eastAsia="等线"/>
                      <w:color w:val="auto"/>
                      <w:highlight w:val="none"/>
                    </w:rPr>
                    <w:t>1.</w:t>
                  </w:r>
                  <w:r>
                    <w:rPr>
                      <w:rFonts w:hint="eastAsia" w:eastAsia="等线"/>
                      <w:color w:val="auto"/>
                      <w:highlight w:val="none"/>
                    </w:rPr>
                    <w:t>03</w:t>
                  </w:r>
                  <w:r>
                    <w:rPr>
                      <w:rFonts w:hint="eastAsia"/>
                      <w:bCs/>
                      <w:color w:val="auto"/>
                      <w:szCs w:val="21"/>
                      <w:highlight w:val="none"/>
                    </w:rPr>
                    <w:t>g/cm</w:t>
                  </w:r>
                  <w:r>
                    <w:rPr>
                      <w:bCs/>
                      <w:color w:val="auto"/>
                      <w:szCs w:val="21"/>
                      <w:highlight w:val="none"/>
                      <w:vertAlign w:val="superscript"/>
                    </w:rPr>
                    <w:t>3</w:t>
                  </w:r>
                </w:p>
              </w:tc>
              <w:tc>
                <w:tcPr>
                  <w:tcW w:w="864" w:type="pct"/>
                  <w:noWrap w:val="0"/>
                  <w:vAlign w:val="center"/>
                </w:tcPr>
                <w:p w14:paraId="491A1148">
                  <w:pPr>
                    <w:pStyle w:val="101"/>
                    <w:rPr>
                      <w:rFonts w:hint="eastAsia" w:eastAsia="等线"/>
                      <w:color w:val="auto"/>
                      <w:szCs w:val="21"/>
                      <w:highlight w:val="none"/>
                    </w:rPr>
                  </w:pPr>
                  <w:r>
                    <w:rPr>
                      <w:rFonts w:hint="eastAsia" w:eastAsia="等线"/>
                      <w:color w:val="auto"/>
                      <w:szCs w:val="21"/>
                      <w:highlight w:val="none"/>
                      <w:lang w:val="en-US" w:eastAsia="zh-CN"/>
                    </w:rPr>
                    <w:t>0.62</w:t>
                  </w:r>
                  <w:r>
                    <w:rPr>
                      <w:rFonts w:hint="eastAsia" w:eastAsia="等线"/>
                      <w:color w:val="auto"/>
                      <w:szCs w:val="21"/>
                      <w:highlight w:val="none"/>
                    </w:rPr>
                    <w:t>t/a</w:t>
                  </w:r>
                </w:p>
              </w:tc>
            </w:tr>
            <w:tr w14:paraId="15DF511C">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477" w:type="pct"/>
                  <w:noWrap w:val="0"/>
                  <w:vAlign w:val="center"/>
                </w:tcPr>
                <w:p w14:paraId="05622E72">
                  <w:pPr>
                    <w:pStyle w:val="101"/>
                    <w:rPr>
                      <w:rFonts w:hint="eastAsia"/>
                      <w:color w:val="auto"/>
                      <w:szCs w:val="21"/>
                      <w:highlight w:val="none"/>
                    </w:rPr>
                  </w:pPr>
                  <w:r>
                    <w:rPr>
                      <w:rFonts w:hint="eastAsia"/>
                      <w:color w:val="auto"/>
                      <w:szCs w:val="21"/>
                      <w:highlight w:val="none"/>
                    </w:rPr>
                    <w:t>合计</w:t>
                  </w:r>
                </w:p>
              </w:tc>
              <w:tc>
                <w:tcPr>
                  <w:tcW w:w="622" w:type="pct"/>
                  <w:noWrap w:val="0"/>
                  <w:vAlign w:val="center"/>
                </w:tcPr>
                <w:p w14:paraId="49B63522">
                  <w:pPr>
                    <w:pStyle w:val="101"/>
                    <w:rPr>
                      <w:rFonts w:hint="eastAsia"/>
                      <w:color w:val="auto"/>
                      <w:spacing w:val="2"/>
                      <w:szCs w:val="21"/>
                      <w:highlight w:val="none"/>
                    </w:rPr>
                  </w:pPr>
                  <w:r>
                    <w:rPr>
                      <w:rFonts w:hint="eastAsia"/>
                      <w:color w:val="auto"/>
                      <w:spacing w:val="2"/>
                      <w:szCs w:val="21"/>
                      <w:highlight w:val="none"/>
                    </w:rPr>
                    <w:t>/</w:t>
                  </w:r>
                </w:p>
              </w:tc>
              <w:tc>
                <w:tcPr>
                  <w:tcW w:w="925" w:type="pct"/>
                  <w:noWrap w:val="0"/>
                  <w:vAlign w:val="center"/>
                </w:tcPr>
                <w:p w14:paraId="52EB85FE">
                  <w:pPr>
                    <w:pStyle w:val="101"/>
                    <w:rPr>
                      <w:rFonts w:eastAsia="等线"/>
                      <w:color w:val="auto"/>
                      <w:szCs w:val="21"/>
                      <w:highlight w:val="none"/>
                    </w:rPr>
                  </w:pPr>
                  <w:r>
                    <w:rPr>
                      <w:rFonts w:hint="eastAsia" w:eastAsia="等线"/>
                      <w:color w:val="auto"/>
                      <w:szCs w:val="21"/>
                      <w:highlight w:val="none"/>
                    </w:rPr>
                    <w:t>/</w:t>
                  </w:r>
                </w:p>
              </w:tc>
              <w:tc>
                <w:tcPr>
                  <w:tcW w:w="718" w:type="pct"/>
                  <w:noWrap w:val="0"/>
                  <w:vAlign w:val="center"/>
                </w:tcPr>
                <w:p w14:paraId="0AF8D2E8">
                  <w:pPr>
                    <w:pStyle w:val="101"/>
                    <w:rPr>
                      <w:rFonts w:eastAsia="等线"/>
                      <w:color w:val="auto"/>
                      <w:szCs w:val="21"/>
                      <w:highlight w:val="none"/>
                    </w:rPr>
                  </w:pPr>
                  <w:r>
                    <w:rPr>
                      <w:rFonts w:hint="eastAsia" w:eastAsia="等线"/>
                      <w:color w:val="auto"/>
                      <w:szCs w:val="21"/>
                      <w:highlight w:val="none"/>
                    </w:rPr>
                    <w:t>/</w:t>
                  </w:r>
                </w:p>
              </w:tc>
              <w:tc>
                <w:tcPr>
                  <w:tcW w:w="723" w:type="pct"/>
                  <w:noWrap w:val="0"/>
                  <w:vAlign w:val="center"/>
                </w:tcPr>
                <w:p w14:paraId="66B9ABD8">
                  <w:pPr>
                    <w:pStyle w:val="101"/>
                    <w:rPr>
                      <w:rFonts w:eastAsia="等线"/>
                      <w:color w:val="auto"/>
                      <w:szCs w:val="21"/>
                      <w:highlight w:val="none"/>
                    </w:rPr>
                  </w:pPr>
                  <w:r>
                    <w:rPr>
                      <w:rFonts w:hint="eastAsia" w:eastAsia="等线"/>
                      <w:color w:val="auto"/>
                      <w:szCs w:val="21"/>
                      <w:highlight w:val="none"/>
                    </w:rPr>
                    <w:t>/</w:t>
                  </w:r>
                </w:p>
              </w:tc>
              <w:tc>
                <w:tcPr>
                  <w:tcW w:w="669" w:type="pct"/>
                  <w:noWrap w:val="0"/>
                  <w:vAlign w:val="center"/>
                </w:tcPr>
                <w:p w14:paraId="1368030C">
                  <w:pPr>
                    <w:pStyle w:val="101"/>
                    <w:rPr>
                      <w:rFonts w:eastAsia="等线"/>
                      <w:color w:val="auto"/>
                      <w:highlight w:val="none"/>
                    </w:rPr>
                  </w:pPr>
                  <w:r>
                    <w:rPr>
                      <w:rFonts w:hint="eastAsia" w:eastAsia="等线"/>
                      <w:color w:val="auto"/>
                      <w:highlight w:val="none"/>
                    </w:rPr>
                    <w:t>/</w:t>
                  </w:r>
                </w:p>
              </w:tc>
              <w:tc>
                <w:tcPr>
                  <w:tcW w:w="864" w:type="pct"/>
                  <w:noWrap w:val="0"/>
                  <w:vAlign w:val="center"/>
                </w:tcPr>
                <w:p w14:paraId="58634F0D">
                  <w:pPr>
                    <w:pStyle w:val="101"/>
                    <w:rPr>
                      <w:rFonts w:hint="eastAsia" w:eastAsia="等线"/>
                      <w:color w:val="auto"/>
                      <w:szCs w:val="21"/>
                      <w:highlight w:val="none"/>
                    </w:rPr>
                  </w:pPr>
                  <w:r>
                    <w:rPr>
                      <w:rFonts w:hint="eastAsia" w:eastAsia="等线"/>
                      <w:color w:val="auto"/>
                      <w:szCs w:val="21"/>
                      <w:highlight w:val="none"/>
                      <w:lang w:val="en-US" w:eastAsia="zh-CN"/>
                    </w:rPr>
                    <w:t>19.16</w:t>
                  </w:r>
                  <w:r>
                    <w:rPr>
                      <w:rFonts w:hint="eastAsia" w:eastAsia="等线"/>
                      <w:color w:val="auto"/>
                      <w:szCs w:val="21"/>
                      <w:highlight w:val="none"/>
                    </w:rPr>
                    <w:t>t/a</w:t>
                  </w:r>
                </w:p>
              </w:tc>
            </w:tr>
          </w:tbl>
          <w:p w14:paraId="7587CAD2">
            <w:pPr>
              <w:adjustRightInd w:val="0"/>
              <w:snapToGrid w:val="0"/>
              <w:spacing w:before="120" w:beforeLines="50" w:line="360" w:lineRule="auto"/>
              <w:ind w:firstLine="482" w:firstLineChars="200"/>
              <w:rPr>
                <w:b/>
                <w:color w:val="auto"/>
                <w:sz w:val="24"/>
              </w:rPr>
            </w:pPr>
            <w:r>
              <w:rPr>
                <w:rFonts w:hint="eastAsia"/>
                <w:b/>
                <w:color w:val="auto"/>
                <w:sz w:val="24"/>
                <w:lang w:val="en-US" w:eastAsia="zh-CN"/>
              </w:rPr>
              <w:t>③</w:t>
            </w:r>
            <w:r>
              <w:rPr>
                <w:rFonts w:hint="eastAsia"/>
                <w:b/>
                <w:color w:val="auto"/>
                <w:sz w:val="24"/>
              </w:rPr>
              <w:t>原辅料用量核算结果汇总表</w:t>
            </w:r>
          </w:p>
          <w:p w14:paraId="36549DB7">
            <w:pPr>
              <w:adjustRightInd w:val="0"/>
              <w:snapToGrid w:val="0"/>
              <w:spacing w:line="360" w:lineRule="auto"/>
              <w:ind w:firstLine="480" w:firstLineChars="200"/>
              <w:rPr>
                <w:rFonts w:hint="eastAsia"/>
                <w:bCs/>
                <w:color w:val="auto"/>
                <w:sz w:val="24"/>
              </w:rPr>
            </w:pPr>
            <w:r>
              <w:rPr>
                <w:rFonts w:hint="eastAsia"/>
                <w:bCs/>
                <w:color w:val="auto"/>
                <w:sz w:val="24"/>
              </w:rPr>
              <w:t>环评核算量按一定损耗向上取整，取值见下表。</w:t>
            </w:r>
          </w:p>
          <w:p w14:paraId="65B2BC72">
            <w:pPr>
              <w:numPr>
                <w:ilvl w:val="1"/>
                <w:numId w:val="1"/>
              </w:numPr>
              <w:adjustRightInd w:val="0"/>
              <w:snapToGrid w:val="0"/>
              <w:jc w:val="center"/>
              <w:rPr>
                <w:b/>
                <w:bCs/>
                <w:color w:val="auto"/>
                <w:sz w:val="24"/>
              </w:rPr>
            </w:pPr>
            <w:r>
              <w:rPr>
                <w:rFonts w:hint="eastAsia"/>
                <w:b/>
                <w:bCs/>
                <w:color w:val="auto"/>
              </w:rPr>
              <w:t>本项目计算理论值与环评核算量</w:t>
            </w:r>
          </w:p>
          <w:tbl>
            <w:tblPr>
              <w:tblStyle w:val="25"/>
              <w:tblW w:w="4735" w:type="pct"/>
              <w:tblInd w:w="0" w:type="dxa"/>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2662"/>
              <w:gridCol w:w="2664"/>
              <w:gridCol w:w="2664"/>
            </w:tblGrid>
            <w:tr w14:paraId="624B0823">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665" w:type="pct"/>
                  <w:noWrap w:val="0"/>
                  <w:vAlign w:val="center"/>
                </w:tcPr>
                <w:p w14:paraId="5FC217C6">
                  <w:pPr>
                    <w:pStyle w:val="101"/>
                    <w:rPr>
                      <w:b/>
                      <w:bCs/>
                      <w:color w:val="auto"/>
                      <w:szCs w:val="21"/>
                    </w:rPr>
                  </w:pPr>
                  <w:r>
                    <w:rPr>
                      <w:rFonts w:hint="eastAsia"/>
                      <w:b/>
                      <w:bCs/>
                      <w:color w:val="auto"/>
                      <w:szCs w:val="21"/>
                    </w:rPr>
                    <w:t>名称</w:t>
                  </w:r>
                </w:p>
              </w:tc>
              <w:tc>
                <w:tcPr>
                  <w:tcW w:w="1667" w:type="pct"/>
                  <w:noWrap w:val="0"/>
                  <w:vAlign w:val="center"/>
                </w:tcPr>
                <w:p w14:paraId="3823F573">
                  <w:pPr>
                    <w:pStyle w:val="101"/>
                    <w:rPr>
                      <w:b/>
                      <w:bCs/>
                      <w:color w:val="auto"/>
                      <w:szCs w:val="21"/>
                    </w:rPr>
                  </w:pPr>
                  <w:r>
                    <w:rPr>
                      <w:rFonts w:hint="eastAsia"/>
                      <w:b/>
                      <w:bCs/>
                      <w:color w:val="auto"/>
                      <w:szCs w:val="21"/>
                    </w:rPr>
                    <w:t>理论计算量（t/a）</w:t>
                  </w:r>
                </w:p>
              </w:tc>
              <w:tc>
                <w:tcPr>
                  <w:tcW w:w="1667" w:type="pct"/>
                  <w:noWrap w:val="0"/>
                  <w:vAlign w:val="center"/>
                </w:tcPr>
                <w:p w14:paraId="0B50D2A9">
                  <w:pPr>
                    <w:pStyle w:val="101"/>
                    <w:rPr>
                      <w:b/>
                      <w:bCs/>
                      <w:color w:val="auto"/>
                      <w:szCs w:val="21"/>
                    </w:rPr>
                  </w:pPr>
                  <w:r>
                    <w:rPr>
                      <w:rFonts w:hint="eastAsia"/>
                      <w:b/>
                      <w:bCs/>
                      <w:color w:val="auto"/>
                      <w:szCs w:val="21"/>
                    </w:rPr>
                    <w:t>环评核算量（t/a）</w:t>
                  </w:r>
                </w:p>
              </w:tc>
            </w:tr>
            <w:tr w14:paraId="1C389019">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665" w:type="pct"/>
                  <w:noWrap w:val="0"/>
                  <w:vAlign w:val="center"/>
                </w:tcPr>
                <w:p w14:paraId="006343F9">
                  <w:pPr>
                    <w:pStyle w:val="101"/>
                    <w:rPr>
                      <w:color w:val="auto"/>
                      <w:szCs w:val="21"/>
                    </w:rPr>
                  </w:pPr>
                  <w:r>
                    <w:rPr>
                      <w:color w:val="auto"/>
                      <w:szCs w:val="21"/>
                    </w:rPr>
                    <w:t>UV油墨</w:t>
                  </w:r>
                </w:p>
              </w:tc>
              <w:tc>
                <w:tcPr>
                  <w:tcW w:w="1667" w:type="pct"/>
                  <w:noWrap w:val="0"/>
                  <w:vAlign w:val="center"/>
                </w:tcPr>
                <w:p w14:paraId="19988A57">
                  <w:pPr>
                    <w:pStyle w:val="101"/>
                    <w:rPr>
                      <w:rFonts w:hint="eastAsia"/>
                      <w:color w:val="auto"/>
                      <w:szCs w:val="21"/>
                    </w:rPr>
                  </w:pPr>
                  <w:r>
                    <w:rPr>
                      <w:rFonts w:hint="eastAsia"/>
                      <w:color w:val="auto"/>
                      <w:szCs w:val="21"/>
                      <w:lang w:val="en-US" w:eastAsia="zh-CN"/>
                    </w:rPr>
                    <w:t>6.481</w:t>
                  </w:r>
                </w:p>
              </w:tc>
              <w:tc>
                <w:tcPr>
                  <w:tcW w:w="1667" w:type="pct"/>
                  <w:noWrap w:val="0"/>
                  <w:vAlign w:val="center"/>
                </w:tcPr>
                <w:p w14:paraId="156E21E1">
                  <w:pPr>
                    <w:pStyle w:val="101"/>
                    <w:rPr>
                      <w:rFonts w:hint="default" w:eastAsia="宋体"/>
                      <w:color w:val="auto"/>
                      <w:szCs w:val="21"/>
                      <w:lang w:val="en-US" w:eastAsia="zh-CN"/>
                    </w:rPr>
                  </w:pPr>
                  <w:r>
                    <w:rPr>
                      <w:rFonts w:hint="eastAsia"/>
                      <w:color w:val="auto"/>
                      <w:szCs w:val="21"/>
                      <w:lang w:val="en-US" w:eastAsia="zh-CN"/>
                    </w:rPr>
                    <w:t>6.5</w:t>
                  </w:r>
                </w:p>
              </w:tc>
            </w:tr>
            <w:tr w14:paraId="7DDAEBE1">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665" w:type="pct"/>
                  <w:noWrap w:val="0"/>
                  <w:vAlign w:val="center"/>
                </w:tcPr>
                <w:p w14:paraId="090B94E8">
                  <w:pPr>
                    <w:pStyle w:val="101"/>
                    <w:rPr>
                      <w:color w:val="auto"/>
                      <w:szCs w:val="21"/>
                    </w:rPr>
                  </w:pPr>
                  <w:r>
                    <w:rPr>
                      <w:color w:val="auto"/>
                      <w:szCs w:val="21"/>
                    </w:rPr>
                    <w:t>喷墨</w:t>
                  </w:r>
                </w:p>
              </w:tc>
              <w:tc>
                <w:tcPr>
                  <w:tcW w:w="1667" w:type="pct"/>
                  <w:noWrap w:val="0"/>
                  <w:vAlign w:val="center"/>
                </w:tcPr>
                <w:p w14:paraId="45E781B6">
                  <w:pPr>
                    <w:pStyle w:val="101"/>
                    <w:rPr>
                      <w:rFonts w:hint="eastAsia"/>
                      <w:color w:val="auto"/>
                      <w:szCs w:val="21"/>
                    </w:rPr>
                  </w:pPr>
                  <w:r>
                    <w:rPr>
                      <w:rFonts w:hint="eastAsia"/>
                      <w:color w:val="auto"/>
                      <w:szCs w:val="21"/>
                      <w:lang w:val="en-US" w:eastAsia="zh-CN"/>
                    </w:rPr>
                    <w:t>0.074</w:t>
                  </w:r>
                </w:p>
              </w:tc>
              <w:tc>
                <w:tcPr>
                  <w:tcW w:w="1667" w:type="pct"/>
                  <w:noWrap w:val="0"/>
                  <w:vAlign w:val="center"/>
                </w:tcPr>
                <w:p w14:paraId="7732AFDA">
                  <w:pPr>
                    <w:pStyle w:val="101"/>
                    <w:rPr>
                      <w:rFonts w:hint="eastAsia"/>
                      <w:color w:val="auto"/>
                      <w:szCs w:val="21"/>
                    </w:rPr>
                  </w:pPr>
                  <w:r>
                    <w:rPr>
                      <w:rFonts w:hint="eastAsia"/>
                      <w:color w:val="auto"/>
                      <w:szCs w:val="21"/>
                    </w:rPr>
                    <w:t>0.</w:t>
                  </w:r>
                  <w:r>
                    <w:rPr>
                      <w:rFonts w:hint="eastAsia"/>
                      <w:color w:val="auto"/>
                      <w:szCs w:val="21"/>
                      <w:lang w:val="en-US" w:eastAsia="zh-CN"/>
                    </w:rPr>
                    <w:t>0</w:t>
                  </w:r>
                  <w:r>
                    <w:rPr>
                      <w:rFonts w:hint="eastAsia"/>
                      <w:color w:val="auto"/>
                      <w:szCs w:val="21"/>
                    </w:rPr>
                    <w:t>8</w:t>
                  </w:r>
                </w:p>
              </w:tc>
            </w:tr>
            <w:tr w14:paraId="30FA0226">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665" w:type="pct"/>
                  <w:noWrap w:val="0"/>
                  <w:vAlign w:val="center"/>
                </w:tcPr>
                <w:p w14:paraId="64BC6F5A">
                  <w:pPr>
                    <w:pStyle w:val="101"/>
                    <w:rPr>
                      <w:color w:val="auto"/>
                      <w:szCs w:val="21"/>
                    </w:rPr>
                  </w:pPr>
                  <w:r>
                    <w:rPr>
                      <w:color w:val="auto"/>
                      <w:szCs w:val="21"/>
                    </w:rPr>
                    <w:t>水性光油</w:t>
                  </w:r>
                </w:p>
              </w:tc>
              <w:tc>
                <w:tcPr>
                  <w:tcW w:w="1667" w:type="pct"/>
                  <w:noWrap w:val="0"/>
                  <w:vAlign w:val="center"/>
                </w:tcPr>
                <w:p w14:paraId="714E3134">
                  <w:pPr>
                    <w:pStyle w:val="101"/>
                    <w:rPr>
                      <w:rFonts w:hint="eastAsia"/>
                      <w:color w:val="auto"/>
                      <w:szCs w:val="21"/>
                    </w:rPr>
                  </w:pPr>
                  <w:r>
                    <w:rPr>
                      <w:rFonts w:hint="eastAsia"/>
                      <w:color w:val="auto"/>
                      <w:szCs w:val="21"/>
                      <w:lang w:val="en-US" w:eastAsia="zh-CN"/>
                    </w:rPr>
                    <w:t>0.73</w:t>
                  </w:r>
                </w:p>
              </w:tc>
              <w:tc>
                <w:tcPr>
                  <w:tcW w:w="1667" w:type="pct"/>
                  <w:noWrap w:val="0"/>
                  <w:vAlign w:val="center"/>
                </w:tcPr>
                <w:p w14:paraId="13D50E5D">
                  <w:pPr>
                    <w:pStyle w:val="101"/>
                    <w:rPr>
                      <w:rFonts w:hint="default" w:eastAsia="宋体"/>
                      <w:color w:val="auto"/>
                      <w:szCs w:val="21"/>
                      <w:lang w:val="en-US" w:eastAsia="zh-CN"/>
                    </w:rPr>
                  </w:pPr>
                  <w:r>
                    <w:rPr>
                      <w:rFonts w:hint="eastAsia"/>
                      <w:color w:val="auto"/>
                      <w:szCs w:val="21"/>
                      <w:lang w:val="en-US" w:eastAsia="zh-CN"/>
                    </w:rPr>
                    <w:t>0.8</w:t>
                  </w:r>
                </w:p>
              </w:tc>
            </w:tr>
            <w:tr w14:paraId="70355E9B">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5" w:type="pct"/>
                  <w:noWrap w:val="0"/>
                  <w:vAlign w:val="center"/>
                </w:tcPr>
                <w:p w14:paraId="37E664CB">
                  <w:pPr>
                    <w:pStyle w:val="101"/>
                    <w:rPr>
                      <w:rFonts w:hint="eastAsia" w:eastAsia="宋体"/>
                      <w:color w:val="auto"/>
                      <w:szCs w:val="21"/>
                      <w:lang w:eastAsia="zh-CN"/>
                    </w:rPr>
                  </w:pPr>
                  <w:r>
                    <w:rPr>
                      <w:color w:val="auto"/>
                      <w:szCs w:val="21"/>
                    </w:rPr>
                    <w:t>水性</w:t>
                  </w:r>
                  <w:r>
                    <w:rPr>
                      <w:rFonts w:hint="eastAsia"/>
                      <w:color w:val="auto"/>
                      <w:szCs w:val="21"/>
                      <w:lang w:val="en-US" w:eastAsia="zh-CN"/>
                    </w:rPr>
                    <w:t>胶粘剂</w:t>
                  </w:r>
                </w:p>
              </w:tc>
              <w:tc>
                <w:tcPr>
                  <w:tcW w:w="1667" w:type="pct"/>
                  <w:noWrap w:val="0"/>
                  <w:vAlign w:val="center"/>
                </w:tcPr>
                <w:p w14:paraId="2E8598ED">
                  <w:pPr>
                    <w:pStyle w:val="101"/>
                    <w:rPr>
                      <w:rFonts w:hint="eastAsia"/>
                      <w:color w:val="auto"/>
                      <w:szCs w:val="21"/>
                    </w:rPr>
                  </w:pPr>
                  <w:r>
                    <w:rPr>
                      <w:rFonts w:hint="eastAsia" w:eastAsia="等线"/>
                      <w:color w:val="auto"/>
                      <w:szCs w:val="21"/>
                      <w:highlight w:val="none"/>
                      <w:lang w:val="en-US" w:eastAsia="zh-CN"/>
                    </w:rPr>
                    <w:t>24.43</w:t>
                  </w:r>
                </w:p>
              </w:tc>
              <w:tc>
                <w:tcPr>
                  <w:tcW w:w="1667" w:type="pct"/>
                  <w:noWrap w:val="0"/>
                  <w:vAlign w:val="center"/>
                </w:tcPr>
                <w:p w14:paraId="26D4F53D">
                  <w:pPr>
                    <w:pStyle w:val="101"/>
                    <w:rPr>
                      <w:rFonts w:hint="default"/>
                      <w:color w:val="auto"/>
                      <w:szCs w:val="21"/>
                      <w:lang w:val="en-US"/>
                    </w:rPr>
                  </w:pPr>
                  <w:r>
                    <w:rPr>
                      <w:rFonts w:hint="eastAsia"/>
                      <w:color w:val="auto"/>
                      <w:szCs w:val="21"/>
                      <w:lang w:val="en-US" w:eastAsia="zh-CN"/>
                    </w:rPr>
                    <w:t>24.5</w:t>
                  </w:r>
                </w:p>
              </w:tc>
            </w:tr>
            <w:tr w14:paraId="7C80523E">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665" w:type="pct"/>
                  <w:noWrap w:val="0"/>
                  <w:vAlign w:val="center"/>
                </w:tcPr>
                <w:p w14:paraId="33365482">
                  <w:pPr>
                    <w:pStyle w:val="101"/>
                    <w:rPr>
                      <w:color w:val="auto"/>
                      <w:szCs w:val="21"/>
                    </w:rPr>
                  </w:pPr>
                  <w:r>
                    <w:rPr>
                      <w:color w:val="auto"/>
                      <w:szCs w:val="21"/>
                    </w:rPr>
                    <w:t>水性干式覆膜胶</w:t>
                  </w:r>
                </w:p>
              </w:tc>
              <w:tc>
                <w:tcPr>
                  <w:tcW w:w="1667" w:type="pct"/>
                  <w:noWrap w:val="0"/>
                  <w:vAlign w:val="center"/>
                </w:tcPr>
                <w:p w14:paraId="47A0B3E4">
                  <w:pPr>
                    <w:pStyle w:val="101"/>
                    <w:rPr>
                      <w:rFonts w:hint="eastAsia"/>
                      <w:color w:val="auto"/>
                      <w:szCs w:val="21"/>
                    </w:rPr>
                  </w:pPr>
                  <w:r>
                    <w:rPr>
                      <w:rFonts w:hint="eastAsia" w:eastAsia="等线"/>
                      <w:color w:val="auto"/>
                      <w:szCs w:val="21"/>
                      <w:highlight w:val="none"/>
                      <w:lang w:val="en-US" w:eastAsia="zh-CN"/>
                    </w:rPr>
                    <w:t>19.16</w:t>
                  </w:r>
                </w:p>
              </w:tc>
              <w:tc>
                <w:tcPr>
                  <w:tcW w:w="1667" w:type="pct"/>
                  <w:noWrap w:val="0"/>
                  <w:vAlign w:val="center"/>
                </w:tcPr>
                <w:p w14:paraId="02E22B62">
                  <w:pPr>
                    <w:pStyle w:val="101"/>
                    <w:rPr>
                      <w:rFonts w:hint="default" w:eastAsia="宋体"/>
                      <w:color w:val="auto"/>
                      <w:szCs w:val="21"/>
                      <w:lang w:val="en-US" w:eastAsia="zh-CN"/>
                    </w:rPr>
                  </w:pPr>
                  <w:r>
                    <w:rPr>
                      <w:rFonts w:hint="eastAsia"/>
                      <w:color w:val="auto"/>
                      <w:szCs w:val="21"/>
                      <w:lang w:val="en-US" w:eastAsia="zh-CN"/>
                    </w:rPr>
                    <w:t>19.5</w:t>
                  </w:r>
                </w:p>
              </w:tc>
            </w:tr>
          </w:tbl>
          <w:p w14:paraId="684473B7">
            <w:pPr>
              <w:adjustRightInd w:val="0"/>
              <w:snapToGrid w:val="0"/>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7.</w:t>
            </w:r>
            <w:r>
              <w:rPr>
                <w:rFonts w:hint="default" w:ascii="Times New Roman" w:hAnsi="Times New Roman" w:cs="Times New Roman"/>
                <w:b/>
                <w:bCs/>
                <w:color w:val="auto"/>
                <w:sz w:val="24"/>
                <w:highlight w:val="none"/>
              </w:rPr>
              <w:t>VOC</w:t>
            </w:r>
            <w:r>
              <w:rPr>
                <w:rFonts w:hint="default" w:ascii="Times New Roman" w:hAnsi="Times New Roman" w:cs="Times New Roman"/>
                <w:color w:val="auto"/>
                <w:sz w:val="24"/>
                <w:highlight w:val="none"/>
              </w:rPr>
              <w:t>s</w:t>
            </w:r>
            <w:r>
              <w:rPr>
                <w:rFonts w:hint="default" w:ascii="Times New Roman" w:hAnsi="Times New Roman" w:cs="Times New Roman"/>
                <w:b/>
                <w:bCs/>
                <w:color w:val="auto"/>
                <w:sz w:val="24"/>
                <w:highlight w:val="none"/>
              </w:rPr>
              <w:t>平衡及水平衡</w:t>
            </w:r>
          </w:p>
          <w:p w14:paraId="6835F8A3">
            <w:pPr>
              <w:adjustRightInd w:val="0"/>
              <w:snapToGrid w:val="0"/>
              <w:spacing w:line="360" w:lineRule="auto"/>
              <w:ind w:firstLine="480" w:firstLineChars="200"/>
              <w:rPr>
                <w:color w:val="auto"/>
                <w:sz w:val="24"/>
                <w:highlight w:val="none"/>
              </w:rPr>
            </w:pPr>
            <w:r>
              <w:rPr>
                <w:rFonts w:hint="eastAsia"/>
                <w:color w:val="auto"/>
                <w:sz w:val="24"/>
                <w:highlight w:val="none"/>
              </w:rPr>
              <w:t>（1）VOC</w:t>
            </w:r>
            <w:r>
              <w:rPr>
                <w:color w:val="auto"/>
                <w:sz w:val="24"/>
                <w:highlight w:val="none"/>
              </w:rPr>
              <w:t>s</w:t>
            </w:r>
            <w:r>
              <w:rPr>
                <w:rFonts w:hint="eastAsia"/>
                <w:color w:val="auto"/>
                <w:sz w:val="24"/>
                <w:highlight w:val="none"/>
              </w:rPr>
              <w:t>平衡</w:t>
            </w:r>
          </w:p>
          <w:p w14:paraId="45681524">
            <w:pPr>
              <w:spacing w:line="360" w:lineRule="auto"/>
              <w:ind w:firstLine="480" w:firstLineChars="200"/>
              <w:rPr>
                <w:color w:val="auto"/>
                <w:sz w:val="24"/>
                <w:highlight w:val="none"/>
              </w:rPr>
            </w:pPr>
            <w:r>
              <w:rPr>
                <w:color w:val="auto"/>
                <w:sz w:val="24"/>
                <w:highlight w:val="none"/>
              </w:rPr>
              <w:t>本项目VOCs平衡见</w:t>
            </w:r>
            <w:r>
              <w:rPr>
                <w:rFonts w:hint="eastAsia"/>
                <w:color w:val="auto"/>
                <w:sz w:val="24"/>
                <w:highlight w:val="none"/>
              </w:rPr>
              <w:t>下</w:t>
            </w:r>
            <w:r>
              <w:rPr>
                <w:color w:val="auto"/>
                <w:sz w:val="24"/>
                <w:highlight w:val="none"/>
              </w:rPr>
              <w:t>图。</w:t>
            </w:r>
          </w:p>
          <w:p w14:paraId="4D10E2F5">
            <w:pPr>
              <w:spacing w:line="360" w:lineRule="auto"/>
              <w:jc w:val="center"/>
              <w:rPr>
                <w:color w:val="auto"/>
                <w:sz w:val="24"/>
                <w:highlight w:val="yellow"/>
              </w:rPr>
            </w:pPr>
            <w:r>
              <w:rPr>
                <w:color w:val="auto"/>
                <w:sz w:val="24"/>
                <w:highlight w:val="none"/>
              </w:rPr>
              <w:object>
                <v:shape id="_x0000_i1025" o:spt="75" type="#_x0000_t75" style="height:134.25pt;width:348.75pt;" o:ole="t" filled="f" o:preferrelative="t" stroked="f" coordsize="21600,21600">
                  <v:path/>
                  <v:fill on="f" focussize="0,0"/>
                  <v:stroke on="f"/>
                  <v:imagedata r:id="rId19" o:title=""/>
                  <o:lock v:ext="edit" aspectratio="f"/>
                  <w10:wrap type="none"/>
                  <w10:anchorlock/>
                </v:shape>
                <o:OLEObject Type="Embed" ProgID="Visio.Drawing.15" ShapeID="_x0000_i1025" DrawAspect="Content" ObjectID="_1468075725" r:id="rId18">
                  <o:LockedField>false</o:LockedField>
                </o:OLEObject>
              </w:object>
            </w:r>
          </w:p>
          <w:p w14:paraId="40C1C700">
            <w:pPr>
              <w:jc w:val="center"/>
              <w:rPr>
                <w:b/>
                <w:bCs/>
                <w:color w:val="auto"/>
                <w:szCs w:val="21"/>
                <w:highlight w:val="yellow"/>
              </w:rPr>
            </w:pPr>
          </w:p>
          <w:p w14:paraId="68E0D052">
            <w:pPr>
              <w:jc w:val="center"/>
              <w:rPr>
                <w:b/>
                <w:bCs/>
                <w:color w:val="auto"/>
                <w:szCs w:val="21"/>
                <w:highlight w:val="yellow"/>
              </w:rPr>
            </w:pPr>
          </w:p>
          <w:p w14:paraId="2C5F0717">
            <w:pPr>
              <w:jc w:val="center"/>
              <w:rPr>
                <w:b/>
                <w:bCs/>
                <w:color w:val="auto"/>
                <w:szCs w:val="21"/>
                <w:highlight w:val="yellow"/>
              </w:rPr>
            </w:pPr>
          </w:p>
          <w:p w14:paraId="187E9E3A">
            <w:pPr>
              <w:jc w:val="center"/>
              <w:rPr>
                <w:b/>
                <w:bCs/>
                <w:color w:val="auto"/>
                <w:szCs w:val="21"/>
                <w:highlight w:val="yellow"/>
              </w:rPr>
            </w:pPr>
          </w:p>
          <w:p w14:paraId="51F44210">
            <w:pPr>
              <w:jc w:val="center"/>
              <w:rPr>
                <w:b/>
                <w:bCs/>
                <w:color w:val="auto"/>
                <w:szCs w:val="21"/>
                <w:highlight w:val="yellow"/>
              </w:rPr>
            </w:pPr>
            <w:r>
              <w:rPr>
                <w:b/>
                <w:bCs/>
                <w:color w:val="auto"/>
                <w:szCs w:val="21"/>
                <w:highlight w:val="none"/>
              </w:rPr>
              <w:object>
                <v:shape id="_x0000_i1026" o:spt="75" type="#_x0000_t75" style="height:140.25pt;width:337.5pt;" o:ole="t" filled="f" o:preferrelative="t" stroked="f" coordsize="21600,21600">
                  <v:path/>
                  <v:fill on="f" focussize="0,0"/>
                  <v:stroke on="f"/>
                  <v:imagedata r:id="rId21" o:title=""/>
                  <o:lock v:ext="edit" aspectratio="f"/>
                  <w10:wrap type="none"/>
                  <w10:anchorlock/>
                </v:shape>
                <o:OLEObject Type="Embed" ProgID="Visio.Drawing.15" ShapeID="_x0000_i1026" DrawAspect="Content" ObjectID="_1468075726" r:id="rId20">
                  <o:LockedField>false</o:LockedField>
                </o:OLEObject>
              </w:object>
            </w:r>
          </w:p>
          <w:p w14:paraId="4D0D13A7">
            <w:pPr>
              <w:jc w:val="center"/>
              <w:rPr>
                <w:b/>
                <w:bCs/>
                <w:color w:val="auto"/>
                <w:szCs w:val="21"/>
                <w:highlight w:val="yellow"/>
              </w:rPr>
            </w:pPr>
          </w:p>
          <w:p w14:paraId="137DB3F7">
            <w:pPr>
              <w:jc w:val="center"/>
              <w:rPr>
                <w:b/>
                <w:bCs/>
                <w:color w:val="auto"/>
                <w:szCs w:val="21"/>
                <w:highlight w:val="yellow"/>
              </w:rPr>
            </w:pPr>
          </w:p>
          <w:p w14:paraId="041050A7">
            <w:pPr>
              <w:jc w:val="center"/>
              <w:rPr>
                <w:b/>
                <w:bCs/>
                <w:color w:val="auto"/>
                <w:szCs w:val="21"/>
                <w:highlight w:val="yellow"/>
              </w:rPr>
            </w:pPr>
            <w:r>
              <w:rPr>
                <w:b/>
                <w:bCs/>
                <w:color w:val="auto"/>
                <w:szCs w:val="21"/>
                <w:highlight w:val="none"/>
              </w:rPr>
              <w:object>
                <v:shape id="_x0000_i1027" o:spt="75" type="#_x0000_t75" style="height:310.5pt;width:348.75pt;" o:ole="t" filled="f" o:preferrelative="t" stroked="f" coordsize="21600,21600">
                  <v:path/>
                  <v:fill on="f" focussize="0,0"/>
                  <v:stroke on="f"/>
                  <v:imagedata r:id="rId23" o:title=""/>
                  <o:lock v:ext="edit" aspectratio="f"/>
                  <w10:wrap type="none"/>
                  <w10:anchorlock/>
                </v:shape>
                <o:OLEObject Type="Embed" ProgID="Visio.Drawing.15" ShapeID="_x0000_i1027" DrawAspect="Content" ObjectID="_1468075727" r:id="rId22">
                  <o:LockedField>false</o:LockedField>
                </o:OLEObject>
              </w:object>
            </w:r>
          </w:p>
          <w:p w14:paraId="4BE9B6DE">
            <w:pPr>
              <w:jc w:val="center"/>
              <w:rPr>
                <w:b/>
                <w:bCs/>
                <w:color w:val="auto"/>
                <w:szCs w:val="21"/>
                <w:highlight w:val="yellow"/>
              </w:rPr>
            </w:pPr>
          </w:p>
          <w:p w14:paraId="4F2BB791">
            <w:pPr>
              <w:jc w:val="center"/>
              <w:rPr>
                <w:b/>
                <w:bCs/>
                <w:color w:val="auto"/>
                <w:szCs w:val="21"/>
                <w:highlight w:val="yellow"/>
              </w:rPr>
            </w:pPr>
          </w:p>
          <w:p w14:paraId="2E0C9609">
            <w:pPr>
              <w:jc w:val="center"/>
              <w:rPr>
                <w:color w:val="auto"/>
                <w:szCs w:val="21"/>
                <w:highlight w:val="none"/>
              </w:rPr>
            </w:pPr>
            <w:r>
              <w:rPr>
                <w:b/>
                <w:bCs/>
                <w:color w:val="auto"/>
                <w:szCs w:val="21"/>
                <w:highlight w:val="none"/>
              </w:rPr>
              <w:t xml:space="preserve">图2-1  </w:t>
            </w:r>
            <w:r>
              <w:rPr>
                <w:rFonts w:hint="eastAsia"/>
                <w:b/>
                <w:bCs/>
                <w:color w:val="auto"/>
                <w:szCs w:val="21"/>
                <w:highlight w:val="none"/>
              </w:rPr>
              <w:t>本</w:t>
            </w:r>
            <w:r>
              <w:rPr>
                <w:b/>
                <w:bCs/>
                <w:color w:val="auto"/>
                <w:szCs w:val="21"/>
                <w:highlight w:val="none"/>
              </w:rPr>
              <w:t>项目VOC</w:t>
            </w:r>
            <w:r>
              <w:rPr>
                <w:rFonts w:hint="eastAsia"/>
                <w:b/>
                <w:bCs/>
                <w:color w:val="auto"/>
                <w:szCs w:val="21"/>
                <w:highlight w:val="none"/>
                <w:vertAlign w:val="subscript"/>
              </w:rPr>
              <w:t>S</w:t>
            </w:r>
            <w:r>
              <w:rPr>
                <w:b/>
                <w:bCs/>
                <w:color w:val="auto"/>
                <w:szCs w:val="21"/>
                <w:highlight w:val="none"/>
              </w:rPr>
              <w:t>平衡图</w:t>
            </w:r>
            <w:r>
              <w:rPr>
                <w:rFonts w:hint="eastAsia"/>
                <w:b/>
                <w:bCs/>
                <w:color w:val="auto"/>
                <w:szCs w:val="21"/>
                <w:highlight w:val="none"/>
              </w:rPr>
              <w:t>（单位：t/a）</w:t>
            </w:r>
          </w:p>
          <w:p w14:paraId="6EE39D8E">
            <w:pPr>
              <w:adjustRightInd w:val="0"/>
              <w:snapToGrid w:val="0"/>
              <w:spacing w:line="360" w:lineRule="auto"/>
              <w:ind w:firstLine="480" w:firstLineChars="200"/>
              <w:rPr>
                <w:color w:val="auto"/>
                <w:sz w:val="24"/>
                <w:highlight w:val="none"/>
              </w:rPr>
            </w:pPr>
            <w:r>
              <w:rPr>
                <w:rFonts w:hint="eastAsia"/>
                <w:color w:val="auto"/>
                <w:sz w:val="24"/>
                <w:highlight w:val="none"/>
              </w:rPr>
              <w:t>（2）水平衡</w:t>
            </w:r>
          </w:p>
          <w:p w14:paraId="730701A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本项目车间定期清扫不冲洗</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highlight w:val="none"/>
                <w:lang w:val="en-US" w:eastAsia="zh-CN"/>
              </w:rPr>
              <w:t>本项目车间无洗手池，无洗手废水。</w:t>
            </w:r>
            <w:r>
              <w:rPr>
                <w:rFonts w:hint="default" w:ascii="Times New Roman" w:hAnsi="Times New Roman" w:cs="Times New Roman"/>
                <w:color w:val="auto"/>
                <w:sz w:val="24"/>
                <w:szCs w:val="24"/>
                <w:lang w:val="en-US" w:eastAsia="zh-CN"/>
              </w:rPr>
              <w:t>因此</w:t>
            </w:r>
            <w:r>
              <w:rPr>
                <w:rFonts w:hint="default" w:ascii="Times New Roman" w:hAnsi="Times New Roman" w:cs="Times New Roman"/>
                <w:color w:val="auto"/>
                <w:sz w:val="24"/>
                <w:szCs w:val="24"/>
                <w:lang w:eastAsia="zh-CN"/>
              </w:rPr>
              <w:t>，本项目运营期外排废水主要为员工生活污水</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餐饮废水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lang w:eastAsia="zh-CN"/>
              </w:rPr>
              <w:t>生产废水为</w:t>
            </w:r>
            <w:r>
              <w:rPr>
                <w:rFonts w:hint="eastAsia" w:cs="Times New Roman"/>
                <w:color w:val="auto"/>
                <w:sz w:val="24"/>
                <w:szCs w:val="24"/>
                <w:lang w:val="en-US" w:eastAsia="zh-CN"/>
              </w:rPr>
              <w:t>冷却废水，</w:t>
            </w:r>
            <w:r>
              <w:rPr>
                <w:rFonts w:hint="eastAsia" w:ascii="宋体" w:hAnsi="宋体" w:cs="宋体"/>
                <w:color w:val="auto"/>
                <w:sz w:val="24"/>
                <w:szCs w:val="24"/>
                <w:lang w:val="en-US" w:eastAsia="zh-CN"/>
              </w:rPr>
              <w:t>本项目与现有工程共用1个循环冷却水池，现有工程冷却水循环使用不外排。本项目确定</w:t>
            </w:r>
            <w:r>
              <w:rPr>
                <w:rFonts w:hint="eastAsia" w:ascii="宋体" w:hAnsi="宋体" w:eastAsia="宋体" w:cs="宋体"/>
                <w:color w:val="auto"/>
                <w:sz w:val="24"/>
                <w:szCs w:val="24"/>
              </w:rPr>
              <w:t>冷却水经冷却</w:t>
            </w:r>
            <w:r>
              <w:rPr>
                <w:rFonts w:hint="eastAsia" w:ascii="宋体" w:hAnsi="宋体" w:cs="宋体"/>
                <w:color w:val="auto"/>
                <w:sz w:val="24"/>
                <w:szCs w:val="24"/>
                <w:lang w:val="en-US" w:eastAsia="zh-CN"/>
              </w:rPr>
              <w:t>水池</w:t>
            </w:r>
            <w:r>
              <w:rPr>
                <w:rFonts w:hint="eastAsia" w:ascii="宋体" w:hAnsi="宋体" w:eastAsia="宋体" w:cs="宋体"/>
                <w:color w:val="auto"/>
                <w:sz w:val="24"/>
                <w:szCs w:val="24"/>
              </w:rPr>
              <w:t>循环使用</w:t>
            </w:r>
            <w:r>
              <w:rPr>
                <w:rFonts w:hint="eastAsia" w:ascii="宋体" w:hAnsi="宋体" w:eastAsia="宋体" w:cs="宋体"/>
                <w:color w:val="auto"/>
                <w:sz w:val="24"/>
                <w:szCs w:val="24"/>
                <w:lang w:eastAsia="zh-CN"/>
              </w:rPr>
              <w:t>每</w:t>
            </w:r>
            <w:r>
              <w:rPr>
                <w:rFonts w:hint="eastAsia" w:ascii="宋体" w:hAnsi="宋体" w:cs="宋体"/>
                <w:color w:val="auto"/>
                <w:sz w:val="24"/>
                <w:szCs w:val="24"/>
                <w:lang w:val="en-US" w:eastAsia="zh-CN"/>
              </w:rPr>
              <w:t>月</w:t>
            </w:r>
            <w:r>
              <w:rPr>
                <w:rFonts w:hint="eastAsia" w:ascii="宋体" w:hAnsi="宋体" w:eastAsia="宋体" w:cs="宋体"/>
                <w:color w:val="auto"/>
                <w:sz w:val="24"/>
                <w:szCs w:val="24"/>
                <w:lang w:eastAsia="zh-CN"/>
              </w:rPr>
              <w:t>排放一次</w:t>
            </w:r>
            <w:r>
              <w:rPr>
                <w:rFonts w:hint="eastAsia" w:cs="Times New Roman"/>
                <w:color w:val="auto"/>
                <w:sz w:val="24"/>
                <w:szCs w:val="24"/>
                <w:lang w:val="en-US" w:eastAsia="zh-CN"/>
              </w:rPr>
              <w:t>、</w:t>
            </w:r>
            <w:r>
              <w:rPr>
                <w:rFonts w:hint="default" w:ascii="Times New Roman" w:hAnsi="Times New Roman" w:cs="Times New Roman"/>
                <w:color w:val="auto"/>
                <w:sz w:val="24"/>
                <w:szCs w:val="24"/>
                <w:lang w:eastAsia="zh-CN"/>
              </w:rPr>
              <w:t>洗版废水为</w:t>
            </w:r>
            <w:r>
              <w:rPr>
                <w:rFonts w:hint="default" w:ascii="Times New Roman" w:hAnsi="Times New Roman" w:cs="Times New Roman"/>
                <w:color w:val="auto"/>
                <w:sz w:val="24"/>
                <w:szCs w:val="24"/>
                <w:highlight w:val="none"/>
                <w:lang w:eastAsia="zh-CN"/>
              </w:rPr>
              <w:t>危废，委托有资质的单位定期收运处置</w:t>
            </w:r>
            <w:r>
              <w:rPr>
                <w:rFonts w:hint="default" w:ascii="Times New Roman" w:hAnsi="Times New Roman" w:cs="Times New Roman"/>
                <w:color w:val="auto"/>
                <w:sz w:val="24"/>
                <w:szCs w:val="24"/>
                <w:lang w:eastAsia="zh-CN"/>
              </w:rPr>
              <w:t>。</w:t>
            </w:r>
          </w:p>
          <w:p w14:paraId="5E84DDF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yellow"/>
                <w:lang w:eastAsia="zh-CN"/>
              </w:rPr>
            </w:pPr>
            <w:r>
              <w:rPr>
                <w:rFonts w:hint="default" w:ascii="Times New Roman" w:hAnsi="Times New Roman" w:eastAsia="宋体" w:cs="Times New Roman"/>
                <w:color w:val="auto"/>
                <w:sz w:val="24"/>
                <w:szCs w:val="24"/>
                <w:highlight w:val="none"/>
                <w:lang w:eastAsia="zh-CN"/>
              </w:rPr>
              <w:t>本项目车间定期清扫不冲洗，</w:t>
            </w:r>
            <w:r>
              <w:rPr>
                <w:rFonts w:hint="default" w:ascii="Times New Roman" w:hAnsi="Times New Roman" w:eastAsia="宋体" w:cs="Times New Roman"/>
                <w:color w:val="auto"/>
                <w:sz w:val="24"/>
                <w:szCs w:val="24"/>
              </w:rPr>
              <w:t>冷却水经冷却</w:t>
            </w:r>
            <w:r>
              <w:rPr>
                <w:rFonts w:hint="default" w:ascii="Times New Roman" w:hAnsi="Times New Roman" w:eastAsia="宋体" w:cs="Times New Roman"/>
                <w:color w:val="auto"/>
                <w:sz w:val="24"/>
                <w:szCs w:val="24"/>
                <w:lang w:val="en-US" w:eastAsia="zh-CN"/>
              </w:rPr>
              <w:t>池</w:t>
            </w:r>
            <w:r>
              <w:rPr>
                <w:rFonts w:hint="default" w:ascii="Times New Roman" w:hAnsi="Times New Roman" w:eastAsia="宋体" w:cs="Times New Roman"/>
                <w:color w:val="auto"/>
                <w:sz w:val="24"/>
                <w:szCs w:val="24"/>
              </w:rPr>
              <w:t>循环使用</w:t>
            </w:r>
            <w:r>
              <w:rPr>
                <w:rFonts w:hint="default" w:ascii="Times New Roman" w:hAnsi="Times New Roman" w:eastAsia="宋体" w:cs="Times New Roman"/>
                <w:color w:val="auto"/>
                <w:sz w:val="24"/>
                <w:szCs w:val="24"/>
                <w:lang w:val="en-US" w:eastAsia="zh-CN"/>
              </w:rPr>
              <w:t>不外排（本项目新增1台注塑机，本</w:t>
            </w:r>
            <w:r>
              <w:rPr>
                <w:rFonts w:hint="default" w:ascii="Times New Roman" w:hAnsi="Times New Roman" w:eastAsia="宋体" w:cs="Times New Roman"/>
                <w:color w:val="auto"/>
                <w:sz w:val="24"/>
                <w:szCs w:val="24"/>
                <w:highlight w:val="none"/>
                <w:lang w:val="en-US" w:eastAsia="zh-CN"/>
              </w:rPr>
              <w:t>项目与现有工程共用1个</w:t>
            </w:r>
            <w:r>
              <w:rPr>
                <w:rFonts w:hint="default" w:ascii="Times New Roman" w:hAnsi="Times New Roman" w:cs="Times New Roman"/>
                <w:color w:val="auto"/>
                <w:sz w:val="24"/>
                <w:szCs w:val="24"/>
                <w:highlight w:val="none"/>
                <w:lang w:val="en-US" w:eastAsia="zh-CN"/>
              </w:rPr>
              <w:t>循环冷却水池</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本项目车间无洗手池，无洗手废水。</w:t>
            </w:r>
            <w:r>
              <w:rPr>
                <w:rFonts w:hint="default" w:ascii="Times New Roman" w:hAnsi="Times New Roman" w:cs="Times New Roman"/>
                <w:color w:val="auto"/>
                <w:sz w:val="24"/>
                <w:szCs w:val="24"/>
                <w:highlight w:val="none"/>
                <w:lang w:val="en-US" w:eastAsia="zh-CN"/>
              </w:rPr>
              <w:t>因此</w:t>
            </w:r>
            <w:r>
              <w:rPr>
                <w:rFonts w:hint="default" w:ascii="Times New Roman" w:hAnsi="Times New Roman" w:cs="Times New Roman"/>
                <w:color w:val="auto"/>
                <w:sz w:val="24"/>
                <w:szCs w:val="24"/>
                <w:highlight w:val="none"/>
                <w:lang w:eastAsia="zh-CN"/>
              </w:rPr>
              <w:t>，本项目运营期外排废水主要为员工生活污水</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餐饮废水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生产废水为洗版废水为危废，委托有资质的单位定期收运处置</w:t>
            </w:r>
            <w:r>
              <w:rPr>
                <w:rFonts w:hint="default" w:ascii="Times New Roman" w:hAnsi="Times New Roman" w:eastAsia="宋体" w:cs="Times New Roman"/>
                <w:color w:val="auto"/>
                <w:sz w:val="24"/>
                <w:szCs w:val="24"/>
                <w:highlight w:val="none"/>
                <w:lang w:eastAsia="zh-CN"/>
              </w:rPr>
              <w:t>。</w:t>
            </w:r>
          </w:p>
          <w:p w14:paraId="6669DB27">
            <w:pPr>
              <w:adjustRightInd w:val="0"/>
              <w:snapToGrid w:val="0"/>
              <w:spacing w:line="360" w:lineRule="auto"/>
              <w:ind w:firstLine="482" w:firstLineChars="200"/>
              <w:jc w:val="left"/>
              <w:rPr>
                <w:rFonts w:hint="eastAsia" w:ascii="Times New Roman" w:hAnsi="Times New Roman" w:eastAsia="宋体" w:cs="Times New Roman"/>
                <w:color w:val="auto"/>
                <w:sz w:val="24"/>
                <w:szCs w:val="20"/>
                <w:lang w:val="en-US" w:eastAsia="zh-CN"/>
              </w:rPr>
            </w:pPr>
            <w:r>
              <w:rPr>
                <w:rFonts w:hint="default" w:ascii="Times New Roman" w:hAnsi="Times New Roman" w:cs="Times New Roman"/>
                <w:b/>
                <w:bCs/>
                <w:color w:val="auto"/>
                <w:sz w:val="24"/>
                <w:szCs w:val="20"/>
              </w:rPr>
              <w:t>冷却</w:t>
            </w:r>
            <w:r>
              <w:rPr>
                <w:rFonts w:hint="eastAsia" w:ascii="Times New Roman" w:hAnsi="Times New Roman" w:cs="Times New Roman"/>
                <w:b/>
                <w:bCs/>
                <w:color w:val="auto"/>
                <w:sz w:val="24"/>
                <w:szCs w:val="20"/>
                <w:lang w:val="en-US" w:eastAsia="zh-CN"/>
              </w:rPr>
              <w:t>用</w:t>
            </w:r>
            <w:r>
              <w:rPr>
                <w:rFonts w:hint="default" w:ascii="Times New Roman" w:hAnsi="Times New Roman" w:cs="Times New Roman"/>
                <w:b/>
                <w:bCs/>
                <w:color w:val="auto"/>
                <w:sz w:val="24"/>
                <w:szCs w:val="20"/>
              </w:rPr>
              <w:t>水</w:t>
            </w:r>
            <w:r>
              <w:rPr>
                <w:rFonts w:hint="default" w:ascii="Times New Roman" w:hAnsi="Times New Roman" w:cs="Times New Roman"/>
                <w:color w:val="auto"/>
                <w:sz w:val="24"/>
                <w:szCs w:val="20"/>
                <w:highlight w:val="none"/>
              </w:rPr>
              <w:t>：</w:t>
            </w:r>
            <w:r>
              <w:rPr>
                <w:rFonts w:ascii="Times New Roman" w:hAnsi="Times New Roman" w:eastAsia="宋体" w:cs="Times New Roman"/>
                <w:color w:val="auto"/>
                <w:sz w:val="24"/>
              </w:rPr>
              <w:t>项目</w:t>
            </w:r>
            <w:r>
              <w:rPr>
                <w:rFonts w:hint="eastAsia" w:ascii="Times New Roman" w:hAnsi="Times New Roman" w:eastAsia="宋体" w:cs="Times New Roman"/>
                <w:color w:val="auto"/>
                <w:sz w:val="24"/>
              </w:rPr>
              <w:t>注塑</w:t>
            </w:r>
            <w:r>
              <w:rPr>
                <w:rFonts w:ascii="Times New Roman" w:hAnsi="Times New Roman" w:eastAsia="宋体" w:cs="Times New Roman"/>
                <w:color w:val="auto"/>
                <w:sz w:val="24"/>
              </w:rPr>
              <w:t>过程需要使用冷却水对</w:t>
            </w:r>
            <w:r>
              <w:rPr>
                <w:rFonts w:hint="eastAsia" w:ascii="Times New Roman" w:hAnsi="Times New Roman" w:eastAsia="宋体" w:cs="Times New Roman"/>
                <w:color w:val="auto"/>
                <w:sz w:val="24"/>
              </w:rPr>
              <w:t>注塑机</w:t>
            </w:r>
            <w:r>
              <w:rPr>
                <w:rFonts w:ascii="Times New Roman" w:hAnsi="Times New Roman" w:eastAsia="宋体" w:cs="Times New Roman"/>
                <w:color w:val="auto"/>
                <w:sz w:val="24"/>
              </w:rPr>
              <w:t>进行间接冷却，</w:t>
            </w:r>
            <w:r>
              <w:rPr>
                <w:rFonts w:hint="default" w:ascii="Times New Roman" w:hAnsi="Times New Roman" w:cs="Times New Roman"/>
                <w:color w:val="auto"/>
                <w:sz w:val="24"/>
                <w:szCs w:val="20"/>
                <w:highlight w:val="none"/>
              </w:rPr>
              <w:t>水不与产品接触，</w:t>
            </w:r>
            <w:r>
              <w:rPr>
                <w:rFonts w:ascii="Times New Roman" w:hAnsi="Times New Roman" w:eastAsia="宋体" w:cs="Times New Roman"/>
                <w:color w:val="auto"/>
                <w:sz w:val="24"/>
              </w:rPr>
              <w:t>冷却水经冷却</w:t>
            </w:r>
            <w:r>
              <w:rPr>
                <w:rFonts w:hint="eastAsia" w:ascii="Times New Roman" w:hAnsi="Times New Roman" w:cs="Times New Roman"/>
                <w:color w:val="auto"/>
                <w:sz w:val="24"/>
                <w:lang w:val="en-US" w:eastAsia="zh-CN"/>
              </w:rPr>
              <w:t>水池</w:t>
            </w:r>
            <w:r>
              <w:rPr>
                <w:rFonts w:ascii="Times New Roman" w:hAnsi="Times New Roman" w:eastAsia="宋体" w:cs="Times New Roman"/>
                <w:color w:val="auto"/>
                <w:sz w:val="24"/>
              </w:rPr>
              <w:t>冷却后循环使用，</w:t>
            </w:r>
            <w:r>
              <w:rPr>
                <w:rFonts w:hint="eastAsia" w:ascii="Times New Roman" w:hAnsi="Times New Roman" w:eastAsia="宋体" w:cs="Times New Roman"/>
                <w:color w:val="auto"/>
                <w:sz w:val="24"/>
              </w:rPr>
              <w:t>定期</w:t>
            </w:r>
            <w:r>
              <w:rPr>
                <w:rFonts w:ascii="Times New Roman" w:hAnsi="Times New Roman" w:eastAsia="宋体" w:cs="Times New Roman"/>
                <w:color w:val="auto"/>
                <w:sz w:val="24"/>
              </w:rPr>
              <w:t>补充</w:t>
            </w:r>
            <w:r>
              <w:rPr>
                <w:rFonts w:hint="eastAsia" w:ascii="Times New Roman" w:hAnsi="Times New Roman" w:eastAsia="宋体" w:cs="Times New Roman"/>
                <w:color w:val="auto"/>
                <w:sz w:val="24"/>
              </w:rPr>
              <w:t>，定期排放</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冷却塔</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冷却水</w:t>
            </w:r>
            <w:r>
              <w:rPr>
                <w:rFonts w:hint="eastAsia" w:ascii="Times New Roman" w:hAnsi="Times New Roman" w:eastAsia="宋体" w:cs="Times New Roman"/>
                <w:color w:val="auto"/>
                <w:sz w:val="24"/>
              </w:rPr>
              <w:t>每</w:t>
            </w:r>
            <w:r>
              <w:rPr>
                <w:rFonts w:hint="eastAsia" w:ascii="Times New Roman" w:hAnsi="Times New Roman" w:cs="Times New Roman"/>
                <w:color w:val="auto"/>
                <w:sz w:val="24"/>
                <w:lang w:val="en-US" w:eastAsia="zh-CN"/>
              </w:rPr>
              <w:t>月</w:t>
            </w:r>
            <w:r>
              <w:rPr>
                <w:rFonts w:ascii="Times New Roman" w:hAnsi="Times New Roman" w:eastAsia="宋体" w:cs="Times New Roman"/>
                <w:color w:val="auto"/>
                <w:sz w:val="24"/>
              </w:rPr>
              <w:t>外排</w:t>
            </w:r>
            <w:r>
              <w:rPr>
                <w:rFonts w:hint="eastAsia" w:ascii="Times New Roman" w:hAnsi="Times New Roman" w:eastAsia="宋体" w:cs="Times New Roman"/>
                <w:color w:val="auto"/>
                <w:sz w:val="24"/>
              </w:rPr>
              <w:t>一次，</w:t>
            </w:r>
            <w:r>
              <w:rPr>
                <w:rFonts w:ascii="Times New Roman" w:hAnsi="Times New Roman" w:eastAsia="宋体" w:cs="Times New Roman"/>
                <w:color w:val="auto"/>
                <w:sz w:val="24"/>
                <w:lang w:val="en-US" w:eastAsia="zh-CN"/>
              </w:rPr>
              <w:t>项目冷却池容积为</w:t>
            </w:r>
            <w:r>
              <w:rPr>
                <w:rFonts w:hint="eastAsia" w:ascii="Times New Roman" w:hAnsi="Times New Roman" w:eastAsia="宋体" w:cs="Times New Roman"/>
                <w:color w:val="auto"/>
                <w:sz w:val="24"/>
                <w:lang w:val="en-US" w:eastAsia="zh-CN"/>
              </w:rPr>
              <w:t>1</w:t>
            </w:r>
            <w:r>
              <w:rPr>
                <w:rFonts w:ascii="Times New Roman" w:hAnsi="Times New Roman" w:eastAsia="宋体" w:cs="Times New Roman"/>
                <w:color w:val="auto"/>
                <w:sz w:val="24"/>
                <w:lang w:val="en-US" w:eastAsia="zh-CN"/>
              </w:rPr>
              <w:t>m</w:t>
            </w:r>
            <w:r>
              <w:rPr>
                <w:rFonts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vertAlign w:val="baseline"/>
                <w:lang w:val="en-US" w:eastAsia="zh-CN"/>
              </w:rPr>
              <w:t>，</w:t>
            </w:r>
            <w:r>
              <w:rPr>
                <w:rFonts w:hint="eastAsia" w:ascii="Times New Roman" w:hAnsi="Times New Roman" w:eastAsia="宋体" w:cs="Times New Roman"/>
                <w:color w:val="auto"/>
                <w:sz w:val="24"/>
              </w:rPr>
              <w:t>废水量</w:t>
            </w:r>
            <w:r>
              <w:rPr>
                <w:rFonts w:hint="eastAsia" w:cs="Times New Roman"/>
                <w:color w:val="auto"/>
                <w:sz w:val="24"/>
                <w:lang w:val="en-US" w:eastAsia="zh-CN"/>
              </w:rPr>
              <w:t>12</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/a。</w:t>
            </w:r>
            <w:r>
              <w:rPr>
                <w:rFonts w:hint="eastAsia" w:ascii="Times New Roman" w:hAnsi="Times New Roman" w:eastAsia="宋体" w:cs="Times New Roman"/>
                <w:color w:val="auto"/>
                <w:sz w:val="24"/>
              </w:rPr>
              <w:t>冷却水</w:t>
            </w:r>
            <w:r>
              <w:rPr>
                <w:rFonts w:ascii="Times New Roman" w:hAnsi="Times New Roman" w:eastAsia="宋体" w:cs="Times New Roman"/>
                <w:color w:val="auto"/>
                <w:sz w:val="24"/>
              </w:rPr>
              <w:t>每日补充新鲜水量为</w:t>
            </w:r>
            <w:r>
              <w:rPr>
                <w:rFonts w:hint="eastAsia" w:cs="Times New Roman"/>
                <w:color w:val="auto"/>
                <w:sz w:val="24"/>
                <w:lang w:val="en-US" w:eastAsia="zh-CN"/>
              </w:rPr>
              <w:t>0.1</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/d，即</w:t>
            </w:r>
            <w:r>
              <w:rPr>
                <w:rFonts w:hint="eastAsia" w:cs="Times New Roman"/>
                <w:color w:val="auto"/>
                <w:sz w:val="24"/>
                <w:lang w:val="en-US" w:eastAsia="zh-CN"/>
              </w:rPr>
              <w:t>30</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/a</w:t>
            </w:r>
            <w:r>
              <w:rPr>
                <w:rFonts w:hint="eastAsia" w:ascii="Times New Roman" w:hAnsi="Times New Roman" w:cs="Times New Roman"/>
                <w:color w:val="auto"/>
                <w:sz w:val="24"/>
                <w:lang w:eastAsia="zh-CN"/>
              </w:rPr>
              <w:t>。</w:t>
            </w:r>
          </w:p>
          <w:p w14:paraId="6EF9EBF7">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2"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sz w:val="24"/>
                <w:szCs w:val="24"/>
                <w:lang w:val="en-US" w:eastAsia="zh-CN"/>
              </w:rPr>
              <w:t>制版循环水：</w:t>
            </w:r>
            <w:r>
              <w:rPr>
                <w:rFonts w:hint="default" w:ascii="Times New Roman" w:hAnsi="Times New Roman" w:eastAsia="宋体" w:cs="Times New Roman"/>
                <w:color w:val="auto"/>
                <w:kern w:val="2"/>
                <w:sz w:val="24"/>
                <w:szCs w:val="24"/>
                <w:lang w:val="en-US" w:eastAsia="zh-CN" w:bidi="ar-SA"/>
              </w:rPr>
              <w:t>本次</w:t>
            </w:r>
            <w:r>
              <w:rPr>
                <w:rFonts w:hint="eastAsia" w:ascii="Times New Roman" w:hAnsi="Times New Roman" w:cs="Times New Roman"/>
                <w:color w:val="auto"/>
                <w:kern w:val="2"/>
                <w:sz w:val="24"/>
                <w:szCs w:val="24"/>
                <w:lang w:val="en-US" w:eastAsia="zh-CN" w:bidi="ar-SA"/>
              </w:rPr>
              <w:t>扩建</w:t>
            </w:r>
            <w:r>
              <w:rPr>
                <w:rFonts w:hint="default" w:ascii="Times New Roman" w:hAnsi="Times New Roman" w:eastAsia="宋体" w:cs="Times New Roman"/>
                <w:color w:val="auto"/>
                <w:kern w:val="2"/>
                <w:sz w:val="24"/>
                <w:szCs w:val="24"/>
                <w:lang w:val="en-US" w:eastAsia="zh-CN" w:bidi="ar-SA"/>
              </w:rPr>
              <w:t>新增</w:t>
            </w:r>
            <w:r>
              <w:rPr>
                <w:rFonts w:hint="eastAsia" w:ascii="Times New Roman" w:hAnsi="Times New Roman"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台CTP制版机，制版工序中洗版水经循环过滤装置处理后循环使用，定期排放，将产生生产废水：当循环水的pH值达不到洗版需求时，需对循环水进行更换，此过程将产生洗版废液。循环处理系统水箱的容积约40L，受循环水蒸发损失等因素影响，根据洗版水循环过滤系统运行经验，需定期补充新鲜水约0.02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/d，年补水量6.0m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/a。循环水量为40L，平均每10天更换一次，每次更换废水量为40L。因此，新增用水量为7.2m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/a，产生的生产废水共计约为1.2m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/a。更换废水同时对滤芯进行更换，产生的滤材滤渣及洗版废液作为危废，采取密闭容器收储后转移至危废暂存间暂存，委托有资质的单位定期收运处置。</w:t>
            </w:r>
          </w:p>
          <w:p w14:paraId="139A476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bCs/>
                <w:color w:val="auto"/>
                <w:sz w:val="24"/>
                <w:szCs w:val="24"/>
                <w:lang w:eastAsia="zh-CN"/>
              </w:rPr>
              <w:t>办公生活</w:t>
            </w:r>
            <w:r>
              <w:rPr>
                <w:rFonts w:hint="eastAsia" w:ascii="Times New Roman" w:hAnsi="Times New Roman" w:eastAsia="宋体" w:cs="Times New Roman"/>
                <w:b/>
                <w:bCs/>
                <w:color w:val="auto"/>
                <w:sz w:val="24"/>
                <w:szCs w:val="24"/>
                <w:lang w:val="en-US" w:eastAsia="zh-CN"/>
              </w:rPr>
              <w:t>用水</w:t>
            </w:r>
            <w:r>
              <w:rPr>
                <w:rFonts w:hint="default" w:ascii="Times New Roman" w:hAnsi="Times New Roman" w:eastAsia="宋体" w:cs="Times New Roman"/>
                <w:b/>
                <w:bCs/>
                <w:color w:val="auto"/>
                <w:sz w:val="24"/>
                <w:szCs w:val="24"/>
                <w:lang w:eastAsia="zh-CN"/>
              </w:rPr>
              <w:t>：</w:t>
            </w:r>
            <w:r>
              <w:rPr>
                <w:rFonts w:hint="eastAsia" w:ascii="Times New Roman" w:hAnsi="Times New Roman" w:eastAsia="宋体" w:cs="Times New Roman"/>
                <w:color w:val="auto"/>
                <w:sz w:val="24"/>
                <w:szCs w:val="24"/>
                <w:highlight w:val="none"/>
              </w:rPr>
              <w:t>区内设置有职工食堂和倒班宿舍，</w:t>
            </w:r>
            <w:r>
              <w:rPr>
                <w:rFonts w:hint="eastAsia" w:ascii="Times New Roman" w:hAnsi="Times New Roman" w:eastAsia="宋体" w:cs="Times New Roman"/>
                <w:color w:val="auto"/>
                <w:sz w:val="24"/>
                <w:szCs w:val="24"/>
                <w:highlight w:val="none"/>
                <w:lang w:val="en-US" w:eastAsia="zh-CN"/>
              </w:rPr>
              <w:t>本项目新增</w:t>
            </w:r>
            <w:r>
              <w:rPr>
                <w:rFonts w:hint="eastAsia" w:ascii="Times New Roman" w:hAnsi="Times New Roman" w:eastAsia="宋体" w:cs="Times New Roman"/>
                <w:color w:val="auto"/>
                <w:sz w:val="24"/>
                <w:szCs w:val="24"/>
                <w:highlight w:val="none"/>
              </w:rPr>
              <w:t>劳动定员</w:t>
            </w:r>
            <w:r>
              <w:rPr>
                <w:rFonts w:hint="eastAsia" w:ascii="Times New Roman" w:hAnsi="Times New Roman" w:eastAsia="宋体" w:cs="Times New Roman"/>
                <w:color w:val="auto"/>
                <w:sz w:val="24"/>
                <w:szCs w:val="24"/>
                <w:highlight w:val="none"/>
                <w:lang w:val="en-US" w:eastAsia="zh-CN"/>
              </w:rPr>
              <w:t>125</w:t>
            </w:r>
            <w:r>
              <w:rPr>
                <w:rFonts w:hint="eastAsia" w:ascii="Times New Roman" w:hAnsi="Times New Roman" w:eastAsia="宋体" w:cs="Times New Roman"/>
                <w:color w:val="auto"/>
                <w:sz w:val="24"/>
                <w:szCs w:val="24"/>
                <w:highlight w:val="none"/>
              </w:rPr>
              <w:t>人</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全年平均工作300天</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。根据《四川省用水定额》（川府函〔2021〕8号）及实际情况，本项目职工日常办公及生活用水量按100L/人·d计，则办公及生活用水量为</w:t>
            </w:r>
            <w:r>
              <w:rPr>
                <w:rFonts w:hint="eastAsia" w:ascii="Times New Roman" w:hAnsi="Times New Roman" w:eastAsia="宋体" w:cs="Times New Roman"/>
                <w:color w:val="auto"/>
                <w:sz w:val="24"/>
                <w:szCs w:val="24"/>
                <w:highlight w:val="none"/>
                <w:lang w:val="en-US" w:eastAsia="zh-CN"/>
              </w:rPr>
              <w:t>12.5</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val="en-US" w:eastAsia="zh-CN"/>
              </w:rPr>
              <w:t>3750</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/a），污水产生系数按80%计，则本项目办公及生活污水产生量为</w:t>
            </w:r>
            <w:r>
              <w:rPr>
                <w:rFonts w:hint="eastAsia"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val="en-US" w:eastAsia="zh-CN"/>
              </w:rPr>
              <w:t>3000</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/a）</w:t>
            </w:r>
            <w:r>
              <w:rPr>
                <w:rFonts w:hint="default" w:ascii="Times New Roman" w:hAnsi="Times New Roman" w:cs="Times New Roman"/>
                <w:color w:val="auto"/>
                <w:sz w:val="24"/>
                <w:szCs w:val="24"/>
                <w:lang w:eastAsia="zh-CN"/>
              </w:rPr>
              <w:t>。</w:t>
            </w:r>
          </w:p>
          <w:p w14:paraId="5940288C">
            <w:pPr>
              <w:pStyle w:val="24"/>
              <w:keepNext w:val="0"/>
              <w:keepLines w:val="0"/>
              <w:pageBreakBefore w:val="0"/>
              <w:widowControl w:val="0"/>
              <w:tabs>
                <w:tab w:val="left" w:pos="420"/>
                <w:tab w:val="left" w:pos="870"/>
                <w:tab w:val="left" w:pos="3150"/>
              </w:tabs>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食堂用水</w:t>
            </w:r>
            <w:r>
              <w:rPr>
                <w:rFonts w:hint="default" w:ascii="Times New Roman" w:hAnsi="Times New Roman" w:eastAsia="宋体" w:cs="Times New Roman"/>
                <w:color w:val="auto"/>
                <w:kern w:val="2"/>
                <w:sz w:val="24"/>
                <w:szCs w:val="24"/>
                <w:lang w:val="en-US" w:eastAsia="zh-CN" w:bidi="ar-SA"/>
              </w:rPr>
              <w:t>：餐饮用水按30L/人•d计算，</w:t>
            </w:r>
            <w:r>
              <w:rPr>
                <w:rFonts w:hint="eastAsia" w:ascii="Times New Roman" w:hAnsi="Times New Roman" w:eastAsia="宋体" w:cs="Times New Roman"/>
                <w:color w:val="auto"/>
                <w:kern w:val="2"/>
                <w:sz w:val="24"/>
                <w:szCs w:val="24"/>
                <w:lang w:val="en-US" w:eastAsia="zh-CN" w:bidi="ar-SA"/>
              </w:rPr>
              <w:t>现有工程未设置食堂，本项目新增食堂，新增用餐人数按160人计，</w:t>
            </w:r>
            <w:r>
              <w:rPr>
                <w:rFonts w:hint="default" w:ascii="Times New Roman" w:hAnsi="Times New Roman" w:eastAsia="宋体" w:cs="Times New Roman"/>
                <w:color w:val="auto"/>
                <w:kern w:val="2"/>
                <w:sz w:val="24"/>
                <w:szCs w:val="24"/>
                <w:lang w:val="en-US" w:eastAsia="zh-CN" w:bidi="ar-SA"/>
              </w:rPr>
              <w:t>则新增食堂日用水量为</w:t>
            </w:r>
            <w:r>
              <w:rPr>
                <w:rFonts w:hint="eastAsia" w:ascii="Times New Roman" w:hAnsi="Times New Roman" w:eastAsia="宋体" w:cs="Times New Roman"/>
                <w:color w:val="auto"/>
                <w:kern w:val="2"/>
                <w:sz w:val="24"/>
                <w:szCs w:val="24"/>
                <w:lang w:val="en-US" w:eastAsia="zh-CN" w:bidi="ar-SA"/>
              </w:rPr>
              <w:t>4.8</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w:t>
            </w:r>
            <w:r>
              <w:rPr>
                <w:rFonts w:hint="eastAsia" w:ascii="Times New Roman" w:hAnsi="Times New Roman" w:eastAsia="宋体" w:cs="Times New Roman"/>
                <w:color w:val="auto"/>
                <w:kern w:val="2"/>
                <w:sz w:val="24"/>
                <w:szCs w:val="24"/>
                <w:lang w:val="en-US" w:eastAsia="zh-CN" w:bidi="ar-SA"/>
              </w:rPr>
              <w:t>1440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/a），餐饮废水量按用水量的8</w:t>
            </w:r>
            <w:r>
              <w:rPr>
                <w:rFonts w:hint="eastAsia" w:ascii="Times New Roman" w:hAnsi="Times New Roman" w:eastAsia="宋体" w:cs="Times New Roman"/>
                <w:color w:val="auto"/>
                <w:kern w:val="2"/>
                <w:sz w:val="24"/>
                <w:szCs w:val="24"/>
                <w:lang w:val="en-US" w:eastAsia="zh-CN" w:bidi="ar-SA"/>
              </w:rPr>
              <w:t>0</w:t>
            </w:r>
            <w:r>
              <w:rPr>
                <w:rFonts w:hint="default" w:ascii="Times New Roman" w:hAnsi="Times New Roman" w:eastAsia="宋体" w:cs="Times New Roman"/>
                <w:color w:val="auto"/>
                <w:kern w:val="2"/>
                <w:sz w:val="24"/>
                <w:szCs w:val="24"/>
                <w:lang w:val="en-US" w:eastAsia="zh-CN" w:bidi="ar-SA"/>
              </w:rPr>
              <w:t>%计，则本项目新增餐饮废水产生量为</w:t>
            </w:r>
            <w:r>
              <w:rPr>
                <w:rFonts w:hint="eastAsia" w:ascii="Times New Roman" w:hAnsi="Times New Roman" w:eastAsia="宋体" w:cs="Times New Roman"/>
                <w:color w:val="auto"/>
                <w:kern w:val="2"/>
                <w:sz w:val="24"/>
                <w:szCs w:val="24"/>
                <w:lang w:val="en-US" w:eastAsia="zh-CN" w:bidi="ar-SA"/>
              </w:rPr>
              <w:t>3.84</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w:t>
            </w:r>
            <w:r>
              <w:rPr>
                <w:rFonts w:hint="eastAsia" w:ascii="Times New Roman" w:hAnsi="Times New Roman" w:eastAsia="宋体" w:cs="Times New Roman"/>
                <w:color w:val="auto"/>
                <w:kern w:val="2"/>
                <w:sz w:val="24"/>
                <w:szCs w:val="24"/>
                <w:lang w:val="en-US" w:eastAsia="zh-CN" w:bidi="ar-SA"/>
              </w:rPr>
              <w:t>1152</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w:t>
            </w:r>
            <w:r>
              <w:rPr>
                <w:rFonts w:hint="eastAsia" w:ascii="Times New Roman" w:hAnsi="Times New Roman" w:eastAsia="宋体" w:cs="Times New Roman"/>
                <w:color w:val="auto"/>
                <w:kern w:val="2"/>
                <w:sz w:val="24"/>
                <w:szCs w:val="24"/>
                <w:lang w:val="en-US" w:eastAsia="zh-CN" w:bidi="ar-SA"/>
              </w:rPr>
              <w:t>。</w:t>
            </w:r>
          </w:p>
          <w:p w14:paraId="3C3FEE96">
            <w:pPr>
              <w:pStyle w:val="62"/>
              <w:adjustRightInd/>
              <w:spacing w:line="360" w:lineRule="auto"/>
              <w:ind w:firstLine="480" w:firstLineChars="200"/>
              <w:jc w:val="both"/>
              <w:rPr>
                <w:color w:val="auto"/>
                <w:szCs w:val="24"/>
                <w:highlight w:val="none"/>
              </w:rPr>
            </w:pPr>
            <w:r>
              <w:rPr>
                <w:rFonts w:hint="eastAsia"/>
                <w:color w:val="auto"/>
                <w:szCs w:val="24"/>
                <w:highlight w:val="none"/>
              </w:rPr>
              <w:t>综上，</w:t>
            </w:r>
            <w:r>
              <w:rPr>
                <w:color w:val="auto"/>
                <w:szCs w:val="24"/>
                <w:highlight w:val="none"/>
              </w:rPr>
              <w:t>项目水平衡情况见</w:t>
            </w:r>
            <w:r>
              <w:rPr>
                <w:rFonts w:hint="eastAsia"/>
                <w:color w:val="auto"/>
                <w:szCs w:val="24"/>
                <w:highlight w:val="none"/>
              </w:rPr>
              <w:t>下图</w:t>
            </w:r>
            <w:r>
              <w:rPr>
                <w:color w:val="auto"/>
                <w:szCs w:val="24"/>
                <w:highlight w:val="none"/>
              </w:rPr>
              <w:t>。</w:t>
            </w:r>
          </w:p>
          <w:p w14:paraId="1E5CB67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sz w:val="24"/>
                <w:highlight w:val="none"/>
              </w:rPr>
            </w:pPr>
            <w:r>
              <w:rPr>
                <w:color w:val="auto"/>
                <w:sz w:val="24"/>
                <w:highlight w:val="none"/>
              </w:rPr>
              <w:object>
                <v:shape id="_x0000_i1028" o:spt="75" type="#_x0000_t75" style="height:205.35pt;width:421.65pt;" o:ole="t" filled="f" o:preferrelative="t" stroked="f" coordsize="21600,21600">
                  <v:path/>
                  <v:fill on="f" focussize="0,0"/>
                  <v:stroke on="f"/>
                  <v:imagedata r:id="rId25" o:title=""/>
                  <o:lock v:ext="edit" aspectratio="f"/>
                  <w10:wrap type="none"/>
                  <w10:anchorlock/>
                </v:shape>
                <o:OLEObject Type="Embed" ProgID="Visio.Drawing.15" ShapeID="_x0000_i1028" DrawAspect="Content" ObjectID="_1468075728" r:id="rId24">
                  <o:LockedField>false</o:LockedField>
                </o:OLEObject>
              </w:object>
            </w:r>
          </w:p>
          <w:p w14:paraId="623D6B44">
            <w:pPr>
              <w:adjustRightInd w:val="0"/>
              <w:snapToGrid w:val="0"/>
              <w:spacing w:line="360" w:lineRule="auto"/>
              <w:jc w:val="center"/>
              <w:rPr>
                <w:b/>
                <w:bCs/>
                <w:color w:val="auto"/>
                <w:szCs w:val="21"/>
                <w:highlight w:val="none"/>
              </w:rPr>
            </w:pPr>
            <w:r>
              <w:rPr>
                <w:b/>
                <w:color w:val="auto"/>
                <w:szCs w:val="21"/>
                <w:highlight w:val="none"/>
              </w:rPr>
              <w:t xml:space="preserve">图2-2  </w:t>
            </w:r>
            <w:r>
              <w:rPr>
                <w:rFonts w:hint="eastAsia"/>
                <w:b/>
                <w:color w:val="auto"/>
                <w:szCs w:val="21"/>
                <w:highlight w:val="none"/>
                <w:lang w:val="en-US" w:eastAsia="zh-CN"/>
              </w:rPr>
              <w:t>本项目</w:t>
            </w:r>
            <w:r>
              <w:rPr>
                <w:b/>
                <w:color w:val="auto"/>
                <w:szCs w:val="21"/>
                <w:highlight w:val="none"/>
              </w:rPr>
              <w:t>水平衡图</w:t>
            </w:r>
            <w:r>
              <w:rPr>
                <w:rFonts w:hint="eastAsia"/>
                <w:b/>
                <w:bCs/>
                <w:color w:val="auto"/>
                <w:szCs w:val="21"/>
                <w:highlight w:val="none"/>
              </w:rPr>
              <w:t>（单位：m</w:t>
            </w:r>
            <w:r>
              <w:rPr>
                <w:rFonts w:hint="eastAsia"/>
                <w:b/>
                <w:bCs/>
                <w:color w:val="auto"/>
                <w:szCs w:val="21"/>
                <w:highlight w:val="none"/>
                <w:vertAlign w:val="superscript"/>
              </w:rPr>
              <w:t>3</w:t>
            </w:r>
            <w:r>
              <w:rPr>
                <w:rFonts w:hint="eastAsia"/>
                <w:b/>
                <w:bCs/>
                <w:color w:val="auto"/>
                <w:szCs w:val="21"/>
                <w:highlight w:val="none"/>
              </w:rPr>
              <w:t>/</w:t>
            </w:r>
            <w:r>
              <w:rPr>
                <w:rFonts w:hint="eastAsia"/>
                <w:b/>
                <w:bCs/>
                <w:color w:val="auto"/>
                <w:szCs w:val="21"/>
                <w:highlight w:val="none"/>
                <w:lang w:val="en-US" w:eastAsia="zh-CN"/>
              </w:rPr>
              <w:t>a</w:t>
            </w:r>
            <w:r>
              <w:rPr>
                <w:rFonts w:hint="eastAsia"/>
                <w:b/>
                <w:bCs/>
                <w:color w:val="auto"/>
                <w:szCs w:val="21"/>
                <w:highlight w:val="none"/>
              </w:rPr>
              <w:t>）</w:t>
            </w:r>
          </w:p>
          <w:p w14:paraId="48120AC5">
            <w:pPr>
              <w:adjustRightInd w:val="0"/>
              <w:snapToGrid w:val="0"/>
              <w:spacing w:line="360" w:lineRule="auto"/>
              <w:rPr>
                <w:rFonts w:hint="default" w:ascii="Times New Roman" w:hAnsi="Times New Roman" w:cs="Times New Roman"/>
                <w:b/>
                <w:bCs/>
                <w:color w:val="auto"/>
                <w:sz w:val="24"/>
                <w:highlight w:val="yellow"/>
                <w:lang w:val="en-US" w:eastAsia="zh-CN"/>
              </w:rPr>
            </w:pPr>
            <w:r>
              <w:rPr>
                <w:rFonts w:hint="default" w:ascii="Times New Roman" w:hAnsi="Times New Roman" w:cs="Times New Roman"/>
                <w:b/>
                <w:bCs/>
                <w:color w:val="auto"/>
                <w:sz w:val="24"/>
                <w:highlight w:val="none"/>
                <w:lang w:val="en-US" w:eastAsia="zh-CN"/>
              </w:rPr>
              <w:object>
                <v:shape id="_x0000_i1029" o:spt="75" type="#_x0000_t75" style="height:261.75pt;width:412.5pt;" o:ole="t" filled="f" o:preferrelative="t" stroked="f" coordsize="21600,21600">
                  <v:path/>
                  <v:fill on="f" focussize="0,0"/>
                  <v:stroke on="f"/>
                  <v:imagedata r:id="rId27" o:title=""/>
                  <o:lock v:ext="edit" aspectratio="f"/>
                  <w10:wrap type="none"/>
                  <w10:anchorlock/>
                </v:shape>
                <o:OLEObject Type="Embed" ProgID="Visio.Drawing.15" ShapeID="_x0000_i1029" DrawAspect="Content" ObjectID="_1468075729" r:id="rId26">
                  <o:LockedField>false</o:LockedField>
                </o:OLEObject>
              </w:object>
            </w:r>
          </w:p>
          <w:p w14:paraId="2A6E7FE7">
            <w:pPr>
              <w:adjustRightInd w:val="0"/>
              <w:snapToGrid w:val="0"/>
              <w:spacing w:line="360" w:lineRule="auto"/>
              <w:jc w:val="center"/>
              <w:rPr>
                <w:rFonts w:hint="default" w:ascii="Times New Roman" w:hAnsi="Times New Roman" w:cs="Times New Roman"/>
                <w:b/>
                <w:bCs/>
                <w:color w:val="auto"/>
                <w:sz w:val="21"/>
                <w:szCs w:val="21"/>
                <w:highlight w:val="none"/>
                <w:lang w:val="en-US" w:eastAsia="zh-CN"/>
              </w:rPr>
            </w:pPr>
            <w:r>
              <w:rPr>
                <w:b/>
                <w:color w:val="auto"/>
                <w:sz w:val="21"/>
                <w:szCs w:val="21"/>
                <w:highlight w:val="none"/>
              </w:rPr>
              <w:t>图2-</w:t>
            </w:r>
            <w:r>
              <w:rPr>
                <w:rFonts w:hint="eastAsia"/>
                <w:b/>
                <w:color w:val="auto"/>
                <w:sz w:val="21"/>
                <w:szCs w:val="21"/>
                <w:highlight w:val="none"/>
                <w:lang w:val="en-US" w:eastAsia="zh-CN"/>
              </w:rPr>
              <w:t>3</w:t>
            </w:r>
            <w:r>
              <w:rPr>
                <w:b/>
                <w:color w:val="auto"/>
                <w:sz w:val="21"/>
                <w:szCs w:val="21"/>
                <w:highlight w:val="none"/>
              </w:rPr>
              <w:t xml:space="preserve">  </w:t>
            </w:r>
            <w:r>
              <w:rPr>
                <w:rFonts w:hint="eastAsia"/>
                <w:b/>
                <w:color w:val="auto"/>
                <w:sz w:val="21"/>
                <w:szCs w:val="21"/>
                <w:highlight w:val="none"/>
                <w:lang w:val="en-US" w:eastAsia="zh-CN"/>
              </w:rPr>
              <w:t>全厂</w:t>
            </w:r>
            <w:r>
              <w:rPr>
                <w:b/>
                <w:color w:val="auto"/>
                <w:sz w:val="21"/>
                <w:szCs w:val="21"/>
                <w:highlight w:val="none"/>
              </w:rPr>
              <w:t>水平衡图</w:t>
            </w:r>
            <w:r>
              <w:rPr>
                <w:rFonts w:hint="eastAsia"/>
                <w:b/>
                <w:bCs/>
                <w:color w:val="auto"/>
                <w:sz w:val="21"/>
                <w:szCs w:val="21"/>
                <w:highlight w:val="none"/>
              </w:rPr>
              <w:t>（单位：m</w:t>
            </w:r>
            <w:r>
              <w:rPr>
                <w:rFonts w:hint="eastAsia"/>
                <w:b/>
                <w:bCs/>
                <w:color w:val="auto"/>
                <w:sz w:val="21"/>
                <w:szCs w:val="21"/>
                <w:highlight w:val="none"/>
                <w:vertAlign w:val="superscript"/>
              </w:rPr>
              <w:t>3</w:t>
            </w:r>
            <w:r>
              <w:rPr>
                <w:rFonts w:hint="eastAsia"/>
                <w:b/>
                <w:bCs/>
                <w:color w:val="auto"/>
                <w:sz w:val="21"/>
                <w:szCs w:val="21"/>
                <w:highlight w:val="none"/>
              </w:rPr>
              <w:t>/</w:t>
            </w:r>
            <w:r>
              <w:rPr>
                <w:rFonts w:hint="eastAsia"/>
                <w:b/>
                <w:bCs/>
                <w:color w:val="auto"/>
                <w:sz w:val="21"/>
                <w:szCs w:val="21"/>
                <w:highlight w:val="none"/>
                <w:lang w:val="en-US" w:eastAsia="zh-CN"/>
              </w:rPr>
              <w:t>a</w:t>
            </w:r>
            <w:r>
              <w:rPr>
                <w:rFonts w:hint="eastAsia"/>
                <w:b/>
                <w:bCs/>
                <w:color w:val="auto"/>
                <w:sz w:val="21"/>
                <w:szCs w:val="21"/>
                <w:highlight w:val="none"/>
              </w:rPr>
              <w:t>）</w:t>
            </w:r>
          </w:p>
          <w:p w14:paraId="78069665">
            <w:pPr>
              <w:keepNext w:val="0"/>
              <w:keepLines w:val="0"/>
              <w:suppressLineNumbers w:val="0"/>
              <w:spacing w:before="120" w:beforeLines="50" w:beforeAutospacing="0" w:after="0" w:afterAutospacing="0" w:line="360" w:lineRule="auto"/>
              <w:ind w:left="0" w:right="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8.</w:t>
            </w:r>
            <w:r>
              <w:rPr>
                <w:rFonts w:hint="eastAsia" w:ascii="宋体" w:hAnsi="宋体" w:eastAsia="宋体" w:cs="宋体"/>
                <w:b/>
                <w:bCs/>
                <w:color w:val="auto"/>
                <w:sz w:val="24"/>
                <w:highlight w:val="none"/>
                <w:lang w:val="zh-CN"/>
              </w:rPr>
              <w:t>公</w:t>
            </w:r>
            <w:r>
              <w:rPr>
                <w:rFonts w:hint="eastAsia" w:ascii="宋体" w:hAnsi="宋体" w:eastAsia="宋体" w:cs="宋体"/>
                <w:b/>
                <w:bCs/>
                <w:color w:val="auto"/>
                <w:sz w:val="24"/>
                <w:highlight w:val="none"/>
              </w:rPr>
              <w:t>辅</w:t>
            </w:r>
            <w:r>
              <w:rPr>
                <w:rFonts w:hint="eastAsia" w:ascii="宋体" w:hAnsi="宋体" w:eastAsia="宋体" w:cs="宋体"/>
                <w:b/>
                <w:bCs/>
                <w:color w:val="auto"/>
                <w:sz w:val="24"/>
                <w:highlight w:val="none"/>
                <w:lang w:val="zh-CN"/>
              </w:rPr>
              <w:t>工程</w:t>
            </w:r>
          </w:p>
          <w:p w14:paraId="4CAA71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w:t>
            </w:r>
            <w:r>
              <w:rPr>
                <w:rFonts w:hint="eastAsia" w:cs="Times New Roman"/>
                <w:color w:val="auto"/>
                <w:sz w:val="24"/>
                <w:szCs w:val="24"/>
                <w:highlight w:val="none"/>
                <w:lang w:val="en-US" w:eastAsia="zh-CN"/>
              </w:rPr>
              <w:t>租用</w:t>
            </w:r>
            <w:r>
              <w:rPr>
                <w:rFonts w:hint="eastAsia"/>
                <w:color w:val="auto"/>
                <w:spacing w:val="-6"/>
                <w:sz w:val="24"/>
                <w:highlight w:val="none"/>
                <w:lang w:val="en-US" w:eastAsia="zh-CN"/>
              </w:rPr>
              <w:t>大英县蓬莱镇工业集中发展区采和大道1楼标准厂房建设</w:t>
            </w:r>
            <w:r>
              <w:rPr>
                <w:rFonts w:hint="default" w:ascii="Times New Roman" w:hAnsi="Times New Roman" w:eastAsia="宋体" w:cs="Times New Roman"/>
                <w:color w:val="auto"/>
                <w:sz w:val="24"/>
                <w:szCs w:val="24"/>
                <w:highlight w:val="none"/>
                <w:lang w:eastAsia="zh-CN"/>
              </w:rPr>
              <w:t>。公用基础设施已建设完备。</w:t>
            </w:r>
          </w:p>
          <w:p w14:paraId="003F23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（1）</w:t>
            </w:r>
            <w:r>
              <w:rPr>
                <w:rFonts w:hint="eastAsia" w:ascii="宋体" w:hAnsi="宋体" w:eastAsia="宋体" w:cs="宋体"/>
                <w:b/>
                <w:bCs/>
                <w:color w:val="auto"/>
                <w:sz w:val="24"/>
                <w:szCs w:val="24"/>
                <w:highlight w:val="none"/>
              </w:rPr>
              <w:t>供电</w:t>
            </w:r>
          </w:p>
          <w:p w14:paraId="039A73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本项目依托园区供电系统，不设置备用发电机。</w:t>
            </w:r>
          </w:p>
          <w:p w14:paraId="4DB4B8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（2）</w:t>
            </w:r>
            <w:r>
              <w:rPr>
                <w:rFonts w:hint="eastAsia" w:ascii="宋体" w:hAnsi="宋体" w:eastAsia="宋体" w:cs="宋体"/>
                <w:b/>
                <w:bCs/>
                <w:color w:val="auto"/>
                <w:sz w:val="24"/>
                <w:szCs w:val="24"/>
                <w:highlight w:val="none"/>
              </w:rPr>
              <w:t>给排水工程</w:t>
            </w:r>
          </w:p>
          <w:p w14:paraId="1925C02E">
            <w:pPr>
              <w:spacing w:line="360" w:lineRule="auto"/>
              <w:ind w:firstLine="480"/>
              <w:rPr>
                <w:rFonts w:hint="eastAsia"/>
                <w:color w:val="auto"/>
                <w:sz w:val="24"/>
                <w:szCs w:val="24"/>
                <w:highlight w:val="none"/>
                <w:lang w:eastAsia="zh-CN"/>
              </w:rPr>
            </w:pPr>
            <w:r>
              <w:rPr>
                <w:rFonts w:hint="eastAsia"/>
                <w:color w:val="auto"/>
                <w:sz w:val="24"/>
                <w:szCs w:val="24"/>
                <w:highlight w:val="none"/>
                <w:u w:val="none"/>
              </w:rPr>
              <w:t>本项目用水依托园区供水管网</w:t>
            </w:r>
            <w:r>
              <w:rPr>
                <w:rFonts w:hint="eastAsia"/>
                <w:color w:val="auto"/>
                <w:sz w:val="24"/>
                <w:szCs w:val="24"/>
                <w:highlight w:val="none"/>
                <w:u w:val="none"/>
                <w:lang w:eastAsia="zh-CN"/>
              </w:rPr>
              <w:t>，按需供给，可满足项目需求</w:t>
            </w:r>
            <w:r>
              <w:rPr>
                <w:rFonts w:hint="eastAsia"/>
                <w:color w:val="auto"/>
                <w:sz w:val="24"/>
                <w:szCs w:val="24"/>
                <w:highlight w:val="none"/>
                <w:lang w:eastAsia="zh-CN"/>
              </w:rPr>
              <w:t>。</w:t>
            </w:r>
          </w:p>
          <w:p w14:paraId="70C663A7">
            <w:pPr>
              <w:pStyle w:val="59"/>
              <w:ind w:left="0" w:leftChars="0" w:firstLine="480" w:firstLineChars="200"/>
              <w:rPr>
                <w:rFonts w:hAnsi="宋体"/>
                <w:bCs/>
                <w:color w:val="auto"/>
              </w:rPr>
            </w:pPr>
            <w:r>
              <w:rPr>
                <w:rFonts w:hAnsi="宋体"/>
                <w:bCs/>
                <w:color w:val="auto"/>
              </w:rPr>
              <w:t>本项目排水采用雨污分流方式，雨水排入园区内雨水管道</w:t>
            </w:r>
            <w:r>
              <w:rPr>
                <w:rFonts w:hint="eastAsia" w:hAnsi="宋体"/>
                <w:bCs/>
                <w:color w:val="auto"/>
              </w:rPr>
              <w:t>。</w:t>
            </w:r>
            <w:r>
              <w:rPr>
                <w:rFonts w:hint="eastAsia" w:hAnsi="宋体"/>
                <w:snapToGrid w:val="0"/>
                <w:color w:val="auto"/>
                <w:kern w:val="0"/>
                <w:highlight w:val="none"/>
              </w:rPr>
              <w:t>生活污水进入厂房</w:t>
            </w:r>
            <w:r>
              <w:rPr>
                <w:rFonts w:hint="eastAsia" w:hAnsi="宋体"/>
                <w:snapToGrid w:val="0"/>
                <w:color w:val="auto"/>
                <w:kern w:val="0"/>
                <w:highlight w:val="none"/>
                <w:lang w:val="en-US" w:eastAsia="zh-CN"/>
              </w:rPr>
              <w:t>预处理池</w:t>
            </w:r>
            <w:r>
              <w:rPr>
                <w:rFonts w:hint="eastAsia" w:hAnsi="宋体"/>
                <w:snapToGrid w:val="0"/>
                <w:color w:val="auto"/>
                <w:kern w:val="0"/>
                <w:highlight w:val="none"/>
              </w:rPr>
              <w:t>（40m</w:t>
            </w:r>
            <w:r>
              <w:rPr>
                <w:rFonts w:hint="eastAsia" w:hAnsi="宋体"/>
                <w:snapToGrid w:val="0"/>
                <w:color w:val="auto"/>
                <w:kern w:val="0"/>
                <w:highlight w:val="none"/>
                <w:vertAlign w:val="superscript"/>
              </w:rPr>
              <w:t>3</w:t>
            </w:r>
            <w:r>
              <w:rPr>
                <w:rFonts w:hint="eastAsia" w:hAnsi="宋体"/>
                <w:snapToGrid w:val="0"/>
                <w:color w:val="auto"/>
                <w:kern w:val="0"/>
                <w:highlight w:val="none"/>
              </w:rPr>
              <w:t>）处理</w:t>
            </w:r>
            <w:r>
              <w:rPr>
                <w:rFonts w:hint="eastAsia" w:hAnsi="宋体"/>
                <w:snapToGrid w:val="0"/>
                <w:color w:val="auto"/>
                <w:kern w:val="0"/>
                <w:highlight w:val="none"/>
                <w:lang w:eastAsia="zh-CN"/>
              </w:rPr>
              <w:t>，</w:t>
            </w:r>
            <w:r>
              <w:rPr>
                <w:rFonts w:hint="eastAsia" w:hAnsi="宋体"/>
                <w:snapToGrid w:val="0"/>
                <w:color w:val="auto"/>
                <w:kern w:val="0"/>
                <w:highlight w:val="none"/>
              </w:rPr>
              <w:t>达到</w:t>
            </w:r>
            <w:r>
              <w:rPr>
                <w:rFonts w:hAnsi="宋体"/>
                <w:snapToGrid w:val="0"/>
                <w:color w:val="auto"/>
                <w:kern w:val="0"/>
                <w:highlight w:val="none"/>
              </w:rPr>
              <w:t>《污水综合排放标准》（GB8978-1996</w:t>
            </w:r>
            <w:r>
              <w:rPr>
                <w:rFonts w:hint="eastAsia" w:hAnsi="宋体"/>
                <w:snapToGrid w:val="0"/>
                <w:color w:val="auto"/>
                <w:kern w:val="0"/>
                <w:highlight w:val="none"/>
              </w:rPr>
              <w:t>）三级标准及《污水排入城镇下水道水质标准》（</w:t>
            </w:r>
            <w:r>
              <w:rPr>
                <w:rFonts w:hAnsi="宋体"/>
                <w:snapToGrid w:val="0"/>
                <w:color w:val="auto"/>
                <w:kern w:val="0"/>
                <w:highlight w:val="none"/>
              </w:rPr>
              <w:t>GB/T31962-2015</w:t>
            </w:r>
            <w:r>
              <w:rPr>
                <w:rFonts w:hint="eastAsia" w:hAnsi="宋体"/>
                <w:snapToGrid w:val="0"/>
                <w:color w:val="auto"/>
                <w:kern w:val="0"/>
                <w:highlight w:val="none"/>
              </w:rPr>
              <w:t>）</w:t>
            </w:r>
            <w:r>
              <w:rPr>
                <w:rFonts w:hAnsi="宋体"/>
                <w:snapToGrid w:val="0"/>
                <w:color w:val="auto"/>
                <w:kern w:val="0"/>
                <w:highlight w:val="none"/>
              </w:rPr>
              <w:t>B</w:t>
            </w:r>
            <w:r>
              <w:rPr>
                <w:rFonts w:hint="eastAsia" w:hAnsi="宋体"/>
                <w:snapToGrid w:val="0"/>
                <w:color w:val="auto"/>
                <w:kern w:val="0"/>
                <w:highlight w:val="none"/>
              </w:rPr>
              <w:t>级标准后，</w:t>
            </w:r>
            <w:r>
              <w:rPr>
                <w:rFonts w:hint="eastAsia" w:hAnsi="宋体"/>
                <w:snapToGrid w:val="0"/>
                <w:color w:val="auto"/>
                <w:kern w:val="0"/>
                <w:highlight w:val="none"/>
                <w:lang w:val="en-US" w:eastAsia="zh-CN"/>
              </w:rPr>
              <w:t>排入</w:t>
            </w:r>
            <w:r>
              <w:rPr>
                <w:rFonts w:hint="eastAsia" w:hAnsi="宋体"/>
                <w:snapToGrid w:val="0"/>
                <w:color w:val="auto"/>
                <w:kern w:val="0"/>
                <w:highlight w:val="none"/>
              </w:rPr>
              <w:t>大英县</w:t>
            </w:r>
            <w:r>
              <w:rPr>
                <w:rFonts w:hint="eastAsia" w:hAnsi="宋体"/>
                <w:snapToGrid w:val="0"/>
                <w:color w:val="auto"/>
                <w:kern w:val="0"/>
                <w:highlight w:val="none"/>
                <w:lang w:eastAsia="zh-CN"/>
              </w:rPr>
              <w:t>工业</w:t>
            </w:r>
            <w:r>
              <w:rPr>
                <w:rFonts w:hint="eastAsia" w:hAnsi="宋体"/>
                <w:snapToGrid w:val="0"/>
                <w:color w:val="auto"/>
                <w:kern w:val="0"/>
                <w:highlight w:val="none"/>
              </w:rPr>
              <w:t>污水处理厂，处理达到</w:t>
            </w:r>
            <w:r>
              <w:rPr>
                <w:rFonts w:hint="eastAsia" w:hAnsi="宋体"/>
                <w:bCs/>
                <w:color w:val="auto"/>
                <w:highlight w:val="none"/>
              </w:rPr>
              <w:t>《城镇污水处理厂污染物排放标准》</w:t>
            </w:r>
            <w:r>
              <w:rPr>
                <w:rFonts w:hint="eastAsia" w:hAnsi="宋体"/>
                <w:bCs/>
                <w:color w:val="auto"/>
              </w:rPr>
              <w:t>（GB18918-2002）中一级A标，排入郪江。</w:t>
            </w:r>
          </w:p>
          <w:p w14:paraId="0391E7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color w:val="auto"/>
                <w:sz w:val="24"/>
                <w:highlight w:val="none"/>
                <w:lang w:val="en-US" w:eastAsia="zh-CN"/>
              </w:rPr>
              <w:t>9.</w:t>
            </w:r>
            <w:r>
              <w:rPr>
                <w:rFonts w:hint="eastAsia" w:ascii="宋体" w:hAnsi="宋体" w:eastAsia="宋体" w:cs="宋体"/>
                <w:b/>
                <w:bCs/>
                <w:color w:val="auto"/>
                <w:sz w:val="24"/>
                <w:szCs w:val="24"/>
                <w:highlight w:val="none"/>
                <w:lang w:eastAsia="zh-CN"/>
              </w:rPr>
              <w:t>项目公辅设施依托情况及其可行性分析</w:t>
            </w:r>
          </w:p>
          <w:p w14:paraId="098B60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项目公辅设施依托情况见下表：</w:t>
            </w:r>
          </w:p>
          <w:p w14:paraId="5E67CAE1">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eastAsia" w:ascii="Times New Roman" w:hAnsi="Times New Roman"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12</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项目依托公辅设施依托情况一览表</w:t>
            </w:r>
          </w:p>
          <w:tbl>
            <w:tblPr>
              <w:tblStyle w:val="25"/>
              <w:tblW w:w="5024"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fixed"/>
              <w:tblCellMar>
                <w:top w:w="0" w:type="dxa"/>
                <w:left w:w="0" w:type="dxa"/>
                <w:bottom w:w="0" w:type="dxa"/>
                <w:right w:w="0" w:type="dxa"/>
              </w:tblCellMar>
            </w:tblPr>
            <w:tblGrid>
              <w:gridCol w:w="1089"/>
              <w:gridCol w:w="2260"/>
              <w:gridCol w:w="3886"/>
              <w:gridCol w:w="1241"/>
            </w:tblGrid>
            <w:tr w14:paraId="5CD2B77B">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306" w:hRule="atLeast"/>
              </w:trPr>
              <w:tc>
                <w:tcPr>
                  <w:tcW w:w="642" w:type="pct"/>
                  <w:tcBorders>
                    <w:tl2br w:val="nil"/>
                    <w:tr2bl w:val="nil"/>
                  </w:tcBorders>
                  <w:noWrap w:val="0"/>
                  <w:vAlign w:val="center"/>
                </w:tcPr>
                <w:p w14:paraId="6A9122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依托</w:t>
                  </w:r>
                  <w:r>
                    <w:rPr>
                      <w:rFonts w:hint="default" w:ascii="Times New Roman" w:hAnsi="Times New Roman" w:eastAsia="宋体" w:cs="Times New Roman"/>
                      <w:b/>
                      <w:bCs/>
                      <w:color w:val="auto"/>
                      <w:sz w:val="21"/>
                      <w:szCs w:val="21"/>
                      <w:highlight w:val="none"/>
                    </w:rPr>
                    <w:t>设施</w:t>
                  </w:r>
                </w:p>
              </w:tc>
              <w:tc>
                <w:tcPr>
                  <w:tcW w:w="1333" w:type="pct"/>
                  <w:tcBorders>
                    <w:tl2br w:val="nil"/>
                    <w:tr2bl w:val="nil"/>
                  </w:tcBorders>
                  <w:noWrap w:val="0"/>
                  <w:vAlign w:val="center"/>
                </w:tcPr>
                <w:p w14:paraId="54328C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设施</w:t>
                  </w:r>
                  <w:r>
                    <w:rPr>
                      <w:rFonts w:hint="default" w:ascii="Times New Roman" w:hAnsi="Times New Roman" w:eastAsia="宋体" w:cs="Times New Roman"/>
                      <w:b/>
                      <w:bCs/>
                      <w:color w:val="auto"/>
                      <w:sz w:val="21"/>
                      <w:szCs w:val="21"/>
                      <w:highlight w:val="none"/>
                    </w:rPr>
                    <w:t>规模</w:t>
                  </w:r>
                </w:p>
              </w:tc>
              <w:tc>
                <w:tcPr>
                  <w:tcW w:w="2292" w:type="pct"/>
                  <w:tcBorders>
                    <w:tl2br w:val="nil"/>
                    <w:tr2bl w:val="nil"/>
                  </w:tcBorders>
                  <w:noWrap w:val="0"/>
                  <w:vAlign w:val="center"/>
                </w:tcPr>
                <w:p w14:paraId="6B9D5E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本项目情况</w:t>
                  </w:r>
                </w:p>
              </w:tc>
              <w:tc>
                <w:tcPr>
                  <w:tcW w:w="731" w:type="pct"/>
                  <w:tcBorders>
                    <w:tl2br w:val="nil"/>
                    <w:tr2bl w:val="nil"/>
                  </w:tcBorders>
                  <w:noWrap w:val="0"/>
                  <w:vAlign w:val="center"/>
                </w:tcPr>
                <w:p w14:paraId="586786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依托可行性</w:t>
                  </w:r>
                </w:p>
              </w:tc>
            </w:tr>
            <w:tr w14:paraId="78FB4FE5">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1050" w:hRule="atLeast"/>
              </w:trPr>
              <w:tc>
                <w:tcPr>
                  <w:tcW w:w="642" w:type="pct"/>
                  <w:tcBorders>
                    <w:tl2br w:val="nil"/>
                    <w:tr2bl w:val="nil"/>
                  </w:tcBorders>
                  <w:noWrap w:val="0"/>
                  <w:vAlign w:val="center"/>
                </w:tcPr>
                <w:p w14:paraId="749CF69B">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内部供配电系统</w:t>
                  </w:r>
                </w:p>
              </w:tc>
              <w:tc>
                <w:tcPr>
                  <w:tcW w:w="1333" w:type="pct"/>
                  <w:tcBorders>
                    <w:tl2br w:val="nil"/>
                    <w:tr2bl w:val="nil"/>
                  </w:tcBorders>
                  <w:noWrap w:val="0"/>
                  <w:vAlign w:val="center"/>
                </w:tcPr>
                <w:p w14:paraId="7021DC6D">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厂区市政电网供给，已建厂区已敷设电网，预留本项目接口</w:t>
                  </w:r>
                  <w:r>
                    <w:rPr>
                      <w:rFonts w:hint="eastAsia" w:ascii="Times New Roman" w:hAnsi="Times New Roman" w:eastAsia="宋体" w:cs="Times New Roman"/>
                      <w:color w:val="auto"/>
                      <w:szCs w:val="21"/>
                      <w:highlight w:val="none"/>
                      <w:lang w:val="en-US" w:eastAsia="zh-CN"/>
                    </w:rPr>
                    <w:t>。</w:t>
                  </w:r>
                </w:p>
              </w:tc>
              <w:tc>
                <w:tcPr>
                  <w:tcW w:w="2292" w:type="pct"/>
                  <w:tcBorders>
                    <w:tl2br w:val="nil"/>
                    <w:tr2bl w:val="nil"/>
                  </w:tcBorders>
                  <w:noWrap w:val="0"/>
                  <w:vAlign w:val="center"/>
                </w:tcPr>
                <w:p w14:paraId="517B5112">
                  <w:pPr>
                    <w:pStyle w:val="101"/>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本项目日常用电通过市政电网引入，原有供电系统即为服务本项目所在范围，能够满足本项目需求</w:t>
                  </w:r>
                  <w:r>
                    <w:rPr>
                      <w:rFonts w:hint="eastAsia" w:ascii="Times New Roman" w:hAnsi="Times New Roman" w:eastAsia="宋体" w:cs="Times New Roman"/>
                      <w:color w:val="auto"/>
                      <w:szCs w:val="21"/>
                      <w:highlight w:val="none"/>
                      <w:lang w:val="en-US" w:eastAsia="zh-CN"/>
                    </w:rPr>
                    <w:t>。</w:t>
                  </w:r>
                </w:p>
              </w:tc>
              <w:tc>
                <w:tcPr>
                  <w:tcW w:w="731" w:type="pct"/>
                  <w:tcBorders>
                    <w:tl2br w:val="nil"/>
                    <w:tr2bl w:val="nil"/>
                  </w:tcBorders>
                  <w:noWrap w:val="0"/>
                  <w:vAlign w:val="center"/>
                </w:tcPr>
                <w:p w14:paraId="5475AE6E">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可行</w:t>
                  </w:r>
                </w:p>
              </w:tc>
            </w:tr>
            <w:tr w14:paraId="55FA8DD9">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3812" w:hRule="atLeast"/>
              </w:trPr>
              <w:tc>
                <w:tcPr>
                  <w:tcW w:w="642" w:type="pct"/>
                  <w:tcBorders>
                    <w:tl2br w:val="nil"/>
                    <w:tr2bl w:val="nil"/>
                  </w:tcBorders>
                  <w:noWrap w:val="0"/>
                  <w:vAlign w:val="center"/>
                </w:tcPr>
                <w:p w14:paraId="67500C15">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供水</w:t>
                  </w:r>
                </w:p>
              </w:tc>
              <w:tc>
                <w:tcPr>
                  <w:tcW w:w="1333" w:type="pct"/>
                  <w:tcBorders>
                    <w:tl2br w:val="nil"/>
                    <w:tr2bl w:val="nil"/>
                  </w:tcBorders>
                  <w:noWrap w:val="0"/>
                  <w:vAlign w:val="center"/>
                </w:tcPr>
                <w:p w14:paraId="59E6450C">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厂区市政给水管主管接入，已建厂区已敷设供水支管，预留本项目接口</w:t>
                  </w:r>
                </w:p>
              </w:tc>
              <w:tc>
                <w:tcPr>
                  <w:tcW w:w="2292" w:type="pct"/>
                  <w:tcBorders>
                    <w:tl2br w:val="nil"/>
                    <w:tr2bl w:val="nil"/>
                  </w:tcBorders>
                  <w:noWrap w:val="0"/>
                  <w:vAlign w:val="center"/>
                </w:tcPr>
                <w:p w14:paraId="11E02269">
                  <w:pPr>
                    <w:pStyle w:val="101"/>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本项目用水由市政给水管网引入，原有供水系统即为服务本项目所在范围，能够满足本项目需求，本项目供水依托现有供水系统可行。</w:t>
                  </w:r>
                </w:p>
                <w:p w14:paraId="5AB27608">
                  <w:pPr>
                    <w:pStyle w:val="101"/>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根据工程分析和</w:t>
                  </w:r>
                  <w:r>
                    <w:rPr>
                      <w:rFonts w:hint="eastAsia" w:ascii="Times New Roman" w:hAnsi="Times New Roman" w:eastAsia="宋体" w:cs="Times New Roman"/>
                      <w:color w:val="auto"/>
                      <w:szCs w:val="21"/>
                      <w:highlight w:val="none"/>
                      <w:lang w:val="en-US" w:eastAsia="zh-CN"/>
                    </w:rPr>
                    <w:t>建设单位</w:t>
                  </w:r>
                  <w:r>
                    <w:rPr>
                      <w:rFonts w:hint="default" w:ascii="Times New Roman" w:hAnsi="Times New Roman" w:eastAsia="宋体" w:cs="Times New Roman"/>
                      <w:color w:val="auto"/>
                      <w:szCs w:val="21"/>
                      <w:highlight w:val="none"/>
                      <w:lang w:val="en-US" w:eastAsia="zh-CN"/>
                    </w:rPr>
                    <w:t>确认，本项目给排水管网、供电系统、雨水管网、绿化、厂区外道路等均依托园区现有设施；本项目现有给排水管网、雨水管网、供电系统均能满足企业正常生产需求；本项目排水主要为办公生活污水</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排水量不大，现有排水管网能满足污水处理需求。</w:t>
                  </w:r>
                </w:p>
              </w:tc>
              <w:tc>
                <w:tcPr>
                  <w:tcW w:w="731" w:type="pct"/>
                  <w:tcBorders>
                    <w:tl2br w:val="nil"/>
                    <w:tr2bl w:val="nil"/>
                  </w:tcBorders>
                  <w:noWrap w:val="0"/>
                  <w:vAlign w:val="center"/>
                </w:tcPr>
                <w:p w14:paraId="32AA9880">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可行</w:t>
                  </w:r>
                </w:p>
              </w:tc>
            </w:tr>
            <w:tr w14:paraId="1714461E">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3121" w:hRule="atLeast"/>
              </w:trPr>
              <w:tc>
                <w:tcPr>
                  <w:tcW w:w="642" w:type="pct"/>
                  <w:tcBorders>
                    <w:bottom w:val="single" w:color="auto" w:sz="4" w:space="0"/>
                    <w:tl2br w:val="nil"/>
                    <w:tr2bl w:val="nil"/>
                  </w:tcBorders>
                  <w:noWrap w:val="0"/>
                  <w:vAlign w:val="center"/>
                </w:tcPr>
                <w:p w14:paraId="59D7E140">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污水预处理设施</w:t>
                  </w:r>
                </w:p>
              </w:tc>
              <w:tc>
                <w:tcPr>
                  <w:tcW w:w="1333" w:type="pct"/>
                  <w:tcBorders>
                    <w:bottom w:val="single" w:color="auto" w:sz="4" w:space="0"/>
                    <w:tl2br w:val="nil"/>
                    <w:tr2bl w:val="nil"/>
                  </w:tcBorders>
                  <w:noWrap w:val="0"/>
                  <w:vAlign w:val="center"/>
                </w:tcPr>
                <w:p w14:paraId="69DDEECA">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厂区内东南角已建1个处理能力为40m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/d的预处理池，用于全厂废水预处理，目前运行良好。四川省圣海包装科技有限公司和四川圣拉斯包装制品有限公司已搬走。目前厂区仅四川桓洋智能科技有限公司，现有工程废水产生量为1.96m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/d,预处理池富余量为38.04m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/d</w:t>
                  </w:r>
                </w:p>
              </w:tc>
              <w:tc>
                <w:tcPr>
                  <w:tcW w:w="2292" w:type="pct"/>
                  <w:tcBorders>
                    <w:bottom w:val="single" w:color="auto" w:sz="4" w:space="0"/>
                    <w:tl2br w:val="nil"/>
                    <w:tr2bl w:val="nil"/>
                  </w:tcBorders>
                  <w:noWrap w:val="0"/>
                  <w:vAlign w:val="center"/>
                </w:tcPr>
                <w:p w14:paraId="640D4388">
                  <w:pPr>
                    <w:pStyle w:val="101"/>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根据计算，</w:t>
                  </w:r>
                  <w:r>
                    <w:rPr>
                      <w:rFonts w:hint="eastAsia" w:ascii="Times New Roman" w:hAnsi="Times New Roman" w:eastAsia="宋体" w:cs="Times New Roman"/>
                      <w:color w:val="auto"/>
                      <w:szCs w:val="21"/>
                      <w:highlight w:val="none"/>
                      <w:lang w:val="en-US" w:eastAsia="zh-CN"/>
                    </w:rPr>
                    <w:t>本</w:t>
                  </w:r>
                  <w:r>
                    <w:rPr>
                      <w:rFonts w:hint="default" w:ascii="Times New Roman" w:hAnsi="Times New Roman" w:eastAsia="宋体" w:cs="Times New Roman"/>
                      <w:color w:val="auto"/>
                      <w:szCs w:val="21"/>
                      <w:highlight w:val="none"/>
                      <w:lang w:val="en-US" w:eastAsia="zh-CN"/>
                    </w:rPr>
                    <w:t>项目废水产生量为</w:t>
                  </w:r>
                  <w:r>
                    <w:rPr>
                      <w:rFonts w:hint="eastAsia" w:cs="Times New Roman"/>
                      <w:color w:val="auto"/>
                      <w:szCs w:val="21"/>
                      <w:highlight w:val="none"/>
                      <w:lang w:val="en-US" w:eastAsia="zh-CN"/>
                    </w:rPr>
                    <w:t>13.84</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/d，厂区污水预处理池剩余处理能力</w:t>
                  </w:r>
                  <w:r>
                    <w:rPr>
                      <w:rFonts w:hint="eastAsia" w:cs="Times New Roman"/>
                      <w:color w:val="auto"/>
                      <w:szCs w:val="21"/>
                      <w:highlight w:val="none"/>
                      <w:lang w:val="en-US" w:eastAsia="zh-CN"/>
                    </w:rPr>
                    <w:t>38.04</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/d，能够满足项目废水预处理需求，因此本项目</w:t>
                  </w:r>
                  <w:r>
                    <w:rPr>
                      <w:rFonts w:hint="eastAsia" w:cs="Times New Roman"/>
                      <w:color w:val="auto"/>
                      <w:szCs w:val="21"/>
                      <w:highlight w:val="none"/>
                      <w:lang w:val="en-US" w:eastAsia="zh-CN"/>
                    </w:rPr>
                    <w:t>依托</w:t>
                  </w:r>
                  <w:r>
                    <w:rPr>
                      <w:rFonts w:hint="default" w:ascii="Times New Roman" w:hAnsi="Times New Roman" w:eastAsia="宋体" w:cs="Times New Roman"/>
                      <w:color w:val="auto"/>
                      <w:szCs w:val="21"/>
                      <w:highlight w:val="none"/>
                      <w:lang w:val="en-US" w:eastAsia="zh-CN"/>
                    </w:rPr>
                    <w:t>现有污水预处理池处理可行。</w:t>
                  </w:r>
                </w:p>
              </w:tc>
              <w:tc>
                <w:tcPr>
                  <w:tcW w:w="731" w:type="pct"/>
                  <w:tcBorders>
                    <w:bottom w:val="single" w:color="auto" w:sz="4" w:space="0"/>
                    <w:tl2br w:val="nil"/>
                    <w:tr2bl w:val="nil"/>
                  </w:tcBorders>
                  <w:noWrap w:val="0"/>
                  <w:vAlign w:val="center"/>
                </w:tcPr>
                <w:p w14:paraId="35513601">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可行</w:t>
                  </w:r>
                </w:p>
              </w:tc>
            </w:tr>
            <w:tr w14:paraId="31A43086">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473" w:hRule="atLeast"/>
              </w:trPr>
              <w:tc>
                <w:tcPr>
                  <w:tcW w:w="642" w:type="pct"/>
                  <w:vMerge w:val="restart"/>
                  <w:tcBorders>
                    <w:top w:val="single" w:color="auto" w:sz="4" w:space="0"/>
                    <w:tl2br w:val="nil"/>
                    <w:tr2bl w:val="nil"/>
                  </w:tcBorders>
                  <w:noWrap w:val="0"/>
                  <w:vAlign w:val="center"/>
                </w:tcPr>
                <w:p w14:paraId="47BFDF70">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固废处理</w:t>
                  </w:r>
                </w:p>
              </w:tc>
              <w:tc>
                <w:tcPr>
                  <w:tcW w:w="1333" w:type="pct"/>
                  <w:tcBorders>
                    <w:top w:val="single" w:color="auto" w:sz="4" w:space="0"/>
                    <w:bottom w:val="single" w:color="auto" w:sz="4" w:space="0"/>
                    <w:tl2br w:val="nil"/>
                    <w:tr2bl w:val="nil"/>
                  </w:tcBorders>
                  <w:noWrap w:val="0"/>
                  <w:vAlign w:val="center"/>
                </w:tcPr>
                <w:p w14:paraId="4C6AB7F4">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危废间100m</w:t>
                  </w:r>
                  <w:r>
                    <w:rPr>
                      <w:rFonts w:hint="eastAsia" w:ascii="Times New Roman" w:hAnsi="Times New Roman" w:eastAsia="宋体" w:cs="Times New Roman"/>
                      <w:color w:val="auto"/>
                      <w:szCs w:val="21"/>
                      <w:highlight w:val="none"/>
                      <w:vertAlign w:val="superscript"/>
                      <w:lang w:val="en-US" w:eastAsia="zh-CN"/>
                    </w:rPr>
                    <w:t>2</w:t>
                  </w:r>
                </w:p>
              </w:tc>
              <w:tc>
                <w:tcPr>
                  <w:tcW w:w="2292" w:type="pct"/>
                  <w:tcBorders>
                    <w:top w:val="single" w:color="auto" w:sz="4" w:space="0"/>
                    <w:bottom w:val="single" w:color="auto" w:sz="4" w:space="0"/>
                    <w:tl2br w:val="nil"/>
                    <w:tr2bl w:val="nil"/>
                  </w:tcBorders>
                  <w:noWrap w:val="0"/>
                  <w:vAlign w:val="center"/>
                </w:tcPr>
                <w:p w14:paraId="0809E2E5">
                  <w:pPr>
                    <w:pStyle w:val="101"/>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厂区西北侧已建一处占地100m</w:t>
                  </w:r>
                  <w:r>
                    <w:rPr>
                      <w:rFonts w:hint="default" w:ascii="Times New Roman" w:hAnsi="Times New Roman" w:eastAsia="宋体" w:cs="Times New Roman"/>
                      <w:color w:val="auto"/>
                      <w:szCs w:val="21"/>
                      <w:highlight w:val="none"/>
                      <w:vertAlign w:val="superscript"/>
                      <w:lang w:val="en-US" w:eastAsia="zh-CN"/>
                    </w:rPr>
                    <w:t>2</w:t>
                  </w:r>
                  <w:r>
                    <w:rPr>
                      <w:rFonts w:hint="default" w:ascii="Times New Roman" w:hAnsi="Times New Roman" w:eastAsia="宋体" w:cs="Times New Roman"/>
                      <w:color w:val="auto"/>
                      <w:szCs w:val="21"/>
                      <w:highlight w:val="none"/>
                      <w:lang w:val="en-US" w:eastAsia="zh-CN"/>
                    </w:rPr>
                    <w:t>的危废暂存间，用于厂区内企业产生的危废的收集和处理。目前四川省圣海包装科技有限公司已使用20m</w:t>
                  </w:r>
                  <w:r>
                    <w:rPr>
                      <w:rFonts w:hint="default" w:ascii="Times New Roman" w:hAnsi="Times New Roman" w:eastAsia="宋体" w:cs="Times New Roman"/>
                      <w:color w:val="auto"/>
                      <w:szCs w:val="21"/>
                      <w:highlight w:val="none"/>
                      <w:vertAlign w:val="superscript"/>
                      <w:lang w:val="en-US" w:eastAsia="zh-CN"/>
                    </w:rPr>
                    <w:t>2</w:t>
                  </w:r>
                  <w:r>
                    <w:rPr>
                      <w:rFonts w:hint="default" w:ascii="Times New Roman" w:hAnsi="Times New Roman" w:eastAsia="宋体" w:cs="Times New Roman"/>
                      <w:color w:val="auto"/>
                      <w:szCs w:val="21"/>
                      <w:highlight w:val="none"/>
                      <w:lang w:val="en-US" w:eastAsia="zh-CN"/>
                    </w:rPr>
                    <w:t>、四川圣拉斯包装制品有限公司已使用40m</w:t>
                  </w:r>
                  <w:r>
                    <w:rPr>
                      <w:rFonts w:hint="default" w:ascii="Times New Roman" w:hAnsi="Times New Roman" w:eastAsia="宋体" w:cs="Times New Roman"/>
                      <w:color w:val="auto"/>
                      <w:szCs w:val="21"/>
                      <w:highlight w:val="none"/>
                      <w:vertAlign w:val="superscript"/>
                      <w:lang w:val="en-US" w:eastAsia="zh-CN"/>
                    </w:rPr>
                    <w:t>2</w:t>
                  </w:r>
                  <w:r>
                    <w:rPr>
                      <w:rFonts w:hint="default" w:ascii="Times New Roman" w:hAnsi="Times New Roman" w:eastAsia="宋体" w:cs="Times New Roman"/>
                      <w:color w:val="auto"/>
                      <w:szCs w:val="21"/>
                      <w:highlight w:val="none"/>
                      <w:lang w:val="en-US" w:eastAsia="zh-CN"/>
                    </w:rPr>
                    <w:t>，剩余区域40m</w:t>
                  </w:r>
                  <w:r>
                    <w:rPr>
                      <w:rFonts w:hint="default" w:ascii="Times New Roman" w:hAnsi="Times New Roman" w:eastAsia="宋体" w:cs="Times New Roman"/>
                      <w:color w:val="auto"/>
                      <w:szCs w:val="21"/>
                      <w:highlight w:val="none"/>
                      <w:vertAlign w:val="superscript"/>
                      <w:lang w:val="en-US" w:eastAsia="zh-CN"/>
                    </w:rPr>
                    <w:t>2</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四川省圣海包装科技有限公司和四川圣拉斯包装制品有限公司已搬走，100m</w:t>
                  </w:r>
                  <w:r>
                    <w:rPr>
                      <w:rFonts w:hint="eastAsia" w:ascii="Times New Roman" w:hAnsi="Times New Roman" w:eastAsia="宋体" w:cs="Times New Roman"/>
                      <w:color w:val="auto"/>
                      <w:szCs w:val="21"/>
                      <w:highlight w:val="none"/>
                      <w:vertAlign w:val="superscript"/>
                      <w:lang w:val="en-US" w:eastAsia="zh-CN"/>
                    </w:rPr>
                    <w:t>2</w:t>
                  </w:r>
                  <w:r>
                    <w:rPr>
                      <w:rFonts w:hint="eastAsia" w:ascii="Times New Roman" w:hAnsi="Times New Roman" w:eastAsia="宋体" w:cs="Times New Roman"/>
                      <w:color w:val="auto"/>
                      <w:szCs w:val="21"/>
                      <w:highlight w:val="none"/>
                      <w:lang w:val="en-US" w:eastAsia="zh-CN"/>
                    </w:rPr>
                    <w:t>危废间余量充足，完全能够满足要求。</w:t>
                  </w:r>
                </w:p>
              </w:tc>
              <w:tc>
                <w:tcPr>
                  <w:tcW w:w="731" w:type="pct"/>
                  <w:tcBorders>
                    <w:top w:val="single" w:color="auto" w:sz="4" w:space="0"/>
                    <w:bottom w:val="single" w:color="auto" w:sz="4" w:space="0"/>
                    <w:tl2br w:val="nil"/>
                    <w:tr2bl w:val="nil"/>
                  </w:tcBorders>
                  <w:noWrap w:val="0"/>
                  <w:vAlign w:val="center"/>
                </w:tcPr>
                <w:p w14:paraId="3CC2645F">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可行</w:t>
                  </w:r>
                </w:p>
              </w:tc>
            </w:tr>
            <w:tr w14:paraId="6DDD9343">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60" w:hRule="atLeast"/>
              </w:trPr>
              <w:tc>
                <w:tcPr>
                  <w:tcW w:w="642" w:type="pct"/>
                  <w:vMerge w:val="continue"/>
                  <w:tcBorders>
                    <w:tl2br w:val="nil"/>
                    <w:tr2bl w:val="nil"/>
                  </w:tcBorders>
                  <w:noWrap w:val="0"/>
                  <w:vAlign w:val="center"/>
                </w:tcPr>
                <w:p w14:paraId="4D94E0E3">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Times New Roman" w:hAnsi="Times New Roman" w:eastAsia="宋体" w:cs="Times New Roman"/>
                      <w:color w:val="auto"/>
                      <w:szCs w:val="21"/>
                      <w:highlight w:val="none"/>
                      <w:lang w:val="en-US" w:eastAsia="zh-CN"/>
                    </w:rPr>
                  </w:pPr>
                </w:p>
              </w:tc>
              <w:tc>
                <w:tcPr>
                  <w:tcW w:w="1333" w:type="pct"/>
                  <w:tcBorders>
                    <w:top w:val="single" w:color="auto" w:sz="4" w:space="0"/>
                    <w:tl2br w:val="nil"/>
                    <w:tr2bl w:val="nil"/>
                  </w:tcBorders>
                  <w:noWrap w:val="0"/>
                  <w:vAlign w:val="center"/>
                </w:tcPr>
                <w:p w14:paraId="4DD85ECB">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Cs w:val="21"/>
                      <w:highlight w:val="yellow"/>
                      <w:lang w:val="en-US" w:eastAsia="zh-CN"/>
                    </w:rPr>
                  </w:pPr>
                  <w:r>
                    <w:rPr>
                      <w:rFonts w:hint="default" w:ascii="Times New Roman" w:hAnsi="Times New Roman" w:eastAsia="宋体" w:cs="Times New Roman"/>
                      <w:color w:val="auto"/>
                      <w:szCs w:val="21"/>
                      <w:highlight w:val="none"/>
                      <w:lang w:val="en-US" w:eastAsia="zh-CN"/>
                    </w:rPr>
                    <w:t>2个</w:t>
                  </w:r>
                  <w:r>
                    <w:rPr>
                      <w:rFonts w:hint="eastAsia" w:cs="Times New Roman"/>
                      <w:color w:val="auto"/>
                      <w:szCs w:val="21"/>
                      <w:highlight w:val="none"/>
                      <w:lang w:val="en-US" w:eastAsia="zh-CN"/>
                    </w:rPr>
                    <w:t>固废暂存间</w:t>
                  </w:r>
                  <w:r>
                    <w:rPr>
                      <w:rFonts w:hint="default" w:ascii="Times New Roman" w:hAnsi="Times New Roman" w:eastAsia="宋体" w:cs="Times New Roman"/>
                      <w:color w:val="auto"/>
                      <w:szCs w:val="21"/>
                      <w:highlight w:val="none"/>
                      <w:lang w:val="en-US" w:eastAsia="zh-CN"/>
                    </w:rPr>
                    <w:t>，1个位于1#车间西南角，面积50m</w:t>
                  </w:r>
                  <w:r>
                    <w:rPr>
                      <w:rFonts w:hint="default" w:ascii="Times New Roman" w:hAnsi="Times New Roman" w:eastAsia="宋体" w:cs="Times New Roman"/>
                      <w:color w:val="auto"/>
                      <w:szCs w:val="21"/>
                      <w:highlight w:val="none"/>
                      <w:vertAlign w:val="superscript"/>
                      <w:lang w:val="en-US" w:eastAsia="zh-CN"/>
                    </w:rPr>
                    <w:t>2</w:t>
                  </w:r>
                  <w:r>
                    <w:rPr>
                      <w:rFonts w:hint="default" w:ascii="Times New Roman" w:hAnsi="Times New Roman" w:eastAsia="宋体" w:cs="Times New Roman"/>
                      <w:color w:val="auto"/>
                      <w:szCs w:val="21"/>
                      <w:highlight w:val="none"/>
                      <w:lang w:val="en-US" w:eastAsia="zh-CN"/>
                    </w:rPr>
                    <w:t>，1个位于1#车间东南角，20m</w:t>
                  </w:r>
                  <w:r>
                    <w:rPr>
                      <w:rFonts w:hint="default" w:ascii="Times New Roman" w:hAnsi="Times New Roman" w:eastAsia="宋体" w:cs="Times New Roman"/>
                      <w:color w:val="auto"/>
                      <w:szCs w:val="21"/>
                      <w:highlight w:val="none"/>
                      <w:vertAlign w:val="superscript"/>
                      <w:lang w:val="en-US" w:eastAsia="zh-CN"/>
                    </w:rPr>
                    <w:t>2</w:t>
                  </w:r>
                  <w:r>
                    <w:rPr>
                      <w:rFonts w:hint="default" w:ascii="Times New Roman" w:hAnsi="Times New Roman" w:eastAsia="宋体" w:cs="Times New Roman"/>
                      <w:color w:val="auto"/>
                      <w:szCs w:val="21"/>
                      <w:highlight w:val="none"/>
                      <w:lang w:val="en-US" w:eastAsia="zh-CN"/>
                    </w:rPr>
                    <w:t>。</w:t>
                  </w:r>
                </w:p>
              </w:tc>
              <w:tc>
                <w:tcPr>
                  <w:tcW w:w="2292" w:type="pct"/>
                  <w:tcBorders>
                    <w:top w:val="single" w:color="auto" w:sz="4" w:space="0"/>
                    <w:tl2br w:val="nil"/>
                    <w:tr2bl w:val="nil"/>
                  </w:tcBorders>
                  <w:noWrap w:val="0"/>
                  <w:vAlign w:val="center"/>
                </w:tcPr>
                <w:p w14:paraId="445CB774">
                  <w:pPr>
                    <w:pStyle w:val="101"/>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Cs w:val="21"/>
                      <w:highlight w:val="yellow"/>
                      <w:lang w:val="en-US" w:eastAsia="zh-CN"/>
                    </w:rPr>
                  </w:pPr>
                  <w:r>
                    <w:rPr>
                      <w:rFonts w:hint="eastAsia" w:cs="Times New Roman"/>
                      <w:color w:val="auto"/>
                      <w:szCs w:val="21"/>
                      <w:highlight w:val="none"/>
                      <w:lang w:val="en-US" w:eastAsia="zh-CN"/>
                    </w:rPr>
                    <w:t>固废暂存间2间，能满足要求</w:t>
                  </w:r>
                </w:p>
              </w:tc>
              <w:tc>
                <w:tcPr>
                  <w:tcW w:w="731" w:type="pct"/>
                  <w:tcBorders>
                    <w:top w:val="single" w:color="auto" w:sz="4" w:space="0"/>
                    <w:tl2br w:val="nil"/>
                    <w:tr2bl w:val="nil"/>
                  </w:tcBorders>
                  <w:noWrap w:val="0"/>
                  <w:vAlign w:val="center"/>
                </w:tcPr>
                <w:p w14:paraId="11B4F4FC">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可行</w:t>
                  </w:r>
                </w:p>
              </w:tc>
            </w:tr>
            <w:tr w14:paraId="12AC7F5B">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874" w:hRule="atLeast"/>
              </w:trPr>
              <w:tc>
                <w:tcPr>
                  <w:tcW w:w="642" w:type="pct"/>
                  <w:tcBorders>
                    <w:tl2br w:val="nil"/>
                    <w:tr2bl w:val="nil"/>
                  </w:tcBorders>
                  <w:noWrap w:val="0"/>
                  <w:vAlign w:val="center"/>
                </w:tcPr>
                <w:p w14:paraId="635013A1">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厂区道路</w:t>
                  </w:r>
                </w:p>
              </w:tc>
              <w:tc>
                <w:tcPr>
                  <w:tcW w:w="1333" w:type="pct"/>
                  <w:tcBorders>
                    <w:tl2br w:val="nil"/>
                    <w:tr2bl w:val="nil"/>
                  </w:tcBorders>
                  <w:noWrap w:val="0"/>
                  <w:vAlign w:val="center"/>
                </w:tcPr>
                <w:p w14:paraId="05230339">
                  <w:pPr>
                    <w:pStyle w:val="101"/>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本项目厂区道路为水泥混凝土道路，厂区道路完善</w:t>
                  </w:r>
                </w:p>
              </w:tc>
              <w:tc>
                <w:tcPr>
                  <w:tcW w:w="2292" w:type="pct"/>
                  <w:tcBorders>
                    <w:tl2br w:val="nil"/>
                    <w:tr2bl w:val="nil"/>
                  </w:tcBorders>
                  <w:noWrap w:val="0"/>
                  <w:vAlign w:val="center"/>
                </w:tcPr>
                <w:p w14:paraId="7C3FE7D6">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能够满足本项目需求</w:t>
                  </w:r>
                  <w:r>
                    <w:rPr>
                      <w:rFonts w:hint="eastAsia" w:ascii="Times New Roman" w:hAnsi="Times New Roman" w:eastAsia="宋体" w:cs="Times New Roman"/>
                      <w:color w:val="auto"/>
                      <w:szCs w:val="21"/>
                      <w:highlight w:val="none"/>
                      <w:lang w:val="en-US" w:eastAsia="zh-CN"/>
                    </w:rPr>
                    <w:t>。</w:t>
                  </w:r>
                </w:p>
              </w:tc>
              <w:tc>
                <w:tcPr>
                  <w:tcW w:w="731" w:type="pct"/>
                  <w:tcBorders>
                    <w:tl2br w:val="nil"/>
                    <w:tr2bl w:val="nil"/>
                  </w:tcBorders>
                  <w:noWrap w:val="0"/>
                  <w:vAlign w:val="center"/>
                </w:tcPr>
                <w:p w14:paraId="4001116B">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可行</w:t>
                  </w:r>
                </w:p>
              </w:tc>
            </w:tr>
          </w:tbl>
          <w:p w14:paraId="387D3298">
            <w:pPr>
              <w:keepNext w:val="0"/>
              <w:keepLines w:val="0"/>
              <w:widowControl/>
              <w:suppressLineNumbers w:val="0"/>
              <w:tabs>
                <w:tab w:val="left" w:pos="1499"/>
              </w:tabs>
              <w:spacing w:before="0" w:beforeAutospacing="0" w:after="0" w:afterAutospacing="0" w:line="360" w:lineRule="auto"/>
              <w:ind w:left="0" w:right="0"/>
              <w:jc w:val="left"/>
              <w:rPr>
                <w:rFonts w:hint="default" w:ascii="Times New Roman" w:hAnsi="Times New Roman" w:eastAsia="宋体" w:cs="Times New Roman"/>
                <w:b/>
                <w:bCs/>
                <w:color w:val="auto"/>
                <w:kern w:val="0"/>
                <w:sz w:val="24"/>
                <w:highlight w:val="none"/>
              </w:rPr>
            </w:pPr>
            <w:r>
              <w:rPr>
                <w:rFonts w:hint="eastAsia" w:cs="Times New Roman"/>
                <w:b/>
                <w:bCs/>
                <w:color w:val="auto"/>
                <w:kern w:val="0"/>
                <w:sz w:val="24"/>
                <w:highlight w:val="none"/>
                <w:lang w:val="en-US" w:eastAsia="zh-CN"/>
              </w:rPr>
              <w:t>10</w:t>
            </w:r>
            <w:r>
              <w:rPr>
                <w:rFonts w:hint="default" w:ascii="Times New Roman" w:hAnsi="Times New Roman" w:eastAsia="宋体" w:cs="Times New Roman"/>
                <w:b/>
                <w:bCs/>
                <w:color w:val="auto"/>
                <w:kern w:val="0"/>
                <w:sz w:val="24"/>
                <w:highlight w:val="none"/>
              </w:rPr>
              <w:t>.项目总平面布置</w:t>
            </w:r>
          </w:p>
          <w:p w14:paraId="74FE4D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yellow"/>
                <w:lang w:eastAsia="zh-CN"/>
              </w:rPr>
            </w:pPr>
            <w:r>
              <w:rPr>
                <w:rFonts w:hint="default" w:ascii="Times New Roman" w:hAnsi="Times New Roman" w:eastAsia="宋体" w:cs="Times New Roman"/>
                <w:color w:val="auto"/>
                <w:sz w:val="24"/>
                <w:szCs w:val="24"/>
                <w:highlight w:val="none"/>
                <w:lang w:eastAsia="zh-CN"/>
              </w:rPr>
              <w:t>本项目根据“分区合理、工艺流畅、物流短捷、突出环保”的原则，结合租赁场地的用地条件及生产工艺，综合考虑环保、消防、劳动卫生等要求，对厂区进行了统筹安排，总平面布置见附图</w:t>
            </w: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p>
          <w:p w14:paraId="61D45632">
            <w:pPr>
              <w:tabs>
                <w:tab w:val="left" w:pos="905"/>
              </w:tabs>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cs="Times New Roman"/>
                <w:color w:val="auto"/>
                <w:sz w:val="24"/>
                <w:szCs w:val="24"/>
                <w:highlight w:val="none"/>
                <w:lang w:eastAsia="zh-CN"/>
              </w:rPr>
              <w:t>项目平面整体呈矩形布置，</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lang w:val="en-US" w:eastAsia="zh-CN"/>
              </w:rPr>
              <w:t>生产</w:t>
            </w:r>
            <w:r>
              <w:rPr>
                <w:rFonts w:hint="default" w:ascii="Times New Roman" w:hAnsi="Times New Roman" w:eastAsia="宋体" w:cs="Times New Roman"/>
                <w:color w:val="auto"/>
                <w:sz w:val="24"/>
                <w:lang w:val="en-US" w:eastAsia="zh-CN"/>
              </w:rPr>
              <w:t>车间呈</w:t>
            </w:r>
            <w:r>
              <w:rPr>
                <w:rFonts w:hint="default" w:ascii="Times New Roman" w:hAnsi="Times New Roman" w:eastAsia="宋体" w:cs="Times New Roman"/>
                <w:color w:val="auto"/>
                <w:sz w:val="24"/>
              </w:rPr>
              <w:t>长方形，</w:t>
            </w:r>
            <w:r>
              <w:rPr>
                <w:rFonts w:hint="default" w:ascii="Times New Roman" w:hAnsi="Times New Roman" w:eastAsia="宋体" w:cs="Times New Roman"/>
                <w:bCs/>
                <w:color w:val="auto"/>
                <w:sz w:val="24"/>
              </w:rPr>
              <w:t>车间</w:t>
            </w:r>
            <w:r>
              <w:rPr>
                <w:rFonts w:hint="default" w:ascii="Times New Roman" w:hAnsi="Times New Roman" w:eastAsia="宋体" w:cs="Times New Roman"/>
                <w:bCs/>
                <w:color w:val="auto"/>
                <w:sz w:val="24"/>
                <w:lang w:val="en-US" w:eastAsia="zh-CN"/>
              </w:rPr>
              <w:t>内</w:t>
            </w:r>
            <w:r>
              <w:rPr>
                <w:rFonts w:hint="default" w:ascii="Times New Roman" w:hAnsi="Times New Roman" w:eastAsia="宋体" w:cs="Times New Roman"/>
                <w:bCs/>
                <w:color w:val="auto"/>
                <w:sz w:val="24"/>
              </w:rPr>
              <w:t>布置主要考虑生产工序的顺接与方便</w:t>
            </w:r>
            <w:r>
              <w:rPr>
                <w:rFonts w:hint="default" w:ascii="Times New Roman" w:hAnsi="Times New Roman" w:eastAsia="宋体" w:cs="Times New Roman"/>
                <w:bCs/>
                <w:color w:val="auto"/>
                <w:sz w:val="24"/>
                <w:lang w:val="en-US" w:eastAsia="zh-CN"/>
              </w:rPr>
              <w:t>进行布置，从南至北划分为固废暂存间</w:t>
            </w:r>
            <w:r>
              <w:rPr>
                <w:rFonts w:hint="default" w:ascii="Times New Roman" w:hAnsi="Times New Roman" w:cs="Times New Roman"/>
                <w:bCs/>
                <w:color w:val="auto"/>
                <w:sz w:val="24"/>
                <w:lang w:val="en-US" w:eastAsia="zh-CN"/>
              </w:rPr>
              <w:t>、</w:t>
            </w:r>
            <w:r>
              <w:rPr>
                <w:rFonts w:hint="default" w:ascii="Times New Roman" w:hAnsi="Times New Roman" w:eastAsia="宋体" w:cs="Times New Roman"/>
                <w:bCs/>
                <w:color w:val="auto"/>
                <w:sz w:val="24"/>
                <w:lang w:val="en-US" w:eastAsia="zh-CN"/>
              </w:rPr>
              <w:t>残次品堆放间、塑胶储存区、成品堆放区、塑胶原料堆放区、注塑区、模具堆放区、模具库房、组装区、烫金丝印区。</w:t>
            </w:r>
          </w:p>
          <w:p w14:paraId="19BE13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eastAsia="zh-CN"/>
              </w:rPr>
            </w:pP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lang w:val="en-US" w:eastAsia="zh-CN"/>
              </w:rPr>
              <w:t>生产</w:t>
            </w:r>
            <w:r>
              <w:rPr>
                <w:rFonts w:hint="default" w:ascii="Times New Roman" w:hAnsi="Times New Roman" w:eastAsia="宋体" w:cs="Times New Roman"/>
                <w:color w:val="auto"/>
                <w:sz w:val="24"/>
                <w:lang w:val="en-US" w:eastAsia="zh-CN"/>
              </w:rPr>
              <w:t>车间呈</w:t>
            </w:r>
            <w:r>
              <w:rPr>
                <w:rFonts w:hint="default" w:ascii="Times New Roman" w:hAnsi="Times New Roman" w:eastAsia="宋体" w:cs="Times New Roman"/>
                <w:color w:val="auto"/>
                <w:sz w:val="24"/>
              </w:rPr>
              <w:t>长方形</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bCs/>
                <w:color w:val="auto"/>
                <w:sz w:val="24"/>
              </w:rPr>
              <w:t>车间</w:t>
            </w:r>
            <w:r>
              <w:rPr>
                <w:rFonts w:hint="default" w:ascii="Times New Roman" w:hAnsi="Times New Roman" w:eastAsia="宋体" w:cs="Times New Roman"/>
                <w:bCs/>
                <w:color w:val="auto"/>
                <w:sz w:val="24"/>
                <w:lang w:val="en-US" w:eastAsia="zh-CN"/>
              </w:rPr>
              <w:t>内</w:t>
            </w:r>
            <w:r>
              <w:rPr>
                <w:rFonts w:hint="default" w:ascii="Times New Roman" w:hAnsi="Times New Roman" w:eastAsia="宋体" w:cs="Times New Roman"/>
                <w:bCs/>
                <w:color w:val="auto"/>
                <w:sz w:val="24"/>
              </w:rPr>
              <w:t>布置主要考虑生产工序的顺接与方便</w:t>
            </w:r>
            <w:r>
              <w:rPr>
                <w:rFonts w:hint="default" w:ascii="Times New Roman" w:hAnsi="Times New Roman" w:eastAsia="宋体" w:cs="Times New Roman"/>
                <w:bCs/>
                <w:color w:val="auto"/>
                <w:sz w:val="24"/>
                <w:lang w:val="en-US" w:eastAsia="zh-CN"/>
              </w:rPr>
              <w:t>进行布置</w:t>
            </w:r>
            <w:r>
              <w:rPr>
                <w:rFonts w:hint="eastAsia" w:ascii="Times New Roman" w:hAnsi="Times New Roman" w:eastAsia="宋体" w:cs="Times New Roman"/>
                <w:bCs/>
                <w:color w:val="auto"/>
                <w:sz w:val="24"/>
                <w:lang w:val="en-US" w:eastAsia="zh-CN"/>
              </w:rPr>
              <w:t>，从北至南依次为原材料仓库，成品堆放区，印刷间，组装流水线，压纹模切，烫金区，模切区。</w:t>
            </w:r>
            <w:r>
              <w:rPr>
                <w:rFonts w:hint="eastAsia" w:ascii="宋体" w:hAnsi="宋体" w:cs="宋体"/>
                <w:color w:val="auto"/>
                <w:sz w:val="24"/>
                <w:szCs w:val="24"/>
                <w:highlight w:val="none"/>
                <w:lang w:eastAsia="zh-CN"/>
              </w:rPr>
              <w:t>项目平面</w:t>
            </w:r>
            <w:r>
              <w:rPr>
                <w:rFonts w:hint="eastAsia" w:ascii="宋体" w:hAnsi="宋体" w:eastAsia="宋体" w:cs="宋体"/>
                <w:color w:val="auto"/>
                <w:sz w:val="24"/>
                <w:szCs w:val="24"/>
                <w:highlight w:val="none"/>
                <w:lang w:eastAsia="zh-CN"/>
              </w:rPr>
              <w:t>布置</w:t>
            </w:r>
            <w:r>
              <w:rPr>
                <w:rFonts w:hint="eastAsia" w:ascii="宋体" w:hAnsi="宋体" w:cs="宋体"/>
                <w:color w:val="auto"/>
                <w:sz w:val="24"/>
                <w:szCs w:val="24"/>
                <w:highlight w:val="none"/>
                <w:lang w:eastAsia="zh-CN"/>
              </w:rPr>
              <w:t>使得生产</w:t>
            </w:r>
            <w:r>
              <w:rPr>
                <w:rFonts w:hint="eastAsia" w:ascii="宋体" w:hAnsi="宋体" w:eastAsia="宋体" w:cs="宋体"/>
                <w:color w:val="auto"/>
                <w:sz w:val="24"/>
                <w:szCs w:val="24"/>
                <w:highlight w:val="none"/>
                <w:lang w:eastAsia="zh-CN"/>
              </w:rPr>
              <w:t>工艺流畅、物流短捷</w:t>
            </w:r>
            <w:r>
              <w:rPr>
                <w:rFonts w:hint="eastAsia" w:ascii="宋体" w:hAnsi="宋体" w:cs="宋体"/>
                <w:color w:val="auto"/>
                <w:sz w:val="24"/>
                <w:szCs w:val="24"/>
                <w:highlight w:val="none"/>
                <w:lang w:eastAsia="zh-CN"/>
              </w:rPr>
              <w:t>，同时</w:t>
            </w:r>
            <w:r>
              <w:rPr>
                <w:rFonts w:hint="eastAsia" w:ascii="宋体" w:hAnsi="宋体" w:eastAsia="宋体" w:cs="宋体"/>
                <w:color w:val="auto"/>
                <w:sz w:val="24"/>
                <w:szCs w:val="24"/>
                <w:highlight w:val="none"/>
                <w:lang w:eastAsia="zh-CN"/>
              </w:rPr>
              <w:t>高噪声设备合理布置，</w:t>
            </w:r>
            <w:r>
              <w:rPr>
                <w:rFonts w:hint="eastAsia" w:ascii="宋体" w:hAnsi="宋体" w:cs="宋体"/>
                <w:color w:val="auto"/>
                <w:sz w:val="24"/>
                <w:szCs w:val="24"/>
                <w:highlight w:val="none"/>
                <w:lang w:eastAsia="zh-CN"/>
              </w:rPr>
              <w:t>尽量布置在</w:t>
            </w:r>
            <w:r>
              <w:rPr>
                <w:rFonts w:hint="eastAsia" w:ascii="宋体" w:hAnsi="宋体" w:eastAsia="宋体" w:cs="宋体"/>
                <w:color w:val="auto"/>
                <w:sz w:val="24"/>
                <w:szCs w:val="24"/>
                <w:highlight w:val="none"/>
                <w:lang w:eastAsia="zh-CN"/>
              </w:rPr>
              <w:t>车间中部</w:t>
            </w:r>
            <w:r>
              <w:rPr>
                <w:rFonts w:hint="eastAsia" w:ascii="宋体" w:hAnsi="宋体" w:cs="宋体"/>
                <w:color w:val="auto"/>
                <w:sz w:val="24"/>
                <w:szCs w:val="24"/>
                <w:highlight w:val="none"/>
                <w:lang w:eastAsia="zh-CN"/>
              </w:rPr>
              <w:t>，以从源头降低噪声污染</w:t>
            </w:r>
            <w:r>
              <w:rPr>
                <w:rFonts w:hint="eastAsia" w:ascii="宋体" w:hAnsi="宋体" w:eastAsia="宋体" w:cs="宋体"/>
                <w:color w:val="auto"/>
                <w:sz w:val="24"/>
                <w:szCs w:val="24"/>
                <w:highlight w:val="none"/>
                <w:lang w:eastAsia="zh-CN"/>
              </w:rPr>
              <w:t>。</w:t>
            </w:r>
          </w:p>
          <w:p w14:paraId="28D44122">
            <w:pPr>
              <w:adjustRightInd w:val="0"/>
              <w:snapToGrid w:val="0"/>
              <w:spacing w:line="360" w:lineRule="auto"/>
              <w:ind w:firstLine="480" w:firstLineChars="200"/>
              <w:rPr>
                <w:color w:val="auto"/>
                <w:sz w:val="24"/>
              </w:rPr>
            </w:pPr>
            <w:r>
              <w:rPr>
                <w:rFonts w:hint="eastAsia" w:ascii="宋体" w:hAnsi="宋体" w:eastAsia="宋体" w:cs="宋体"/>
                <w:color w:val="auto"/>
                <w:sz w:val="24"/>
                <w:szCs w:val="24"/>
                <w:highlight w:val="none"/>
                <w:lang w:eastAsia="zh-CN"/>
              </w:rPr>
              <w:t>总体而言，项目总平面布置功能分区</w:t>
            </w:r>
            <w:r>
              <w:rPr>
                <w:rFonts w:hint="eastAsia" w:ascii="宋体" w:hAnsi="宋体" w:cs="宋体"/>
                <w:color w:val="auto"/>
                <w:sz w:val="24"/>
                <w:szCs w:val="24"/>
                <w:highlight w:val="none"/>
                <w:lang w:eastAsia="zh-CN"/>
              </w:rPr>
              <w:t>明确</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eastAsia="zh-CN"/>
              </w:rPr>
              <w:t>布局较为合理</w:t>
            </w:r>
            <w:r>
              <w:rPr>
                <w:rFonts w:hint="eastAsia" w:ascii="宋体" w:hAnsi="宋体" w:eastAsia="宋体" w:cs="宋体"/>
                <w:color w:val="auto"/>
                <w:sz w:val="24"/>
                <w:szCs w:val="24"/>
                <w:highlight w:val="none"/>
                <w:lang w:eastAsia="zh-CN"/>
              </w:rPr>
              <w:t>，工艺流程较顺畅，物流短捷。项目总图布置从环境保护角度</w:t>
            </w:r>
            <w:r>
              <w:rPr>
                <w:rFonts w:hint="eastAsia" w:ascii="宋体" w:hAnsi="宋体" w:cs="宋体"/>
                <w:color w:val="auto"/>
                <w:sz w:val="24"/>
                <w:szCs w:val="24"/>
                <w:highlight w:val="none"/>
                <w:lang w:eastAsia="zh-CN"/>
              </w:rPr>
              <w:t>而言</w:t>
            </w:r>
            <w:r>
              <w:rPr>
                <w:rFonts w:hint="eastAsia" w:ascii="宋体" w:hAnsi="宋体" w:eastAsia="宋体" w:cs="宋体"/>
                <w:color w:val="auto"/>
                <w:sz w:val="24"/>
                <w:szCs w:val="24"/>
                <w:highlight w:val="none"/>
                <w:lang w:eastAsia="zh-CN"/>
              </w:rPr>
              <w:t>是合理的。</w:t>
            </w:r>
          </w:p>
        </w:tc>
      </w:tr>
      <w:tr w14:paraId="5D07CD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225" w:type="pct"/>
            <w:vAlign w:val="center"/>
          </w:tcPr>
          <w:p w14:paraId="77CF9E32">
            <w:pPr>
              <w:pStyle w:val="21"/>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4774" w:type="pct"/>
          </w:tcPr>
          <w:p w14:paraId="6664C251">
            <w:pPr>
              <w:spacing w:line="360" w:lineRule="auto"/>
              <w:ind w:firstLine="480" w:firstLineChars="200"/>
              <w:rPr>
                <w:color w:val="auto"/>
                <w:sz w:val="24"/>
              </w:rPr>
            </w:pPr>
            <w:r>
              <w:rPr>
                <w:rFonts w:hint="eastAsia" w:ascii="宋体" w:hAnsi="宋体" w:eastAsia="宋体" w:cs="宋体"/>
                <w:color w:val="auto"/>
                <w:sz w:val="24"/>
                <w:highlight w:val="none"/>
              </w:rPr>
              <w:t>项目在</w:t>
            </w:r>
            <w:r>
              <w:rPr>
                <w:rFonts w:hint="eastAsia"/>
                <w:color w:val="auto"/>
                <w:spacing w:val="-6"/>
                <w:sz w:val="24"/>
                <w:highlight w:val="none"/>
                <w:lang w:val="en-US" w:eastAsia="zh-CN"/>
              </w:rPr>
              <w:t>大英县蓬莱镇工业集中发展区采和大道1楼</w:t>
            </w:r>
            <w:r>
              <w:rPr>
                <w:rFonts w:hint="eastAsia" w:ascii="宋体" w:hAnsi="宋体" w:eastAsia="宋体" w:cs="宋体"/>
                <w:color w:val="auto"/>
                <w:sz w:val="24"/>
                <w:highlight w:val="none"/>
              </w:rPr>
              <w:t>已建厂房进行建设，</w:t>
            </w:r>
            <w:r>
              <w:rPr>
                <w:rFonts w:hint="eastAsia" w:ascii="宋体" w:hAnsi="宋体" w:eastAsia="宋体" w:cs="宋体"/>
                <w:color w:val="auto"/>
                <w:sz w:val="24"/>
              </w:rPr>
              <w:t>基础建设已完成，</w:t>
            </w:r>
            <w:r>
              <w:rPr>
                <w:rFonts w:hint="eastAsia"/>
                <w:color w:val="auto"/>
                <w:sz w:val="24"/>
              </w:rPr>
              <w:t>基础建设已完成，本项目业主仅根据生产运营需求，在厂房内进行装饰及设备安装布置。本项目施工包括厂房改造及设备安装调试等，施工期产生的污染物主要为噪声、包装材料、废渣以及施工人员产生的生活污水、生活垃圾等。</w:t>
            </w:r>
          </w:p>
          <w:p w14:paraId="6CCE4CA4">
            <w:pPr>
              <w:adjustRightInd w:val="0"/>
              <w:snapToGrid w:val="0"/>
              <w:spacing w:line="360" w:lineRule="auto"/>
              <w:rPr>
                <w:b/>
                <w:bCs/>
                <w:color w:val="auto"/>
                <w:sz w:val="24"/>
                <w:highlight w:val="none"/>
              </w:rPr>
            </w:pPr>
            <w:r>
              <w:rPr>
                <w:rFonts w:hint="eastAsia"/>
                <w:b/>
                <w:bCs/>
                <w:color w:val="auto"/>
                <w:sz w:val="24"/>
                <w:highlight w:val="none"/>
              </w:rPr>
              <w:t>一、</w:t>
            </w:r>
            <w:r>
              <w:rPr>
                <w:b/>
                <w:bCs/>
                <w:color w:val="auto"/>
                <w:sz w:val="24"/>
                <w:highlight w:val="none"/>
              </w:rPr>
              <w:t>施工期工艺流程</w:t>
            </w:r>
          </w:p>
          <w:p w14:paraId="39B029B1">
            <w:pPr>
              <w:adjustRightInd w:val="0"/>
              <w:snapToGrid w:val="0"/>
              <w:spacing w:line="360" w:lineRule="auto"/>
              <w:ind w:firstLine="480" w:firstLineChars="200"/>
              <w:rPr>
                <w:color w:val="auto"/>
                <w:sz w:val="24"/>
                <w:highlight w:val="none"/>
              </w:rPr>
            </w:pPr>
            <w:r>
              <w:rPr>
                <w:color w:val="auto"/>
                <w:sz w:val="24"/>
                <w:highlight w:val="none"/>
              </w:rPr>
              <w:t>施工期产生的污染物主要为噪声、</w:t>
            </w:r>
            <w:r>
              <w:rPr>
                <w:rFonts w:hint="eastAsia"/>
                <w:color w:val="auto"/>
                <w:sz w:val="24"/>
                <w:highlight w:val="none"/>
              </w:rPr>
              <w:t>扬尘、建筑垃圾</w:t>
            </w:r>
            <w:r>
              <w:rPr>
                <w:color w:val="auto"/>
                <w:sz w:val="24"/>
                <w:highlight w:val="none"/>
              </w:rPr>
              <w:t>以及施工人员产生的生活污水、生活垃圾等。</w:t>
            </w:r>
          </w:p>
          <w:p w14:paraId="0566A50F">
            <w:pPr>
              <w:adjustRightInd w:val="0"/>
              <w:snapToGrid w:val="0"/>
              <w:spacing w:line="360" w:lineRule="auto"/>
              <w:jc w:val="center"/>
              <w:rPr>
                <w:b/>
                <w:bCs/>
                <w:color w:val="auto"/>
                <w:sz w:val="24"/>
                <w:highlight w:val="none"/>
              </w:rPr>
            </w:pPr>
            <w:r>
              <w:rPr>
                <w:rFonts w:hint="eastAsia" w:eastAsia="宋体"/>
                <w:b/>
                <w:bCs/>
                <w:color w:val="auto"/>
                <w:sz w:val="24"/>
                <w:lang w:eastAsia="zh-CN"/>
              </w:rPr>
              <w:drawing>
                <wp:inline distT="0" distB="0" distL="114300" distR="114300">
                  <wp:extent cx="5349875" cy="1360805"/>
                  <wp:effectExtent l="0" t="0" r="3175" b="10795"/>
                  <wp:docPr id="21" name="图片 21" descr="微信图片_2025011216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50112161116"/>
                          <pic:cNvPicPr>
                            <a:picLocks noChangeAspect="1"/>
                          </pic:cNvPicPr>
                        </pic:nvPicPr>
                        <pic:blipFill>
                          <a:blip r:embed="rId28"/>
                          <a:stretch>
                            <a:fillRect/>
                          </a:stretch>
                        </pic:blipFill>
                        <pic:spPr>
                          <a:xfrm>
                            <a:off x="0" y="0"/>
                            <a:ext cx="5349875" cy="1360805"/>
                          </a:xfrm>
                          <a:prstGeom prst="rect">
                            <a:avLst/>
                          </a:prstGeom>
                        </pic:spPr>
                      </pic:pic>
                    </a:graphicData>
                  </a:graphic>
                </wp:inline>
              </w:drawing>
            </w:r>
          </w:p>
          <w:p w14:paraId="3BC0CFBE">
            <w:pPr>
              <w:adjustRightInd w:val="0"/>
              <w:snapToGrid w:val="0"/>
              <w:jc w:val="center"/>
              <w:rPr>
                <w:b/>
                <w:bCs/>
                <w:color w:val="auto"/>
                <w:szCs w:val="21"/>
                <w:highlight w:val="none"/>
              </w:rPr>
            </w:pPr>
            <w:r>
              <w:rPr>
                <w:rFonts w:hint="eastAsia"/>
                <w:b/>
                <w:bCs/>
                <w:color w:val="auto"/>
                <w:szCs w:val="21"/>
                <w:highlight w:val="none"/>
              </w:rPr>
              <w:t>图</w:t>
            </w:r>
            <w:r>
              <w:rPr>
                <w:b/>
                <w:bCs/>
                <w:color w:val="auto"/>
                <w:szCs w:val="21"/>
                <w:highlight w:val="none"/>
              </w:rPr>
              <w:t>2-</w:t>
            </w:r>
            <w:r>
              <w:rPr>
                <w:rFonts w:hint="eastAsia"/>
                <w:b/>
                <w:bCs/>
                <w:color w:val="auto"/>
                <w:szCs w:val="21"/>
                <w:highlight w:val="none"/>
                <w:lang w:val="en-US" w:eastAsia="zh-CN"/>
              </w:rPr>
              <w:t>4</w:t>
            </w:r>
            <w:r>
              <w:rPr>
                <w:b/>
                <w:bCs/>
                <w:color w:val="auto"/>
                <w:szCs w:val="21"/>
                <w:highlight w:val="none"/>
              </w:rPr>
              <w:t xml:space="preserve">   </w:t>
            </w:r>
            <w:r>
              <w:rPr>
                <w:rFonts w:hint="eastAsia"/>
                <w:b/>
                <w:bCs/>
                <w:color w:val="auto"/>
                <w:szCs w:val="21"/>
                <w:highlight w:val="none"/>
              </w:rPr>
              <w:t>施工期工艺流程及产污环节</w:t>
            </w:r>
          </w:p>
          <w:p w14:paraId="430C0DFF">
            <w:pPr>
              <w:numPr>
                <w:ilvl w:val="0"/>
                <w:numId w:val="2"/>
              </w:numPr>
              <w:adjustRightInd w:val="0"/>
              <w:snapToGrid w:val="0"/>
              <w:spacing w:line="360" w:lineRule="auto"/>
              <w:rPr>
                <w:rFonts w:hint="eastAsia"/>
                <w:b/>
                <w:bCs/>
                <w:color w:val="auto"/>
                <w:sz w:val="24"/>
              </w:rPr>
            </w:pPr>
            <w:r>
              <w:rPr>
                <w:b/>
                <w:bCs/>
                <w:color w:val="auto"/>
                <w:sz w:val="24"/>
              </w:rPr>
              <w:t>运营期</w:t>
            </w:r>
            <w:r>
              <w:rPr>
                <w:rFonts w:hint="eastAsia"/>
                <w:b/>
                <w:bCs/>
                <w:color w:val="auto"/>
                <w:sz w:val="24"/>
              </w:rPr>
              <w:t>工艺流程</w:t>
            </w:r>
          </w:p>
          <w:p w14:paraId="1DE805EF">
            <w:pPr>
              <w:numPr>
                <w:ilvl w:val="0"/>
                <w:numId w:val="0"/>
              </w:numPr>
              <w:adjustRightInd w:val="0"/>
              <w:snapToGrid w:val="0"/>
              <w:spacing w:line="360" w:lineRule="auto"/>
              <w:ind w:firstLine="480" w:firstLineChars="200"/>
              <w:rPr>
                <w:rFonts w:hint="eastAsia"/>
                <w:color w:val="auto"/>
                <w:sz w:val="24"/>
              </w:rPr>
            </w:pPr>
            <w:r>
              <w:rPr>
                <w:rFonts w:hint="eastAsia"/>
                <w:color w:val="auto"/>
                <w:sz w:val="24"/>
              </w:rPr>
              <w:t>本项目营运期的产品主要是</w:t>
            </w:r>
            <w:r>
              <w:rPr>
                <w:rFonts w:hint="eastAsia"/>
                <w:color w:val="auto"/>
                <w:sz w:val="24"/>
                <w:lang w:val="en-US" w:eastAsia="zh-CN"/>
              </w:rPr>
              <w:t>酒类礼品包装盒（全部为纸制品包装盒）、塑纸包装盒（为注塑件和印刷后的纸制品粘合的包装盒）、木塑包装盒（由木制底座和注塑件结合的包装盒）</w:t>
            </w:r>
            <w:r>
              <w:rPr>
                <w:rFonts w:hint="eastAsia"/>
                <w:color w:val="auto"/>
                <w:sz w:val="24"/>
              </w:rPr>
              <w:t>。</w:t>
            </w:r>
          </w:p>
          <w:p w14:paraId="0375DC2C">
            <w:pPr>
              <w:pStyle w:val="10"/>
              <w:rPr>
                <w:rFonts w:hint="default" w:eastAsia="宋体"/>
                <w:b/>
                <w:bCs/>
                <w:color w:val="auto"/>
                <w:sz w:val="24"/>
                <w:lang w:val="en-US" w:eastAsia="zh-CN"/>
              </w:rPr>
            </w:pPr>
            <w:r>
              <w:rPr>
                <w:rFonts w:hint="eastAsia"/>
                <w:b/>
                <w:bCs/>
                <w:color w:val="auto"/>
                <w:sz w:val="24"/>
                <w:lang w:val="en-US" w:eastAsia="zh-CN"/>
              </w:rPr>
              <w:t>1、印刷打样工艺流程及产污工序如下图所示：</w:t>
            </w:r>
          </w:p>
          <w:p w14:paraId="63CB1F9A">
            <w:pPr>
              <w:rPr>
                <w:rFonts w:hint="eastAsia"/>
                <w:color w:val="auto"/>
                <w:sz w:val="24"/>
              </w:rPr>
            </w:pPr>
          </w:p>
          <w:p w14:paraId="4E0E65A4">
            <w:pPr>
              <w:pStyle w:val="10"/>
              <w:jc w:val="center"/>
              <w:rPr>
                <w:rFonts w:hint="default"/>
                <w:color w:val="auto"/>
                <w:lang w:val="en-US" w:eastAsia="zh-CN"/>
              </w:rPr>
            </w:pPr>
            <w:r>
              <w:rPr>
                <w:rFonts w:hint="default"/>
                <w:color w:val="auto"/>
                <w:lang w:val="en-US" w:eastAsia="zh-CN"/>
              </w:rPr>
              <w:object>
                <v:shape id="_x0000_i1030" o:spt="75" type="#_x0000_t75" style="height:133.5pt;width:305.25pt;" o:ole="t" filled="f" o:preferrelative="t" stroked="f" coordsize="21600,21600">
                  <v:path/>
                  <v:fill on="f" focussize="0,0"/>
                  <v:stroke on="f"/>
                  <v:imagedata r:id="rId30" o:title=""/>
                  <o:lock v:ext="edit" aspectratio="f"/>
                  <w10:wrap type="none"/>
                  <w10:anchorlock/>
                </v:shape>
                <o:OLEObject Type="Embed" ProgID="Visio.Drawing.15" ShapeID="_x0000_i1030" DrawAspect="Content" ObjectID="_1468075730" r:id="rId29">
                  <o:LockedField>false</o:LockedField>
                </o:OLEObject>
              </w:object>
            </w:r>
          </w:p>
          <w:p w14:paraId="2AFF94FE">
            <w:pPr>
              <w:pStyle w:val="56"/>
              <w:keepNext w:val="0"/>
              <w:keepLines w:val="0"/>
              <w:suppressLineNumbers w:val="0"/>
              <w:spacing w:beforeAutospacing="0" w:afterAutospacing="0" w:line="360" w:lineRule="auto"/>
              <w:ind w:left="0" w:right="0"/>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eastAsia="宋体" w:cs="Times New Roman"/>
                <w:b/>
                <w:bCs w:val="0"/>
                <w:color w:val="auto"/>
                <w:sz w:val="21"/>
                <w:szCs w:val="21"/>
                <w:vertAlign w:val="baseline"/>
                <w:lang w:eastAsia="zh-CN"/>
              </w:rPr>
              <w:t>图</w:t>
            </w:r>
            <w:r>
              <w:rPr>
                <w:rFonts w:hint="eastAsia" w:ascii="Times New Roman" w:hAnsi="Times New Roman" w:eastAsia="宋体" w:cs="Times New Roman"/>
                <w:b/>
                <w:bCs w:val="0"/>
                <w:color w:val="auto"/>
                <w:sz w:val="21"/>
                <w:szCs w:val="21"/>
                <w:vertAlign w:val="baseline"/>
                <w:lang w:val="en-US" w:eastAsia="zh-CN"/>
              </w:rPr>
              <w:t>2-5</w:t>
            </w:r>
            <w:r>
              <w:rPr>
                <w:rFonts w:hint="eastAsia" w:eastAsia="宋体" w:cs="Times New Roman"/>
                <w:b/>
                <w:bCs w:val="0"/>
                <w:color w:val="auto"/>
                <w:sz w:val="21"/>
                <w:szCs w:val="21"/>
                <w:vertAlign w:val="baseline"/>
                <w:lang w:val="en-US" w:eastAsia="zh-CN"/>
              </w:rPr>
              <w:t xml:space="preserve">  印刷打样生产工艺流程及产污环节</w:t>
            </w:r>
            <w:r>
              <w:rPr>
                <w:rFonts w:hint="default" w:ascii="Times New Roman" w:hAnsi="Times New Roman" w:eastAsia="宋体" w:cs="Times New Roman"/>
                <w:b/>
                <w:bCs w:val="0"/>
                <w:color w:val="auto"/>
                <w:sz w:val="21"/>
                <w:szCs w:val="21"/>
                <w:vertAlign w:val="baseline"/>
                <w:lang w:eastAsia="zh-CN"/>
              </w:rPr>
              <w:t>图</w:t>
            </w:r>
          </w:p>
          <w:p w14:paraId="2F772D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auto"/>
                <w:sz w:val="24"/>
              </w:rPr>
            </w:pPr>
            <w:r>
              <w:rPr>
                <w:rFonts w:hint="eastAsia"/>
                <w:b/>
                <w:bCs/>
                <w:color w:val="auto"/>
                <w:sz w:val="24"/>
              </w:rPr>
              <w:t>工艺流程简述：</w:t>
            </w:r>
          </w:p>
          <w:p w14:paraId="25F244C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sz w:val="24"/>
                <w:highlight w:val="none"/>
              </w:rPr>
            </w:pPr>
            <w:r>
              <w:rPr>
                <w:rFonts w:hint="eastAsia"/>
                <w:b/>
                <w:bCs/>
                <w:color w:val="auto"/>
                <w:sz w:val="24"/>
                <w:highlight w:val="none"/>
              </w:rPr>
              <w:t>印刷：</w:t>
            </w:r>
            <w:r>
              <w:rPr>
                <w:rFonts w:hint="eastAsia"/>
                <w:color w:val="auto"/>
                <w:sz w:val="24"/>
                <w:highlight w:val="none"/>
              </w:rPr>
              <w:t>工程部根据开发部提供的客封样或图稿，利用打样机在</w:t>
            </w:r>
            <w:r>
              <w:rPr>
                <w:rFonts w:hint="eastAsia"/>
                <w:color w:val="auto"/>
                <w:sz w:val="24"/>
                <w:highlight w:val="none"/>
                <w:lang w:val="en-US" w:eastAsia="zh-CN"/>
              </w:rPr>
              <w:t>纸制品上</w:t>
            </w:r>
            <w:r>
              <w:rPr>
                <w:rFonts w:hint="eastAsia"/>
                <w:color w:val="auto"/>
                <w:sz w:val="24"/>
                <w:highlight w:val="none"/>
              </w:rPr>
              <w:t>进行印刷，本项目使用的打样机属于UV打印机，是一种高科技的免制版全彩色数码印刷机，采用UV印刷工艺，使用UV油墨印刷，利用紫外光线干燥</w:t>
            </w:r>
            <w:r>
              <w:rPr>
                <w:rFonts w:hint="eastAsia"/>
                <w:color w:val="auto"/>
                <w:sz w:val="24"/>
                <w:highlight w:val="none"/>
                <w:lang w:eastAsia="zh-CN"/>
              </w:rPr>
              <w:t>。</w:t>
            </w:r>
            <w:r>
              <w:rPr>
                <w:rFonts w:hint="eastAsia"/>
                <w:color w:val="auto"/>
                <w:sz w:val="24"/>
                <w:highlight w:val="none"/>
              </w:rPr>
              <w:t>此工段产生的</w:t>
            </w:r>
            <w:r>
              <w:rPr>
                <w:color w:val="auto"/>
                <w:sz w:val="24"/>
                <w:highlight w:val="none"/>
              </w:rPr>
              <w:t>主要污染物为</w:t>
            </w:r>
            <w:r>
              <w:rPr>
                <w:rFonts w:hint="eastAsia"/>
                <w:color w:val="auto"/>
                <w:sz w:val="24"/>
                <w:highlight w:val="none"/>
              </w:rPr>
              <w:t>有机废气、</w:t>
            </w:r>
            <w:r>
              <w:rPr>
                <w:color w:val="auto"/>
                <w:sz w:val="24"/>
                <w:highlight w:val="none"/>
              </w:rPr>
              <w:t>噪声。</w:t>
            </w:r>
          </w:p>
          <w:p w14:paraId="5A450BD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sz w:val="24"/>
              </w:rPr>
            </w:pPr>
            <w:r>
              <w:rPr>
                <w:rFonts w:hint="eastAsia"/>
                <w:b/>
                <w:bCs/>
                <w:color w:val="auto"/>
                <w:sz w:val="24"/>
              </w:rPr>
              <w:t>手工制样：</w:t>
            </w:r>
            <w:r>
              <w:rPr>
                <w:rFonts w:hint="eastAsia"/>
                <w:color w:val="auto"/>
                <w:sz w:val="24"/>
              </w:rPr>
              <w:t>印刷后的</w:t>
            </w:r>
            <w:r>
              <w:rPr>
                <w:rFonts w:hint="eastAsia"/>
                <w:color w:val="auto"/>
                <w:sz w:val="24"/>
                <w:lang w:val="en-US" w:eastAsia="zh-CN"/>
              </w:rPr>
              <w:t>纸制品</w:t>
            </w:r>
            <w:r>
              <w:rPr>
                <w:rFonts w:hint="eastAsia"/>
                <w:color w:val="auto"/>
                <w:sz w:val="24"/>
              </w:rPr>
              <w:t>手工拼装为</w:t>
            </w:r>
            <w:r>
              <w:rPr>
                <w:rFonts w:hint="eastAsia"/>
                <w:color w:val="auto"/>
                <w:sz w:val="24"/>
                <w:lang w:val="en-US" w:eastAsia="zh-CN"/>
              </w:rPr>
              <w:t>包装盒</w:t>
            </w:r>
            <w:r>
              <w:rPr>
                <w:rFonts w:hint="eastAsia"/>
                <w:color w:val="auto"/>
                <w:sz w:val="24"/>
              </w:rPr>
              <w:t>样品。手工制样中各工序均在生产车间内相应工位进行，该工序产生的污染物为对应工位产生的污染物，故本项目不单独对此进行分析。</w:t>
            </w:r>
          </w:p>
          <w:p w14:paraId="0DC62D2B">
            <w:pPr>
              <w:pStyle w:val="10"/>
              <w:rPr>
                <w:rFonts w:hint="default" w:eastAsia="宋体"/>
                <w:b/>
                <w:bCs/>
                <w:color w:val="auto"/>
                <w:sz w:val="24"/>
                <w:lang w:val="en-US" w:eastAsia="zh-CN"/>
              </w:rPr>
            </w:pPr>
            <w:r>
              <w:rPr>
                <w:rFonts w:hint="eastAsia"/>
                <w:b/>
                <w:bCs/>
                <w:color w:val="auto"/>
                <w:sz w:val="24"/>
                <w:lang w:val="en-US" w:eastAsia="zh-CN"/>
              </w:rPr>
              <w:t>2、工艺流程及产污工序如下图所示：</w:t>
            </w:r>
          </w:p>
          <w:p w14:paraId="21D6EF9C">
            <w:pPr>
              <w:pStyle w:val="10"/>
              <w:jc w:val="center"/>
              <w:rPr>
                <w:rFonts w:hint="default"/>
                <w:color w:val="auto"/>
                <w:lang w:val="en-US" w:eastAsia="zh-CN"/>
              </w:rPr>
            </w:pPr>
            <w:r>
              <w:rPr>
                <w:rFonts w:hint="default"/>
                <w:color w:val="auto"/>
                <w:lang w:val="en-US" w:eastAsia="zh-CN"/>
              </w:rPr>
              <w:object>
                <v:shape id="_x0000_i1031" o:spt="75" type="#_x0000_t75" style="height:628.5pt;width:310.5pt;" o:ole="t" filled="f" o:preferrelative="t" stroked="f" coordsize="21600,21600">
                  <v:path/>
                  <v:fill on="f" focussize="0,0"/>
                  <v:stroke on="f"/>
                  <v:imagedata r:id="rId32" o:title=""/>
                  <o:lock v:ext="edit" aspectratio="f"/>
                  <w10:wrap type="none"/>
                  <w10:anchorlock/>
                </v:shape>
                <o:OLEObject Type="Embed" ProgID="Visio.Drawing.15" ShapeID="_x0000_i1031" DrawAspect="Content" ObjectID="_1468075731" r:id="rId31">
                  <o:LockedField>false</o:LockedField>
                </o:OLEObject>
              </w:object>
            </w:r>
          </w:p>
          <w:p w14:paraId="3527F735">
            <w:pPr>
              <w:pStyle w:val="56"/>
              <w:keepNext w:val="0"/>
              <w:keepLines w:val="0"/>
              <w:suppressLineNumbers w:val="0"/>
              <w:spacing w:beforeAutospacing="0" w:afterAutospacing="0" w:line="360" w:lineRule="auto"/>
              <w:ind w:left="0" w:right="0"/>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eastAsia="宋体" w:cs="Times New Roman"/>
                <w:b/>
                <w:bCs w:val="0"/>
                <w:color w:val="auto"/>
                <w:sz w:val="21"/>
                <w:szCs w:val="21"/>
                <w:vertAlign w:val="baseline"/>
                <w:lang w:eastAsia="zh-CN"/>
              </w:rPr>
              <w:t>图</w:t>
            </w:r>
            <w:r>
              <w:rPr>
                <w:rFonts w:hint="eastAsia" w:ascii="Times New Roman" w:hAnsi="Times New Roman" w:eastAsia="宋体" w:cs="Times New Roman"/>
                <w:b/>
                <w:bCs w:val="0"/>
                <w:color w:val="auto"/>
                <w:sz w:val="21"/>
                <w:szCs w:val="21"/>
                <w:vertAlign w:val="baseline"/>
                <w:lang w:val="en-US" w:eastAsia="zh-CN"/>
              </w:rPr>
              <w:t>2-</w:t>
            </w:r>
            <w:r>
              <w:rPr>
                <w:rFonts w:hint="eastAsia" w:eastAsia="宋体" w:cs="Times New Roman"/>
                <w:b/>
                <w:bCs w:val="0"/>
                <w:color w:val="auto"/>
                <w:sz w:val="21"/>
                <w:szCs w:val="21"/>
                <w:vertAlign w:val="baseline"/>
                <w:lang w:val="en-US" w:eastAsia="zh-CN"/>
              </w:rPr>
              <w:t>6  酒类礼品包装盒生产工艺流程及产污环节</w:t>
            </w:r>
            <w:r>
              <w:rPr>
                <w:rFonts w:hint="default" w:ascii="Times New Roman" w:hAnsi="Times New Roman" w:eastAsia="宋体" w:cs="Times New Roman"/>
                <w:b/>
                <w:bCs w:val="0"/>
                <w:color w:val="auto"/>
                <w:sz w:val="21"/>
                <w:szCs w:val="21"/>
                <w:vertAlign w:val="baseline"/>
                <w:lang w:eastAsia="zh-CN"/>
              </w:rPr>
              <w:t>图</w:t>
            </w:r>
          </w:p>
          <w:p w14:paraId="497715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color w:val="auto"/>
                <w:sz w:val="24"/>
                <w:lang w:val="en-US" w:eastAsia="zh-CN"/>
              </w:rPr>
            </w:pPr>
            <w:r>
              <w:rPr>
                <w:rFonts w:hint="eastAsia"/>
                <w:b/>
                <w:bCs/>
                <w:color w:val="auto"/>
                <w:sz w:val="24"/>
              </w:rPr>
              <w:t>工艺流程简述</w:t>
            </w:r>
            <w:r>
              <w:rPr>
                <w:rFonts w:hint="eastAsia"/>
                <w:color w:val="auto"/>
                <w:sz w:val="24"/>
                <w:lang w:val="en-US" w:eastAsia="zh-CN"/>
              </w:rPr>
              <w:t>：</w:t>
            </w:r>
          </w:p>
          <w:p w14:paraId="38D0CA42">
            <w:pPr>
              <w:pStyle w:val="103"/>
              <w:ind w:firstLine="482"/>
              <w:rPr>
                <w:rFonts w:hint="eastAsia"/>
                <w:b/>
                <w:bCs/>
                <w:color w:val="auto"/>
              </w:rPr>
            </w:pPr>
            <w:r>
              <w:rPr>
                <w:rFonts w:hint="eastAsia"/>
                <w:b/>
                <w:bCs/>
                <w:color w:val="auto"/>
              </w:rPr>
              <w:t>（1）</w:t>
            </w:r>
            <w:r>
              <w:rPr>
                <w:b/>
                <w:bCs/>
                <w:color w:val="auto"/>
              </w:rPr>
              <w:t>设计</w:t>
            </w:r>
          </w:p>
          <w:p w14:paraId="001C687E">
            <w:pPr>
              <w:pStyle w:val="103"/>
              <w:ind w:firstLine="480"/>
              <w:rPr>
                <w:color w:val="auto"/>
              </w:rPr>
            </w:pPr>
            <w:r>
              <w:rPr>
                <w:color w:val="auto"/>
              </w:rPr>
              <w:t>设计技术人员利用电脑设计出所需要的纸制品的尺寸及样式。</w:t>
            </w:r>
          </w:p>
          <w:p w14:paraId="326A5733">
            <w:pPr>
              <w:pStyle w:val="103"/>
              <w:ind w:firstLine="482"/>
              <w:rPr>
                <w:b/>
                <w:bCs/>
                <w:color w:val="auto"/>
              </w:rPr>
            </w:pPr>
            <w:r>
              <w:rPr>
                <w:rFonts w:hint="eastAsia"/>
                <w:b/>
                <w:bCs/>
                <w:color w:val="auto"/>
              </w:rPr>
              <w:t>（2）制版、印刷</w:t>
            </w:r>
          </w:p>
          <w:p w14:paraId="36AA5EE3">
            <w:pPr>
              <w:pStyle w:val="103"/>
              <w:ind w:firstLine="482"/>
              <w:rPr>
                <w:b/>
                <w:bCs/>
                <w:color w:val="auto"/>
              </w:rPr>
            </w:pPr>
            <w:r>
              <w:rPr>
                <w:rFonts w:hint="eastAsia"/>
                <w:b/>
                <w:bCs/>
                <w:color w:val="auto"/>
              </w:rPr>
              <w:t>1）</w:t>
            </w:r>
            <w:r>
              <w:rPr>
                <w:b/>
                <w:bCs/>
                <w:color w:val="auto"/>
              </w:rPr>
              <w:t>CTP</w:t>
            </w:r>
            <w:r>
              <w:rPr>
                <w:rFonts w:hint="eastAsia"/>
                <w:b/>
                <w:bCs/>
                <w:color w:val="auto"/>
              </w:rPr>
              <w:t>制版</w:t>
            </w:r>
          </w:p>
          <w:p w14:paraId="4E27B2D1">
            <w:pPr>
              <w:pStyle w:val="103"/>
              <w:ind w:firstLine="480"/>
              <w:rPr>
                <w:color w:val="auto"/>
              </w:rPr>
            </w:pPr>
            <w:r>
              <w:rPr>
                <w:color w:val="auto"/>
              </w:rPr>
              <w:t>计算机直接到印版，</w:t>
            </w:r>
            <w:r>
              <w:rPr>
                <w:rFonts w:ascii="宋体" w:hAnsi="宋体"/>
                <w:color w:val="auto"/>
              </w:rPr>
              <w:t>即“脱机直接制版”</w:t>
            </w:r>
            <w:r>
              <w:rPr>
                <w:color w:val="auto"/>
              </w:rPr>
              <w:t>。采用计算机控制的激光扫描成像、</w:t>
            </w:r>
            <w:r>
              <w:rPr>
                <w:rFonts w:hint="eastAsia"/>
                <w:color w:val="auto"/>
              </w:rPr>
              <w:t>然后通过显影、</w:t>
            </w:r>
            <w:r>
              <w:rPr>
                <w:color w:val="auto"/>
              </w:rPr>
              <w:t>定影等工序制版。CTP是计算机免去了胶片这一中间媒介，使文字、图像直接转变成数字，减少了中间过程的质量损耗和材料消耗。具体工艺流程如下：</w:t>
            </w:r>
          </w:p>
          <w:p w14:paraId="1EE26D7D">
            <w:pPr>
              <w:pStyle w:val="103"/>
              <w:ind w:firstLine="480"/>
              <w:rPr>
                <w:color w:val="auto"/>
              </w:rPr>
            </w:pPr>
            <w:r>
              <w:rPr>
                <w:rFonts w:hint="eastAsia"/>
                <w:color w:val="auto"/>
              </w:rPr>
              <w:t>①</w:t>
            </w:r>
            <w:r>
              <w:rPr>
                <w:color w:val="auto"/>
              </w:rPr>
              <w:t>激光成像：在图形形成过程中，通过利用计算机将图形转换成机器数据，采用红外激光扫描，将图形直接投影到感光材料上，从而完成曝光。</w:t>
            </w:r>
          </w:p>
          <w:p w14:paraId="7C3D2753">
            <w:pPr>
              <w:pStyle w:val="103"/>
              <w:ind w:firstLine="480"/>
              <w:rPr>
                <w:color w:val="auto"/>
              </w:rPr>
            </w:pPr>
            <w:r>
              <w:rPr>
                <w:rFonts w:hint="eastAsia"/>
                <w:color w:val="auto"/>
              </w:rPr>
              <w:t>②</w:t>
            </w:r>
            <w:r>
              <w:rPr>
                <w:color w:val="auto"/>
              </w:rPr>
              <w:t>显影：指将曝光的CTP版在装满显影液的显影槽中浸泡一段时间让影像显现的一个过程。</w:t>
            </w:r>
            <w:r>
              <w:rPr>
                <w:rFonts w:hint="eastAsia"/>
                <w:color w:val="auto"/>
              </w:rPr>
              <w:t>CTP显影在显影室进行，显影过程中，经过循环显影液均匀连续循环，将印版空白部位的感光层迅速溶解，显影池容量约为2桶显影液（20升/桶），另有1桶显影液作补充用，采用循环系统，显影液平均每</w:t>
            </w:r>
            <w:r>
              <w:rPr>
                <w:rFonts w:hint="eastAsia"/>
                <w:color w:val="auto"/>
                <w:lang w:val="en-US" w:eastAsia="zh-CN"/>
              </w:rPr>
              <w:t>10</w:t>
            </w:r>
            <w:r>
              <w:rPr>
                <w:rFonts w:hint="eastAsia"/>
                <w:color w:val="auto"/>
              </w:rPr>
              <w:t>天更换一次，</w:t>
            </w:r>
            <w:r>
              <w:rPr>
                <w:rFonts w:hint="eastAsia"/>
                <w:color w:val="auto"/>
                <w:u w:val="single"/>
              </w:rPr>
              <w:t>此过程产生的废显影液作为危险废液处置。</w:t>
            </w:r>
          </w:p>
          <w:p w14:paraId="21CF44B6">
            <w:pPr>
              <w:pStyle w:val="103"/>
              <w:ind w:firstLine="480"/>
              <w:rPr>
                <w:color w:val="auto"/>
                <w:u w:val="single"/>
              </w:rPr>
            </w:pPr>
            <w:r>
              <w:rPr>
                <w:rFonts w:hint="eastAsia"/>
                <w:color w:val="auto"/>
              </w:rPr>
              <w:t>③洗版</w:t>
            </w:r>
            <w:r>
              <w:rPr>
                <w:color w:val="auto"/>
              </w:rPr>
              <w:t>：</w:t>
            </w:r>
            <w:r>
              <w:rPr>
                <w:rFonts w:hint="eastAsia"/>
                <w:color w:val="auto"/>
              </w:rPr>
              <w:t>完成显影的CTP转移至水洗室，冲洗室由两组喷淋管向版面正反面喷淋清水，以除去附着在版面上的显影生成物和多余的显影液，并通过挤压辊挤去版面上的水分，而后通过吹风和加热，使印版迅速干燥，最后将印版送出。洗版采用循环系统，安装洗版废水循环处理系统，设置有1个20L的水箱，洗版水过滤后循环使用，每10天更换一次。</w:t>
            </w:r>
            <w:r>
              <w:rPr>
                <w:color w:val="auto"/>
                <w:u w:val="single"/>
              </w:rPr>
              <w:t>此工序产生</w:t>
            </w:r>
            <w:r>
              <w:rPr>
                <w:rFonts w:hint="eastAsia"/>
                <w:color w:val="auto"/>
                <w:u w:val="single"/>
              </w:rPr>
              <w:t>的</w:t>
            </w:r>
            <w:r>
              <w:rPr>
                <w:color w:val="auto"/>
                <w:u w:val="single"/>
              </w:rPr>
              <w:t>洗版废液</w:t>
            </w:r>
            <w:r>
              <w:rPr>
                <w:rFonts w:hint="eastAsia"/>
                <w:color w:val="auto"/>
                <w:u w:val="single"/>
              </w:rPr>
              <w:t>作为危险废液处置。</w:t>
            </w:r>
          </w:p>
          <w:p w14:paraId="334BA1A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2" w:firstLineChars="200"/>
              <w:jc w:val="both"/>
              <w:textAlignment w:val="auto"/>
              <w:rPr>
                <w:rFonts w:hint="eastAsia"/>
                <w:b/>
                <w:bCs/>
                <w:color w:val="auto"/>
                <w:sz w:val="24"/>
                <w:lang w:val="en-US" w:eastAsia="zh-CN"/>
              </w:rPr>
            </w:pPr>
            <w:r>
              <w:rPr>
                <w:rFonts w:hint="eastAsia"/>
                <w:b/>
                <w:bCs/>
                <w:color w:val="auto"/>
                <w:sz w:val="24"/>
                <w:lang w:val="en-US" w:eastAsia="zh-CN"/>
              </w:rPr>
              <w:t>裁切：</w:t>
            </w:r>
            <w:r>
              <w:rPr>
                <w:rFonts w:hint="eastAsia"/>
                <w:b w:val="0"/>
                <w:bCs w:val="0"/>
                <w:color w:val="auto"/>
                <w:sz w:val="24"/>
                <w:lang w:val="en-US" w:eastAsia="zh-CN"/>
              </w:rPr>
              <w:t>采用切纸机对购买回来的纸张进行裁切成需要的大小，使其尺寸统一、边缘平整。</w:t>
            </w:r>
            <w:r>
              <w:rPr>
                <w:rFonts w:hint="eastAsia"/>
                <w:b w:val="0"/>
                <w:bCs w:val="0"/>
                <w:color w:val="auto"/>
                <w:sz w:val="24"/>
                <w:u w:val="single"/>
                <w:lang w:val="en-US" w:eastAsia="zh-CN"/>
              </w:rPr>
              <w:t>该工序产生的污染物主要为废边角料、噪声。</w:t>
            </w:r>
          </w:p>
          <w:p w14:paraId="1D65979A">
            <w:pPr>
              <w:widowControl/>
              <w:spacing w:line="360" w:lineRule="auto"/>
              <w:ind w:firstLine="480"/>
              <w:jc w:val="left"/>
              <w:rPr>
                <w:rFonts w:hint="eastAsia"/>
                <w:b/>
                <w:bCs/>
                <w:color w:val="auto"/>
                <w:sz w:val="24"/>
                <w:szCs w:val="18"/>
                <w:highlight w:val="none"/>
              </w:rPr>
            </w:pPr>
            <w:r>
              <w:rPr>
                <w:rFonts w:hint="eastAsia"/>
                <w:b/>
                <w:bCs/>
                <w:color w:val="auto"/>
                <w:sz w:val="24"/>
                <w:szCs w:val="18"/>
                <w:highlight w:val="none"/>
                <w:lang w:val="en-US" w:eastAsia="zh-CN"/>
              </w:rPr>
              <w:t>UV</w:t>
            </w:r>
            <w:r>
              <w:rPr>
                <w:rFonts w:hint="eastAsia"/>
                <w:b/>
                <w:bCs/>
                <w:color w:val="auto"/>
                <w:sz w:val="24"/>
                <w:szCs w:val="18"/>
                <w:highlight w:val="none"/>
              </w:rPr>
              <w:t>印刷：</w:t>
            </w:r>
            <w:r>
              <w:rPr>
                <w:rFonts w:hint="eastAsia"/>
                <w:b w:val="0"/>
                <w:bCs w:val="0"/>
                <w:color w:val="auto"/>
                <w:sz w:val="24"/>
                <w:szCs w:val="18"/>
                <w:highlight w:val="none"/>
              </w:rPr>
              <w:t>UV印刷是一种通过紫外光干燥、固化油墨的一种印刷工艺，将含有光敏剂的UV油墨与UV固化灯相配合。根据客户需求制作好CTP版后，将油墨涂布在印刷版面上，利用UV光线照射使油墨瞬间固化。此工序产生的污染物主要为有机废气、噪声、废包装桶、废CTP版</w:t>
            </w:r>
            <w:r>
              <w:rPr>
                <w:rFonts w:hint="eastAsia"/>
                <w:b w:val="0"/>
                <w:bCs w:val="0"/>
                <w:color w:val="auto"/>
                <w:sz w:val="24"/>
                <w:szCs w:val="18"/>
                <w:highlight w:val="none"/>
                <w:lang w:eastAsia="zh-CN"/>
              </w:rPr>
              <w:t>、</w:t>
            </w:r>
            <w:r>
              <w:rPr>
                <w:rFonts w:hint="eastAsia"/>
                <w:b w:val="0"/>
                <w:bCs w:val="0"/>
                <w:color w:val="auto"/>
                <w:sz w:val="24"/>
                <w:szCs w:val="18"/>
                <w:highlight w:val="none"/>
                <w:lang w:val="en-US" w:eastAsia="zh-CN"/>
              </w:rPr>
              <w:t>废UV灯管</w:t>
            </w:r>
            <w:r>
              <w:rPr>
                <w:rFonts w:hint="eastAsia"/>
                <w:b w:val="0"/>
                <w:bCs w:val="0"/>
                <w:color w:val="auto"/>
                <w:sz w:val="24"/>
                <w:szCs w:val="18"/>
                <w:highlight w:val="none"/>
              </w:rPr>
              <w:t>。</w:t>
            </w:r>
          </w:p>
          <w:p w14:paraId="08CDCF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2" w:firstLineChars="200"/>
              <w:jc w:val="both"/>
              <w:textAlignment w:val="auto"/>
              <w:rPr>
                <w:rFonts w:hint="default"/>
                <w:b/>
                <w:bCs/>
                <w:color w:val="auto"/>
                <w:sz w:val="24"/>
                <w:lang w:val="en-US" w:eastAsia="zh-CN"/>
              </w:rPr>
            </w:pPr>
            <w:r>
              <w:rPr>
                <w:rFonts w:hint="eastAsia"/>
                <w:b/>
                <w:bCs/>
                <w:color w:val="auto"/>
                <w:sz w:val="24"/>
                <w:lang w:val="en-US" w:eastAsia="zh-CN"/>
              </w:rPr>
              <w:t>打码：</w:t>
            </w:r>
            <w:r>
              <w:rPr>
                <w:rFonts w:hint="eastAsia"/>
                <w:color w:val="auto"/>
                <w:sz w:val="23"/>
                <w:szCs w:val="23"/>
              </w:rPr>
              <w:t>本项目部分产品需要根据客户需求在喷防伪码，采用</w:t>
            </w:r>
            <w:r>
              <w:rPr>
                <w:rFonts w:hint="eastAsia"/>
                <w:color w:val="auto"/>
                <w:sz w:val="23"/>
                <w:szCs w:val="23"/>
                <w:lang w:val="en-US" w:eastAsia="zh-CN"/>
              </w:rPr>
              <w:t>自动</w:t>
            </w:r>
            <w:r>
              <w:rPr>
                <w:rFonts w:hint="eastAsia"/>
                <w:color w:val="auto"/>
                <w:sz w:val="23"/>
                <w:szCs w:val="23"/>
              </w:rPr>
              <w:t>喷码</w:t>
            </w:r>
            <w:r>
              <w:rPr>
                <w:rFonts w:hint="eastAsia"/>
                <w:color w:val="auto"/>
                <w:sz w:val="23"/>
                <w:szCs w:val="23"/>
                <w:lang w:val="en-US" w:eastAsia="zh-CN"/>
              </w:rPr>
              <w:t>机喷码</w:t>
            </w:r>
            <w:r>
              <w:rPr>
                <w:rFonts w:hint="eastAsia"/>
                <w:color w:val="auto"/>
                <w:sz w:val="23"/>
                <w:szCs w:val="23"/>
              </w:rPr>
              <w:t>。</w:t>
            </w:r>
          </w:p>
          <w:p w14:paraId="593134E3">
            <w:pPr>
              <w:pStyle w:val="103"/>
              <w:ind w:firstLine="482"/>
              <w:rPr>
                <w:color w:val="auto"/>
                <w:u w:val="single"/>
              </w:rPr>
            </w:pPr>
            <w:r>
              <w:rPr>
                <w:rFonts w:hint="eastAsia" w:ascii="Times New Roman" w:hAnsi="Times New Roman" w:eastAsia="宋体" w:cs="Times New Roman"/>
                <w:b/>
                <w:bCs/>
                <w:color w:val="auto"/>
                <w:sz w:val="24"/>
                <w:lang w:val="en-US" w:eastAsia="zh-CN"/>
              </w:rPr>
              <w:t>覆膜/局部上光油；</w:t>
            </w:r>
            <w:r>
              <w:rPr>
                <w:rFonts w:hint="eastAsia"/>
                <w:color w:val="auto"/>
              </w:rPr>
              <w:t>根据产品的设计及印刷工艺，采取覆膜的方式，使得印刷品表面光泽度、耐磨性得到改善。在UV印刷品上涂水性干式覆膜胶，通过覆膜机将PP 膜覆在产品上，以提高印刷图案的光泽度及持久度，覆膜工序在常温下进行，而后再根据部分产品的订单要求，在logo或图案表面布局上光，与周边图案相比显得鲜艳、亮丽、立体感强，能产生独特的艺术效果，局部上光使用</w:t>
            </w:r>
            <w:r>
              <w:rPr>
                <w:rFonts w:hint="eastAsia"/>
                <w:color w:val="auto"/>
                <w:lang w:val="en-US" w:eastAsia="zh-CN"/>
              </w:rPr>
              <w:t>光油</w:t>
            </w:r>
            <w:r>
              <w:rPr>
                <w:rFonts w:hint="eastAsia"/>
                <w:color w:val="auto"/>
              </w:rPr>
              <w:t>在局部</w:t>
            </w:r>
            <w:r>
              <w:rPr>
                <w:rFonts w:hint="eastAsia"/>
                <w:color w:val="auto"/>
                <w:lang w:val="en-US" w:eastAsia="zh-CN"/>
              </w:rPr>
              <w:t>丝印机</w:t>
            </w:r>
            <w:r>
              <w:rPr>
                <w:rFonts w:hint="eastAsia"/>
                <w:color w:val="auto"/>
              </w:rPr>
              <w:t>上进行</w:t>
            </w:r>
            <w:r>
              <w:rPr>
                <w:rFonts w:hint="eastAsia"/>
                <w:color w:val="auto"/>
                <w:u w:val="none"/>
              </w:rPr>
              <w:t>。</w:t>
            </w:r>
            <w:r>
              <w:rPr>
                <w:rFonts w:hint="eastAsia"/>
                <w:color w:val="auto"/>
                <w:u w:val="single"/>
              </w:rPr>
              <w:t>此工序产生的主要污染物为有机废气、噪声、废包装桶。</w:t>
            </w:r>
          </w:p>
          <w:p w14:paraId="4EDA97DE">
            <w:pPr>
              <w:widowControl/>
              <w:spacing w:line="360" w:lineRule="auto"/>
              <w:ind w:firstLine="480"/>
              <w:jc w:val="left"/>
              <w:rPr>
                <w:color w:val="auto"/>
                <w:sz w:val="24"/>
              </w:rPr>
            </w:pPr>
            <w:r>
              <w:rPr>
                <w:rFonts w:hint="eastAsia"/>
                <w:b/>
                <w:bCs/>
                <w:color w:val="auto"/>
                <w:sz w:val="24"/>
                <w:szCs w:val="18"/>
                <w:lang w:val="en-US" w:eastAsia="zh-CN"/>
              </w:rPr>
              <w:t>光固：</w:t>
            </w:r>
            <w:r>
              <w:rPr>
                <w:rFonts w:hint="eastAsia"/>
                <w:color w:val="auto"/>
                <w:sz w:val="24"/>
                <w:szCs w:val="18"/>
                <w:lang w:val="en-US" w:eastAsia="zh-CN"/>
              </w:rPr>
              <w:t>光固机与丝印机连接，</w:t>
            </w:r>
            <w:r>
              <w:rPr>
                <w:rFonts w:hint="eastAsia"/>
                <w:color w:val="auto"/>
                <w:sz w:val="24"/>
                <w:szCs w:val="18"/>
              </w:rPr>
              <w:t>印刷机自动传动将</w:t>
            </w:r>
            <w:r>
              <w:rPr>
                <w:rFonts w:hint="eastAsia"/>
                <w:color w:val="auto"/>
                <w:sz w:val="24"/>
                <w:szCs w:val="18"/>
                <w:lang w:val="en-US" w:eastAsia="zh-CN"/>
              </w:rPr>
              <w:t>上完光油的</w:t>
            </w:r>
            <w:r>
              <w:rPr>
                <w:rFonts w:hint="eastAsia"/>
                <w:color w:val="auto"/>
                <w:sz w:val="24"/>
                <w:szCs w:val="18"/>
              </w:rPr>
              <w:t>印纸传动至光固</w:t>
            </w:r>
            <w:r>
              <w:rPr>
                <w:rFonts w:hint="eastAsia"/>
                <w:color w:val="auto"/>
                <w:sz w:val="24"/>
                <w:szCs w:val="18"/>
                <w:lang w:val="en-US" w:eastAsia="zh-CN"/>
              </w:rPr>
              <w:t>机内</w:t>
            </w:r>
            <w:r>
              <w:rPr>
                <w:rFonts w:hint="eastAsia"/>
                <w:color w:val="auto"/>
                <w:sz w:val="24"/>
                <w:szCs w:val="18"/>
              </w:rPr>
              <w:t>，</w:t>
            </w:r>
            <w:r>
              <w:rPr>
                <w:color w:val="auto"/>
                <w:sz w:val="24"/>
              </w:rPr>
              <w:t>在紫外线照射下迅速固化</w:t>
            </w:r>
            <w:r>
              <w:rPr>
                <w:rFonts w:hint="eastAsia"/>
                <w:color w:val="auto"/>
                <w:sz w:val="24"/>
              </w:rPr>
              <w:t>。</w:t>
            </w:r>
          </w:p>
          <w:p w14:paraId="0F3DCD84">
            <w:pPr>
              <w:pStyle w:val="103"/>
              <w:ind w:firstLine="482"/>
              <w:rPr>
                <w:color w:val="auto"/>
                <w:u w:val="single"/>
              </w:rPr>
            </w:pPr>
            <w:r>
              <w:rPr>
                <w:rFonts w:hint="eastAsia"/>
                <w:b/>
                <w:bCs/>
                <w:color w:val="auto"/>
                <w:sz w:val="24"/>
                <w:szCs w:val="18"/>
                <w:u w:val="none"/>
                <w:lang w:val="en-US" w:eastAsia="zh-CN"/>
              </w:rPr>
              <w:t>烫金：</w:t>
            </w:r>
            <w:r>
              <w:rPr>
                <w:rFonts w:hint="eastAsia"/>
                <w:color w:val="auto"/>
              </w:rPr>
              <w:t>使用烫金机在</w:t>
            </w:r>
            <w:r>
              <w:rPr>
                <w:rFonts w:hint="eastAsia"/>
                <w:color w:val="auto"/>
                <w:lang w:val="en-US" w:eastAsia="zh-CN"/>
              </w:rPr>
              <w:t>80</w:t>
            </w:r>
            <w:r>
              <w:rPr>
                <w:rFonts w:hint="eastAsia"/>
                <w:color w:val="auto"/>
              </w:rPr>
              <w:t>℃（加热方式为电加热）下保持15s，并在一定压力下，将烫金纸（电化铝）中的铝层转印到承印物表面以形成特殊的金属效果。</w:t>
            </w:r>
            <w:r>
              <w:rPr>
                <w:rFonts w:hint="eastAsia"/>
                <w:color w:val="auto"/>
                <w:u w:val="single"/>
              </w:rPr>
              <w:t>该工序主要污染为设备噪声、废烫金纸，以及少量有机废气。</w:t>
            </w:r>
          </w:p>
          <w:p w14:paraId="0FE3BEDD">
            <w:pPr>
              <w:pStyle w:val="103"/>
              <w:ind w:firstLine="482"/>
              <w:rPr>
                <w:rFonts w:hint="eastAsia"/>
                <w:color w:val="auto"/>
                <w:highlight w:val="none"/>
                <w:u w:val="single"/>
              </w:rPr>
            </w:pPr>
            <w:r>
              <w:rPr>
                <w:rFonts w:hint="eastAsia"/>
                <w:b/>
                <w:bCs/>
                <w:color w:val="auto"/>
                <w:highlight w:val="none"/>
                <w:lang w:val="en-US" w:eastAsia="zh-CN"/>
              </w:rPr>
              <w:t>压纹、</w:t>
            </w:r>
            <w:r>
              <w:rPr>
                <w:rFonts w:hint="eastAsia"/>
                <w:b/>
                <w:bCs/>
                <w:color w:val="auto"/>
                <w:highlight w:val="none"/>
              </w:rPr>
              <w:t>模切：</w:t>
            </w:r>
            <w:r>
              <w:rPr>
                <w:rFonts w:hint="eastAsia"/>
                <w:color w:val="auto"/>
                <w:highlight w:val="none"/>
              </w:rPr>
              <w:t>使用</w:t>
            </w:r>
            <w:r>
              <w:rPr>
                <w:rFonts w:hint="eastAsia"/>
                <w:color w:val="auto"/>
                <w:highlight w:val="none"/>
                <w:lang w:val="en-US" w:eastAsia="zh-CN"/>
              </w:rPr>
              <w:t>全自动</w:t>
            </w:r>
            <w:r>
              <w:rPr>
                <w:rFonts w:hint="eastAsia"/>
                <w:color w:val="auto"/>
                <w:highlight w:val="none"/>
              </w:rPr>
              <w:t>模切</w:t>
            </w:r>
            <w:r>
              <w:rPr>
                <w:rFonts w:hint="eastAsia"/>
                <w:color w:val="auto"/>
                <w:highlight w:val="none"/>
                <w:lang w:val="en-US" w:eastAsia="zh-CN"/>
              </w:rPr>
              <w:t>压纹</w:t>
            </w:r>
            <w:r>
              <w:rPr>
                <w:rFonts w:hint="eastAsia"/>
                <w:color w:val="auto"/>
                <w:highlight w:val="none"/>
              </w:rPr>
              <w:t>机根据产品设计要求的图样组合成模切版，在压力的作用下将承印表皮、衬层工业纸板切成所需形状和切痕的工艺。</w:t>
            </w:r>
            <w:r>
              <w:rPr>
                <w:rFonts w:hint="eastAsia"/>
                <w:color w:val="auto"/>
                <w:highlight w:val="none"/>
                <w:u w:val="single"/>
              </w:rPr>
              <w:t>该工序产生的主要污染为噪声、废边角料。</w:t>
            </w:r>
          </w:p>
          <w:p w14:paraId="44F6D9B0">
            <w:pPr>
              <w:pStyle w:val="103"/>
              <w:ind w:firstLine="482"/>
              <w:rPr>
                <w:color w:val="auto"/>
                <w:u w:val="single"/>
              </w:rPr>
            </w:pPr>
            <w:r>
              <w:rPr>
                <w:rFonts w:hint="eastAsia"/>
                <w:b/>
                <w:bCs/>
                <w:color w:val="auto"/>
              </w:rPr>
              <w:t>裱糊成型：</w:t>
            </w:r>
            <w:r>
              <w:rPr>
                <w:rFonts w:hint="eastAsia"/>
                <w:color w:val="auto"/>
              </w:rPr>
              <w:t>烫金</w:t>
            </w:r>
            <w:r>
              <w:rPr>
                <w:rFonts w:hint="eastAsia"/>
                <w:color w:val="auto"/>
                <w:lang w:val="en-US" w:eastAsia="zh-CN"/>
              </w:rPr>
              <w:t>模切</w:t>
            </w:r>
            <w:r>
              <w:rPr>
                <w:rFonts w:hint="eastAsia"/>
                <w:color w:val="auto"/>
              </w:rPr>
              <w:t>过后，在</w:t>
            </w:r>
            <w:r>
              <w:rPr>
                <w:rFonts w:hint="eastAsia"/>
                <w:color w:val="auto"/>
                <w:lang w:val="en-US" w:eastAsia="zh-CN"/>
              </w:rPr>
              <w:t>组装流水</w:t>
            </w:r>
            <w:r>
              <w:rPr>
                <w:rFonts w:hint="eastAsia"/>
                <w:color w:val="auto"/>
              </w:rPr>
              <w:t>线上进行上胶，将烫金</w:t>
            </w:r>
            <w:r>
              <w:rPr>
                <w:rFonts w:hint="eastAsia"/>
                <w:color w:val="auto"/>
                <w:lang w:val="en-US" w:eastAsia="zh-CN"/>
              </w:rPr>
              <w:t>模切</w:t>
            </w:r>
            <w:r>
              <w:rPr>
                <w:rFonts w:hint="eastAsia"/>
                <w:color w:val="auto"/>
              </w:rPr>
              <w:t>后的半成品承印表皮下衬垫一层工业纸板，并通过包装生产线的压泡机将气泡挤出，而后对边缘粘合成型。</w:t>
            </w:r>
            <w:r>
              <w:rPr>
                <w:rFonts w:hint="eastAsia"/>
                <w:color w:val="auto"/>
                <w:u w:val="single"/>
              </w:rPr>
              <w:t>该工序产生的主要污染为有机废气、噪声、废包装桶。</w:t>
            </w:r>
          </w:p>
          <w:p w14:paraId="5E838F29">
            <w:pPr>
              <w:pStyle w:val="103"/>
              <w:ind w:firstLine="482"/>
              <w:rPr>
                <w:color w:val="auto"/>
              </w:rPr>
            </w:pPr>
            <w:r>
              <w:rPr>
                <w:rFonts w:hint="eastAsia"/>
                <w:b/>
                <w:bCs/>
                <w:color w:val="auto"/>
              </w:rPr>
              <w:t>抽检入库：</w:t>
            </w:r>
            <w:r>
              <w:rPr>
                <w:rFonts w:hint="eastAsia"/>
                <w:color w:val="auto"/>
              </w:rPr>
              <w:t>随机对每批次产品进行抽样检查，合格品入库待发客户。</w:t>
            </w:r>
          </w:p>
          <w:p w14:paraId="066F06E0">
            <w:pPr>
              <w:pStyle w:val="10"/>
              <w:rPr>
                <w:rFonts w:hint="default" w:eastAsia="宋体"/>
                <w:b/>
                <w:bCs/>
                <w:color w:val="auto"/>
                <w:sz w:val="24"/>
                <w:lang w:val="en-US" w:eastAsia="zh-CN"/>
              </w:rPr>
            </w:pPr>
            <w:r>
              <w:rPr>
                <w:rFonts w:hint="eastAsia"/>
                <w:b/>
                <w:bCs/>
                <w:color w:val="auto"/>
                <w:sz w:val="24"/>
                <w:lang w:val="en-US" w:eastAsia="zh-CN"/>
              </w:rPr>
              <w:t>3、塑纸包装盒工艺流程及产污工序如下图所示：</w:t>
            </w:r>
          </w:p>
          <w:p w14:paraId="6C50F3D7">
            <w:pPr>
              <w:widowControl/>
              <w:spacing w:line="360" w:lineRule="auto"/>
              <w:jc w:val="left"/>
              <w:rPr>
                <w:rFonts w:hint="eastAsia" w:eastAsia="宋体"/>
                <w:color w:val="auto"/>
                <w:sz w:val="24"/>
                <w:szCs w:val="18"/>
                <w:u w:val="single"/>
                <w:lang w:val="en-US" w:eastAsia="zh-CN"/>
              </w:rPr>
            </w:pPr>
            <w:r>
              <w:rPr>
                <w:rFonts w:hint="eastAsia" w:eastAsia="宋体"/>
                <w:color w:val="auto"/>
                <w:sz w:val="24"/>
                <w:szCs w:val="18"/>
                <w:u w:val="single"/>
                <w:lang w:val="en-US" w:eastAsia="zh-CN"/>
              </w:rPr>
              <w:object>
                <v:shape id="_x0000_i1032" o:spt="75" type="#_x0000_t75" style="height:438.65pt;width:421.6pt;" o:ole="t" filled="f" o:preferrelative="t" stroked="f" coordsize="21600,21600">
                  <v:path/>
                  <v:fill on="f" focussize="0,0"/>
                  <v:stroke on="f"/>
                  <v:imagedata r:id="rId34" o:title=""/>
                  <o:lock v:ext="edit" aspectratio="f"/>
                  <w10:wrap type="none"/>
                  <w10:anchorlock/>
                </v:shape>
                <o:OLEObject Type="Embed" ProgID="Visio.Drawing.15" ShapeID="_x0000_i1032" DrawAspect="Content" ObjectID="_1468075732" r:id="rId33">
                  <o:LockedField>false</o:LockedField>
                </o:OLEObject>
              </w:object>
            </w:r>
          </w:p>
          <w:p w14:paraId="0760D72C">
            <w:pPr>
              <w:pStyle w:val="56"/>
              <w:keepNext w:val="0"/>
              <w:keepLines w:val="0"/>
              <w:suppressLineNumbers w:val="0"/>
              <w:spacing w:beforeAutospacing="0" w:afterAutospacing="0" w:line="360" w:lineRule="auto"/>
              <w:ind w:left="0" w:right="0"/>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eastAsia="宋体" w:cs="Times New Roman"/>
                <w:b/>
                <w:bCs w:val="0"/>
                <w:color w:val="auto"/>
                <w:sz w:val="21"/>
                <w:szCs w:val="21"/>
                <w:vertAlign w:val="baseline"/>
                <w:lang w:eastAsia="zh-CN"/>
              </w:rPr>
              <w:t>图</w:t>
            </w:r>
            <w:r>
              <w:rPr>
                <w:rFonts w:hint="eastAsia" w:ascii="Times New Roman" w:hAnsi="Times New Roman" w:eastAsia="宋体" w:cs="Times New Roman"/>
                <w:b/>
                <w:bCs w:val="0"/>
                <w:color w:val="auto"/>
                <w:sz w:val="21"/>
                <w:szCs w:val="21"/>
                <w:vertAlign w:val="baseline"/>
                <w:lang w:val="en-US" w:eastAsia="zh-CN"/>
              </w:rPr>
              <w:t>2-</w:t>
            </w:r>
            <w:r>
              <w:rPr>
                <w:rFonts w:hint="eastAsia" w:eastAsia="宋体" w:cs="Times New Roman"/>
                <w:b/>
                <w:bCs w:val="0"/>
                <w:color w:val="auto"/>
                <w:sz w:val="21"/>
                <w:szCs w:val="21"/>
                <w:vertAlign w:val="baseline"/>
                <w:lang w:val="en-US" w:eastAsia="zh-CN"/>
              </w:rPr>
              <w:t>7  塑纸包装盒生产工艺流程及产污环节</w:t>
            </w:r>
            <w:r>
              <w:rPr>
                <w:rFonts w:hint="default" w:ascii="Times New Roman" w:hAnsi="Times New Roman" w:eastAsia="宋体" w:cs="Times New Roman"/>
                <w:b/>
                <w:bCs w:val="0"/>
                <w:color w:val="auto"/>
                <w:sz w:val="21"/>
                <w:szCs w:val="21"/>
                <w:vertAlign w:val="baseline"/>
                <w:lang w:eastAsia="zh-CN"/>
              </w:rPr>
              <w:t>图</w:t>
            </w:r>
          </w:p>
          <w:p w14:paraId="1212CD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color w:val="auto"/>
                <w:sz w:val="24"/>
                <w:lang w:val="en-US" w:eastAsia="zh-CN"/>
              </w:rPr>
            </w:pPr>
            <w:r>
              <w:rPr>
                <w:rFonts w:hint="eastAsia"/>
                <w:b/>
                <w:bCs/>
                <w:color w:val="auto"/>
                <w:sz w:val="24"/>
              </w:rPr>
              <w:t>工艺流程简述</w:t>
            </w:r>
            <w:r>
              <w:rPr>
                <w:rFonts w:hint="eastAsia"/>
                <w:color w:val="auto"/>
                <w:sz w:val="24"/>
                <w:lang w:val="en-US" w:eastAsia="zh-CN"/>
              </w:rPr>
              <w:t>：</w:t>
            </w:r>
          </w:p>
          <w:p w14:paraId="7BA63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eastAsia="zh-CN"/>
              </w:rPr>
              <w:t>（</w:t>
            </w:r>
            <w:r>
              <w:rPr>
                <w:rFonts w:hint="eastAsia" w:cs="Times New Roman"/>
                <w:b/>
                <w:bCs/>
                <w:color w:val="auto"/>
                <w:sz w:val="24"/>
                <w:szCs w:val="24"/>
                <w:lang w:val="en-US" w:eastAsia="zh-CN"/>
              </w:rPr>
              <w:t>1</w:t>
            </w:r>
            <w:r>
              <w:rPr>
                <w:rFonts w:hint="eastAsia" w:cs="Times New Roman"/>
                <w:b/>
                <w:bCs/>
                <w:color w:val="auto"/>
                <w:sz w:val="24"/>
                <w:szCs w:val="24"/>
                <w:lang w:eastAsia="zh-CN"/>
              </w:rPr>
              <w:t>）</w:t>
            </w:r>
            <w:r>
              <w:rPr>
                <w:rFonts w:hint="eastAsia" w:cs="Times New Roman"/>
                <w:b/>
                <w:bCs/>
                <w:color w:val="auto"/>
                <w:sz w:val="24"/>
                <w:szCs w:val="24"/>
                <w:lang w:val="en-US" w:eastAsia="zh-CN"/>
              </w:rPr>
              <w:t>注塑件</w:t>
            </w:r>
          </w:p>
          <w:p w14:paraId="4ADBD9C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b w:val="0"/>
                <w:bCs w:val="0"/>
                <w:color w:val="auto"/>
                <w:sz w:val="24"/>
                <w:szCs w:val="24"/>
                <w:lang w:val="en-US" w:eastAsia="zh-CN"/>
              </w:rPr>
              <w:t xml:space="preserve"> </w:t>
            </w:r>
            <w:r>
              <w:rPr>
                <w:rFonts w:hint="default" w:ascii="Times New Roman" w:hAnsi="Times New Roman" w:cs="Times New Roman"/>
                <w:b/>
                <w:bCs/>
                <w:color w:val="auto"/>
                <w:sz w:val="24"/>
                <w:szCs w:val="24"/>
                <w:lang w:val="en-US" w:eastAsia="zh-CN"/>
              </w:rPr>
              <w:t>干燥：</w:t>
            </w:r>
            <w:r>
              <w:rPr>
                <w:rFonts w:hint="default" w:ascii="Times New Roman" w:hAnsi="Times New Roman" w:cs="Times New Roman"/>
                <w:color w:val="auto"/>
                <w:sz w:val="24"/>
                <w:szCs w:val="24"/>
                <w:lang w:val="en-US" w:eastAsia="zh-CN"/>
              </w:rPr>
              <w:t>启动成套注塑设备的干燥功能，将注入机内的塑料进行干燥，去除水分，便于接下来的注塑成型操作。干燥采用电加热，温度约为85℃，此温度尚未达到</w:t>
            </w:r>
            <w:r>
              <w:rPr>
                <w:rFonts w:hint="default" w:ascii="Times New Roman" w:hAnsi="Times New Roman" w:cs="Times New Roman"/>
                <w:color w:val="auto"/>
                <w:sz w:val="24"/>
                <w:szCs w:val="24"/>
                <w:lang w:eastAsia="zh-CN"/>
              </w:rPr>
              <w:t>PET</w:t>
            </w:r>
            <w:r>
              <w:rPr>
                <w:rFonts w:hint="default" w:ascii="Times New Roman" w:hAnsi="Times New Roman" w:cs="Times New Roman"/>
                <w:color w:val="auto"/>
                <w:sz w:val="24"/>
                <w:szCs w:val="24"/>
                <w:lang w:val="en-US" w:eastAsia="zh-CN"/>
              </w:rPr>
              <w:t>塑料的热分解温度，</w:t>
            </w:r>
            <w:r>
              <w:rPr>
                <w:rFonts w:hint="default" w:ascii="Times New Roman" w:hAnsi="Times New Roman" w:cs="Times New Roman"/>
                <w:color w:val="auto"/>
                <w:sz w:val="24"/>
              </w:rPr>
              <w:t>仅少量塑料单体在高温下挥发</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此工序产生少量的VOCs。</w:t>
            </w:r>
          </w:p>
          <w:p w14:paraId="432E418C">
            <w:pPr>
              <w:spacing w:line="360" w:lineRule="auto"/>
              <w:ind w:firstLine="482" w:firstLineChars="200"/>
              <w:rPr>
                <w:rFonts w:hint="default" w:ascii="Times New Roman" w:hAnsi="Times New Roman" w:cs="Times New Roman"/>
                <w:color w:val="auto"/>
                <w:sz w:val="24"/>
                <w:szCs w:val="24"/>
                <w:lang w:eastAsia="zh-CN"/>
              </w:rPr>
            </w:pPr>
            <w:r>
              <w:rPr>
                <w:rFonts w:hint="default" w:ascii="Times New Roman" w:hAnsi="Times New Roman" w:cs="Times New Roman"/>
                <w:b/>
                <w:bCs/>
                <w:color w:val="auto"/>
                <w:sz w:val="24"/>
                <w:szCs w:val="24"/>
                <w:lang w:val="en-US" w:eastAsia="zh-CN"/>
              </w:rPr>
              <w:t>注塑</w:t>
            </w:r>
            <w:r>
              <w:rPr>
                <w:rFonts w:hint="default" w:ascii="Times New Roman" w:hAnsi="Times New Roman" w:cs="Times New Roman"/>
                <w:b/>
                <w:bCs/>
                <w:color w:val="auto"/>
                <w:sz w:val="24"/>
                <w:szCs w:val="24"/>
                <w:lang w:eastAsia="zh-CN"/>
              </w:rPr>
              <w:t>成型：</w:t>
            </w:r>
            <w:r>
              <w:rPr>
                <w:rFonts w:hint="default" w:ascii="Times New Roman" w:hAnsi="Times New Roman" w:cs="Times New Roman"/>
                <w:color w:val="auto"/>
                <w:sz w:val="24"/>
                <w:szCs w:val="24"/>
                <w:lang w:val="en-US" w:eastAsia="zh-CN"/>
              </w:rPr>
              <w:t>将干燥之后的物料采取负压方式打入注塑机模具内，</w:t>
            </w:r>
            <w:r>
              <w:rPr>
                <w:rFonts w:hint="default" w:ascii="Times New Roman" w:hAnsi="Times New Roman" w:cs="Times New Roman"/>
                <w:color w:val="auto"/>
                <w:sz w:val="24"/>
                <w:szCs w:val="24"/>
                <w:lang w:eastAsia="zh-CN"/>
              </w:rPr>
              <w:t>通过电加热至</w:t>
            </w:r>
            <w:r>
              <w:rPr>
                <w:rFonts w:hint="default" w:ascii="Times New Roman" w:hAnsi="Times New Roman" w:cs="Times New Roman"/>
                <w:color w:val="auto"/>
                <w:sz w:val="24"/>
                <w:szCs w:val="24"/>
                <w:lang w:val="en-US" w:eastAsia="zh-CN"/>
              </w:rPr>
              <w:t>120</w:t>
            </w:r>
            <w:r>
              <w:rPr>
                <w:rFonts w:hint="default" w:ascii="Times New Roman" w:hAnsi="Times New Roman" w:cs="Times New Roman"/>
                <w:color w:val="auto"/>
                <w:sz w:val="24"/>
                <w:szCs w:val="24"/>
                <w:lang w:eastAsia="zh-CN"/>
              </w:rPr>
              <w:t>℃，按照钢制模具形状进行成型，得到</w:t>
            </w:r>
            <w:r>
              <w:rPr>
                <w:rFonts w:hint="default" w:ascii="Times New Roman" w:hAnsi="Times New Roman" w:cs="Times New Roman"/>
                <w:color w:val="auto"/>
                <w:sz w:val="24"/>
                <w:szCs w:val="24"/>
                <w:lang w:val="en-US" w:eastAsia="zh-CN"/>
              </w:rPr>
              <w:t>包装容器毛坯</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注塑成型过程尚未达到</w:t>
            </w:r>
            <w:r>
              <w:rPr>
                <w:rFonts w:hint="default" w:ascii="Times New Roman" w:hAnsi="Times New Roman" w:cs="Times New Roman"/>
                <w:color w:val="auto"/>
                <w:sz w:val="24"/>
                <w:szCs w:val="24"/>
                <w:lang w:eastAsia="zh-CN"/>
              </w:rPr>
              <w:t>PET</w:t>
            </w:r>
            <w:r>
              <w:rPr>
                <w:rFonts w:hint="default" w:ascii="Times New Roman" w:hAnsi="Times New Roman" w:cs="Times New Roman"/>
                <w:color w:val="auto"/>
                <w:sz w:val="24"/>
                <w:szCs w:val="24"/>
                <w:lang w:val="en-US" w:eastAsia="zh-CN"/>
              </w:rPr>
              <w:t>塑料的热分解温度＞250℃，</w:t>
            </w:r>
            <w:r>
              <w:rPr>
                <w:rFonts w:hint="default" w:ascii="Times New Roman" w:hAnsi="Times New Roman" w:cs="Times New Roman"/>
                <w:color w:val="auto"/>
                <w:sz w:val="24"/>
              </w:rPr>
              <w:t>仅少量塑料单体在高温下挥发</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此工序产生的污染物主要为VOCs。</w:t>
            </w:r>
          </w:p>
          <w:p w14:paraId="32EE3C8A">
            <w:pPr>
              <w:keepNext w:val="0"/>
              <w:keepLines w:val="0"/>
              <w:pageBreakBefore w:val="0"/>
              <w:widowControl w:val="0"/>
              <w:kinsoku/>
              <w:wordWrap/>
              <w:overflowPunct/>
              <w:topLinePunct w:val="0"/>
              <w:bidi w:val="0"/>
              <w:snapToGrid/>
              <w:spacing w:line="360" w:lineRule="auto"/>
              <w:ind w:firstLine="482" w:firstLineChars="200"/>
              <w:textAlignment w:val="auto"/>
              <w:rPr>
                <w:rFonts w:hint="eastAsia" w:ascii="Times New Roman" w:hAnsi="Times New Roman" w:eastAsia="宋体" w:cs="Times New Roman"/>
                <w:bCs/>
                <w:color w:val="auto"/>
                <w:sz w:val="24"/>
              </w:rPr>
            </w:pPr>
            <w:r>
              <w:rPr>
                <w:rFonts w:hint="eastAsia" w:ascii="Times New Roman" w:hAnsi="Times New Roman" w:eastAsia="宋体" w:cs="Times New Roman"/>
                <w:b/>
                <w:bCs/>
                <w:color w:val="auto"/>
                <w:sz w:val="24"/>
                <w:highlight w:val="none"/>
              </w:rPr>
              <w:t>定型</w:t>
            </w:r>
            <w:r>
              <w:rPr>
                <w:rFonts w:hint="eastAsia" w:ascii="Times New Roman" w:hAnsi="Times New Roman" w:eastAsia="宋体" w:cs="Times New Roman"/>
                <w:b/>
                <w:bCs/>
                <w:color w:val="auto"/>
                <w:sz w:val="24"/>
                <w:highlight w:val="none"/>
                <w:lang w:val="en-US" w:eastAsia="zh-CN"/>
              </w:rPr>
              <w:t>脱模</w:t>
            </w:r>
            <w:r>
              <w:rPr>
                <w:rFonts w:ascii="Times New Roman" w:hAnsi="Times New Roman" w:eastAsia="宋体" w:cs="Times New Roman"/>
                <w:b/>
                <w:color w:val="auto"/>
                <w:sz w:val="24"/>
              </w:rPr>
              <w:t>：</w:t>
            </w:r>
            <w:r>
              <w:rPr>
                <w:rFonts w:hint="eastAsia" w:ascii="Times New Roman" w:hAnsi="Times New Roman" w:eastAsia="宋体" w:cs="Times New Roman"/>
                <w:bCs/>
                <w:color w:val="auto"/>
                <w:sz w:val="24"/>
              </w:rPr>
              <w:t>成型后采用循环冷却水进行间接冷却、定型</w:t>
            </w:r>
            <w:r>
              <w:rPr>
                <w:rFonts w:hint="eastAsia" w:ascii="Times New Roman" w:hAnsi="Times New Roman" w:eastAsia="宋体" w:cs="Times New Roman"/>
                <w:bCs/>
                <w:color w:val="auto"/>
                <w:sz w:val="24"/>
                <w:lang w:val="en-US" w:eastAsia="zh-CN"/>
              </w:rPr>
              <w:t>脱模</w:t>
            </w:r>
            <w:r>
              <w:rPr>
                <w:rFonts w:hint="eastAsia" w:cs="Times New Roman"/>
                <w:bCs/>
                <w:color w:val="auto"/>
                <w:sz w:val="24"/>
                <w:lang w:val="en-US" w:eastAsia="zh-CN"/>
              </w:rPr>
              <w:t>（本项目使用脱模机）</w:t>
            </w:r>
            <w:r>
              <w:rPr>
                <w:rFonts w:hint="eastAsia" w:ascii="Times New Roman" w:hAnsi="Times New Roman" w:eastAsia="宋体" w:cs="Times New Roman"/>
                <w:bCs/>
                <w:color w:val="auto"/>
                <w:sz w:val="24"/>
              </w:rPr>
              <w:t>。冷却水循环使用，每天补充损耗量，</w:t>
            </w:r>
            <w:r>
              <w:rPr>
                <w:rFonts w:hint="eastAsia" w:cs="Times New Roman"/>
                <w:bCs/>
                <w:color w:val="auto"/>
                <w:sz w:val="24"/>
                <w:lang w:val="en-US" w:eastAsia="zh-CN"/>
              </w:rPr>
              <w:t>每月排放一次</w:t>
            </w:r>
            <w:r>
              <w:rPr>
                <w:rFonts w:hint="eastAsia" w:ascii="Times New Roman" w:hAnsi="Times New Roman" w:eastAsia="宋体" w:cs="Times New Roman"/>
                <w:bCs/>
                <w:color w:val="auto"/>
                <w:sz w:val="24"/>
              </w:rPr>
              <w:t>。</w:t>
            </w:r>
          </w:p>
          <w:p w14:paraId="765B32E0">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压泡：</w:t>
            </w:r>
            <w:r>
              <w:rPr>
                <w:rFonts w:hint="default" w:ascii="Times New Roman" w:hAnsi="Times New Roman" w:cs="Times New Roman"/>
                <w:color w:val="auto"/>
                <w:sz w:val="24"/>
                <w:szCs w:val="24"/>
                <w:lang w:val="en-US" w:eastAsia="zh-CN"/>
              </w:rPr>
              <w:t>用压泡机对脱模之后容器毛坯进行压泡操作，以去除塑胶板材内部的气泡，此工序产生的污染物主要为噪声。</w:t>
            </w:r>
          </w:p>
          <w:p w14:paraId="1FE90D87">
            <w:pPr>
              <w:spacing w:line="360" w:lineRule="auto"/>
              <w:ind w:firstLine="482"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裁边</w:t>
            </w:r>
            <w:r>
              <w:rPr>
                <w:rFonts w:hint="default" w:ascii="Times New Roman" w:hAnsi="Times New Roman" w:cs="Times New Roman"/>
                <w:b/>
                <w:bCs/>
                <w:color w:val="auto"/>
                <w:sz w:val="24"/>
                <w:szCs w:val="24"/>
                <w:lang w:eastAsia="zh-CN"/>
              </w:rPr>
              <w:t>：</w:t>
            </w:r>
            <w:r>
              <w:rPr>
                <w:rFonts w:hint="default" w:ascii="Times New Roman" w:hAnsi="Times New Roman" w:cs="Times New Roman"/>
                <w:color w:val="auto"/>
                <w:sz w:val="24"/>
                <w:szCs w:val="24"/>
                <w:lang w:val="en-US" w:eastAsia="zh-CN"/>
              </w:rPr>
              <w:t>使用机刀对压泡之后的容器毛坯的多余边角进行裁边，此过程产生的污染物主要为边角料和噪声。</w:t>
            </w:r>
          </w:p>
          <w:p w14:paraId="2A43BE19">
            <w:pPr>
              <w:spacing w:line="360" w:lineRule="auto"/>
              <w:ind w:firstLine="482" w:firstLineChars="200"/>
              <w:rPr>
                <w:rFonts w:hint="default" w:ascii="Times New Roman" w:hAnsi="Times New Roman" w:cs="Times New Roman"/>
                <w:color w:val="auto"/>
                <w:sz w:val="24"/>
                <w:szCs w:val="24"/>
                <w:lang w:eastAsia="zh-CN"/>
              </w:rPr>
            </w:pPr>
            <w:r>
              <w:rPr>
                <w:rFonts w:hint="default" w:ascii="Times New Roman" w:hAnsi="Times New Roman" w:cs="Times New Roman"/>
                <w:b/>
                <w:bCs/>
                <w:color w:val="auto"/>
                <w:sz w:val="24"/>
                <w:szCs w:val="24"/>
                <w:lang w:val="en-US" w:eastAsia="zh-CN"/>
              </w:rPr>
              <w:t>烫金：</w:t>
            </w:r>
            <w:r>
              <w:rPr>
                <w:rFonts w:hint="default" w:ascii="Times New Roman" w:hAnsi="Times New Roman" w:cs="Times New Roman"/>
                <w:color w:val="auto"/>
                <w:sz w:val="24"/>
                <w:szCs w:val="24"/>
                <w:lang w:val="en-US" w:eastAsia="zh-CN"/>
              </w:rPr>
              <w:t>使用烫金机和电化铝箔在塑胶板材上进行印制图文。烫金工艺是一种不用油墨的特种印刷工艺，它是借助一定的压力于温度，运用装在烫印机上的模版，使印刷品和烫印箔在短时间内互相受压，将金属箔或颜料箔按烫印模版的图文转印到被烫印刷品的表面。本项目烫金工序温度为</w:t>
            </w:r>
            <w:r>
              <w:rPr>
                <w:rFonts w:hint="eastAsia" w:cs="Times New Roman"/>
                <w:color w:val="auto"/>
                <w:sz w:val="24"/>
                <w:szCs w:val="24"/>
                <w:lang w:val="en-US" w:eastAsia="zh-CN"/>
              </w:rPr>
              <w:t>80</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此工序主要污染物为噪声</w:t>
            </w:r>
            <w:r>
              <w:rPr>
                <w:rFonts w:hint="eastAsia" w:cs="Times New Roman"/>
                <w:color w:val="auto"/>
                <w:sz w:val="24"/>
                <w:szCs w:val="24"/>
                <w:lang w:val="en-US" w:eastAsia="zh-CN"/>
              </w:rPr>
              <w:t>、废烫金纸以及少量有机废气</w:t>
            </w:r>
            <w:r>
              <w:rPr>
                <w:rFonts w:hint="default" w:ascii="Times New Roman" w:hAnsi="Times New Roman" w:cs="Times New Roman"/>
                <w:color w:val="auto"/>
                <w:sz w:val="24"/>
                <w:szCs w:val="24"/>
                <w:lang w:val="en-US" w:eastAsia="zh-CN"/>
              </w:rPr>
              <w:t>。</w:t>
            </w:r>
          </w:p>
          <w:p w14:paraId="751400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（2）印纸</w:t>
            </w:r>
          </w:p>
          <w:p w14:paraId="68C8EA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2" w:firstLineChars="200"/>
              <w:jc w:val="both"/>
              <w:textAlignment w:val="auto"/>
              <w:rPr>
                <w:rFonts w:hint="default"/>
                <w:b/>
                <w:bCs/>
                <w:color w:val="auto"/>
                <w:sz w:val="24"/>
                <w:lang w:val="en-US" w:eastAsia="zh-CN"/>
              </w:rPr>
            </w:pPr>
            <w:r>
              <w:rPr>
                <w:rFonts w:hint="eastAsia"/>
                <w:b/>
                <w:bCs/>
                <w:color w:val="auto"/>
                <w:sz w:val="24"/>
                <w:lang w:val="en-US" w:eastAsia="zh-CN"/>
              </w:rPr>
              <w:t>制版：见酒类礼品包装盒工艺流程。</w:t>
            </w:r>
          </w:p>
          <w:p w14:paraId="13851B1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2" w:firstLineChars="200"/>
              <w:jc w:val="both"/>
              <w:textAlignment w:val="auto"/>
              <w:rPr>
                <w:rFonts w:hint="eastAsia"/>
                <w:b/>
                <w:bCs/>
                <w:color w:val="auto"/>
                <w:sz w:val="24"/>
                <w:lang w:val="en-US" w:eastAsia="zh-CN"/>
              </w:rPr>
            </w:pPr>
            <w:r>
              <w:rPr>
                <w:rFonts w:hint="eastAsia"/>
                <w:b/>
                <w:bCs/>
                <w:color w:val="auto"/>
                <w:sz w:val="24"/>
                <w:lang w:val="en-US" w:eastAsia="zh-CN"/>
              </w:rPr>
              <w:t>裁切：</w:t>
            </w:r>
            <w:r>
              <w:rPr>
                <w:rFonts w:hint="eastAsia"/>
                <w:b w:val="0"/>
                <w:bCs w:val="0"/>
                <w:color w:val="auto"/>
                <w:sz w:val="24"/>
                <w:lang w:val="en-US" w:eastAsia="zh-CN"/>
              </w:rPr>
              <w:t>采用切纸机对购买回来的纸张进行裁切成需要的大小，使其尺寸统一、边缘平整。</w:t>
            </w:r>
            <w:r>
              <w:rPr>
                <w:rFonts w:hint="eastAsia"/>
                <w:b w:val="0"/>
                <w:bCs w:val="0"/>
                <w:color w:val="auto"/>
                <w:sz w:val="24"/>
                <w:u w:val="single"/>
                <w:lang w:val="en-US" w:eastAsia="zh-CN"/>
              </w:rPr>
              <w:t>该工序产生的污染物主要为废边角料、噪声。</w:t>
            </w:r>
          </w:p>
          <w:p w14:paraId="52799286">
            <w:pPr>
              <w:widowControl/>
              <w:spacing w:line="360" w:lineRule="auto"/>
              <w:ind w:firstLine="480"/>
              <w:jc w:val="left"/>
              <w:rPr>
                <w:rFonts w:hint="eastAsia"/>
                <w:b/>
                <w:bCs/>
                <w:color w:val="auto"/>
                <w:sz w:val="24"/>
                <w:szCs w:val="18"/>
                <w:highlight w:val="none"/>
              </w:rPr>
            </w:pPr>
            <w:r>
              <w:rPr>
                <w:rFonts w:hint="eastAsia"/>
                <w:b/>
                <w:bCs/>
                <w:color w:val="auto"/>
                <w:sz w:val="24"/>
                <w:szCs w:val="18"/>
                <w:highlight w:val="none"/>
                <w:lang w:val="en-US" w:eastAsia="zh-CN"/>
              </w:rPr>
              <w:t>UV</w:t>
            </w:r>
            <w:r>
              <w:rPr>
                <w:rFonts w:hint="eastAsia"/>
                <w:b/>
                <w:bCs/>
                <w:color w:val="auto"/>
                <w:sz w:val="24"/>
                <w:szCs w:val="18"/>
                <w:highlight w:val="none"/>
              </w:rPr>
              <w:t>印刷：</w:t>
            </w:r>
            <w:r>
              <w:rPr>
                <w:rFonts w:hint="eastAsia"/>
                <w:b w:val="0"/>
                <w:bCs w:val="0"/>
                <w:color w:val="auto"/>
                <w:sz w:val="24"/>
                <w:szCs w:val="18"/>
                <w:highlight w:val="none"/>
              </w:rPr>
              <w:t>UV印刷是一种通过紫外光干燥、固化油墨的一种印刷工艺，将含有光敏剂的UV油墨与UV固化灯相配合。根据客户需求制作好CTP版后，将油墨涂布在印刷版面上，利用UV光线照射使油墨瞬间固化。此工序产生的污染物主要为有机废气、噪声、废包装桶、废CTP版。</w:t>
            </w:r>
          </w:p>
          <w:p w14:paraId="343ECB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2" w:firstLineChars="200"/>
              <w:jc w:val="both"/>
              <w:textAlignment w:val="auto"/>
              <w:rPr>
                <w:rFonts w:hint="default"/>
                <w:b/>
                <w:bCs/>
                <w:color w:val="auto"/>
                <w:sz w:val="24"/>
                <w:lang w:val="en-US" w:eastAsia="zh-CN"/>
              </w:rPr>
            </w:pPr>
            <w:r>
              <w:rPr>
                <w:rFonts w:hint="eastAsia"/>
                <w:b/>
                <w:bCs/>
                <w:color w:val="auto"/>
                <w:sz w:val="24"/>
                <w:lang w:val="en-US" w:eastAsia="zh-CN"/>
              </w:rPr>
              <w:t>打码：</w:t>
            </w:r>
            <w:r>
              <w:rPr>
                <w:rFonts w:hint="eastAsia"/>
                <w:color w:val="auto"/>
                <w:sz w:val="23"/>
                <w:szCs w:val="23"/>
              </w:rPr>
              <w:t>本项目部分产品需要根据客户需求在喷防伪码，采用</w:t>
            </w:r>
            <w:r>
              <w:rPr>
                <w:rFonts w:hint="eastAsia"/>
                <w:color w:val="auto"/>
                <w:sz w:val="23"/>
                <w:szCs w:val="23"/>
                <w:lang w:val="en-US" w:eastAsia="zh-CN"/>
              </w:rPr>
              <w:t>自动</w:t>
            </w:r>
            <w:r>
              <w:rPr>
                <w:rFonts w:hint="eastAsia"/>
                <w:color w:val="auto"/>
                <w:sz w:val="23"/>
                <w:szCs w:val="23"/>
              </w:rPr>
              <w:t>喷码</w:t>
            </w:r>
            <w:r>
              <w:rPr>
                <w:rFonts w:hint="eastAsia"/>
                <w:color w:val="auto"/>
                <w:sz w:val="23"/>
                <w:szCs w:val="23"/>
                <w:lang w:val="en-US" w:eastAsia="zh-CN"/>
              </w:rPr>
              <w:t>机喷码</w:t>
            </w:r>
            <w:r>
              <w:rPr>
                <w:rFonts w:hint="eastAsia"/>
                <w:color w:val="auto"/>
                <w:sz w:val="23"/>
                <w:szCs w:val="23"/>
              </w:rPr>
              <w:t>。</w:t>
            </w:r>
          </w:p>
          <w:p w14:paraId="14EC890D">
            <w:pPr>
              <w:pStyle w:val="103"/>
              <w:ind w:firstLine="482"/>
              <w:rPr>
                <w:color w:val="auto"/>
                <w:u w:val="single"/>
              </w:rPr>
            </w:pPr>
            <w:r>
              <w:rPr>
                <w:rFonts w:hint="eastAsia" w:ascii="Times New Roman" w:hAnsi="Times New Roman" w:eastAsia="宋体" w:cs="Times New Roman"/>
                <w:b/>
                <w:bCs/>
                <w:color w:val="auto"/>
                <w:sz w:val="24"/>
                <w:lang w:val="en-US" w:eastAsia="zh-CN"/>
              </w:rPr>
              <w:t>覆膜；</w:t>
            </w:r>
            <w:r>
              <w:rPr>
                <w:rFonts w:hint="eastAsia"/>
                <w:color w:val="auto"/>
              </w:rPr>
              <w:t>根据产品的设计及印刷工艺，采取覆膜的方式，使得印刷品表面光泽度、耐磨性得到改善。在UV印刷品上涂水性干式覆膜胶，通过覆膜机将PP 膜覆在产品上，以提高印刷图案的光泽度及持久度，覆膜工序在常温下进行</w:t>
            </w:r>
            <w:r>
              <w:rPr>
                <w:rFonts w:hint="eastAsia"/>
                <w:color w:val="auto"/>
                <w:u w:val="none"/>
              </w:rPr>
              <w:t>。</w:t>
            </w:r>
            <w:r>
              <w:rPr>
                <w:rFonts w:hint="eastAsia"/>
                <w:color w:val="auto"/>
                <w:u w:val="single"/>
              </w:rPr>
              <w:t>此工序产生的主要污染物为有机废气、噪声、废包装桶。</w:t>
            </w:r>
          </w:p>
          <w:p w14:paraId="08B174A6">
            <w:pPr>
              <w:pStyle w:val="103"/>
              <w:ind w:firstLine="482"/>
              <w:rPr>
                <w:rFonts w:hint="eastAsia"/>
                <w:color w:val="auto"/>
                <w:highlight w:val="none"/>
                <w:u w:val="single"/>
              </w:rPr>
            </w:pPr>
            <w:r>
              <w:rPr>
                <w:rFonts w:hint="eastAsia"/>
                <w:b/>
                <w:bCs/>
                <w:color w:val="auto"/>
                <w:highlight w:val="none"/>
                <w:lang w:val="en-US" w:eastAsia="zh-CN"/>
              </w:rPr>
              <w:t>压纹、</w:t>
            </w:r>
            <w:r>
              <w:rPr>
                <w:rFonts w:hint="eastAsia"/>
                <w:b/>
                <w:bCs/>
                <w:color w:val="auto"/>
                <w:highlight w:val="none"/>
              </w:rPr>
              <w:t>模切：</w:t>
            </w:r>
            <w:r>
              <w:rPr>
                <w:rFonts w:hint="eastAsia"/>
                <w:color w:val="auto"/>
                <w:highlight w:val="none"/>
              </w:rPr>
              <w:t>使用</w:t>
            </w:r>
            <w:r>
              <w:rPr>
                <w:rFonts w:hint="eastAsia"/>
                <w:color w:val="auto"/>
                <w:highlight w:val="none"/>
                <w:lang w:val="en-US" w:eastAsia="zh-CN"/>
              </w:rPr>
              <w:t>全自动</w:t>
            </w:r>
            <w:r>
              <w:rPr>
                <w:rFonts w:hint="eastAsia"/>
                <w:color w:val="auto"/>
                <w:highlight w:val="none"/>
              </w:rPr>
              <w:t>模切</w:t>
            </w:r>
            <w:r>
              <w:rPr>
                <w:rFonts w:hint="eastAsia"/>
                <w:color w:val="auto"/>
                <w:highlight w:val="none"/>
                <w:lang w:val="en-US" w:eastAsia="zh-CN"/>
              </w:rPr>
              <w:t>压纹</w:t>
            </w:r>
            <w:r>
              <w:rPr>
                <w:rFonts w:hint="eastAsia"/>
                <w:color w:val="auto"/>
                <w:highlight w:val="none"/>
              </w:rPr>
              <w:t>机根据产品设计要求的图样组合成模切版，在压力的作用下将承印表皮、衬层工业纸板切成所需形状和切痕的工艺。</w:t>
            </w:r>
            <w:r>
              <w:rPr>
                <w:rFonts w:hint="eastAsia"/>
                <w:color w:val="auto"/>
                <w:highlight w:val="none"/>
                <w:u w:val="single"/>
              </w:rPr>
              <w:t>该工序产生的主要污染为噪声、废边角料。</w:t>
            </w:r>
          </w:p>
          <w:p w14:paraId="2382D746">
            <w:pPr>
              <w:pStyle w:val="103"/>
              <w:ind w:firstLine="482"/>
              <w:rPr>
                <w:color w:val="auto"/>
                <w:u w:val="single"/>
              </w:rPr>
            </w:pPr>
            <w:r>
              <w:rPr>
                <w:rFonts w:hint="eastAsia"/>
                <w:b/>
                <w:bCs/>
                <w:color w:val="auto"/>
              </w:rPr>
              <w:t>裱糊成型：</w:t>
            </w:r>
            <w:r>
              <w:rPr>
                <w:rFonts w:hint="eastAsia"/>
                <w:color w:val="auto"/>
              </w:rPr>
              <w:t>烫金</w:t>
            </w:r>
            <w:r>
              <w:rPr>
                <w:rFonts w:hint="eastAsia"/>
                <w:color w:val="auto"/>
                <w:lang w:val="en-US" w:eastAsia="zh-CN"/>
              </w:rPr>
              <w:t>模切</w:t>
            </w:r>
            <w:r>
              <w:rPr>
                <w:rFonts w:hint="eastAsia"/>
                <w:color w:val="auto"/>
              </w:rPr>
              <w:t>过后，在</w:t>
            </w:r>
            <w:r>
              <w:rPr>
                <w:rFonts w:hint="eastAsia"/>
                <w:color w:val="auto"/>
                <w:lang w:val="en-US" w:eastAsia="zh-CN"/>
              </w:rPr>
              <w:t>组装流水</w:t>
            </w:r>
            <w:r>
              <w:rPr>
                <w:rFonts w:hint="eastAsia"/>
                <w:color w:val="auto"/>
              </w:rPr>
              <w:t>线上进行上胶，将烫金</w:t>
            </w:r>
            <w:r>
              <w:rPr>
                <w:rFonts w:hint="eastAsia"/>
                <w:color w:val="auto"/>
                <w:lang w:val="en-US" w:eastAsia="zh-CN"/>
              </w:rPr>
              <w:t>模切</w:t>
            </w:r>
            <w:r>
              <w:rPr>
                <w:rFonts w:hint="eastAsia"/>
                <w:color w:val="auto"/>
              </w:rPr>
              <w:t>后的半成品承印表皮下衬垫一层工业纸板，并通过包装生产线的压泡机将气泡挤出，而后对边缘粘合成型。</w:t>
            </w:r>
            <w:r>
              <w:rPr>
                <w:rFonts w:hint="eastAsia"/>
                <w:color w:val="auto"/>
                <w:u w:val="single"/>
              </w:rPr>
              <w:t>该工序产生的主要污染为有机废气、噪声、废包装桶。</w:t>
            </w:r>
          </w:p>
          <w:p w14:paraId="04B600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（3）塑纸</w:t>
            </w:r>
          </w:p>
          <w:p w14:paraId="4308330B">
            <w:pPr>
              <w:pStyle w:val="103"/>
              <w:keepNext w:val="0"/>
              <w:keepLines w:val="0"/>
              <w:pageBreakBefore w:val="0"/>
              <w:widowControl w:val="0"/>
              <w:kinsoku/>
              <w:wordWrap/>
              <w:overflowPunct/>
              <w:topLinePunct w:val="0"/>
              <w:bidi w:val="0"/>
              <w:adjustRightInd w:val="0"/>
              <w:snapToGrid/>
              <w:spacing w:line="360" w:lineRule="auto"/>
              <w:ind w:firstLine="482"/>
              <w:rPr>
                <w:rFonts w:hint="eastAsia" w:eastAsia="宋体"/>
                <w:color w:val="auto"/>
                <w:u w:val="single"/>
                <w:lang w:eastAsia="zh-CN"/>
              </w:rPr>
            </w:pPr>
            <w:r>
              <w:rPr>
                <w:rFonts w:hint="eastAsia"/>
                <w:color w:val="auto"/>
                <w:lang w:val="en-US" w:eastAsia="zh-CN"/>
              </w:rPr>
              <w:t>组装：将注塑件和印刷纸使用水性胶粘剂粘合到一起，此过程为人工组装。</w:t>
            </w:r>
            <w:r>
              <w:rPr>
                <w:rFonts w:hint="eastAsia"/>
                <w:color w:val="auto"/>
                <w:u w:val="single"/>
              </w:rPr>
              <w:t>该工序产生的主要污染为有机废气、噪声</w:t>
            </w:r>
            <w:r>
              <w:rPr>
                <w:rFonts w:hint="eastAsia"/>
                <w:color w:val="auto"/>
                <w:u w:val="single"/>
                <w:lang w:eastAsia="zh-CN"/>
              </w:rPr>
              <w:t>。</w:t>
            </w:r>
          </w:p>
          <w:p w14:paraId="11A2DED7">
            <w:pPr>
              <w:pStyle w:val="3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rPr>
                <w:rFonts w:hint="default"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贴标：贴上自带胶标签。</w:t>
            </w:r>
          </w:p>
          <w:p w14:paraId="5AB34947">
            <w:pPr>
              <w:pStyle w:val="103"/>
              <w:ind w:firstLine="482"/>
              <w:rPr>
                <w:rFonts w:hint="eastAsia"/>
                <w:color w:val="auto"/>
              </w:rPr>
            </w:pPr>
            <w:r>
              <w:rPr>
                <w:rFonts w:hint="eastAsia" w:ascii="Times New Roman" w:hAnsi="Times New Roman" w:eastAsia="宋体" w:cs="Times New Roman"/>
                <w:color w:val="auto"/>
                <w:kern w:val="0"/>
                <w:sz w:val="24"/>
                <w:szCs w:val="20"/>
                <w:lang w:val="en-US" w:eastAsia="zh-CN" w:bidi="ar-SA"/>
              </w:rPr>
              <w:t>检验：</w:t>
            </w:r>
            <w:r>
              <w:rPr>
                <w:rFonts w:hint="eastAsia"/>
                <w:color w:val="auto"/>
              </w:rPr>
              <w:t>随机对每批次产品进行抽样检查，合格品入库待发客户。</w:t>
            </w:r>
          </w:p>
          <w:p w14:paraId="7FC722B9">
            <w:pPr>
              <w:pStyle w:val="10"/>
              <w:rPr>
                <w:rFonts w:hint="default" w:eastAsia="宋体"/>
                <w:b/>
                <w:bCs/>
                <w:color w:val="auto"/>
                <w:sz w:val="24"/>
                <w:lang w:val="en-US" w:eastAsia="zh-CN"/>
              </w:rPr>
            </w:pPr>
            <w:r>
              <w:rPr>
                <w:rFonts w:hint="eastAsia"/>
                <w:b/>
                <w:bCs/>
                <w:color w:val="auto"/>
                <w:sz w:val="24"/>
                <w:lang w:val="en-US" w:eastAsia="zh-CN"/>
              </w:rPr>
              <w:t>4、木塑包装盒工艺流程及产污工序如下图所示：</w:t>
            </w:r>
          </w:p>
          <w:p w14:paraId="117295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object>
                <v:shape id="_x0000_i1033" o:spt="75" type="#_x0000_t75" style="height:359.45pt;width:371.8pt;" o:ole="t" filled="f" o:preferrelative="t" stroked="f" coordsize="21600,21600">
                  <v:path/>
                  <v:fill on="f" focussize="0,0"/>
                  <v:stroke on="f"/>
                  <v:imagedata r:id="rId36" o:title=""/>
                  <o:lock v:ext="edit" aspectratio="f"/>
                  <w10:wrap type="none"/>
                  <w10:anchorlock/>
                </v:shape>
                <o:OLEObject Type="Embed" ProgID="Visio.Drawing.15" ShapeID="_x0000_i1033" DrawAspect="Content" ObjectID="_1468075733" r:id="rId35">
                  <o:LockedField>false</o:LockedField>
                </o:OLEObject>
              </w:object>
            </w:r>
          </w:p>
          <w:p w14:paraId="3CD342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eastAsia="宋体" w:cs="Times New Roman"/>
                <w:b/>
                <w:bCs w:val="0"/>
                <w:color w:val="auto"/>
                <w:sz w:val="21"/>
                <w:szCs w:val="21"/>
                <w:vertAlign w:val="baseline"/>
                <w:lang w:eastAsia="zh-CN"/>
              </w:rPr>
              <w:t>图</w:t>
            </w:r>
            <w:r>
              <w:rPr>
                <w:rFonts w:hint="eastAsia" w:ascii="Times New Roman" w:hAnsi="Times New Roman" w:eastAsia="宋体" w:cs="Times New Roman"/>
                <w:b/>
                <w:bCs w:val="0"/>
                <w:color w:val="auto"/>
                <w:sz w:val="21"/>
                <w:szCs w:val="21"/>
                <w:vertAlign w:val="baseline"/>
                <w:lang w:val="en-US" w:eastAsia="zh-CN"/>
              </w:rPr>
              <w:t>2-</w:t>
            </w:r>
            <w:r>
              <w:rPr>
                <w:rFonts w:hint="eastAsia" w:eastAsia="宋体" w:cs="Times New Roman"/>
                <w:b/>
                <w:bCs w:val="0"/>
                <w:color w:val="auto"/>
                <w:sz w:val="21"/>
                <w:szCs w:val="21"/>
                <w:vertAlign w:val="baseline"/>
                <w:lang w:val="en-US" w:eastAsia="zh-CN"/>
              </w:rPr>
              <w:t>7  木塑包装盒生产工艺流程及产污环节</w:t>
            </w:r>
            <w:r>
              <w:rPr>
                <w:rFonts w:hint="default" w:ascii="Times New Roman" w:hAnsi="Times New Roman" w:eastAsia="宋体" w:cs="Times New Roman"/>
                <w:b/>
                <w:bCs w:val="0"/>
                <w:color w:val="auto"/>
                <w:sz w:val="21"/>
                <w:szCs w:val="21"/>
                <w:vertAlign w:val="baseline"/>
                <w:lang w:eastAsia="zh-CN"/>
              </w:rPr>
              <w:t>图</w:t>
            </w:r>
          </w:p>
          <w:p w14:paraId="732D5C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color w:val="auto"/>
                <w:sz w:val="24"/>
                <w:lang w:val="en-US" w:eastAsia="zh-CN"/>
              </w:rPr>
            </w:pPr>
            <w:r>
              <w:rPr>
                <w:rFonts w:hint="eastAsia"/>
                <w:b/>
                <w:bCs/>
                <w:color w:val="auto"/>
                <w:sz w:val="24"/>
              </w:rPr>
              <w:t>工艺流程简述</w:t>
            </w:r>
            <w:r>
              <w:rPr>
                <w:rFonts w:hint="eastAsia"/>
                <w:color w:val="auto"/>
                <w:sz w:val="24"/>
                <w:lang w:val="en-US" w:eastAsia="zh-CN"/>
              </w:rPr>
              <w:t>：</w:t>
            </w:r>
          </w:p>
          <w:p w14:paraId="0C9F67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eastAsia="zh-CN"/>
              </w:rPr>
              <w:t>（</w:t>
            </w:r>
            <w:r>
              <w:rPr>
                <w:rFonts w:hint="eastAsia" w:cs="Times New Roman"/>
                <w:b/>
                <w:bCs/>
                <w:color w:val="auto"/>
                <w:sz w:val="24"/>
                <w:szCs w:val="24"/>
                <w:lang w:val="en-US" w:eastAsia="zh-CN"/>
              </w:rPr>
              <w:t>1</w:t>
            </w:r>
            <w:r>
              <w:rPr>
                <w:rFonts w:hint="eastAsia" w:cs="Times New Roman"/>
                <w:b/>
                <w:bCs/>
                <w:color w:val="auto"/>
                <w:sz w:val="24"/>
                <w:szCs w:val="24"/>
                <w:lang w:eastAsia="zh-CN"/>
              </w:rPr>
              <w:t>）</w:t>
            </w:r>
            <w:r>
              <w:rPr>
                <w:rFonts w:hint="eastAsia" w:cs="Times New Roman"/>
                <w:b/>
                <w:bCs/>
                <w:color w:val="auto"/>
                <w:sz w:val="24"/>
                <w:szCs w:val="24"/>
                <w:lang w:val="en-US" w:eastAsia="zh-CN"/>
              </w:rPr>
              <w:t>注塑件</w:t>
            </w:r>
          </w:p>
          <w:p w14:paraId="4352B420">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b w:val="0"/>
                <w:bCs w:val="0"/>
                <w:color w:val="auto"/>
                <w:sz w:val="24"/>
                <w:szCs w:val="24"/>
                <w:lang w:val="en-US" w:eastAsia="zh-CN"/>
              </w:rPr>
              <w:t xml:space="preserve"> </w:t>
            </w:r>
            <w:r>
              <w:rPr>
                <w:rFonts w:hint="default" w:ascii="Times New Roman" w:hAnsi="Times New Roman" w:cs="Times New Roman"/>
                <w:b/>
                <w:bCs/>
                <w:color w:val="auto"/>
                <w:sz w:val="24"/>
                <w:szCs w:val="24"/>
                <w:lang w:val="en-US" w:eastAsia="zh-CN"/>
              </w:rPr>
              <w:t>干燥：</w:t>
            </w:r>
            <w:r>
              <w:rPr>
                <w:rFonts w:hint="default" w:ascii="Times New Roman" w:hAnsi="Times New Roman" w:cs="Times New Roman"/>
                <w:color w:val="auto"/>
                <w:sz w:val="24"/>
                <w:szCs w:val="24"/>
                <w:lang w:val="en-US" w:eastAsia="zh-CN"/>
              </w:rPr>
              <w:t>启动成套注塑设备的干燥功能，将注入机内的塑料进行干燥，去除水分，便于接下来的注塑成型操作。干燥采用电加热，温度约为85℃，此温度尚未达到</w:t>
            </w:r>
            <w:r>
              <w:rPr>
                <w:rFonts w:hint="default" w:ascii="Times New Roman" w:hAnsi="Times New Roman" w:cs="Times New Roman"/>
                <w:color w:val="auto"/>
                <w:sz w:val="24"/>
                <w:szCs w:val="24"/>
                <w:lang w:eastAsia="zh-CN"/>
              </w:rPr>
              <w:t>PET、ABS、</w:t>
            </w:r>
            <w:r>
              <w:rPr>
                <w:rFonts w:hint="default" w:ascii="Times New Roman" w:hAnsi="Times New Roman" w:cs="Times New Roman"/>
                <w:color w:val="auto"/>
                <w:sz w:val="24"/>
                <w:szCs w:val="24"/>
                <w:lang w:val="en-US" w:eastAsia="zh-CN"/>
              </w:rPr>
              <w:t>GP</w:t>
            </w:r>
            <w:r>
              <w:rPr>
                <w:rFonts w:hint="default" w:ascii="Times New Roman" w:hAnsi="Times New Roman" w:cs="Times New Roman"/>
                <w:color w:val="auto"/>
                <w:sz w:val="24"/>
                <w:szCs w:val="24"/>
                <w:lang w:eastAsia="zh-CN"/>
              </w:rPr>
              <w:t>PS等</w:t>
            </w:r>
            <w:r>
              <w:rPr>
                <w:rFonts w:hint="default" w:ascii="Times New Roman" w:hAnsi="Times New Roman" w:cs="Times New Roman"/>
                <w:color w:val="auto"/>
                <w:sz w:val="24"/>
                <w:szCs w:val="24"/>
                <w:lang w:val="en-US" w:eastAsia="zh-CN"/>
              </w:rPr>
              <w:t>塑料的热分解温度，</w:t>
            </w:r>
            <w:r>
              <w:rPr>
                <w:rFonts w:hint="default" w:ascii="Times New Roman" w:hAnsi="Times New Roman" w:cs="Times New Roman"/>
                <w:color w:val="auto"/>
                <w:sz w:val="24"/>
              </w:rPr>
              <w:t>仅少量塑料单体在高温下挥发</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此工序产生少量的VOCs。</w:t>
            </w:r>
          </w:p>
          <w:p w14:paraId="69159B4E">
            <w:pPr>
              <w:spacing w:line="360" w:lineRule="auto"/>
              <w:ind w:firstLine="482" w:firstLineChars="200"/>
              <w:rPr>
                <w:rFonts w:hint="default" w:ascii="Times New Roman" w:hAnsi="Times New Roman" w:cs="Times New Roman"/>
                <w:color w:val="auto"/>
                <w:sz w:val="24"/>
                <w:szCs w:val="24"/>
                <w:lang w:eastAsia="zh-CN"/>
              </w:rPr>
            </w:pPr>
            <w:r>
              <w:rPr>
                <w:rFonts w:hint="default" w:ascii="Times New Roman" w:hAnsi="Times New Roman" w:cs="Times New Roman"/>
                <w:b/>
                <w:bCs/>
                <w:color w:val="auto"/>
                <w:sz w:val="24"/>
                <w:szCs w:val="24"/>
                <w:lang w:val="en-US" w:eastAsia="zh-CN"/>
              </w:rPr>
              <w:t>注塑</w:t>
            </w:r>
            <w:r>
              <w:rPr>
                <w:rFonts w:hint="default" w:ascii="Times New Roman" w:hAnsi="Times New Roman" w:cs="Times New Roman"/>
                <w:b/>
                <w:bCs/>
                <w:color w:val="auto"/>
                <w:sz w:val="24"/>
                <w:szCs w:val="24"/>
                <w:lang w:eastAsia="zh-CN"/>
              </w:rPr>
              <w:t>成型：</w:t>
            </w:r>
            <w:r>
              <w:rPr>
                <w:rFonts w:hint="default" w:ascii="Times New Roman" w:hAnsi="Times New Roman" w:cs="Times New Roman"/>
                <w:color w:val="auto"/>
                <w:sz w:val="24"/>
                <w:szCs w:val="24"/>
                <w:lang w:val="en-US" w:eastAsia="zh-CN"/>
              </w:rPr>
              <w:t>将干燥之后的物料采取负压方式打入注塑机模具内，</w:t>
            </w:r>
            <w:r>
              <w:rPr>
                <w:rFonts w:hint="default" w:ascii="Times New Roman" w:hAnsi="Times New Roman" w:cs="Times New Roman"/>
                <w:color w:val="auto"/>
                <w:sz w:val="24"/>
                <w:szCs w:val="24"/>
                <w:lang w:eastAsia="zh-CN"/>
              </w:rPr>
              <w:t>通过电加热至</w:t>
            </w:r>
            <w:r>
              <w:rPr>
                <w:rFonts w:hint="default" w:ascii="Times New Roman" w:hAnsi="Times New Roman" w:cs="Times New Roman"/>
                <w:color w:val="auto"/>
                <w:sz w:val="24"/>
                <w:szCs w:val="24"/>
                <w:lang w:val="en-US" w:eastAsia="zh-CN"/>
              </w:rPr>
              <w:t>120</w:t>
            </w:r>
            <w:r>
              <w:rPr>
                <w:rFonts w:hint="default" w:ascii="Times New Roman" w:hAnsi="Times New Roman" w:cs="Times New Roman"/>
                <w:color w:val="auto"/>
                <w:sz w:val="24"/>
                <w:szCs w:val="24"/>
                <w:lang w:eastAsia="zh-CN"/>
              </w:rPr>
              <w:t>℃，按照钢制模具形状进行成型，得到</w:t>
            </w:r>
            <w:r>
              <w:rPr>
                <w:rFonts w:hint="default" w:ascii="Times New Roman" w:hAnsi="Times New Roman" w:cs="Times New Roman"/>
                <w:color w:val="auto"/>
                <w:sz w:val="24"/>
                <w:szCs w:val="24"/>
                <w:lang w:val="en-US" w:eastAsia="zh-CN"/>
              </w:rPr>
              <w:t>包装容器毛坯</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注塑成型过程尚未达到</w:t>
            </w:r>
            <w:r>
              <w:rPr>
                <w:rFonts w:hint="default" w:ascii="Times New Roman" w:hAnsi="Times New Roman" w:cs="Times New Roman"/>
                <w:color w:val="auto"/>
                <w:sz w:val="24"/>
                <w:szCs w:val="24"/>
                <w:lang w:eastAsia="zh-CN"/>
              </w:rPr>
              <w:t>PET</w:t>
            </w:r>
            <w:r>
              <w:rPr>
                <w:rFonts w:hint="default" w:ascii="Times New Roman" w:hAnsi="Times New Roman" w:cs="Times New Roman"/>
                <w:color w:val="auto"/>
                <w:sz w:val="24"/>
                <w:szCs w:val="24"/>
                <w:lang w:val="en-US" w:eastAsia="zh-CN"/>
              </w:rPr>
              <w:t>塑料的热分解温度＞250℃，</w:t>
            </w:r>
            <w:r>
              <w:rPr>
                <w:rFonts w:hint="default" w:ascii="Times New Roman" w:hAnsi="Times New Roman" w:cs="Times New Roman"/>
                <w:color w:val="auto"/>
                <w:sz w:val="24"/>
              </w:rPr>
              <w:t>仅少量塑料单体在高温下挥发</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此工序产生的污染物主要为VOCs。</w:t>
            </w:r>
          </w:p>
          <w:p w14:paraId="4B211FD9">
            <w:pPr>
              <w:keepNext w:val="0"/>
              <w:keepLines w:val="0"/>
              <w:pageBreakBefore w:val="0"/>
              <w:widowControl w:val="0"/>
              <w:kinsoku/>
              <w:wordWrap/>
              <w:overflowPunct/>
              <w:topLinePunct w:val="0"/>
              <w:bidi w:val="0"/>
              <w:snapToGrid/>
              <w:spacing w:line="360" w:lineRule="auto"/>
              <w:ind w:firstLine="482"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
                <w:bCs/>
                <w:color w:val="auto"/>
                <w:sz w:val="24"/>
                <w:highlight w:val="none"/>
              </w:rPr>
              <w:t>定型</w:t>
            </w:r>
            <w:r>
              <w:rPr>
                <w:rFonts w:hint="eastAsia" w:ascii="Times New Roman" w:hAnsi="Times New Roman" w:eastAsia="宋体" w:cs="Times New Roman"/>
                <w:b/>
                <w:bCs/>
                <w:color w:val="auto"/>
                <w:sz w:val="24"/>
                <w:highlight w:val="none"/>
                <w:lang w:val="en-US" w:eastAsia="zh-CN"/>
              </w:rPr>
              <w:t>脱模</w:t>
            </w:r>
            <w:r>
              <w:rPr>
                <w:rFonts w:ascii="Times New Roman" w:hAnsi="Times New Roman" w:eastAsia="宋体" w:cs="Times New Roman"/>
                <w:b/>
                <w:color w:val="auto"/>
                <w:sz w:val="24"/>
                <w:highlight w:val="none"/>
              </w:rPr>
              <w:t>：</w:t>
            </w:r>
            <w:r>
              <w:rPr>
                <w:rFonts w:hint="eastAsia" w:ascii="Times New Roman" w:hAnsi="Times New Roman" w:eastAsia="宋体" w:cs="Times New Roman"/>
                <w:bCs/>
                <w:color w:val="auto"/>
                <w:sz w:val="24"/>
                <w:highlight w:val="none"/>
              </w:rPr>
              <w:t>成型后采用循环冷却水进行间接冷却、定型</w:t>
            </w:r>
            <w:r>
              <w:rPr>
                <w:rFonts w:hint="eastAsia" w:ascii="Times New Roman" w:hAnsi="Times New Roman" w:eastAsia="宋体" w:cs="Times New Roman"/>
                <w:bCs/>
                <w:color w:val="auto"/>
                <w:sz w:val="24"/>
                <w:highlight w:val="none"/>
                <w:lang w:val="en-US" w:eastAsia="zh-CN"/>
              </w:rPr>
              <w:t>脱模</w:t>
            </w:r>
            <w:r>
              <w:rPr>
                <w:rFonts w:hint="eastAsia" w:ascii="Times New Roman" w:hAnsi="Times New Roman" w:eastAsia="宋体" w:cs="Times New Roman"/>
                <w:bCs/>
                <w:color w:val="auto"/>
                <w:sz w:val="24"/>
                <w:highlight w:val="none"/>
              </w:rPr>
              <w:t>。冷却水循环使用，每天补充损耗量，</w:t>
            </w:r>
            <w:r>
              <w:rPr>
                <w:rFonts w:hint="eastAsia" w:cs="Times New Roman"/>
                <w:bCs/>
                <w:color w:val="auto"/>
                <w:sz w:val="24"/>
                <w:highlight w:val="none"/>
                <w:lang w:val="en-US" w:eastAsia="zh-CN"/>
              </w:rPr>
              <w:t>每月排放一次</w:t>
            </w:r>
            <w:r>
              <w:rPr>
                <w:rFonts w:hint="eastAsia" w:ascii="Times New Roman" w:hAnsi="Times New Roman" w:eastAsia="宋体" w:cs="Times New Roman"/>
                <w:bCs/>
                <w:color w:val="auto"/>
                <w:sz w:val="24"/>
                <w:highlight w:val="none"/>
              </w:rPr>
              <w:t>。</w:t>
            </w:r>
          </w:p>
          <w:p w14:paraId="6DD566CF">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压泡：</w:t>
            </w:r>
            <w:r>
              <w:rPr>
                <w:rFonts w:hint="default" w:ascii="Times New Roman" w:hAnsi="Times New Roman" w:cs="Times New Roman"/>
                <w:color w:val="auto"/>
                <w:sz w:val="24"/>
                <w:szCs w:val="24"/>
                <w:lang w:val="en-US" w:eastAsia="zh-CN"/>
              </w:rPr>
              <w:t>用压泡机对脱模之后容器毛坯进行压泡操作，以去除塑胶板材内部的气泡，此工序产生的污染物主要为噪声。</w:t>
            </w:r>
          </w:p>
          <w:p w14:paraId="55BDDBA3">
            <w:pPr>
              <w:spacing w:line="360" w:lineRule="auto"/>
              <w:ind w:firstLine="482"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裁边</w:t>
            </w:r>
            <w:r>
              <w:rPr>
                <w:rFonts w:hint="default" w:ascii="Times New Roman" w:hAnsi="Times New Roman" w:cs="Times New Roman"/>
                <w:b/>
                <w:bCs/>
                <w:color w:val="auto"/>
                <w:sz w:val="24"/>
                <w:szCs w:val="24"/>
                <w:lang w:eastAsia="zh-CN"/>
              </w:rPr>
              <w:t>：</w:t>
            </w:r>
            <w:r>
              <w:rPr>
                <w:rFonts w:hint="default" w:ascii="Times New Roman" w:hAnsi="Times New Roman" w:cs="Times New Roman"/>
                <w:color w:val="auto"/>
                <w:sz w:val="24"/>
                <w:szCs w:val="24"/>
                <w:lang w:val="en-US" w:eastAsia="zh-CN"/>
              </w:rPr>
              <w:t>使用机刀对压泡之后的容器毛坯的多余边角进行裁边，此过程产生的污染物主要为边角料和噪声。</w:t>
            </w:r>
          </w:p>
          <w:p w14:paraId="255802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eastAsia="zh-CN"/>
              </w:rPr>
              <w:t>（</w:t>
            </w:r>
            <w:r>
              <w:rPr>
                <w:rFonts w:hint="eastAsia" w:cs="Times New Roman"/>
                <w:b w:val="0"/>
                <w:bCs w:val="0"/>
                <w:color w:val="auto"/>
                <w:sz w:val="24"/>
                <w:szCs w:val="24"/>
                <w:lang w:val="en-US" w:eastAsia="zh-CN"/>
              </w:rPr>
              <w:t>2</w:t>
            </w:r>
            <w:r>
              <w:rPr>
                <w:rFonts w:hint="eastAsia" w:cs="Times New Roman"/>
                <w:b w:val="0"/>
                <w:bCs w:val="0"/>
                <w:color w:val="auto"/>
                <w:sz w:val="24"/>
                <w:szCs w:val="24"/>
                <w:lang w:eastAsia="zh-CN"/>
              </w:rPr>
              <w:t>）</w:t>
            </w:r>
            <w:r>
              <w:rPr>
                <w:rFonts w:hint="eastAsia" w:cs="Times New Roman"/>
                <w:b w:val="0"/>
                <w:bCs w:val="0"/>
                <w:color w:val="auto"/>
                <w:sz w:val="24"/>
                <w:szCs w:val="24"/>
                <w:lang w:val="en-US" w:eastAsia="zh-CN"/>
              </w:rPr>
              <w:t>木制底座</w:t>
            </w:r>
          </w:p>
          <w:p w14:paraId="515C6092">
            <w:pPr>
              <w:spacing w:line="360" w:lineRule="auto"/>
              <w:ind w:firstLine="482" w:firstLineChars="200"/>
              <w:rPr>
                <w:color w:val="auto"/>
                <w:sz w:val="24"/>
                <w:szCs w:val="18"/>
                <w:highlight w:val="none"/>
              </w:rPr>
            </w:pPr>
            <w:r>
              <w:rPr>
                <w:rFonts w:hint="eastAsia" w:ascii="Times New Roman" w:hAnsi="Times New Roman" w:eastAsia="宋体" w:cs="Times New Roman"/>
                <w:b/>
                <w:bCs/>
                <w:color w:val="auto"/>
                <w:sz w:val="24"/>
                <w:szCs w:val="24"/>
                <w:highlight w:val="none"/>
                <w:lang w:val="en-US" w:eastAsia="zh-CN"/>
              </w:rPr>
              <w:t>丝印：</w:t>
            </w:r>
            <w:r>
              <w:rPr>
                <w:rFonts w:hint="eastAsia"/>
                <w:color w:val="auto"/>
                <w:sz w:val="24"/>
                <w:szCs w:val="18"/>
                <w:highlight w:val="none"/>
              </w:rPr>
              <w:t>将</w:t>
            </w:r>
            <w:r>
              <w:rPr>
                <w:rFonts w:hint="eastAsia"/>
                <w:color w:val="auto"/>
                <w:sz w:val="24"/>
                <w:szCs w:val="18"/>
                <w:highlight w:val="none"/>
                <w:lang w:val="en-US" w:eastAsia="zh-CN"/>
              </w:rPr>
              <w:t>外购的木制底座</w:t>
            </w:r>
            <w:r>
              <w:rPr>
                <w:rFonts w:hint="eastAsia"/>
                <w:color w:val="auto"/>
                <w:sz w:val="24"/>
                <w:szCs w:val="18"/>
                <w:highlight w:val="none"/>
              </w:rPr>
              <w:t>放置到印刷机上，印刷时在丝网版一端上倒入油墨，刮印板对丝网版上的油墨部位施加一定压力，同时朝丝网印版另一端移动。油墨在移动中被刮板从图文部分的网孔中挤压到承印物上。由于油墨的粘性作用而使印迹固着在一定范围之内，印刷过程中刮板始终与丝网版和承印物呈线接触，接触线随刮板移动而移动，由于丝网版与承印物之间保持一定的间隙，使得印刷时的丝网版通过自身的张力而产生对刮板的反作用力，这个反作用力称为回弹力。由于回弹力的作用，使丝网印版与承印物只呈移动式线接触，而丝网版其它部分与承印物为脱离状态。使油墨与丝网发生断裂运动，保证了印刷尺寸精度和避免蹭脏承印物。当刮板刮过整个版面后抬起，同时丝网版也抬起，并将油墨轻刮回初始位置。至此为一个印刷行程。</w:t>
            </w:r>
          </w:p>
          <w:p w14:paraId="40385382">
            <w:pPr>
              <w:widowControl/>
              <w:spacing w:line="360" w:lineRule="auto"/>
              <w:ind w:firstLine="480"/>
              <w:jc w:val="left"/>
              <w:rPr>
                <w:color w:val="auto"/>
                <w:sz w:val="24"/>
                <w:szCs w:val="18"/>
                <w:highlight w:val="yellow"/>
              </w:rPr>
            </w:pPr>
            <w:r>
              <w:rPr>
                <w:rFonts w:hint="eastAsia"/>
                <w:color w:val="auto"/>
                <w:sz w:val="24"/>
                <w:szCs w:val="18"/>
                <w:highlight w:val="none"/>
              </w:rPr>
              <w:t>丝网版使用久了以后，油墨、杂质等会逐渐附着在丝网版的网孔和版面上，残留物质会堵塞网孔，导致油墨透过性变差，印刷时可能出现图文模糊、缺墨、墨色不均等问题，影响印刷品的质量和精度。本项目用棉布蘸取少量酒精对网版表面进行擦拭清洁。</w:t>
            </w:r>
          </w:p>
          <w:p w14:paraId="306562EF">
            <w:pPr>
              <w:widowControl/>
              <w:spacing w:line="360" w:lineRule="auto"/>
              <w:ind w:firstLine="480"/>
              <w:jc w:val="left"/>
              <w:rPr>
                <w:color w:val="auto"/>
                <w:sz w:val="24"/>
                <w:szCs w:val="18"/>
                <w:highlight w:val="none"/>
                <w:u w:val="single"/>
              </w:rPr>
            </w:pPr>
            <w:r>
              <w:rPr>
                <w:rFonts w:hint="eastAsia"/>
                <w:color w:val="auto"/>
                <w:sz w:val="24"/>
                <w:szCs w:val="18"/>
                <w:highlight w:val="none"/>
                <w:u w:val="single"/>
              </w:rPr>
              <w:t>此工序产生的污染物主要为噪声、油墨有机废气、废</w:t>
            </w:r>
            <w:r>
              <w:rPr>
                <w:rFonts w:hint="eastAsia"/>
                <w:color w:val="auto"/>
                <w:sz w:val="24"/>
                <w:szCs w:val="18"/>
                <w:highlight w:val="none"/>
                <w:u w:val="single"/>
                <w:lang w:val="en-US" w:eastAsia="zh-CN"/>
              </w:rPr>
              <w:t>包装桶</w:t>
            </w:r>
            <w:r>
              <w:rPr>
                <w:rFonts w:hint="eastAsia"/>
                <w:color w:val="auto"/>
                <w:sz w:val="24"/>
                <w:szCs w:val="18"/>
                <w:highlight w:val="none"/>
                <w:u w:val="single"/>
              </w:rPr>
              <w:t>、酒精有机废气、清洁丝网版棉布手套、废丝网版。</w:t>
            </w:r>
          </w:p>
          <w:p w14:paraId="3D0A9B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eastAsia="zh-CN"/>
              </w:rPr>
              <w:t>（</w:t>
            </w:r>
            <w:r>
              <w:rPr>
                <w:rFonts w:hint="eastAsia" w:cs="Times New Roman"/>
                <w:b w:val="0"/>
                <w:bCs w:val="0"/>
                <w:color w:val="auto"/>
                <w:sz w:val="24"/>
                <w:szCs w:val="24"/>
                <w:lang w:val="en-US" w:eastAsia="zh-CN"/>
              </w:rPr>
              <w:t>3</w:t>
            </w:r>
            <w:r>
              <w:rPr>
                <w:rFonts w:hint="eastAsia" w:cs="Times New Roman"/>
                <w:b w:val="0"/>
                <w:bCs w:val="0"/>
                <w:color w:val="auto"/>
                <w:sz w:val="24"/>
                <w:szCs w:val="24"/>
                <w:lang w:eastAsia="zh-CN"/>
              </w:rPr>
              <w:t>）</w:t>
            </w:r>
            <w:r>
              <w:rPr>
                <w:rFonts w:hint="eastAsia" w:cs="Times New Roman"/>
                <w:b w:val="0"/>
                <w:bCs w:val="0"/>
                <w:color w:val="auto"/>
                <w:sz w:val="24"/>
                <w:szCs w:val="24"/>
                <w:lang w:val="en-US" w:eastAsia="zh-CN"/>
              </w:rPr>
              <w:t>木塑</w:t>
            </w:r>
          </w:p>
          <w:p w14:paraId="57A7734B">
            <w:pPr>
              <w:pStyle w:val="103"/>
              <w:keepNext w:val="0"/>
              <w:keepLines w:val="0"/>
              <w:pageBreakBefore w:val="0"/>
              <w:widowControl w:val="0"/>
              <w:kinsoku/>
              <w:wordWrap/>
              <w:overflowPunct/>
              <w:topLinePunct w:val="0"/>
              <w:bidi w:val="0"/>
              <w:adjustRightInd w:val="0"/>
              <w:snapToGrid/>
              <w:spacing w:line="360" w:lineRule="auto"/>
              <w:ind w:firstLine="482"/>
              <w:rPr>
                <w:rFonts w:hint="eastAsia" w:eastAsia="宋体"/>
                <w:color w:val="auto"/>
                <w:u w:val="single"/>
                <w:lang w:eastAsia="zh-CN"/>
              </w:rPr>
            </w:pPr>
            <w:r>
              <w:rPr>
                <w:rFonts w:hint="eastAsia"/>
                <w:color w:val="auto"/>
                <w:lang w:val="en-US" w:eastAsia="zh-CN"/>
              </w:rPr>
              <w:t>组装：将注塑件和木制底座组装在一起，不需要胶水，直接组装。</w:t>
            </w:r>
          </w:p>
          <w:p w14:paraId="7DCE01AC">
            <w:pPr>
              <w:pStyle w:val="3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rPr>
                <w:rFonts w:hint="default"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贴标：贴上自带胶标签。</w:t>
            </w:r>
          </w:p>
          <w:p w14:paraId="4D057CAE">
            <w:pPr>
              <w:pStyle w:val="103"/>
              <w:ind w:firstLine="482"/>
              <w:rPr>
                <w:rFonts w:hint="eastAsia"/>
                <w:color w:val="auto"/>
                <w:highlight w:val="none"/>
              </w:rPr>
            </w:pPr>
            <w:r>
              <w:rPr>
                <w:rFonts w:hint="eastAsia" w:ascii="Times New Roman" w:hAnsi="Times New Roman" w:eastAsia="宋体" w:cs="Times New Roman"/>
                <w:color w:val="auto"/>
                <w:kern w:val="0"/>
                <w:sz w:val="24"/>
                <w:szCs w:val="20"/>
                <w:highlight w:val="none"/>
                <w:lang w:val="en-US" w:eastAsia="zh-CN" w:bidi="ar-SA"/>
              </w:rPr>
              <w:t>检验：</w:t>
            </w:r>
            <w:r>
              <w:rPr>
                <w:rFonts w:hint="eastAsia"/>
                <w:color w:val="auto"/>
                <w:highlight w:val="none"/>
              </w:rPr>
              <w:t>随机对每批次产品进行抽样检查，合格品入库待发客户。</w:t>
            </w:r>
          </w:p>
          <w:p w14:paraId="1D041E09">
            <w:pPr>
              <w:adjustRightInd w:val="0"/>
              <w:snapToGrid w:val="0"/>
              <w:spacing w:line="360" w:lineRule="auto"/>
              <w:ind w:firstLine="480" w:firstLineChars="200"/>
              <w:rPr>
                <w:color w:val="auto"/>
                <w:sz w:val="24"/>
                <w:highlight w:val="none"/>
              </w:rPr>
            </w:pPr>
            <w:r>
              <w:rPr>
                <w:color w:val="auto"/>
                <w:sz w:val="24"/>
                <w:highlight w:val="none"/>
              </w:rPr>
              <w:t>根据项目工艺流程分析，本项目建成后，生产过程中的产污环节及各环节产生的污染物见下表：</w:t>
            </w:r>
          </w:p>
          <w:p w14:paraId="6BED2CCB">
            <w:pPr>
              <w:adjustRightInd w:val="0"/>
              <w:snapToGrid w:val="0"/>
              <w:jc w:val="center"/>
              <w:rPr>
                <w:b/>
                <w:snapToGrid w:val="0"/>
                <w:color w:val="auto"/>
                <w:szCs w:val="21"/>
                <w:highlight w:val="none"/>
              </w:rPr>
            </w:pPr>
            <w:r>
              <w:rPr>
                <w:b/>
                <w:snapToGrid w:val="0"/>
                <w:color w:val="auto"/>
                <w:szCs w:val="21"/>
                <w:highlight w:val="none"/>
              </w:rPr>
              <w:t>表2-</w:t>
            </w:r>
            <w:r>
              <w:rPr>
                <w:rFonts w:hint="eastAsia"/>
                <w:b/>
                <w:snapToGrid w:val="0"/>
                <w:color w:val="auto"/>
                <w:szCs w:val="21"/>
                <w:highlight w:val="none"/>
                <w:lang w:val="en-US" w:eastAsia="zh-CN"/>
              </w:rPr>
              <w:t>13</w:t>
            </w:r>
            <w:r>
              <w:rPr>
                <w:b/>
                <w:snapToGrid w:val="0"/>
                <w:color w:val="auto"/>
                <w:szCs w:val="21"/>
                <w:highlight w:val="none"/>
              </w:rPr>
              <w:t xml:space="preserve">  项目主要污染源及污染物类型</w:t>
            </w:r>
          </w:p>
          <w:tbl>
            <w:tblPr>
              <w:tblStyle w:val="25"/>
              <w:tblW w:w="845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2008"/>
              <w:gridCol w:w="2446"/>
              <w:gridCol w:w="3323"/>
            </w:tblGrid>
            <w:tr w14:paraId="791A8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14:paraId="381AC0FB">
                  <w:pPr>
                    <w:spacing w:line="320" w:lineRule="exact"/>
                    <w:jc w:val="center"/>
                    <w:rPr>
                      <w:b/>
                      <w:snapToGrid w:val="0"/>
                      <w:color w:val="auto"/>
                      <w:szCs w:val="21"/>
                    </w:rPr>
                  </w:pPr>
                  <w:r>
                    <w:rPr>
                      <w:b/>
                      <w:snapToGrid w:val="0"/>
                      <w:color w:val="auto"/>
                      <w:szCs w:val="21"/>
                    </w:rPr>
                    <w:t>类别</w:t>
                  </w:r>
                </w:p>
              </w:tc>
              <w:tc>
                <w:tcPr>
                  <w:tcW w:w="2008" w:type="dxa"/>
                  <w:vAlign w:val="center"/>
                </w:tcPr>
                <w:p w14:paraId="756A26E9">
                  <w:pPr>
                    <w:spacing w:line="320" w:lineRule="exact"/>
                    <w:jc w:val="center"/>
                    <w:rPr>
                      <w:b/>
                      <w:snapToGrid w:val="0"/>
                      <w:color w:val="auto"/>
                      <w:szCs w:val="21"/>
                    </w:rPr>
                  </w:pPr>
                  <w:r>
                    <w:rPr>
                      <w:b/>
                      <w:snapToGrid w:val="0"/>
                      <w:color w:val="auto"/>
                      <w:szCs w:val="21"/>
                    </w:rPr>
                    <w:t>污染物名称</w:t>
                  </w:r>
                </w:p>
              </w:tc>
              <w:tc>
                <w:tcPr>
                  <w:tcW w:w="2446" w:type="dxa"/>
                  <w:vAlign w:val="center"/>
                </w:tcPr>
                <w:p w14:paraId="0463AEA9">
                  <w:pPr>
                    <w:spacing w:line="320" w:lineRule="exact"/>
                    <w:jc w:val="center"/>
                    <w:rPr>
                      <w:b/>
                      <w:snapToGrid w:val="0"/>
                      <w:color w:val="auto"/>
                      <w:szCs w:val="21"/>
                    </w:rPr>
                  </w:pPr>
                  <w:r>
                    <w:rPr>
                      <w:b/>
                      <w:snapToGrid w:val="0"/>
                      <w:color w:val="auto"/>
                      <w:szCs w:val="21"/>
                    </w:rPr>
                    <w:t>污染源</w:t>
                  </w:r>
                </w:p>
              </w:tc>
              <w:tc>
                <w:tcPr>
                  <w:tcW w:w="3323" w:type="dxa"/>
                  <w:vAlign w:val="center"/>
                </w:tcPr>
                <w:p w14:paraId="7F30402A">
                  <w:pPr>
                    <w:spacing w:line="320" w:lineRule="exact"/>
                    <w:jc w:val="center"/>
                    <w:rPr>
                      <w:b/>
                      <w:snapToGrid w:val="0"/>
                      <w:color w:val="auto"/>
                      <w:szCs w:val="21"/>
                    </w:rPr>
                  </w:pPr>
                  <w:r>
                    <w:rPr>
                      <w:b/>
                      <w:snapToGrid w:val="0"/>
                      <w:color w:val="auto"/>
                      <w:szCs w:val="21"/>
                    </w:rPr>
                    <w:t>主要污染因子/污染物类型</w:t>
                  </w:r>
                </w:p>
              </w:tc>
            </w:tr>
            <w:tr w14:paraId="54F82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4" w:type="dxa"/>
                  <w:vMerge w:val="restart"/>
                  <w:vAlign w:val="center"/>
                </w:tcPr>
                <w:p w14:paraId="09202E4E">
                  <w:pPr>
                    <w:spacing w:line="320" w:lineRule="exact"/>
                    <w:jc w:val="center"/>
                    <w:rPr>
                      <w:bCs/>
                      <w:snapToGrid w:val="0"/>
                      <w:color w:val="auto"/>
                      <w:szCs w:val="21"/>
                    </w:rPr>
                  </w:pPr>
                  <w:r>
                    <w:rPr>
                      <w:bCs/>
                      <w:snapToGrid w:val="0"/>
                      <w:color w:val="auto"/>
                      <w:szCs w:val="21"/>
                    </w:rPr>
                    <w:t>废气</w:t>
                  </w:r>
                </w:p>
              </w:tc>
              <w:tc>
                <w:tcPr>
                  <w:tcW w:w="2008" w:type="dxa"/>
                  <w:vMerge w:val="restart"/>
                  <w:vAlign w:val="center"/>
                </w:tcPr>
                <w:p w14:paraId="329D2CB2">
                  <w:pPr>
                    <w:spacing w:line="320" w:lineRule="exact"/>
                    <w:jc w:val="center"/>
                    <w:rPr>
                      <w:bCs/>
                      <w:snapToGrid w:val="0"/>
                      <w:color w:val="auto"/>
                      <w:szCs w:val="21"/>
                    </w:rPr>
                  </w:pPr>
                  <w:r>
                    <w:rPr>
                      <w:rFonts w:hint="eastAsia"/>
                      <w:bCs/>
                      <w:snapToGrid w:val="0"/>
                      <w:color w:val="auto"/>
                      <w:szCs w:val="21"/>
                    </w:rPr>
                    <w:t>有机废气</w:t>
                  </w:r>
                </w:p>
              </w:tc>
              <w:tc>
                <w:tcPr>
                  <w:tcW w:w="2446" w:type="dxa"/>
                  <w:vAlign w:val="center"/>
                </w:tcPr>
                <w:p w14:paraId="52C871A5">
                  <w:pPr>
                    <w:spacing w:line="320" w:lineRule="exact"/>
                    <w:jc w:val="center"/>
                    <w:rPr>
                      <w:rFonts w:hint="default" w:eastAsia="宋体"/>
                      <w:color w:val="auto"/>
                      <w:szCs w:val="21"/>
                      <w:lang w:val="en-US" w:eastAsia="zh-CN"/>
                    </w:rPr>
                  </w:pPr>
                  <w:r>
                    <w:rPr>
                      <w:rFonts w:hint="eastAsia"/>
                      <w:color w:val="auto"/>
                      <w:szCs w:val="21"/>
                      <w:lang w:val="en-US" w:eastAsia="zh-CN"/>
                    </w:rPr>
                    <w:t>注塑</w:t>
                  </w:r>
                </w:p>
              </w:tc>
              <w:tc>
                <w:tcPr>
                  <w:tcW w:w="3323" w:type="dxa"/>
                  <w:vMerge w:val="restart"/>
                  <w:vAlign w:val="center"/>
                </w:tcPr>
                <w:p w14:paraId="6EBC9DA2">
                  <w:pPr>
                    <w:spacing w:line="320" w:lineRule="exact"/>
                    <w:jc w:val="center"/>
                    <w:rPr>
                      <w:bCs/>
                      <w:snapToGrid w:val="0"/>
                      <w:color w:val="auto"/>
                      <w:szCs w:val="21"/>
                    </w:rPr>
                  </w:pPr>
                  <w:r>
                    <w:rPr>
                      <w:rFonts w:hint="eastAsia"/>
                      <w:bCs/>
                      <w:snapToGrid w:val="0"/>
                      <w:color w:val="auto"/>
                      <w:szCs w:val="21"/>
                    </w:rPr>
                    <w:t>VOCs</w:t>
                  </w:r>
                </w:p>
              </w:tc>
            </w:tr>
            <w:tr w14:paraId="7561B5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74" w:type="dxa"/>
                  <w:vMerge w:val="continue"/>
                  <w:vAlign w:val="center"/>
                </w:tcPr>
                <w:p w14:paraId="504D127F">
                  <w:pPr>
                    <w:spacing w:line="320" w:lineRule="exact"/>
                    <w:jc w:val="center"/>
                    <w:rPr>
                      <w:bCs/>
                      <w:snapToGrid w:val="0"/>
                      <w:color w:val="auto"/>
                      <w:szCs w:val="21"/>
                    </w:rPr>
                  </w:pPr>
                </w:p>
              </w:tc>
              <w:tc>
                <w:tcPr>
                  <w:tcW w:w="2008" w:type="dxa"/>
                  <w:vMerge w:val="continue"/>
                  <w:vAlign w:val="center"/>
                </w:tcPr>
                <w:p w14:paraId="37CB76FE">
                  <w:pPr>
                    <w:spacing w:line="320" w:lineRule="exact"/>
                    <w:jc w:val="center"/>
                    <w:rPr>
                      <w:bCs/>
                      <w:snapToGrid w:val="0"/>
                      <w:color w:val="auto"/>
                      <w:szCs w:val="21"/>
                    </w:rPr>
                  </w:pPr>
                </w:p>
              </w:tc>
              <w:tc>
                <w:tcPr>
                  <w:tcW w:w="2446" w:type="dxa"/>
                  <w:vAlign w:val="center"/>
                </w:tcPr>
                <w:p w14:paraId="13A0B47C">
                  <w:pPr>
                    <w:spacing w:line="320" w:lineRule="exact"/>
                    <w:jc w:val="center"/>
                    <w:rPr>
                      <w:rFonts w:hint="default" w:eastAsia="宋体"/>
                      <w:color w:val="auto"/>
                      <w:szCs w:val="21"/>
                      <w:lang w:val="en-US" w:eastAsia="zh-CN"/>
                    </w:rPr>
                  </w:pPr>
                  <w:r>
                    <w:rPr>
                      <w:rFonts w:hint="eastAsia"/>
                      <w:color w:val="auto"/>
                      <w:szCs w:val="21"/>
                      <w:lang w:val="en-US" w:eastAsia="zh-CN"/>
                    </w:rPr>
                    <w:t>烫金</w:t>
                  </w:r>
                </w:p>
              </w:tc>
              <w:tc>
                <w:tcPr>
                  <w:tcW w:w="3323" w:type="dxa"/>
                  <w:vMerge w:val="continue"/>
                  <w:vAlign w:val="center"/>
                </w:tcPr>
                <w:p w14:paraId="1738B418">
                  <w:pPr>
                    <w:spacing w:line="320" w:lineRule="exact"/>
                    <w:jc w:val="center"/>
                    <w:rPr>
                      <w:bCs/>
                      <w:snapToGrid w:val="0"/>
                      <w:color w:val="auto"/>
                      <w:szCs w:val="21"/>
                    </w:rPr>
                  </w:pPr>
                </w:p>
              </w:tc>
            </w:tr>
            <w:tr w14:paraId="7BEF3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74" w:type="dxa"/>
                  <w:vMerge w:val="continue"/>
                  <w:vAlign w:val="center"/>
                </w:tcPr>
                <w:p w14:paraId="4074B70B">
                  <w:pPr>
                    <w:spacing w:line="320" w:lineRule="exact"/>
                    <w:jc w:val="center"/>
                    <w:rPr>
                      <w:bCs/>
                      <w:snapToGrid w:val="0"/>
                      <w:color w:val="auto"/>
                      <w:szCs w:val="21"/>
                    </w:rPr>
                  </w:pPr>
                </w:p>
              </w:tc>
              <w:tc>
                <w:tcPr>
                  <w:tcW w:w="2008" w:type="dxa"/>
                  <w:vMerge w:val="continue"/>
                  <w:vAlign w:val="center"/>
                </w:tcPr>
                <w:p w14:paraId="589EEED8">
                  <w:pPr>
                    <w:spacing w:line="320" w:lineRule="exact"/>
                    <w:jc w:val="center"/>
                    <w:rPr>
                      <w:bCs/>
                      <w:snapToGrid w:val="0"/>
                      <w:color w:val="auto"/>
                      <w:szCs w:val="21"/>
                    </w:rPr>
                  </w:pPr>
                </w:p>
              </w:tc>
              <w:tc>
                <w:tcPr>
                  <w:tcW w:w="2446" w:type="dxa"/>
                  <w:vAlign w:val="center"/>
                </w:tcPr>
                <w:p w14:paraId="643DCA1B">
                  <w:pPr>
                    <w:spacing w:line="320" w:lineRule="exact"/>
                    <w:jc w:val="center"/>
                    <w:rPr>
                      <w:color w:val="auto"/>
                      <w:szCs w:val="21"/>
                    </w:rPr>
                  </w:pPr>
                  <w:r>
                    <w:rPr>
                      <w:rFonts w:hint="eastAsia"/>
                      <w:color w:val="auto"/>
                      <w:szCs w:val="21"/>
                    </w:rPr>
                    <w:t>覆膜工序覆膜胶</w:t>
                  </w:r>
                </w:p>
              </w:tc>
              <w:tc>
                <w:tcPr>
                  <w:tcW w:w="3323" w:type="dxa"/>
                  <w:vMerge w:val="continue"/>
                  <w:vAlign w:val="center"/>
                </w:tcPr>
                <w:p w14:paraId="317F4E64">
                  <w:pPr>
                    <w:spacing w:line="320" w:lineRule="exact"/>
                    <w:jc w:val="center"/>
                    <w:rPr>
                      <w:bCs/>
                      <w:snapToGrid w:val="0"/>
                      <w:color w:val="auto"/>
                      <w:szCs w:val="21"/>
                    </w:rPr>
                  </w:pPr>
                </w:p>
              </w:tc>
            </w:tr>
            <w:tr w14:paraId="354DC5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74" w:type="dxa"/>
                  <w:vMerge w:val="continue"/>
                  <w:vAlign w:val="center"/>
                </w:tcPr>
                <w:p w14:paraId="2244965F">
                  <w:pPr>
                    <w:spacing w:line="320" w:lineRule="exact"/>
                    <w:jc w:val="center"/>
                    <w:rPr>
                      <w:bCs/>
                      <w:snapToGrid w:val="0"/>
                      <w:color w:val="auto"/>
                      <w:szCs w:val="21"/>
                    </w:rPr>
                  </w:pPr>
                </w:p>
              </w:tc>
              <w:tc>
                <w:tcPr>
                  <w:tcW w:w="2008" w:type="dxa"/>
                  <w:vMerge w:val="continue"/>
                  <w:vAlign w:val="center"/>
                </w:tcPr>
                <w:p w14:paraId="3C49842B">
                  <w:pPr>
                    <w:spacing w:line="320" w:lineRule="exact"/>
                    <w:jc w:val="center"/>
                    <w:rPr>
                      <w:bCs/>
                      <w:snapToGrid w:val="0"/>
                      <w:color w:val="auto"/>
                      <w:szCs w:val="21"/>
                    </w:rPr>
                  </w:pPr>
                </w:p>
              </w:tc>
              <w:tc>
                <w:tcPr>
                  <w:tcW w:w="2446" w:type="dxa"/>
                  <w:vAlign w:val="center"/>
                </w:tcPr>
                <w:p w14:paraId="6B602E4D">
                  <w:pPr>
                    <w:spacing w:line="320" w:lineRule="exact"/>
                    <w:jc w:val="center"/>
                    <w:rPr>
                      <w:rFonts w:hint="default" w:eastAsia="宋体"/>
                      <w:color w:val="auto"/>
                      <w:szCs w:val="21"/>
                      <w:lang w:val="en-US" w:eastAsia="zh-CN"/>
                    </w:rPr>
                  </w:pPr>
                  <w:r>
                    <w:rPr>
                      <w:rFonts w:hint="eastAsia"/>
                      <w:color w:val="auto"/>
                      <w:szCs w:val="21"/>
                      <w:lang w:val="en-US" w:eastAsia="zh-CN"/>
                    </w:rPr>
                    <w:t>裱糊程序、粘合</w:t>
                  </w:r>
                </w:p>
              </w:tc>
              <w:tc>
                <w:tcPr>
                  <w:tcW w:w="3323" w:type="dxa"/>
                  <w:vMerge w:val="continue"/>
                  <w:vAlign w:val="center"/>
                </w:tcPr>
                <w:p w14:paraId="63DD2127">
                  <w:pPr>
                    <w:spacing w:line="320" w:lineRule="exact"/>
                    <w:jc w:val="center"/>
                    <w:rPr>
                      <w:bCs/>
                      <w:snapToGrid w:val="0"/>
                      <w:color w:val="auto"/>
                      <w:szCs w:val="21"/>
                    </w:rPr>
                  </w:pPr>
                </w:p>
              </w:tc>
            </w:tr>
            <w:tr w14:paraId="20CB5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74" w:type="dxa"/>
                  <w:vMerge w:val="continue"/>
                  <w:vAlign w:val="center"/>
                </w:tcPr>
                <w:p w14:paraId="03A3CA59">
                  <w:pPr>
                    <w:spacing w:line="320" w:lineRule="exact"/>
                    <w:jc w:val="center"/>
                    <w:rPr>
                      <w:bCs/>
                      <w:snapToGrid w:val="0"/>
                      <w:color w:val="auto"/>
                      <w:szCs w:val="21"/>
                    </w:rPr>
                  </w:pPr>
                </w:p>
              </w:tc>
              <w:tc>
                <w:tcPr>
                  <w:tcW w:w="2008" w:type="dxa"/>
                  <w:vMerge w:val="continue"/>
                  <w:vAlign w:val="center"/>
                </w:tcPr>
                <w:p w14:paraId="3D965A6D">
                  <w:pPr>
                    <w:spacing w:line="320" w:lineRule="exact"/>
                    <w:jc w:val="center"/>
                    <w:rPr>
                      <w:bCs/>
                      <w:snapToGrid w:val="0"/>
                      <w:color w:val="auto"/>
                      <w:szCs w:val="21"/>
                    </w:rPr>
                  </w:pPr>
                </w:p>
              </w:tc>
              <w:tc>
                <w:tcPr>
                  <w:tcW w:w="2446" w:type="dxa"/>
                  <w:vAlign w:val="center"/>
                </w:tcPr>
                <w:p w14:paraId="4C17D3E0">
                  <w:pPr>
                    <w:spacing w:line="320" w:lineRule="exact"/>
                    <w:jc w:val="center"/>
                    <w:rPr>
                      <w:rFonts w:hint="eastAsia" w:eastAsia="宋体"/>
                      <w:color w:val="auto"/>
                      <w:szCs w:val="21"/>
                      <w:lang w:val="en-US" w:eastAsia="zh-CN"/>
                    </w:rPr>
                  </w:pPr>
                  <w:r>
                    <w:rPr>
                      <w:rFonts w:hint="eastAsia"/>
                      <w:color w:val="auto"/>
                      <w:szCs w:val="21"/>
                      <w:lang w:val="en-US" w:eastAsia="zh-CN"/>
                    </w:rPr>
                    <w:t>丝印</w:t>
                  </w:r>
                </w:p>
              </w:tc>
              <w:tc>
                <w:tcPr>
                  <w:tcW w:w="3323" w:type="dxa"/>
                  <w:vMerge w:val="continue"/>
                  <w:vAlign w:val="center"/>
                </w:tcPr>
                <w:p w14:paraId="49280EC4">
                  <w:pPr>
                    <w:spacing w:line="320" w:lineRule="exact"/>
                    <w:jc w:val="center"/>
                    <w:rPr>
                      <w:bCs/>
                      <w:snapToGrid w:val="0"/>
                      <w:color w:val="auto"/>
                      <w:szCs w:val="21"/>
                    </w:rPr>
                  </w:pPr>
                </w:p>
              </w:tc>
            </w:tr>
            <w:tr w14:paraId="0C61F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74" w:type="dxa"/>
                  <w:vMerge w:val="continue"/>
                  <w:vAlign w:val="center"/>
                </w:tcPr>
                <w:p w14:paraId="351F6E17">
                  <w:pPr>
                    <w:spacing w:line="320" w:lineRule="exact"/>
                    <w:jc w:val="center"/>
                    <w:rPr>
                      <w:bCs/>
                      <w:snapToGrid w:val="0"/>
                      <w:color w:val="auto"/>
                      <w:szCs w:val="21"/>
                    </w:rPr>
                  </w:pPr>
                </w:p>
              </w:tc>
              <w:tc>
                <w:tcPr>
                  <w:tcW w:w="2008" w:type="dxa"/>
                  <w:vMerge w:val="continue"/>
                  <w:vAlign w:val="center"/>
                </w:tcPr>
                <w:p w14:paraId="11CF255A">
                  <w:pPr>
                    <w:spacing w:line="320" w:lineRule="exact"/>
                    <w:jc w:val="center"/>
                    <w:rPr>
                      <w:bCs/>
                      <w:snapToGrid w:val="0"/>
                      <w:color w:val="auto"/>
                      <w:szCs w:val="21"/>
                    </w:rPr>
                  </w:pPr>
                </w:p>
              </w:tc>
              <w:tc>
                <w:tcPr>
                  <w:tcW w:w="2446" w:type="dxa"/>
                  <w:vAlign w:val="center"/>
                </w:tcPr>
                <w:p w14:paraId="52D89BA0">
                  <w:pPr>
                    <w:spacing w:line="320" w:lineRule="exact"/>
                    <w:jc w:val="center"/>
                    <w:rPr>
                      <w:color w:val="auto"/>
                      <w:szCs w:val="21"/>
                    </w:rPr>
                  </w:pPr>
                  <w:r>
                    <w:rPr>
                      <w:rFonts w:hint="eastAsia"/>
                      <w:color w:val="auto"/>
                      <w:szCs w:val="21"/>
                    </w:rPr>
                    <w:t>丝网印版清洁</w:t>
                  </w:r>
                </w:p>
              </w:tc>
              <w:tc>
                <w:tcPr>
                  <w:tcW w:w="3323" w:type="dxa"/>
                  <w:vMerge w:val="continue"/>
                  <w:vAlign w:val="center"/>
                </w:tcPr>
                <w:p w14:paraId="5AD7303A">
                  <w:pPr>
                    <w:spacing w:line="320" w:lineRule="exact"/>
                    <w:jc w:val="center"/>
                    <w:rPr>
                      <w:bCs/>
                      <w:snapToGrid w:val="0"/>
                      <w:color w:val="auto"/>
                      <w:szCs w:val="21"/>
                    </w:rPr>
                  </w:pPr>
                </w:p>
              </w:tc>
            </w:tr>
            <w:tr w14:paraId="6EE9F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74" w:type="dxa"/>
                  <w:vMerge w:val="continue"/>
                  <w:vAlign w:val="center"/>
                </w:tcPr>
                <w:p w14:paraId="25879275">
                  <w:pPr>
                    <w:spacing w:line="320" w:lineRule="exact"/>
                    <w:jc w:val="center"/>
                    <w:rPr>
                      <w:bCs/>
                      <w:snapToGrid w:val="0"/>
                      <w:color w:val="auto"/>
                      <w:szCs w:val="21"/>
                    </w:rPr>
                  </w:pPr>
                </w:p>
              </w:tc>
              <w:tc>
                <w:tcPr>
                  <w:tcW w:w="2008" w:type="dxa"/>
                  <w:vMerge w:val="continue"/>
                  <w:vAlign w:val="center"/>
                </w:tcPr>
                <w:p w14:paraId="5D0A5650">
                  <w:pPr>
                    <w:spacing w:line="320" w:lineRule="exact"/>
                    <w:jc w:val="center"/>
                    <w:rPr>
                      <w:bCs/>
                      <w:snapToGrid w:val="0"/>
                      <w:color w:val="auto"/>
                      <w:szCs w:val="21"/>
                    </w:rPr>
                  </w:pPr>
                </w:p>
              </w:tc>
              <w:tc>
                <w:tcPr>
                  <w:tcW w:w="2446" w:type="dxa"/>
                  <w:vAlign w:val="center"/>
                </w:tcPr>
                <w:p w14:paraId="709E23A9">
                  <w:pPr>
                    <w:spacing w:line="320" w:lineRule="exact"/>
                    <w:jc w:val="center"/>
                    <w:rPr>
                      <w:rFonts w:hint="default" w:eastAsia="宋体"/>
                      <w:color w:val="auto"/>
                      <w:szCs w:val="21"/>
                      <w:lang w:val="en-US" w:eastAsia="zh-CN"/>
                    </w:rPr>
                  </w:pPr>
                  <w:r>
                    <w:rPr>
                      <w:rFonts w:hint="eastAsia"/>
                      <w:color w:val="auto"/>
                      <w:szCs w:val="21"/>
                      <w:lang w:val="en-US" w:eastAsia="zh-CN"/>
                    </w:rPr>
                    <w:t>UV印刷</w:t>
                  </w:r>
                </w:p>
              </w:tc>
              <w:tc>
                <w:tcPr>
                  <w:tcW w:w="3323" w:type="dxa"/>
                  <w:vMerge w:val="continue"/>
                  <w:vAlign w:val="center"/>
                </w:tcPr>
                <w:p w14:paraId="7DCAFA1C">
                  <w:pPr>
                    <w:spacing w:line="320" w:lineRule="exact"/>
                    <w:jc w:val="center"/>
                    <w:rPr>
                      <w:bCs/>
                      <w:snapToGrid w:val="0"/>
                      <w:color w:val="auto"/>
                      <w:szCs w:val="21"/>
                    </w:rPr>
                  </w:pPr>
                </w:p>
              </w:tc>
            </w:tr>
            <w:tr w14:paraId="67446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74" w:type="dxa"/>
                  <w:vMerge w:val="continue"/>
                  <w:vAlign w:val="center"/>
                </w:tcPr>
                <w:p w14:paraId="21B9B401">
                  <w:pPr>
                    <w:spacing w:line="320" w:lineRule="exact"/>
                    <w:jc w:val="center"/>
                    <w:rPr>
                      <w:bCs/>
                      <w:snapToGrid w:val="0"/>
                      <w:color w:val="auto"/>
                      <w:szCs w:val="21"/>
                    </w:rPr>
                  </w:pPr>
                </w:p>
              </w:tc>
              <w:tc>
                <w:tcPr>
                  <w:tcW w:w="2008" w:type="dxa"/>
                  <w:vMerge w:val="continue"/>
                  <w:vAlign w:val="center"/>
                </w:tcPr>
                <w:p w14:paraId="6C3B55D0">
                  <w:pPr>
                    <w:spacing w:line="320" w:lineRule="exact"/>
                    <w:jc w:val="center"/>
                    <w:rPr>
                      <w:bCs/>
                      <w:snapToGrid w:val="0"/>
                      <w:color w:val="auto"/>
                      <w:szCs w:val="21"/>
                    </w:rPr>
                  </w:pPr>
                </w:p>
              </w:tc>
              <w:tc>
                <w:tcPr>
                  <w:tcW w:w="2446" w:type="dxa"/>
                  <w:vAlign w:val="center"/>
                </w:tcPr>
                <w:p w14:paraId="3B580965">
                  <w:pPr>
                    <w:spacing w:line="320" w:lineRule="exact"/>
                    <w:jc w:val="center"/>
                    <w:rPr>
                      <w:rFonts w:hint="default" w:eastAsia="宋体"/>
                      <w:color w:val="auto"/>
                      <w:szCs w:val="21"/>
                      <w:lang w:val="en-US" w:eastAsia="zh-CN"/>
                    </w:rPr>
                  </w:pPr>
                  <w:r>
                    <w:rPr>
                      <w:rFonts w:hint="eastAsia"/>
                      <w:color w:val="auto"/>
                      <w:szCs w:val="21"/>
                      <w:lang w:val="en-US" w:eastAsia="zh-CN"/>
                    </w:rPr>
                    <w:t>上光油</w:t>
                  </w:r>
                </w:p>
              </w:tc>
              <w:tc>
                <w:tcPr>
                  <w:tcW w:w="3323" w:type="dxa"/>
                  <w:vMerge w:val="continue"/>
                  <w:vAlign w:val="center"/>
                </w:tcPr>
                <w:p w14:paraId="3B6D32D8">
                  <w:pPr>
                    <w:spacing w:line="320" w:lineRule="exact"/>
                    <w:jc w:val="center"/>
                    <w:rPr>
                      <w:bCs/>
                      <w:snapToGrid w:val="0"/>
                      <w:color w:val="auto"/>
                      <w:szCs w:val="21"/>
                    </w:rPr>
                  </w:pPr>
                </w:p>
              </w:tc>
            </w:tr>
            <w:tr w14:paraId="6E81D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5" w:hRule="atLeast"/>
              </w:trPr>
              <w:tc>
                <w:tcPr>
                  <w:tcW w:w="674" w:type="dxa"/>
                  <w:vMerge w:val="continue"/>
                  <w:vAlign w:val="center"/>
                </w:tcPr>
                <w:p w14:paraId="468D5616">
                  <w:pPr>
                    <w:spacing w:line="320" w:lineRule="exact"/>
                    <w:jc w:val="center"/>
                    <w:rPr>
                      <w:bCs/>
                      <w:snapToGrid w:val="0"/>
                      <w:color w:val="auto"/>
                      <w:szCs w:val="21"/>
                    </w:rPr>
                  </w:pPr>
                </w:p>
              </w:tc>
              <w:tc>
                <w:tcPr>
                  <w:tcW w:w="2008" w:type="dxa"/>
                  <w:vAlign w:val="center"/>
                </w:tcPr>
                <w:p w14:paraId="372C5B84">
                  <w:pPr>
                    <w:spacing w:line="320" w:lineRule="exact"/>
                    <w:jc w:val="center"/>
                    <w:rPr>
                      <w:bCs/>
                      <w:snapToGrid w:val="0"/>
                      <w:color w:val="auto"/>
                      <w:szCs w:val="21"/>
                    </w:rPr>
                  </w:pPr>
                  <w:r>
                    <w:rPr>
                      <w:rFonts w:hint="eastAsia"/>
                      <w:bCs/>
                      <w:snapToGrid w:val="0"/>
                      <w:color w:val="auto"/>
                      <w:szCs w:val="21"/>
                    </w:rPr>
                    <w:t>食堂油烟</w:t>
                  </w:r>
                </w:p>
              </w:tc>
              <w:tc>
                <w:tcPr>
                  <w:tcW w:w="2446" w:type="dxa"/>
                  <w:vAlign w:val="center"/>
                </w:tcPr>
                <w:p w14:paraId="3BBFA268">
                  <w:pPr>
                    <w:spacing w:line="320" w:lineRule="exact"/>
                    <w:jc w:val="center"/>
                    <w:rPr>
                      <w:color w:val="auto"/>
                      <w:szCs w:val="21"/>
                    </w:rPr>
                  </w:pPr>
                  <w:r>
                    <w:rPr>
                      <w:rFonts w:hint="eastAsia"/>
                      <w:color w:val="auto"/>
                      <w:szCs w:val="21"/>
                    </w:rPr>
                    <w:t>食堂</w:t>
                  </w:r>
                </w:p>
              </w:tc>
              <w:tc>
                <w:tcPr>
                  <w:tcW w:w="3323" w:type="dxa"/>
                  <w:vAlign w:val="center"/>
                </w:tcPr>
                <w:p w14:paraId="41C64640">
                  <w:pPr>
                    <w:spacing w:line="320" w:lineRule="exact"/>
                    <w:jc w:val="center"/>
                    <w:rPr>
                      <w:bCs/>
                      <w:snapToGrid w:val="0"/>
                      <w:color w:val="auto"/>
                      <w:szCs w:val="21"/>
                    </w:rPr>
                  </w:pPr>
                  <w:r>
                    <w:rPr>
                      <w:rFonts w:hint="eastAsia"/>
                      <w:bCs/>
                      <w:snapToGrid w:val="0"/>
                      <w:color w:val="auto"/>
                      <w:szCs w:val="21"/>
                    </w:rPr>
                    <w:t>油烟</w:t>
                  </w:r>
                </w:p>
              </w:tc>
            </w:tr>
            <w:tr w14:paraId="04F6A1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restart"/>
                  <w:vAlign w:val="center"/>
                </w:tcPr>
                <w:p w14:paraId="051F20A3">
                  <w:pPr>
                    <w:spacing w:line="320" w:lineRule="exact"/>
                    <w:jc w:val="center"/>
                    <w:rPr>
                      <w:bCs/>
                      <w:snapToGrid w:val="0"/>
                      <w:color w:val="auto"/>
                      <w:szCs w:val="21"/>
                    </w:rPr>
                  </w:pPr>
                  <w:r>
                    <w:rPr>
                      <w:bCs/>
                      <w:snapToGrid w:val="0"/>
                      <w:color w:val="auto"/>
                      <w:szCs w:val="21"/>
                    </w:rPr>
                    <w:t>废水</w:t>
                  </w:r>
                </w:p>
              </w:tc>
              <w:tc>
                <w:tcPr>
                  <w:tcW w:w="2008" w:type="dxa"/>
                  <w:vAlign w:val="center"/>
                </w:tcPr>
                <w:p w14:paraId="1633CA96">
                  <w:pPr>
                    <w:spacing w:line="320" w:lineRule="exact"/>
                    <w:jc w:val="center"/>
                    <w:rPr>
                      <w:bCs/>
                      <w:snapToGrid w:val="0"/>
                      <w:color w:val="auto"/>
                      <w:szCs w:val="21"/>
                    </w:rPr>
                  </w:pPr>
                  <w:r>
                    <w:rPr>
                      <w:bCs/>
                      <w:snapToGrid w:val="0"/>
                      <w:color w:val="auto"/>
                      <w:szCs w:val="21"/>
                    </w:rPr>
                    <w:t>生活</w:t>
                  </w:r>
                  <w:r>
                    <w:rPr>
                      <w:rFonts w:hint="eastAsia"/>
                      <w:bCs/>
                      <w:snapToGrid w:val="0"/>
                      <w:color w:val="auto"/>
                      <w:szCs w:val="21"/>
                    </w:rPr>
                    <w:t>污</w:t>
                  </w:r>
                  <w:r>
                    <w:rPr>
                      <w:bCs/>
                      <w:snapToGrid w:val="0"/>
                      <w:color w:val="auto"/>
                      <w:szCs w:val="21"/>
                    </w:rPr>
                    <w:t>水</w:t>
                  </w:r>
                </w:p>
              </w:tc>
              <w:tc>
                <w:tcPr>
                  <w:tcW w:w="2446" w:type="dxa"/>
                  <w:vAlign w:val="center"/>
                </w:tcPr>
                <w:p w14:paraId="5BEF86E6">
                  <w:pPr>
                    <w:spacing w:line="320" w:lineRule="exact"/>
                    <w:jc w:val="center"/>
                    <w:rPr>
                      <w:bCs/>
                      <w:snapToGrid w:val="0"/>
                      <w:color w:val="auto"/>
                      <w:szCs w:val="21"/>
                    </w:rPr>
                  </w:pPr>
                  <w:r>
                    <w:rPr>
                      <w:bCs/>
                      <w:snapToGrid w:val="0"/>
                      <w:color w:val="auto"/>
                      <w:szCs w:val="21"/>
                    </w:rPr>
                    <w:t>办公</w:t>
                  </w:r>
                  <w:r>
                    <w:rPr>
                      <w:rFonts w:hint="eastAsia"/>
                      <w:bCs/>
                      <w:snapToGrid w:val="0"/>
                      <w:color w:val="auto"/>
                      <w:szCs w:val="21"/>
                    </w:rPr>
                    <w:t>生活</w:t>
                  </w:r>
                </w:p>
              </w:tc>
              <w:tc>
                <w:tcPr>
                  <w:tcW w:w="3323" w:type="dxa"/>
                  <w:vAlign w:val="center"/>
                </w:tcPr>
                <w:p w14:paraId="0F171E6B">
                  <w:pPr>
                    <w:spacing w:line="320" w:lineRule="exact"/>
                    <w:jc w:val="center"/>
                    <w:rPr>
                      <w:rFonts w:hint="eastAsia" w:eastAsia="宋体"/>
                      <w:bCs/>
                      <w:snapToGrid w:val="0"/>
                      <w:color w:val="auto"/>
                      <w:szCs w:val="21"/>
                      <w:lang w:eastAsia="zh-CN"/>
                    </w:rPr>
                  </w:pPr>
                  <w:r>
                    <w:rPr>
                      <w:rFonts w:hint="eastAsia"/>
                      <w:bCs/>
                      <w:snapToGrid w:val="0"/>
                      <w:color w:val="auto"/>
                      <w:szCs w:val="21"/>
                    </w:rPr>
                    <w:t>COD、NH</w:t>
                  </w:r>
                  <w:r>
                    <w:rPr>
                      <w:rFonts w:hint="eastAsia"/>
                      <w:bCs/>
                      <w:snapToGrid w:val="0"/>
                      <w:color w:val="auto"/>
                      <w:szCs w:val="21"/>
                      <w:vertAlign w:val="subscript"/>
                    </w:rPr>
                    <w:t>3</w:t>
                  </w:r>
                  <w:r>
                    <w:rPr>
                      <w:rFonts w:hint="eastAsia"/>
                      <w:bCs/>
                      <w:snapToGrid w:val="0"/>
                      <w:color w:val="auto"/>
                      <w:szCs w:val="21"/>
                    </w:rPr>
                    <w:t>-N、BOD</w:t>
                  </w:r>
                  <w:r>
                    <w:rPr>
                      <w:rFonts w:hint="eastAsia"/>
                      <w:bCs/>
                      <w:snapToGrid w:val="0"/>
                      <w:color w:val="auto"/>
                      <w:szCs w:val="21"/>
                      <w:vertAlign w:val="subscript"/>
                    </w:rPr>
                    <w:t>5</w:t>
                  </w:r>
                </w:p>
              </w:tc>
            </w:tr>
            <w:tr w14:paraId="0B9BC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14:paraId="04AAE2EA">
                  <w:pPr>
                    <w:spacing w:line="320" w:lineRule="exact"/>
                    <w:jc w:val="center"/>
                    <w:rPr>
                      <w:bCs/>
                      <w:snapToGrid w:val="0"/>
                      <w:color w:val="auto"/>
                      <w:szCs w:val="21"/>
                    </w:rPr>
                  </w:pPr>
                </w:p>
              </w:tc>
              <w:tc>
                <w:tcPr>
                  <w:tcW w:w="2008" w:type="dxa"/>
                  <w:vAlign w:val="center"/>
                </w:tcPr>
                <w:p w14:paraId="2ACFD485">
                  <w:pPr>
                    <w:spacing w:line="320" w:lineRule="exact"/>
                    <w:jc w:val="center"/>
                    <w:rPr>
                      <w:bCs/>
                      <w:snapToGrid w:val="0"/>
                      <w:color w:val="auto"/>
                      <w:szCs w:val="21"/>
                    </w:rPr>
                  </w:pPr>
                  <w:r>
                    <w:rPr>
                      <w:rFonts w:hint="eastAsia"/>
                      <w:bCs/>
                      <w:snapToGrid w:val="0"/>
                      <w:color w:val="auto"/>
                      <w:szCs w:val="21"/>
                    </w:rPr>
                    <w:t>食堂废水</w:t>
                  </w:r>
                </w:p>
              </w:tc>
              <w:tc>
                <w:tcPr>
                  <w:tcW w:w="2446" w:type="dxa"/>
                  <w:vAlign w:val="center"/>
                </w:tcPr>
                <w:p w14:paraId="0218BDEC">
                  <w:pPr>
                    <w:spacing w:line="320" w:lineRule="exact"/>
                    <w:jc w:val="center"/>
                    <w:rPr>
                      <w:bCs/>
                      <w:snapToGrid w:val="0"/>
                      <w:color w:val="auto"/>
                      <w:szCs w:val="21"/>
                    </w:rPr>
                  </w:pPr>
                  <w:r>
                    <w:rPr>
                      <w:rFonts w:hint="eastAsia"/>
                      <w:bCs/>
                      <w:snapToGrid w:val="0"/>
                      <w:color w:val="auto"/>
                      <w:szCs w:val="21"/>
                    </w:rPr>
                    <w:t>食堂</w:t>
                  </w:r>
                </w:p>
              </w:tc>
              <w:tc>
                <w:tcPr>
                  <w:tcW w:w="3323" w:type="dxa"/>
                  <w:vAlign w:val="center"/>
                </w:tcPr>
                <w:p w14:paraId="0A3AC4C7">
                  <w:pPr>
                    <w:spacing w:line="320" w:lineRule="exact"/>
                    <w:jc w:val="center"/>
                    <w:rPr>
                      <w:bCs/>
                      <w:snapToGrid w:val="0"/>
                      <w:color w:val="auto"/>
                      <w:szCs w:val="21"/>
                    </w:rPr>
                  </w:pPr>
                  <w:r>
                    <w:rPr>
                      <w:rFonts w:hint="eastAsia"/>
                      <w:bCs/>
                      <w:snapToGrid w:val="0"/>
                      <w:color w:val="auto"/>
                      <w:szCs w:val="21"/>
                    </w:rPr>
                    <w:t>COD、NH</w:t>
                  </w:r>
                  <w:r>
                    <w:rPr>
                      <w:rFonts w:hint="eastAsia"/>
                      <w:bCs/>
                      <w:snapToGrid w:val="0"/>
                      <w:color w:val="auto"/>
                      <w:szCs w:val="21"/>
                      <w:vertAlign w:val="subscript"/>
                    </w:rPr>
                    <w:t>3</w:t>
                  </w:r>
                  <w:r>
                    <w:rPr>
                      <w:rFonts w:hint="eastAsia"/>
                      <w:bCs/>
                      <w:snapToGrid w:val="0"/>
                      <w:color w:val="auto"/>
                      <w:szCs w:val="21"/>
                    </w:rPr>
                    <w:t>-N、BOD</w:t>
                  </w:r>
                  <w:r>
                    <w:rPr>
                      <w:rFonts w:hint="eastAsia"/>
                      <w:bCs/>
                      <w:snapToGrid w:val="0"/>
                      <w:color w:val="auto"/>
                      <w:szCs w:val="21"/>
                      <w:vertAlign w:val="subscript"/>
                    </w:rPr>
                    <w:t>5</w:t>
                  </w:r>
                  <w:r>
                    <w:rPr>
                      <w:rFonts w:hint="eastAsia"/>
                      <w:bCs/>
                      <w:snapToGrid w:val="0"/>
                      <w:color w:val="auto"/>
                      <w:szCs w:val="21"/>
                    </w:rPr>
                    <w:t>、动植物油</w:t>
                  </w:r>
                </w:p>
              </w:tc>
            </w:tr>
            <w:tr w14:paraId="065D11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14:paraId="6625AA22">
                  <w:pPr>
                    <w:spacing w:line="320" w:lineRule="exact"/>
                    <w:jc w:val="center"/>
                    <w:rPr>
                      <w:bCs/>
                      <w:snapToGrid w:val="0"/>
                      <w:color w:val="auto"/>
                      <w:szCs w:val="21"/>
                    </w:rPr>
                  </w:pPr>
                  <w:r>
                    <w:rPr>
                      <w:bCs/>
                      <w:snapToGrid w:val="0"/>
                      <w:color w:val="auto"/>
                      <w:szCs w:val="21"/>
                    </w:rPr>
                    <w:t>噪声</w:t>
                  </w:r>
                </w:p>
              </w:tc>
              <w:tc>
                <w:tcPr>
                  <w:tcW w:w="2008" w:type="dxa"/>
                  <w:vAlign w:val="center"/>
                </w:tcPr>
                <w:p w14:paraId="4DFCCB92">
                  <w:pPr>
                    <w:spacing w:line="320" w:lineRule="exact"/>
                    <w:jc w:val="center"/>
                    <w:rPr>
                      <w:bCs/>
                      <w:snapToGrid w:val="0"/>
                      <w:color w:val="auto"/>
                      <w:szCs w:val="21"/>
                    </w:rPr>
                  </w:pPr>
                  <w:r>
                    <w:rPr>
                      <w:bCs/>
                      <w:snapToGrid w:val="0"/>
                      <w:color w:val="auto"/>
                      <w:szCs w:val="21"/>
                    </w:rPr>
                    <w:t>设备噪声</w:t>
                  </w:r>
                </w:p>
              </w:tc>
              <w:tc>
                <w:tcPr>
                  <w:tcW w:w="2446" w:type="dxa"/>
                  <w:vAlign w:val="center"/>
                </w:tcPr>
                <w:p w14:paraId="761A7096">
                  <w:pPr>
                    <w:spacing w:line="320" w:lineRule="exact"/>
                    <w:jc w:val="center"/>
                    <w:rPr>
                      <w:bCs/>
                      <w:snapToGrid w:val="0"/>
                      <w:color w:val="auto"/>
                      <w:szCs w:val="21"/>
                      <w:highlight w:val="none"/>
                    </w:rPr>
                  </w:pPr>
                  <w:r>
                    <w:rPr>
                      <w:bCs/>
                      <w:snapToGrid w:val="0"/>
                      <w:color w:val="auto"/>
                      <w:szCs w:val="21"/>
                      <w:highlight w:val="none"/>
                    </w:rPr>
                    <w:t>生产设备</w:t>
                  </w:r>
                </w:p>
              </w:tc>
              <w:tc>
                <w:tcPr>
                  <w:tcW w:w="3323" w:type="dxa"/>
                  <w:vAlign w:val="center"/>
                </w:tcPr>
                <w:p w14:paraId="6F5E0E72">
                  <w:pPr>
                    <w:spacing w:line="320" w:lineRule="exact"/>
                    <w:jc w:val="center"/>
                    <w:rPr>
                      <w:rFonts w:hint="default" w:eastAsia="宋体"/>
                      <w:bCs/>
                      <w:snapToGrid w:val="0"/>
                      <w:color w:val="auto"/>
                      <w:szCs w:val="21"/>
                      <w:highlight w:val="none"/>
                      <w:lang w:val="en-US" w:eastAsia="zh-CN"/>
                    </w:rPr>
                  </w:pPr>
                  <w:r>
                    <w:rPr>
                      <w:rFonts w:hint="eastAsia"/>
                      <w:bCs/>
                      <w:snapToGrid w:val="0"/>
                      <w:color w:val="auto"/>
                      <w:szCs w:val="21"/>
                      <w:highlight w:val="none"/>
                      <w:lang w:val="en-US" w:eastAsia="zh-CN"/>
                    </w:rPr>
                    <w:t>噪声</w:t>
                  </w:r>
                </w:p>
              </w:tc>
            </w:tr>
            <w:tr w14:paraId="6B0E3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restart"/>
                  <w:vAlign w:val="center"/>
                </w:tcPr>
                <w:p w14:paraId="3B6B4BAB">
                  <w:pPr>
                    <w:spacing w:line="320" w:lineRule="exact"/>
                    <w:jc w:val="center"/>
                    <w:rPr>
                      <w:bCs/>
                      <w:snapToGrid w:val="0"/>
                      <w:color w:val="auto"/>
                      <w:szCs w:val="21"/>
                      <w:highlight w:val="none"/>
                    </w:rPr>
                  </w:pPr>
                  <w:r>
                    <w:rPr>
                      <w:bCs/>
                      <w:snapToGrid w:val="0"/>
                      <w:color w:val="auto"/>
                      <w:szCs w:val="21"/>
                      <w:highlight w:val="none"/>
                    </w:rPr>
                    <w:t>固废</w:t>
                  </w:r>
                </w:p>
              </w:tc>
              <w:tc>
                <w:tcPr>
                  <w:tcW w:w="2008" w:type="dxa"/>
                  <w:vAlign w:val="center"/>
                </w:tcPr>
                <w:p w14:paraId="1E42B84A">
                  <w:pPr>
                    <w:wordWrap w:val="0"/>
                    <w:ind w:left="-105" w:leftChars="-50" w:right="-105" w:rightChars="-50"/>
                    <w:jc w:val="center"/>
                    <w:rPr>
                      <w:color w:val="auto"/>
                      <w:szCs w:val="21"/>
                      <w:highlight w:val="none"/>
                    </w:rPr>
                  </w:pPr>
                  <w:r>
                    <w:rPr>
                      <w:rFonts w:hint="default" w:ascii="Times New Roman" w:hAnsi="Times New Roman" w:cs="Times New Roman"/>
                      <w:color w:val="auto"/>
                      <w:sz w:val="21"/>
                      <w:szCs w:val="21"/>
                      <w:highlight w:val="none"/>
                    </w:rPr>
                    <w:t>废烫金纸</w:t>
                  </w:r>
                </w:p>
              </w:tc>
              <w:tc>
                <w:tcPr>
                  <w:tcW w:w="2446" w:type="dxa"/>
                </w:tcPr>
                <w:p w14:paraId="00A4A835">
                  <w:pPr>
                    <w:spacing w:line="320" w:lineRule="exact"/>
                    <w:jc w:val="center"/>
                    <w:rPr>
                      <w:rFonts w:hint="eastAsia" w:eastAsia="宋体"/>
                      <w:color w:val="auto"/>
                      <w:szCs w:val="21"/>
                      <w:highlight w:val="none"/>
                      <w:lang w:eastAsia="zh-CN"/>
                    </w:rPr>
                  </w:pPr>
                  <w:r>
                    <w:rPr>
                      <w:rFonts w:hint="eastAsia"/>
                      <w:color w:val="auto"/>
                      <w:szCs w:val="21"/>
                      <w:highlight w:val="none"/>
                      <w:lang w:val="en-US" w:eastAsia="zh-CN"/>
                    </w:rPr>
                    <w:t>烫金</w:t>
                  </w:r>
                </w:p>
              </w:tc>
              <w:tc>
                <w:tcPr>
                  <w:tcW w:w="3323" w:type="dxa"/>
                  <w:vAlign w:val="center"/>
                </w:tcPr>
                <w:p w14:paraId="47D5AB02">
                  <w:pPr>
                    <w:spacing w:line="320" w:lineRule="exact"/>
                    <w:jc w:val="center"/>
                    <w:rPr>
                      <w:bCs/>
                      <w:snapToGrid w:val="0"/>
                      <w:color w:val="auto"/>
                      <w:szCs w:val="21"/>
                      <w:highlight w:val="none"/>
                    </w:rPr>
                  </w:pPr>
                  <w:r>
                    <w:rPr>
                      <w:bCs/>
                      <w:snapToGrid w:val="0"/>
                      <w:color w:val="auto"/>
                      <w:szCs w:val="21"/>
                      <w:highlight w:val="none"/>
                    </w:rPr>
                    <w:t>一般固废</w:t>
                  </w:r>
                </w:p>
              </w:tc>
            </w:tr>
            <w:tr w14:paraId="0C9B5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1B50C2AE">
                  <w:pPr>
                    <w:spacing w:line="320" w:lineRule="exact"/>
                    <w:jc w:val="center"/>
                    <w:rPr>
                      <w:bCs/>
                      <w:snapToGrid w:val="0"/>
                      <w:color w:val="auto"/>
                      <w:szCs w:val="21"/>
                      <w:highlight w:val="none"/>
                    </w:rPr>
                  </w:pPr>
                </w:p>
              </w:tc>
              <w:tc>
                <w:tcPr>
                  <w:tcW w:w="2008" w:type="dxa"/>
                  <w:vAlign w:val="center"/>
                </w:tcPr>
                <w:p w14:paraId="04494AE2">
                  <w:pPr>
                    <w:wordWrap w:val="0"/>
                    <w:ind w:left="-105" w:leftChars="-50" w:right="-105" w:rightChars="-50"/>
                    <w:jc w:val="center"/>
                    <w:rPr>
                      <w:color w:val="auto"/>
                      <w:szCs w:val="21"/>
                      <w:highlight w:val="none"/>
                    </w:rPr>
                  </w:pPr>
                  <w:r>
                    <w:rPr>
                      <w:rFonts w:hint="default" w:ascii="Times New Roman" w:hAnsi="Times New Roman" w:cs="Times New Roman"/>
                      <w:color w:val="auto"/>
                      <w:sz w:val="21"/>
                      <w:szCs w:val="21"/>
                      <w:highlight w:val="none"/>
                    </w:rPr>
                    <w:t>废边角料</w:t>
                  </w:r>
                </w:p>
              </w:tc>
              <w:tc>
                <w:tcPr>
                  <w:tcW w:w="2446" w:type="dxa"/>
                </w:tcPr>
                <w:p w14:paraId="10D28832">
                  <w:pPr>
                    <w:spacing w:line="320" w:lineRule="exact"/>
                    <w:jc w:val="center"/>
                    <w:rPr>
                      <w:rFonts w:hint="eastAsia" w:eastAsia="宋体"/>
                      <w:color w:val="auto"/>
                      <w:szCs w:val="21"/>
                      <w:highlight w:val="none"/>
                      <w:lang w:val="en-US" w:eastAsia="zh-CN"/>
                    </w:rPr>
                  </w:pPr>
                  <w:r>
                    <w:rPr>
                      <w:rFonts w:hint="eastAsia"/>
                      <w:color w:val="auto"/>
                      <w:szCs w:val="21"/>
                      <w:highlight w:val="none"/>
                      <w:lang w:val="en-US" w:eastAsia="zh-CN"/>
                    </w:rPr>
                    <w:t>模切</w:t>
                  </w:r>
                </w:p>
              </w:tc>
              <w:tc>
                <w:tcPr>
                  <w:tcW w:w="3323" w:type="dxa"/>
                  <w:vAlign w:val="center"/>
                </w:tcPr>
                <w:p w14:paraId="77BF9A9C">
                  <w:pPr>
                    <w:spacing w:line="320" w:lineRule="exact"/>
                    <w:jc w:val="center"/>
                    <w:rPr>
                      <w:bCs/>
                      <w:snapToGrid w:val="0"/>
                      <w:color w:val="auto"/>
                      <w:szCs w:val="21"/>
                      <w:highlight w:val="none"/>
                    </w:rPr>
                  </w:pPr>
                  <w:r>
                    <w:rPr>
                      <w:bCs/>
                      <w:snapToGrid w:val="0"/>
                      <w:color w:val="auto"/>
                      <w:szCs w:val="21"/>
                      <w:highlight w:val="none"/>
                    </w:rPr>
                    <w:t>一般固废</w:t>
                  </w:r>
                </w:p>
              </w:tc>
            </w:tr>
            <w:tr w14:paraId="5340E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3EA1A34B">
                  <w:pPr>
                    <w:spacing w:line="320" w:lineRule="exact"/>
                    <w:jc w:val="center"/>
                    <w:rPr>
                      <w:bCs/>
                      <w:snapToGrid w:val="0"/>
                      <w:color w:val="auto"/>
                      <w:szCs w:val="21"/>
                      <w:highlight w:val="none"/>
                    </w:rPr>
                  </w:pPr>
                </w:p>
              </w:tc>
              <w:tc>
                <w:tcPr>
                  <w:tcW w:w="2008" w:type="dxa"/>
                  <w:vAlign w:val="center"/>
                </w:tcPr>
                <w:p w14:paraId="5A024E4F">
                  <w:pPr>
                    <w:wordWrap w:val="0"/>
                    <w:ind w:left="-105" w:leftChars="-50" w:right="-105" w:rightChars="-50"/>
                    <w:jc w:val="center"/>
                    <w:rPr>
                      <w:color w:val="auto"/>
                      <w:szCs w:val="21"/>
                      <w:highlight w:val="none"/>
                    </w:rPr>
                  </w:pPr>
                  <w:r>
                    <w:rPr>
                      <w:rFonts w:hint="default" w:ascii="Times New Roman" w:hAnsi="Times New Roman" w:cs="Times New Roman"/>
                      <w:color w:val="auto"/>
                      <w:sz w:val="21"/>
                      <w:szCs w:val="21"/>
                      <w:highlight w:val="none"/>
                    </w:rPr>
                    <w:t>残次品</w:t>
                  </w:r>
                </w:p>
              </w:tc>
              <w:tc>
                <w:tcPr>
                  <w:tcW w:w="2446" w:type="dxa"/>
                  <w:vAlign w:val="center"/>
                </w:tcPr>
                <w:p w14:paraId="25831347">
                  <w:pPr>
                    <w:spacing w:line="320" w:lineRule="exact"/>
                    <w:jc w:val="center"/>
                    <w:rPr>
                      <w:rFonts w:hint="eastAsia" w:eastAsia="宋体"/>
                      <w:bCs/>
                      <w:snapToGrid w:val="0"/>
                      <w:color w:val="auto"/>
                      <w:szCs w:val="21"/>
                      <w:highlight w:val="none"/>
                      <w:lang w:val="en-US" w:eastAsia="zh-CN"/>
                    </w:rPr>
                  </w:pPr>
                  <w:r>
                    <w:rPr>
                      <w:rFonts w:hint="eastAsia"/>
                      <w:bCs/>
                      <w:snapToGrid w:val="0"/>
                      <w:color w:val="auto"/>
                      <w:szCs w:val="21"/>
                      <w:highlight w:val="none"/>
                      <w:lang w:val="en-US" w:eastAsia="zh-CN"/>
                    </w:rPr>
                    <w:t>检验</w:t>
                  </w:r>
                </w:p>
              </w:tc>
              <w:tc>
                <w:tcPr>
                  <w:tcW w:w="3323" w:type="dxa"/>
                  <w:vAlign w:val="center"/>
                </w:tcPr>
                <w:p w14:paraId="308757D2">
                  <w:pPr>
                    <w:spacing w:line="320" w:lineRule="exact"/>
                    <w:jc w:val="center"/>
                    <w:rPr>
                      <w:bCs/>
                      <w:snapToGrid w:val="0"/>
                      <w:color w:val="auto"/>
                      <w:szCs w:val="21"/>
                      <w:highlight w:val="none"/>
                    </w:rPr>
                  </w:pPr>
                  <w:r>
                    <w:rPr>
                      <w:bCs/>
                      <w:snapToGrid w:val="0"/>
                      <w:color w:val="auto"/>
                      <w:szCs w:val="21"/>
                      <w:highlight w:val="none"/>
                    </w:rPr>
                    <w:t>一般固废</w:t>
                  </w:r>
                </w:p>
              </w:tc>
            </w:tr>
            <w:tr w14:paraId="02638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7B436EC3">
                  <w:pPr>
                    <w:spacing w:line="320" w:lineRule="exact"/>
                    <w:jc w:val="center"/>
                    <w:rPr>
                      <w:bCs/>
                      <w:snapToGrid w:val="0"/>
                      <w:color w:val="auto"/>
                      <w:szCs w:val="21"/>
                      <w:highlight w:val="none"/>
                    </w:rPr>
                  </w:pPr>
                </w:p>
              </w:tc>
              <w:tc>
                <w:tcPr>
                  <w:tcW w:w="2008" w:type="dxa"/>
                  <w:vAlign w:val="center"/>
                </w:tcPr>
                <w:p w14:paraId="64FD3017">
                  <w:pPr>
                    <w:wordWrap w:val="0"/>
                    <w:ind w:left="-105" w:leftChars="-50" w:right="-105" w:rightChars="-50"/>
                    <w:jc w:val="center"/>
                    <w:rPr>
                      <w:color w:val="auto"/>
                      <w:szCs w:val="21"/>
                      <w:highlight w:val="none"/>
                    </w:rPr>
                  </w:pPr>
                  <w:r>
                    <w:rPr>
                      <w:rFonts w:hint="default" w:ascii="Times New Roman" w:hAnsi="Times New Roman" w:cs="Times New Roman"/>
                      <w:color w:val="auto"/>
                      <w:sz w:val="21"/>
                      <w:szCs w:val="21"/>
                      <w:highlight w:val="none"/>
                    </w:rPr>
                    <w:t>废包装材料</w:t>
                  </w:r>
                </w:p>
              </w:tc>
              <w:tc>
                <w:tcPr>
                  <w:tcW w:w="2446" w:type="dxa"/>
                  <w:vAlign w:val="center"/>
                </w:tcPr>
                <w:p w14:paraId="68052EA6">
                  <w:pPr>
                    <w:spacing w:line="320" w:lineRule="exact"/>
                    <w:jc w:val="center"/>
                    <w:rPr>
                      <w:bCs/>
                      <w:snapToGrid w:val="0"/>
                      <w:color w:val="auto"/>
                      <w:szCs w:val="21"/>
                      <w:highlight w:val="none"/>
                    </w:rPr>
                  </w:pPr>
                  <w:r>
                    <w:rPr>
                      <w:rFonts w:hint="eastAsia"/>
                      <w:bCs/>
                      <w:snapToGrid w:val="0"/>
                      <w:color w:val="auto"/>
                      <w:szCs w:val="21"/>
                      <w:highlight w:val="none"/>
                    </w:rPr>
                    <w:t>产品包装外购原料拆包</w:t>
                  </w:r>
                </w:p>
              </w:tc>
              <w:tc>
                <w:tcPr>
                  <w:tcW w:w="3323" w:type="dxa"/>
                  <w:vAlign w:val="center"/>
                </w:tcPr>
                <w:p w14:paraId="646B45D9">
                  <w:pPr>
                    <w:spacing w:line="320" w:lineRule="exact"/>
                    <w:jc w:val="center"/>
                    <w:rPr>
                      <w:bCs/>
                      <w:snapToGrid w:val="0"/>
                      <w:color w:val="auto"/>
                      <w:szCs w:val="21"/>
                      <w:highlight w:val="none"/>
                    </w:rPr>
                  </w:pPr>
                  <w:r>
                    <w:rPr>
                      <w:bCs/>
                      <w:snapToGrid w:val="0"/>
                      <w:color w:val="auto"/>
                      <w:szCs w:val="21"/>
                      <w:highlight w:val="none"/>
                    </w:rPr>
                    <w:t>一般固废</w:t>
                  </w:r>
                </w:p>
              </w:tc>
            </w:tr>
            <w:tr w14:paraId="1F5ED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3FED3B0C">
                  <w:pPr>
                    <w:spacing w:line="320" w:lineRule="exact"/>
                    <w:jc w:val="center"/>
                    <w:rPr>
                      <w:bCs/>
                      <w:snapToGrid w:val="0"/>
                      <w:color w:val="auto"/>
                      <w:szCs w:val="21"/>
                      <w:highlight w:val="none"/>
                    </w:rPr>
                  </w:pPr>
                </w:p>
              </w:tc>
              <w:tc>
                <w:tcPr>
                  <w:tcW w:w="2008" w:type="dxa"/>
                  <w:vAlign w:val="center"/>
                </w:tcPr>
                <w:p w14:paraId="0AFF16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bCs/>
                      <w:snapToGrid w:val="0"/>
                      <w:color w:val="auto"/>
                      <w:szCs w:val="21"/>
                      <w:highlight w:val="none"/>
                    </w:rPr>
                  </w:pPr>
                  <w:r>
                    <w:rPr>
                      <w:rFonts w:hint="default" w:ascii="Times New Roman" w:hAnsi="Times New Roman" w:cs="Times New Roman"/>
                      <w:color w:val="auto"/>
                      <w:sz w:val="21"/>
                      <w:szCs w:val="21"/>
                      <w:highlight w:val="none"/>
                      <w:lang w:val="en-US" w:eastAsia="zh-CN"/>
                    </w:rPr>
                    <w:t>生活垃圾</w:t>
                  </w:r>
                </w:p>
              </w:tc>
              <w:tc>
                <w:tcPr>
                  <w:tcW w:w="2446" w:type="dxa"/>
                  <w:vAlign w:val="center"/>
                </w:tcPr>
                <w:p w14:paraId="77056C63">
                  <w:pPr>
                    <w:spacing w:line="320" w:lineRule="exact"/>
                    <w:jc w:val="center"/>
                    <w:rPr>
                      <w:bCs/>
                      <w:snapToGrid w:val="0"/>
                      <w:color w:val="auto"/>
                      <w:szCs w:val="21"/>
                      <w:highlight w:val="none"/>
                    </w:rPr>
                  </w:pPr>
                  <w:r>
                    <w:rPr>
                      <w:bCs/>
                      <w:snapToGrid w:val="0"/>
                      <w:color w:val="auto"/>
                      <w:szCs w:val="21"/>
                      <w:highlight w:val="none"/>
                    </w:rPr>
                    <w:t>办公生活</w:t>
                  </w:r>
                </w:p>
              </w:tc>
              <w:tc>
                <w:tcPr>
                  <w:tcW w:w="3323" w:type="dxa"/>
                  <w:vAlign w:val="center"/>
                </w:tcPr>
                <w:p w14:paraId="261C1BAF">
                  <w:pPr>
                    <w:spacing w:line="320" w:lineRule="exact"/>
                    <w:jc w:val="center"/>
                    <w:rPr>
                      <w:bCs/>
                      <w:snapToGrid w:val="0"/>
                      <w:color w:val="auto"/>
                      <w:szCs w:val="21"/>
                      <w:highlight w:val="none"/>
                    </w:rPr>
                  </w:pPr>
                  <w:r>
                    <w:rPr>
                      <w:bCs/>
                      <w:snapToGrid w:val="0"/>
                      <w:color w:val="auto"/>
                      <w:szCs w:val="21"/>
                      <w:highlight w:val="none"/>
                    </w:rPr>
                    <w:t>一般固废</w:t>
                  </w:r>
                </w:p>
              </w:tc>
            </w:tr>
            <w:tr w14:paraId="07C29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1551D77E">
                  <w:pPr>
                    <w:spacing w:line="320" w:lineRule="exact"/>
                    <w:jc w:val="center"/>
                    <w:rPr>
                      <w:bCs/>
                      <w:snapToGrid w:val="0"/>
                      <w:color w:val="auto"/>
                      <w:szCs w:val="21"/>
                      <w:highlight w:val="none"/>
                    </w:rPr>
                  </w:pPr>
                </w:p>
              </w:tc>
              <w:tc>
                <w:tcPr>
                  <w:tcW w:w="2008" w:type="dxa"/>
                  <w:vAlign w:val="center"/>
                </w:tcPr>
                <w:p w14:paraId="7FC4CB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bCs/>
                      <w:snapToGrid w:val="0"/>
                      <w:color w:val="auto"/>
                      <w:szCs w:val="21"/>
                      <w:highlight w:val="none"/>
                    </w:rPr>
                  </w:pPr>
                  <w:r>
                    <w:rPr>
                      <w:rFonts w:hint="default" w:ascii="Times New Roman" w:hAnsi="Times New Roman" w:cs="Times New Roman"/>
                      <w:bCs/>
                      <w:color w:val="auto"/>
                      <w:sz w:val="21"/>
                      <w:szCs w:val="21"/>
                      <w:highlight w:val="none"/>
                    </w:rPr>
                    <w:t>餐厨垃圾</w:t>
                  </w:r>
                </w:p>
              </w:tc>
              <w:tc>
                <w:tcPr>
                  <w:tcW w:w="2446" w:type="dxa"/>
                  <w:vAlign w:val="center"/>
                </w:tcPr>
                <w:p w14:paraId="3BD1E912">
                  <w:pPr>
                    <w:spacing w:line="320" w:lineRule="exact"/>
                    <w:jc w:val="center"/>
                    <w:rPr>
                      <w:bCs/>
                      <w:snapToGrid w:val="0"/>
                      <w:color w:val="auto"/>
                      <w:szCs w:val="21"/>
                      <w:highlight w:val="none"/>
                    </w:rPr>
                  </w:pPr>
                  <w:r>
                    <w:rPr>
                      <w:rFonts w:hint="eastAsia"/>
                      <w:bCs/>
                      <w:snapToGrid w:val="0"/>
                      <w:color w:val="auto"/>
                      <w:szCs w:val="21"/>
                      <w:highlight w:val="none"/>
                    </w:rPr>
                    <w:t>食堂</w:t>
                  </w:r>
                </w:p>
              </w:tc>
              <w:tc>
                <w:tcPr>
                  <w:tcW w:w="3323" w:type="dxa"/>
                  <w:vAlign w:val="center"/>
                </w:tcPr>
                <w:p w14:paraId="7EE73AAA">
                  <w:pPr>
                    <w:spacing w:line="320" w:lineRule="exact"/>
                    <w:jc w:val="center"/>
                    <w:rPr>
                      <w:bCs/>
                      <w:snapToGrid w:val="0"/>
                      <w:color w:val="auto"/>
                      <w:szCs w:val="21"/>
                      <w:highlight w:val="none"/>
                    </w:rPr>
                  </w:pPr>
                  <w:r>
                    <w:rPr>
                      <w:bCs/>
                      <w:snapToGrid w:val="0"/>
                      <w:color w:val="auto"/>
                      <w:szCs w:val="21"/>
                      <w:highlight w:val="none"/>
                    </w:rPr>
                    <w:t>一般固废</w:t>
                  </w:r>
                </w:p>
              </w:tc>
            </w:tr>
            <w:tr w14:paraId="07396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4F4939A0">
                  <w:pPr>
                    <w:spacing w:line="320" w:lineRule="exact"/>
                    <w:jc w:val="center"/>
                    <w:rPr>
                      <w:bCs/>
                      <w:snapToGrid w:val="0"/>
                      <w:color w:val="auto"/>
                      <w:szCs w:val="21"/>
                      <w:highlight w:val="yellow"/>
                    </w:rPr>
                  </w:pPr>
                </w:p>
              </w:tc>
              <w:tc>
                <w:tcPr>
                  <w:tcW w:w="2008" w:type="dxa"/>
                  <w:vAlign w:val="center"/>
                </w:tcPr>
                <w:p w14:paraId="473493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color w:val="auto"/>
                      <w:szCs w:val="21"/>
                      <w:highlight w:val="yellow"/>
                    </w:rPr>
                  </w:pPr>
                  <w:r>
                    <w:rPr>
                      <w:rFonts w:hint="default" w:ascii="Times New Roman" w:hAnsi="Times New Roman" w:eastAsia="宋体" w:cs="Times New Roman"/>
                      <w:color w:val="auto"/>
                      <w:sz w:val="21"/>
                      <w:szCs w:val="21"/>
                      <w:lang w:val="en-US" w:eastAsia="zh-CN"/>
                    </w:rPr>
                    <w:t>油水分离器废油脂</w:t>
                  </w:r>
                </w:p>
              </w:tc>
              <w:tc>
                <w:tcPr>
                  <w:tcW w:w="2446" w:type="dxa"/>
                  <w:vAlign w:val="center"/>
                </w:tcPr>
                <w:p w14:paraId="4706CB6D">
                  <w:pPr>
                    <w:spacing w:line="320" w:lineRule="exact"/>
                    <w:jc w:val="center"/>
                    <w:rPr>
                      <w:color w:val="auto"/>
                      <w:szCs w:val="21"/>
                      <w:highlight w:val="none"/>
                    </w:rPr>
                  </w:pPr>
                  <w:r>
                    <w:rPr>
                      <w:rFonts w:hint="eastAsia"/>
                      <w:bCs/>
                      <w:snapToGrid w:val="0"/>
                      <w:color w:val="auto"/>
                      <w:szCs w:val="21"/>
                      <w:highlight w:val="none"/>
                    </w:rPr>
                    <w:t>食堂</w:t>
                  </w:r>
                </w:p>
              </w:tc>
              <w:tc>
                <w:tcPr>
                  <w:tcW w:w="3323" w:type="dxa"/>
                  <w:vAlign w:val="center"/>
                </w:tcPr>
                <w:p w14:paraId="6AB6F09B">
                  <w:pPr>
                    <w:spacing w:line="320" w:lineRule="exact"/>
                    <w:jc w:val="center"/>
                    <w:rPr>
                      <w:bCs/>
                      <w:snapToGrid w:val="0"/>
                      <w:color w:val="auto"/>
                      <w:szCs w:val="21"/>
                      <w:highlight w:val="none"/>
                    </w:rPr>
                  </w:pPr>
                  <w:r>
                    <w:rPr>
                      <w:rFonts w:hint="eastAsia"/>
                      <w:bCs/>
                      <w:snapToGrid w:val="0"/>
                      <w:color w:val="auto"/>
                      <w:szCs w:val="21"/>
                      <w:highlight w:val="none"/>
                      <w:lang w:val="en-US" w:eastAsia="zh-CN"/>
                    </w:rPr>
                    <w:t>一</w:t>
                  </w:r>
                  <w:r>
                    <w:rPr>
                      <w:bCs/>
                      <w:snapToGrid w:val="0"/>
                      <w:color w:val="auto"/>
                      <w:szCs w:val="21"/>
                      <w:highlight w:val="none"/>
                    </w:rPr>
                    <w:t>般固废</w:t>
                  </w:r>
                </w:p>
              </w:tc>
            </w:tr>
            <w:tr w14:paraId="4AF51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410871A4">
                  <w:pPr>
                    <w:spacing w:line="320" w:lineRule="exact"/>
                    <w:jc w:val="center"/>
                    <w:rPr>
                      <w:bCs/>
                      <w:snapToGrid w:val="0"/>
                      <w:color w:val="auto"/>
                      <w:szCs w:val="21"/>
                      <w:highlight w:val="yellow"/>
                    </w:rPr>
                  </w:pPr>
                </w:p>
              </w:tc>
              <w:tc>
                <w:tcPr>
                  <w:tcW w:w="2008" w:type="dxa"/>
                  <w:vAlign w:val="center"/>
                </w:tcPr>
                <w:p w14:paraId="7BFC79AA">
                  <w:pPr>
                    <w:ind w:left="-105" w:leftChars="-50" w:right="-105" w:rightChars="-50"/>
                    <w:jc w:val="center"/>
                    <w:rPr>
                      <w:color w:val="auto"/>
                      <w:szCs w:val="21"/>
                      <w:highlight w:val="none"/>
                    </w:rPr>
                  </w:pPr>
                  <w:r>
                    <w:rPr>
                      <w:rFonts w:hint="eastAsia"/>
                      <w:color w:val="auto"/>
                      <w:sz w:val="21"/>
                      <w:szCs w:val="21"/>
                      <w:highlight w:val="none"/>
                      <w:lang w:val="en-US" w:eastAsia="zh-CN"/>
                    </w:rPr>
                    <w:t>废包装桶</w:t>
                  </w:r>
                </w:p>
              </w:tc>
              <w:tc>
                <w:tcPr>
                  <w:tcW w:w="2446" w:type="dxa"/>
                  <w:vAlign w:val="center"/>
                </w:tcPr>
                <w:p w14:paraId="1FD46DD7">
                  <w:pPr>
                    <w:spacing w:line="320" w:lineRule="exact"/>
                    <w:jc w:val="center"/>
                    <w:rPr>
                      <w:rFonts w:hint="default" w:eastAsia="宋体"/>
                      <w:color w:val="auto"/>
                      <w:szCs w:val="21"/>
                      <w:highlight w:val="none"/>
                      <w:lang w:val="en-US" w:eastAsia="zh-CN"/>
                    </w:rPr>
                  </w:pPr>
                  <w:r>
                    <w:rPr>
                      <w:rFonts w:hint="eastAsia"/>
                      <w:color w:val="auto"/>
                      <w:szCs w:val="21"/>
                      <w:highlight w:val="none"/>
                      <w:lang w:val="en-US" w:eastAsia="zh-CN"/>
                    </w:rPr>
                    <w:t>印刷、裱糊、设备维护</w:t>
                  </w:r>
                </w:p>
              </w:tc>
              <w:tc>
                <w:tcPr>
                  <w:tcW w:w="3323" w:type="dxa"/>
                  <w:vAlign w:val="center"/>
                </w:tcPr>
                <w:p w14:paraId="338686FB">
                  <w:pPr>
                    <w:spacing w:line="320" w:lineRule="exact"/>
                    <w:jc w:val="center"/>
                    <w:rPr>
                      <w:bCs/>
                      <w:snapToGrid w:val="0"/>
                      <w:color w:val="auto"/>
                      <w:szCs w:val="21"/>
                      <w:highlight w:val="none"/>
                    </w:rPr>
                  </w:pPr>
                  <w:r>
                    <w:rPr>
                      <w:rFonts w:ascii="宋体" w:hAnsi="宋体"/>
                      <w:bCs/>
                      <w:snapToGrid w:val="0"/>
                      <w:color w:val="auto"/>
                      <w:szCs w:val="21"/>
                      <w:highlight w:val="none"/>
                    </w:rPr>
                    <w:t>危险</w:t>
                  </w:r>
                  <w:r>
                    <w:rPr>
                      <w:bCs/>
                      <w:snapToGrid w:val="0"/>
                      <w:color w:val="auto"/>
                      <w:szCs w:val="21"/>
                      <w:highlight w:val="none"/>
                    </w:rPr>
                    <w:t>废物</w:t>
                  </w:r>
                  <w:r>
                    <w:rPr>
                      <w:rFonts w:hint="eastAsia"/>
                      <w:bCs/>
                      <w:snapToGrid w:val="0"/>
                      <w:color w:val="auto"/>
                      <w:szCs w:val="21"/>
                      <w:highlight w:val="none"/>
                    </w:rPr>
                    <w:t>（HW</w:t>
                  </w:r>
                  <w:r>
                    <w:rPr>
                      <w:rFonts w:hint="eastAsia"/>
                      <w:bCs/>
                      <w:snapToGrid w:val="0"/>
                      <w:color w:val="auto"/>
                      <w:szCs w:val="21"/>
                      <w:highlight w:val="none"/>
                      <w:lang w:val="en-US" w:eastAsia="zh-CN"/>
                    </w:rPr>
                    <w:t>49</w:t>
                  </w:r>
                  <w:r>
                    <w:rPr>
                      <w:rFonts w:hint="eastAsia"/>
                      <w:bCs/>
                      <w:snapToGrid w:val="0"/>
                      <w:color w:val="auto"/>
                      <w:szCs w:val="21"/>
                      <w:highlight w:val="none"/>
                    </w:rPr>
                    <w:t>）</w:t>
                  </w:r>
                </w:p>
              </w:tc>
            </w:tr>
            <w:tr w14:paraId="205E6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374CE35D">
                  <w:pPr>
                    <w:spacing w:line="320" w:lineRule="exact"/>
                    <w:jc w:val="center"/>
                    <w:rPr>
                      <w:bCs/>
                      <w:snapToGrid w:val="0"/>
                      <w:color w:val="auto"/>
                      <w:szCs w:val="21"/>
                      <w:highlight w:val="yellow"/>
                    </w:rPr>
                  </w:pPr>
                </w:p>
              </w:tc>
              <w:tc>
                <w:tcPr>
                  <w:tcW w:w="2008" w:type="dxa"/>
                  <w:vAlign w:val="center"/>
                </w:tcPr>
                <w:p w14:paraId="79B96B26">
                  <w:pPr>
                    <w:ind w:left="-105" w:leftChars="-50" w:right="-105" w:rightChars="-50"/>
                    <w:jc w:val="center"/>
                    <w:rPr>
                      <w:color w:val="auto"/>
                      <w:szCs w:val="21"/>
                      <w:highlight w:val="none"/>
                    </w:rPr>
                  </w:pPr>
                  <w:r>
                    <w:rPr>
                      <w:rFonts w:hint="eastAsia"/>
                      <w:color w:val="auto"/>
                      <w:sz w:val="21"/>
                      <w:szCs w:val="21"/>
                      <w:highlight w:val="none"/>
                    </w:rPr>
                    <w:t>废显影液</w:t>
                  </w:r>
                </w:p>
              </w:tc>
              <w:tc>
                <w:tcPr>
                  <w:tcW w:w="2446" w:type="dxa"/>
                  <w:vAlign w:val="center"/>
                </w:tcPr>
                <w:p w14:paraId="59507BF3">
                  <w:pPr>
                    <w:spacing w:line="320" w:lineRule="exact"/>
                    <w:jc w:val="center"/>
                    <w:rPr>
                      <w:rFonts w:hint="eastAsia" w:eastAsia="宋体"/>
                      <w:color w:val="auto"/>
                      <w:szCs w:val="21"/>
                      <w:highlight w:val="none"/>
                      <w:lang w:eastAsia="zh-CN"/>
                    </w:rPr>
                  </w:pPr>
                  <w:r>
                    <w:rPr>
                      <w:rFonts w:hint="eastAsia"/>
                      <w:color w:val="auto"/>
                      <w:szCs w:val="21"/>
                      <w:highlight w:val="none"/>
                      <w:lang w:val="en-US" w:eastAsia="zh-CN"/>
                    </w:rPr>
                    <w:t>制版</w:t>
                  </w:r>
                </w:p>
              </w:tc>
              <w:tc>
                <w:tcPr>
                  <w:tcW w:w="3323" w:type="dxa"/>
                  <w:vAlign w:val="center"/>
                </w:tcPr>
                <w:p w14:paraId="7FB00FE3">
                  <w:pPr>
                    <w:spacing w:line="320" w:lineRule="exact"/>
                    <w:jc w:val="center"/>
                    <w:rPr>
                      <w:bCs/>
                      <w:snapToGrid w:val="0"/>
                      <w:color w:val="auto"/>
                      <w:szCs w:val="21"/>
                      <w:highlight w:val="none"/>
                    </w:rPr>
                  </w:pPr>
                  <w:r>
                    <w:rPr>
                      <w:rFonts w:ascii="宋体" w:hAnsi="宋体"/>
                      <w:bCs/>
                      <w:snapToGrid w:val="0"/>
                      <w:color w:val="auto"/>
                      <w:szCs w:val="21"/>
                      <w:highlight w:val="none"/>
                    </w:rPr>
                    <w:t>危险</w:t>
                  </w:r>
                  <w:r>
                    <w:rPr>
                      <w:bCs/>
                      <w:snapToGrid w:val="0"/>
                      <w:color w:val="auto"/>
                      <w:szCs w:val="21"/>
                      <w:highlight w:val="none"/>
                    </w:rPr>
                    <w:t>废物</w:t>
                  </w:r>
                  <w:r>
                    <w:rPr>
                      <w:rFonts w:hint="eastAsia"/>
                      <w:bCs/>
                      <w:snapToGrid w:val="0"/>
                      <w:color w:val="auto"/>
                      <w:szCs w:val="21"/>
                      <w:highlight w:val="none"/>
                    </w:rPr>
                    <w:t>（HW16）</w:t>
                  </w:r>
                </w:p>
              </w:tc>
            </w:tr>
            <w:tr w14:paraId="7C821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60786B97">
                  <w:pPr>
                    <w:spacing w:line="320" w:lineRule="exact"/>
                    <w:jc w:val="center"/>
                    <w:rPr>
                      <w:bCs/>
                      <w:snapToGrid w:val="0"/>
                      <w:color w:val="auto"/>
                      <w:szCs w:val="21"/>
                    </w:rPr>
                  </w:pPr>
                </w:p>
              </w:tc>
              <w:tc>
                <w:tcPr>
                  <w:tcW w:w="2008" w:type="dxa"/>
                  <w:vAlign w:val="center"/>
                </w:tcPr>
                <w:p w14:paraId="06C478CB">
                  <w:pPr>
                    <w:ind w:left="-105" w:leftChars="-50" w:right="-105" w:rightChars="-50"/>
                    <w:jc w:val="center"/>
                    <w:rPr>
                      <w:color w:val="auto"/>
                      <w:szCs w:val="21"/>
                      <w:highlight w:val="none"/>
                    </w:rPr>
                  </w:pPr>
                  <w:r>
                    <w:rPr>
                      <w:rFonts w:hint="eastAsia"/>
                      <w:color w:val="auto"/>
                      <w:sz w:val="21"/>
                      <w:szCs w:val="21"/>
                      <w:highlight w:val="none"/>
                    </w:rPr>
                    <w:t>洗版废液</w:t>
                  </w:r>
                </w:p>
              </w:tc>
              <w:tc>
                <w:tcPr>
                  <w:tcW w:w="2446" w:type="dxa"/>
                  <w:vAlign w:val="center"/>
                </w:tcPr>
                <w:p w14:paraId="3A5ABDAB">
                  <w:pPr>
                    <w:spacing w:line="320" w:lineRule="exact"/>
                    <w:jc w:val="center"/>
                    <w:rPr>
                      <w:color w:val="auto"/>
                      <w:szCs w:val="21"/>
                      <w:highlight w:val="none"/>
                    </w:rPr>
                  </w:pPr>
                  <w:r>
                    <w:rPr>
                      <w:rFonts w:hint="eastAsia"/>
                      <w:color w:val="auto"/>
                      <w:szCs w:val="21"/>
                      <w:highlight w:val="none"/>
                      <w:lang w:val="en-US" w:eastAsia="zh-CN"/>
                    </w:rPr>
                    <w:t>制版</w:t>
                  </w:r>
                </w:p>
              </w:tc>
              <w:tc>
                <w:tcPr>
                  <w:tcW w:w="3323" w:type="dxa"/>
                  <w:vAlign w:val="center"/>
                </w:tcPr>
                <w:p w14:paraId="462B0C42">
                  <w:pPr>
                    <w:spacing w:line="320" w:lineRule="exact"/>
                    <w:jc w:val="center"/>
                    <w:rPr>
                      <w:bCs/>
                      <w:snapToGrid w:val="0"/>
                      <w:color w:val="auto"/>
                      <w:szCs w:val="21"/>
                      <w:highlight w:val="none"/>
                    </w:rPr>
                  </w:pPr>
                  <w:bookmarkStart w:id="28" w:name="OLE_LINK34"/>
                  <w:r>
                    <w:rPr>
                      <w:rFonts w:ascii="宋体" w:hAnsi="宋体"/>
                      <w:bCs/>
                      <w:snapToGrid w:val="0"/>
                      <w:color w:val="auto"/>
                      <w:szCs w:val="21"/>
                      <w:highlight w:val="none"/>
                    </w:rPr>
                    <w:t>危险</w:t>
                  </w:r>
                  <w:r>
                    <w:rPr>
                      <w:bCs/>
                      <w:snapToGrid w:val="0"/>
                      <w:color w:val="auto"/>
                      <w:szCs w:val="21"/>
                      <w:highlight w:val="none"/>
                    </w:rPr>
                    <w:t>废物</w:t>
                  </w:r>
                  <w:r>
                    <w:rPr>
                      <w:rFonts w:hint="eastAsia"/>
                      <w:bCs/>
                      <w:snapToGrid w:val="0"/>
                      <w:color w:val="auto"/>
                      <w:szCs w:val="21"/>
                      <w:highlight w:val="none"/>
                    </w:rPr>
                    <w:t>（HW16）</w:t>
                  </w:r>
                  <w:bookmarkEnd w:id="28"/>
                </w:p>
              </w:tc>
            </w:tr>
            <w:tr w14:paraId="29B67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690B2A6B">
                  <w:pPr>
                    <w:spacing w:line="320" w:lineRule="exact"/>
                    <w:jc w:val="center"/>
                    <w:rPr>
                      <w:bCs/>
                      <w:snapToGrid w:val="0"/>
                      <w:color w:val="auto"/>
                      <w:szCs w:val="21"/>
                    </w:rPr>
                  </w:pPr>
                </w:p>
              </w:tc>
              <w:tc>
                <w:tcPr>
                  <w:tcW w:w="2008" w:type="dxa"/>
                  <w:vAlign w:val="center"/>
                </w:tcPr>
                <w:p w14:paraId="6C673B09">
                  <w:pPr>
                    <w:ind w:left="-105" w:leftChars="-50" w:right="-105" w:rightChars="-50"/>
                    <w:jc w:val="center"/>
                    <w:rPr>
                      <w:color w:val="auto"/>
                      <w:szCs w:val="21"/>
                      <w:highlight w:val="none"/>
                    </w:rPr>
                  </w:pPr>
                  <w:r>
                    <w:rPr>
                      <w:rFonts w:hint="eastAsia"/>
                      <w:color w:val="auto"/>
                      <w:kern w:val="0"/>
                      <w:sz w:val="21"/>
                      <w:szCs w:val="21"/>
                      <w:highlight w:val="none"/>
                    </w:rPr>
                    <w:t>废滤材滤渣</w:t>
                  </w:r>
                </w:p>
              </w:tc>
              <w:tc>
                <w:tcPr>
                  <w:tcW w:w="2446" w:type="dxa"/>
                  <w:vAlign w:val="center"/>
                </w:tcPr>
                <w:p w14:paraId="4F50C540">
                  <w:pPr>
                    <w:spacing w:line="320" w:lineRule="exact"/>
                    <w:jc w:val="center"/>
                    <w:rPr>
                      <w:color w:val="auto"/>
                      <w:szCs w:val="21"/>
                      <w:highlight w:val="none"/>
                    </w:rPr>
                  </w:pPr>
                  <w:r>
                    <w:rPr>
                      <w:rFonts w:hint="eastAsia"/>
                      <w:color w:val="auto"/>
                      <w:szCs w:val="21"/>
                      <w:highlight w:val="none"/>
                      <w:lang w:val="en-US" w:eastAsia="zh-CN"/>
                    </w:rPr>
                    <w:t>制版</w:t>
                  </w:r>
                </w:p>
              </w:tc>
              <w:tc>
                <w:tcPr>
                  <w:tcW w:w="3323" w:type="dxa"/>
                  <w:vAlign w:val="center"/>
                </w:tcPr>
                <w:p w14:paraId="68AC0130">
                  <w:pPr>
                    <w:spacing w:line="320" w:lineRule="exact"/>
                    <w:jc w:val="center"/>
                    <w:rPr>
                      <w:rFonts w:hint="eastAsia" w:ascii="宋体" w:hAnsi="宋体"/>
                      <w:bCs/>
                      <w:snapToGrid w:val="0"/>
                      <w:color w:val="auto"/>
                      <w:szCs w:val="21"/>
                      <w:highlight w:val="none"/>
                    </w:rPr>
                  </w:pPr>
                  <w:r>
                    <w:rPr>
                      <w:rFonts w:ascii="宋体" w:hAnsi="宋体"/>
                      <w:bCs/>
                      <w:snapToGrid w:val="0"/>
                      <w:color w:val="auto"/>
                      <w:szCs w:val="21"/>
                      <w:highlight w:val="none"/>
                    </w:rPr>
                    <w:t>危险</w:t>
                  </w:r>
                  <w:r>
                    <w:rPr>
                      <w:bCs/>
                      <w:snapToGrid w:val="0"/>
                      <w:color w:val="auto"/>
                      <w:szCs w:val="21"/>
                      <w:highlight w:val="none"/>
                    </w:rPr>
                    <w:t>废物</w:t>
                  </w:r>
                  <w:r>
                    <w:rPr>
                      <w:rFonts w:hint="eastAsia"/>
                      <w:bCs/>
                      <w:snapToGrid w:val="0"/>
                      <w:color w:val="auto"/>
                      <w:szCs w:val="21"/>
                      <w:highlight w:val="none"/>
                    </w:rPr>
                    <w:t>（HW</w:t>
                  </w:r>
                  <w:r>
                    <w:rPr>
                      <w:rFonts w:hint="eastAsia"/>
                      <w:bCs/>
                      <w:snapToGrid w:val="0"/>
                      <w:color w:val="auto"/>
                      <w:szCs w:val="21"/>
                      <w:highlight w:val="none"/>
                      <w:lang w:val="en-US" w:eastAsia="zh-CN"/>
                    </w:rPr>
                    <w:t>49</w:t>
                  </w:r>
                  <w:r>
                    <w:rPr>
                      <w:rFonts w:hint="eastAsia"/>
                      <w:bCs/>
                      <w:snapToGrid w:val="0"/>
                      <w:color w:val="auto"/>
                      <w:szCs w:val="21"/>
                      <w:highlight w:val="none"/>
                    </w:rPr>
                    <w:t>）</w:t>
                  </w:r>
                </w:p>
              </w:tc>
            </w:tr>
            <w:tr w14:paraId="1D488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14:paraId="24B54927">
                  <w:pPr>
                    <w:spacing w:line="320" w:lineRule="exact"/>
                    <w:jc w:val="center"/>
                    <w:rPr>
                      <w:bCs/>
                      <w:snapToGrid w:val="0"/>
                      <w:color w:val="auto"/>
                      <w:szCs w:val="21"/>
                    </w:rPr>
                  </w:pPr>
                </w:p>
              </w:tc>
              <w:tc>
                <w:tcPr>
                  <w:tcW w:w="2008" w:type="dxa"/>
                  <w:vAlign w:val="center"/>
                </w:tcPr>
                <w:p w14:paraId="59C42D1D">
                  <w:pPr>
                    <w:ind w:left="-105" w:leftChars="-50" w:right="-105" w:rightChars="-50"/>
                    <w:jc w:val="center"/>
                    <w:rPr>
                      <w:color w:val="auto"/>
                      <w:szCs w:val="21"/>
                      <w:highlight w:val="none"/>
                    </w:rPr>
                  </w:pPr>
                  <w:r>
                    <w:rPr>
                      <w:rFonts w:hint="eastAsia"/>
                      <w:color w:val="auto"/>
                      <w:sz w:val="21"/>
                      <w:szCs w:val="21"/>
                      <w:highlight w:val="none"/>
                      <w:lang w:val="en-US" w:eastAsia="zh-CN"/>
                    </w:rPr>
                    <w:t>废</w:t>
                  </w:r>
                  <w:r>
                    <w:rPr>
                      <w:rFonts w:hint="eastAsia"/>
                      <w:color w:val="auto"/>
                      <w:sz w:val="21"/>
                      <w:szCs w:val="21"/>
                      <w:highlight w:val="none"/>
                    </w:rPr>
                    <w:t>丝网版</w:t>
                  </w:r>
                </w:p>
              </w:tc>
              <w:tc>
                <w:tcPr>
                  <w:tcW w:w="2446" w:type="dxa"/>
                  <w:vAlign w:val="center"/>
                </w:tcPr>
                <w:p w14:paraId="5603AA78">
                  <w:pPr>
                    <w:spacing w:line="320" w:lineRule="exact"/>
                    <w:jc w:val="center"/>
                    <w:rPr>
                      <w:rFonts w:hint="default" w:eastAsia="宋体"/>
                      <w:color w:val="auto"/>
                      <w:szCs w:val="21"/>
                      <w:highlight w:val="none"/>
                      <w:lang w:val="en-US" w:eastAsia="zh-CN"/>
                    </w:rPr>
                  </w:pPr>
                  <w:r>
                    <w:rPr>
                      <w:rFonts w:hint="eastAsia"/>
                      <w:color w:val="auto"/>
                      <w:szCs w:val="21"/>
                      <w:highlight w:val="none"/>
                      <w:lang w:val="en-US" w:eastAsia="zh-CN"/>
                    </w:rPr>
                    <w:t>丝网印刷</w:t>
                  </w:r>
                </w:p>
              </w:tc>
              <w:tc>
                <w:tcPr>
                  <w:tcW w:w="3323" w:type="dxa"/>
                  <w:vAlign w:val="center"/>
                </w:tcPr>
                <w:p w14:paraId="65AF9DE0">
                  <w:pPr>
                    <w:spacing w:line="320" w:lineRule="exact"/>
                    <w:jc w:val="center"/>
                    <w:rPr>
                      <w:bCs/>
                      <w:snapToGrid w:val="0"/>
                      <w:color w:val="auto"/>
                      <w:szCs w:val="21"/>
                      <w:highlight w:val="none"/>
                    </w:rPr>
                  </w:pPr>
                  <w:r>
                    <w:rPr>
                      <w:rFonts w:ascii="宋体" w:hAnsi="宋体"/>
                      <w:bCs/>
                      <w:snapToGrid w:val="0"/>
                      <w:color w:val="auto"/>
                      <w:szCs w:val="21"/>
                      <w:highlight w:val="none"/>
                    </w:rPr>
                    <w:t>危险</w:t>
                  </w:r>
                  <w:r>
                    <w:rPr>
                      <w:bCs/>
                      <w:snapToGrid w:val="0"/>
                      <w:color w:val="auto"/>
                      <w:szCs w:val="21"/>
                      <w:highlight w:val="none"/>
                    </w:rPr>
                    <w:t>废物</w:t>
                  </w:r>
                  <w:r>
                    <w:rPr>
                      <w:rFonts w:hint="eastAsia"/>
                      <w:bCs/>
                      <w:snapToGrid w:val="0"/>
                      <w:color w:val="auto"/>
                      <w:szCs w:val="21"/>
                      <w:highlight w:val="none"/>
                    </w:rPr>
                    <w:t>（HW1</w:t>
                  </w:r>
                  <w:r>
                    <w:rPr>
                      <w:rFonts w:hint="eastAsia"/>
                      <w:bCs/>
                      <w:snapToGrid w:val="0"/>
                      <w:color w:val="auto"/>
                      <w:szCs w:val="21"/>
                      <w:highlight w:val="none"/>
                      <w:lang w:val="en-US" w:eastAsia="zh-CN"/>
                    </w:rPr>
                    <w:t>6</w:t>
                  </w:r>
                  <w:r>
                    <w:rPr>
                      <w:rFonts w:hint="eastAsia"/>
                      <w:bCs/>
                      <w:snapToGrid w:val="0"/>
                      <w:color w:val="auto"/>
                      <w:szCs w:val="21"/>
                      <w:highlight w:val="none"/>
                    </w:rPr>
                    <w:t>）</w:t>
                  </w:r>
                </w:p>
              </w:tc>
            </w:tr>
            <w:tr w14:paraId="421907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01F7F8A1">
                  <w:pPr>
                    <w:spacing w:line="320" w:lineRule="exact"/>
                    <w:jc w:val="center"/>
                    <w:rPr>
                      <w:bCs/>
                      <w:snapToGrid w:val="0"/>
                      <w:color w:val="auto"/>
                      <w:szCs w:val="21"/>
                    </w:rPr>
                  </w:pPr>
                </w:p>
              </w:tc>
              <w:tc>
                <w:tcPr>
                  <w:tcW w:w="2008" w:type="dxa"/>
                  <w:vAlign w:val="center"/>
                </w:tcPr>
                <w:p w14:paraId="2109DA35">
                  <w:pPr>
                    <w:ind w:left="-105" w:leftChars="-50" w:right="-105" w:rightChars="-50"/>
                    <w:jc w:val="center"/>
                    <w:rPr>
                      <w:color w:val="auto"/>
                      <w:szCs w:val="21"/>
                      <w:highlight w:val="none"/>
                    </w:rPr>
                  </w:pPr>
                  <w:r>
                    <w:rPr>
                      <w:rFonts w:hint="eastAsia"/>
                      <w:color w:val="auto"/>
                      <w:sz w:val="21"/>
                      <w:szCs w:val="21"/>
                      <w:highlight w:val="none"/>
                      <w:lang w:val="en-US" w:eastAsia="zh-CN"/>
                    </w:rPr>
                    <w:t>清洁丝网版棉布手套</w:t>
                  </w:r>
                </w:p>
              </w:tc>
              <w:tc>
                <w:tcPr>
                  <w:tcW w:w="2446" w:type="dxa"/>
                  <w:vAlign w:val="center"/>
                </w:tcPr>
                <w:p w14:paraId="1204F30F">
                  <w:pPr>
                    <w:spacing w:line="320" w:lineRule="exact"/>
                    <w:jc w:val="center"/>
                    <w:rPr>
                      <w:rFonts w:hint="default"/>
                      <w:color w:val="auto"/>
                      <w:szCs w:val="21"/>
                      <w:highlight w:val="none"/>
                      <w:lang w:val="en-US"/>
                    </w:rPr>
                  </w:pPr>
                  <w:r>
                    <w:rPr>
                      <w:rFonts w:hint="eastAsia"/>
                      <w:color w:val="auto"/>
                      <w:szCs w:val="21"/>
                      <w:highlight w:val="none"/>
                      <w:lang w:val="en-US" w:eastAsia="zh-CN"/>
                    </w:rPr>
                    <w:t>丝网清洁</w:t>
                  </w:r>
                </w:p>
              </w:tc>
              <w:tc>
                <w:tcPr>
                  <w:tcW w:w="3323" w:type="dxa"/>
                  <w:vAlign w:val="center"/>
                </w:tcPr>
                <w:p w14:paraId="62ED3BB9">
                  <w:pPr>
                    <w:spacing w:line="320" w:lineRule="exact"/>
                    <w:jc w:val="center"/>
                    <w:rPr>
                      <w:bCs/>
                      <w:snapToGrid w:val="0"/>
                      <w:color w:val="auto"/>
                      <w:szCs w:val="21"/>
                      <w:highlight w:val="none"/>
                    </w:rPr>
                  </w:pPr>
                  <w:r>
                    <w:rPr>
                      <w:bCs/>
                      <w:snapToGrid w:val="0"/>
                      <w:color w:val="auto"/>
                      <w:szCs w:val="21"/>
                      <w:highlight w:val="none"/>
                    </w:rPr>
                    <w:t>危险废物（HW49）</w:t>
                  </w:r>
                </w:p>
              </w:tc>
            </w:tr>
            <w:tr w14:paraId="12214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674" w:type="dxa"/>
                  <w:vMerge w:val="continue"/>
                  <w:vAlign w:val="center"/>
                </w:tcPr>
                <w:p w14:paraId="5547EE55">
                  <w:pPr>
                    <w:spacing w:line="320" w:lineRule="exact"/>
                    <w:jc w:val="center"/>
                    <w:rPr>
                      <w:bCs/>
                      <w:snapToGrid w:val="0"/>
                      <w:color w:val="auto"/>
                      <w:szCs w:val="21"/>
                    </w:rPr>
                  </w:pPr>
                </w:p>
              </w:tc>
              <w:tc>
                <w:tcPr>
                  <w:tcW w:w="2008" w:type="dxa"/>
                  <w:vAlign w:val="center"/>
                </w:tcPr>
                <w:p w14:paraId="438F0A18">
                  <w:pPr>
                    <w:ind w:left="-105" w:leftChars="-50" w:right="-105" w:rightChars="-50"/>
                    <w:jc w:val="center"/>
                    <w:rPr>
                      <w:color w:val="auto"/>
                      <w:szCs w:val="21"/>
                      <w:highlight w:val="none"/>
                    </w:rPr>
                  </w:pPr>
                  <w:r>
                    <w:rPr>
                      <w:rFonts w:hint="eastAsia"/>
                      <w:color w:val="auto"/>
                      <w:kern w:val="0"/>
                      <w:sz w:val="21"/>
                      <w:szCs w:val="21"/>
                      <w:highlight w:val="none"/>
                    </w:rPr>
                    <w:t>废CTP版</w:t>
                  </w:r>
                </w:p>
              </w:tc>
              <w:tc>
                <w:tcPr>
                  <w:tcW w:w="2446" w:type="dxa"/>
                  <w:vAlign w:val="center"/>
                </w:tcPr>
                <w:p w14:paraId="6183250A">
                  <w:pPr>
                    <w:spacing w:line="320" w:lineRule="exact"/>
                    <w:jc w:val="center"/>
                    <w:rPr>
                      <w:color w:val="auto"/>
                      <w:szCs w:val="21"/>
                      <w:highlight w:val="none"/>
                    </w:rPr>
                  </w:pPr>
                  <w:r>
                    <w:rPr>
                      <w:rFonts w:hint="eastAsia"/>
                      <w:color w:val="auto"/>
                      <w:szCs w:val="21"/>
                      <w:highlight w:val="none"/>
                      <w:lang w:val="en-US" w:eastAsia="zh-CN"/>
                    </w:rPr>
                    <w:t>制版</w:t>
                  </w:r>
                </w:p>
              </w:tc>
              <w:tc>
                <w:tcPr>
                  <w:tcW w:w="3323" w:type="dxa"/>
                  <w:vAlign w:val="center"/>
                </w:tcPr>
                <w:p w14:paraId="7F30E72A">
                  <w:pPr>
                    <w:spacing w:line="320" w:lineRule="exact"/>
                    <w:jc w:val="center"/>
                    <w:rPr>
                      <w:bCs/>
                      <w:snapToGrid w:val="0"/>
                      <w:color w:val="auto"/>
                      <w:szCs w:val="21"/>
                      <w:highlight w:val="none"/>
                    </w:rPr>
                  </w:pPr>
                  <w:r>
                    <w:rPr>
                      <w:rFonts w:ascii="宋体" w:hAnsi="宋体"/>
                      <w:bCs/>
                      <w:snapToGrid w:val="0"/>
                      <w:color w:val="auto"/>
                      <w:szCs w:val="21"/>
                      <w:highlight w:val="none"/>
                    </w:rPr>
                    <w:t>危险</w:t>
                  </w:r>
                  <w:r>
                    <w:rPr>
                      <w:bCs/>
                      <w:snapToGrid w:val="0"/>
                      <w:color w:val="auto"/>
                      <w:szCs w:val="21"/>
                      <w:highlight w:val="none"/>
                    </w:rPr>
                    <w:t>废物</w:t>
                  </w:r>
                  <w:r>
                    <w:rPr>
                      <w:rFonts w:hint="eastAsia"/>
                      <w:bCs/>
                      <w:snapToGrid w:val="0"/>
                      <w:color w:val="auto"/>
                      <w:szCs w:val="21"/>
                      <w:highlight w:val="none"/>
                    </w:rPr>
                    <w:t>（HW16）</w:t>
                  </w:r>
                </w:p>
              </w:tc>
            </w:tr>
            <w:tr w14:paraId="655435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674" w:type="dxa"/>
                  <w:vMerge w:val="continue"/>
                  <w:vAlign w:val="center"/>
                </w:tcPr>
                <w:p w14:paraId="3270271A">
                  <w:pPr>
                    <w:spacing w:line="320" w:lineRule="exact"/>
                    <w:jc w:val="center"/>
                    <w:rPr>
                      <w:bCs/>
                      <w:snapToGrid w:val="0"/>
                      <w:color w:val="auto"/>
                      <w:szCs w:val="21"/>
                    </w:rPr>
                  </w:pPr>
                </w:p>
              </w:tc>
              <w:tc>
                <w:tcPr>
                  <w:tcW w:w="2008" w:type="dxa"/>
                  <w:vAlign w:val="center"/>
                </w:tcPr>
                <w:p w14:paraId="61B7FB37">
                  <w:pPr>
                    <w:ind w:left="-105" w:leftChars="-50" w:right="-105" w:rightChars="-5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废UV灯管</w:t>
                  </w:r>
                </w:p>
              </w:tc>
              <w:tc>
                <w:tcPr>
                  <w:tcW w:w="2446" w:type="dxa"/>
                  <w:vAlign w:val="center"/>
                </w:tcPr>
                <w:p w14:paraId="7E74FB13">
                  <w:pPr>
                    <w:spacing w:line="320" w:lineRule="exact"/>
                    <w:jc w:val="center"/>
                    <w:rPr>
                      <w:rFonts w:hint="default"/>
                      <w:color w:val="auto"/>
                      <w:szCs w:val="21"/>
                      <w:highlight w:val="none"/>
                      <w:lang w:val="en-US" w:eastAsia="zh-CN"/>
                    </w:rPr>
                  </w:pPr>
                  <w:r>
                    <w:rPr>
                      <w:rFonts w:hint="eastAsia"/>
                      <w:color w:val="auto"/>
                      <w:szCs w:val="21"/>
                      <w:highlight w:val="none"/>
                      <w:lang w:val="en-US" w:eastAsia="zh-CN"/>
                    </w:rPr>
                    <w:t>光固</w:t>
                  </w:r>
                </w:p>
              </w:tc>
              <w:tc>
                <w:tcPr>
                  <w:tcW w:w="3323" w:type="dxa"/>
                  <w:vAlign w:val="center"/>
                </w:tcPr>
                <w:p w14:paraId="316598CD">
                  <w:pPr>
                    <w:spacing w:line="320" w:lineRule="exact"/>
                    <w:jc w:val="center"/>
                    <w:rPr>
                      <w:rFonts w:ascii="宋体" w:hAnsi="宋体"/>
                      <w:bCs/>
                      <w:snapToGrid w:val="0"/>
                      <w:color w:val="auto"/>
                      <w:szCs w:val="21"/>
                      <w:highlight w:val="none"/>
                    </w:rPr>
                  </w:pPr>
                  <w:r>
                    <w:rPr>
                      <w:rFonts w:ascii="宋体" w:hAnsi="宋体"/>
                      <w:bCs/>
                      <w:snapToGrid w:val="0"/>
                      <w:color w:val="auto"/>
                      <w:szCs w:val="21"/>
                      <w:highlight w:val="none"/>
                    </w:rPr>
                    <w:t>危险</w:t>
                  </w:r>
                  <w:r>
                    <w:rPr>
                      <w:bCs/>
                      <w:snapToGrid w:val="0"/>
                      <w:color w:val="auto"/>
                      <w:szCs w:val="21"/>
                      <w:highlight w:val="none"/>
                    </w:rPr>
                    <w:t>废物</w:t>
                  </w:r>
                  <w:r>
                    <w:rPr>
                      <w:rFonts w:hint="eastAsia"/>
                      <w:bCs/>
                      <w:snapToGrid w:val="0"/>
                      <w:color w:val="auto"/>
                      <w:szCs w:val="21"/>
                      <w:highlight w:val="none"/>
                    </w:rPr>
                    <w:t>（HW</w:t>
                  </w:r>
                  <w:r>
                    <w:rPr>
                      <w:rFonts w:hint="eastAsia"/>
                      <w:bCs/>
                      <w:snapToGrid w:val="0"/>
                      <w:color w:val="auto"/>
                      <w:szCs w:val="21"/>
                      <w:highlight w:val="none"/>
                      <w:lang w:val="en-US" w:eastAsia="zh-CN"/>
                    </w:rPr>
                    <w:t>29</w:t>
                  </w:r>
                  <w:r>
                    <w:rPr>
                      <w:rFonts w:hint="eastAsia"/>
                      <w:bCs/>
                      <w:snapToGrid w:val="0"/>
                      <w:color w:val="auto"/>
                      <w:szCs w:val="21"/>
                      <w:highlight w:val="none"/>
                    </w:rPr>
                    <w:t>）</w:t>
                  </w:r>
                </w:p>
              </w:tc>
            </w:tr>
            <w:tr w14:paraId="03A55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74" w:type="dxa"/>
                  <w:vMerge w:val="continue"/>
                  <w:vAlign w:val="center"/>
                </w:tcPr>
                <w:p w14:paraId="0DCBD937">
                  <w:pPr>
                    <w:spacing w:line="320" w:lineRule="exact"/>
                    <w:jc w:val="center"/>
                    <w:rPr>
                      <w:bCs/>
                      <w:snapToGrid w:val="0"/>
                      <w:color w:val="auto"/>
                      <w:szCs w:val="21"/>
                    </w:rPr>
                  </w:pPr>
                </w:p>
              </w:tc>
              <w:tc>
                <w:tcPr>
                  <w:tcW w:w="2008" w:type="dxa"/>
                  <w:vAlign w:val="center"/>
                </w:tcPr>
                <w:p w14:paraId="6D39957E">
                  <w:pPr>
                    <w:ind w:left="-105" w:leftChars="-50" w:right="-105" w:rightChars="-50"/>
                    <w:jc w:val="center"/>
                    <w:rPr>
                      <w:color w:val="auto"/>
                      <w:szCs w:val="21"/>
                      <w:highlight w:val="none"/>
                    </w:rPr>
                  </w:pPr>
                  <w:r>
                    <w:rPr>
                      <w:rFonts w:hint="eastAsia"/>
                      <w:color w:val="auto"/>
                      <w:sz w:val="21"/>
                      <w:szCs w:val="21"/>
                      <w:highlight w:val="none"/>
                      <w:lang w:val="en-US" w:eastAsia="zh-CN"/>
                    </w:rPr>
                    <w:t>废润滑油</w:t>
                  </w:r>
                </w:p>
              </w:tc>
              <w:tc>
                <w:tcPr>
                  <w:tcW w:w="2446" w:type="dxa"/>
                  <w:vAlign w:val="center"/>
                </w:tcPr>
                <w:p w14:paraId="5528EAB3">
                  <w:pPr>
                    <w:spacing w:line="320" w:lineRule="exact"/>
                    <w:jc w:val="center"/>
                    <w:rPr>
                      <w:color w:val="auto"/>
                      <w:szCs w:val="21"/>
                      <w:highlight w:val="none"/>
                    </w:rPr>
                  </w:pPr>
                  <w:r>
                    <w:rPr>
                      <w:rFonts w:hint="eastAsia"/>
                      <w:bCs/>
                      <w:snapToGrid w:val="0"/>
                      <w:color w:val="auto"/>
                      <w:szCs w:val="21"/>
                      <w:highlight w:val="none"/>
                    </w:rPr>
                    <w:t>设备维护</w:t>
                  </w:r>
                </w:p>
              </w:tc>
              <w:tc>
                <w:tcPr>
                  <w:tcW w:w="3323" w:type="dxa"/>
                  <w:vAlign w:val="center"/>
                </w:tcPr>
                <w:p w14:paraId="1DC0AC79">
                  <w:pPr>
                    <w:spacing w:line="320" w:lineRule="exact"/>
                    <w:jc w:val="center"/>
                    <w:rPr>
                      <w:bCs/>
                      <w:snapToGrid w:val="0"/>
                      <w:color w:val="auto"/>
                      <w:szCs w:val="21"/>
                      <w:highlight w:val="none"/>
                    </w:rPr>
                  </w:pPr>
                  <w:r>
                    <w:rPr>
                      <w:rFonts w:ascii="宋体" w:hAnsi="宋体"/>
                      <w:bCs/>
                      <w:snapToGrid w:val="0"/>
                      <w:color w:val="auto"/>
                      <w:szCs w:val="21"/>
                      <w:highlight w:val="none"/>
                    </w:rPr>
                    <w:t>危险</w:t>
                  </w:r>
                  <w:r>
                    <w:rPr>
                      <w:bCs/>
                      <w:snapToGrid w:val="0"/>
                      <w:color w:val="auto"/>
                      <w:szCs w:val="21"/>
                      <w:highlight w:val="none"/>
                    </w:rPr>
                    <w:t>废物</w:t>
                  </w:r>
                  <w:r>
                    <w:rPr>
                      <w:rFonts w:hint="eastAsia"/>
                      <w:bCs/>
                      <w:snapToGrid w:val="0"/>
                      <w:color w:val="auto"/>
                      <w:szCs w:val="21"/>
                      <w:highlight w:val="none"/>
                    </w:rPr>
                    <w:t>（H</w:t>
                  </w:r>
                  <w:r>
                    <w:rPr>
                      <w:rFonts w:hint="eastAsia"/>
                      <w:bCs/>
                      <w:snapToGrid w:val="0"/>
                      <w:color w:val="auto"/>
                      <w:szCs w:val="21"/>
                      <w:highlight w:val="none"/>
                      <w:lang w:val="en-US" w:eastAsia="zh-CN"/>
                    </w:rPr>
                    <w:t>08</w:t>
                  </w:r>
                  <w:r>
                    <w:rPr>
                      <w:rFonts w:hint="eastAsia"/>
                      <w:bCs/>
                      <w:snapToGrid w:val="0"/>
                      <w:color w:val="auto"/>
                      <w:szCs w:val="21"/>
                      <w:highlight w:val="none"/>
                    </w:rPr>
                    <w:t>）</w:t>
                  </w:r>
                </w:p>
              </w:tc>
            </w:tr>
            <w:tr w14:paraId="00767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14:paraId="780C82AD">
                  <w:pPr>
                    <w:spacing w:line="320" w:lineRule="exact"/>
                    <w:jc w:val="center"/>
                    <w:rPr>
                      <w:bCs/>
                      <w:snapToGrid w:val="0"/>
                      <w:color w:val="auto"/>
                      <w:szCs w:val="21"/>
                    </w:rPr>
                  </w:pPr>
                </w:p>
              </w:tc>
              <w:tc>
                <w:tcPr>
                  <w:tcW w:w="2008" w:type="dxa"/>
                  <w:vAlign w:val="center"/>
                </w:tcPr>
                <w:p w14:paraId="12FE0F73">
                  <w:pPr>
                    <w:ind w:left="-105" w:leftChars="-50" w:right="-105" w:rightChars="-50"/>
                    <w:jc w:val="center"/>
                    <w:rPr>
                      <w:color w:val="auto"/>
                      <w:szCs w:val="21"/>
                      <w:highlight w:val="none"/>
                    </w:rPr>
                  </w:pPr>
                  <w:r>
                    <w:rPr>
                      <w:rFonts w:hint="eastAsia"/>
                      <w:color w:val="auto"/>
                      <w:sz w:val="21"/>
                      <w:szCs w:val="21"/>
                      <w:highlight w:val="none"/>
                    </w:rPr>
                    <w:t>废</w:t>
                  </w:r>
                  <w:r>
                    <w:rPr>
                      <w:rFonts w:hint="eastAsia"/>
                      <w:color w:val="auto"/>
                      <w:sz w:val="21"/>
                      <w:szCs w:val="21"/>
                      <w:highlight w:val="none"/>
                      <w:lang w:val="en-US" w:eastAsia="zh-CN"/>
                    </w:rPr>
                    <w:t>棉纱</w:t>
                  </w:r>
                  <w:r>
                    <w:rPr>
                      <w:rFonts w:hint="eastAsia"/>
                      <w:color w:val="auto"/>
                      <w:sz w:val="21"/>
                      <w:szCs w:val="21"/>
                      <w:highlight w:val="none"/>
                    </w:rPr>
                    <w:t>手套</w:t>
                  </w:r>
                </w:p>
              </w:tc>
              <w:tc>
                <w:tcPr>
                  <w:tcW w:w="2446" w:type="dxa"/>
                  <w:vAlign w:val="center"/>
                </w:tcPr>
                <w:p w14:paraId="37A37822">
                  <w:pPr>
                    <w:spacing w:line="320" w:lineRule="exact"/>
                    <w:jc w:val="center"/>
                    <w:rPr>
                      <w:color w:val="auto"/>
                      <w:szCs w:val="21"/>
                      <w:highlight w:val="none"/>
                    </w:rPr>
                  </w:pPr>
                  <w:r>
                    <w:rPr>
                      <w:rFonts w:hint="eastAsia"/>
                      <w:bCs/>
                      <w:snapToGrid w:val="0"/>
                      <w:color w:val="auto"/>
                      <w:szCs w:val="21"/>
                      <w:highlight w:val="none"/>
                    </w:rPr>
                    <w:t>设备维护</w:t>
                  </w:r>
                </w:p>
              </w:tc>
              <w:tc>
                <w:tcPr>
                  <w:tcW w:w="3323" w:type="dxa"/>
                  <w:vAlign w:val="center"/>
                </w:tcPr>
                <w:p w14:paraId="15448386">
                  <w:pPr>
                    <w:spacing w:line="320" w:lineRule="exact"/>
                    <w:jc w:val="center"/>
                    <w:rPr>
                      <w:bCs/>
                      <w:snapToGrid w:val="0"/>
                      <w:color w:val="auto"/>
                      <w:szCs w:val="21"/>
                      <w:highlight w:val="none"/>
                    </w:rPr>
                  </w:pPr>
                  <w:r>
                    <w:rPr>
                      <w:rFonts w:ascii="宋体" w:hAnsi="宋体"/>
                      <w:bCs/>
                      <w:snapToGrid w:val="0"/>
                      <w:color w:val="auto"/>
                      <w:szCs w:val="21"/>
                      <w:highlight w:val="none"/>
                    </w:rPr>
                    <w:t>危险</w:t>
                  </w:r>
                  <w:r>
                    <w:rPr>
                      <w:bCs/>
                      <w:snapToGrid w:val="0"/>
                      <w:color w:val="auto"/>
                      <w:szCs w:val="21"/>
                      <w:highlight w:val="none"/>
                    </w:rPr>
                    <w:t>废物（HW</w:t>
                  </w:r>
                  <w:r>
                    <w:rPr>
                      <w:rFonts w:hint="eastAsia"/>
                      <w:bCs/>
                      <w:snapToGrid w:val="0"/>
                      <w:color w:val="auto"/>
                      <w:szCs w:val="21"/>
                      <w:highlight w:val="none"/>
                      <w:lang w:val="en-US" w:eastAsia="zh-CN"/>
                    </w:rPr>
                    <w:t>49</w:t>
                  </w:r>
                  <w:r>
                    <w:rPr>
                      <w:bCs/>
                      <w:snapToGrid w:val="0"/>
                      <w:color w:val="auto"/>
                      <w:szCs w:val="21"/>
                      <w:highlight w:val="none"/>
                    </w:rPr>
                    <w:t>）</w:t>
                  </w:r>
                </w:p>
              </w:tc>
            </w:tr>
            <w:tr w14:paraId="651FD2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674" w:type="dxa"/>
                  <w:vMerge w:val="continue"/>
                  <w:vAlign w:val="center"/>
                </w:tcPr>
                <w:p w14:paraId="5BBF6A13">
                  <w:pPr>
                    <w:spacing w:line="320" w:lineRule="exact"/>
                    <w:jc w:val="center"/>
                    <w:rPr>
                      <w:bCs/>
                      <w:snapToGrid w:val="0"/>
                      <w:color w:val="auto"/>
                      <w:szCs w:val="21"/>
                    </w:rPr>
                  </w:pPr>
                </w:p>
              </w:tc>
              <w:tc>
                <w:tcPr>
                  <w:tcW w:w="2008" w:type="dxa"/>
                  <w:vAlign w:val="center"/>
                </w:tcPr>
                <w:p w14:paraId="0910BCC8">
                  <w:pPr>
                    <w:ind w:left="-105" w:leftChars="-50" w:right="-105" w:rightChars="-50"/>
                    <w:jc w:val="center"/>
                    <w:rPr>
                      <w:color w:val="auto"/>
                      <w:szCs w:val="21"/>
                      <w:highlight w:val="none"/>
                    </w:rPr>
                  </w:pPr>
                  <w:r>
                    <w:rPr>
                      <w:rFonts w:hint="eastAsia"/>
                      <w:color w:val="auto"/>
                      <w:kern w:val="0"/>
                      <w:sz w:val="21"/>
                      <w:szCs w:val="21"/>
                      <w:highlight w:val="none"/>
                    </w:rPr>
                    <w:t>废活性炭</w:t>
                  </w:r>
                </w:p>
              </w:tc>
              <w:tc>
                <w:tcPr>
                  <w:tcW w:w="2446" w:type="dxa"/>
                  <w:vAlign w:val="center"/>
                </w:tcPr>
                <w:p w14:paraId="4A07C840">
                  <w:pPr>
                    <w:spacing w:line="320" w:lineRule="exact"/>
                    <w:jc w:val="center"/>
                    <w:rPr>
                      <w:bCs/>
                      <w:snapToGrid w:val="0"/>
                      <w:color w:val="auto"/>
                      <w:szCs w:val="21"/>
                      <w:highlight w:val="none"/>
                    </w:rPr>
                  </w:pPr>
                  <w:r>
                    <w:rPr>
                      <w:rFonts w:hint="eastAsia"/>
                      <w:bCs/>
                      <w:snapToGrid w:val="0"/>
                      <w:color w:val="auto"/>
                      <w:szCs w:val="21"/>
                      <w:highlight w:val="none"/>
                    </w:rPr>
                    <w:t>环保设备</w:t>
                  </w:r>
                </w:p>
              </w:tc>
              <w:tc>
                <w:tcPr>
                  <w:tcW w:w="3323" w:type="dxa"/>
                  <w:vAlign w:val="center"/>
                </w:tcPr>
                <w:p w14:paraId="6D0C8423">
                  <w:pPr>
                    <w:spacing w:line="320" w:lineRule="exact"/>
                    <w:jc w:val="center"/>
                    <w:rPr>
                      <w:bCs/>
                      <w:snapToGrid w:val="0"/>
                      <w:color w:val="auto"/>
                      <w:szCs w:val="21"/>
                      <w:highlight w:val="none"/>
                    </w:rPr>
                  </w:pPr>
                  <w:r>
                    <w:rPr>
                      <w:bCs/>
                      <w:snapToGrid w:val="0"/>
                      <w:color w:val="auto"/>
                      <w:szCs w:val="21"/>
                      <w:highlight w:val="none"/>
                    </w:rPr>
                    <w:t>危险废物（HW49）</w:t>
                  </w:r>
                </w:p>
              </w:tc>
            </w:tr>
          </w:tbl>
          <w:p w14:paraId="2E8C07CB">
            <w:pPr>
              <w:adjustRightInd w:val="0"/>
              <w:snapToGrid w:val="0"/>
              <w:jc w:val="center"/>
              <w:rPr>
                <w:b/>
                <w:snapToGrid w:val="0"/>
                <w:color w:val="auto"/>
                <w:szCs w:val="21"/>
                <w:highlight w:val="yellow"/>
              </w:rPr>
            </w:pPr>
          </w:p>
          <w:p w14:paraId="12F3659B">
            <w:pPr>
              <w:adjustRightInd w:val="0"/>
              <w:snapToGrid w:val="0"/>
              <w:jc w:val="center"/>
              <w:rPr>
                <w:b/>
                <w:snapToGrid w:val="0"/>
                <w:color w:val="auto"/>
                <w:szCs w:val="21"/>
                <w:highlight w:val="yellow"/>
              </w:rPr>
            </w:pPr>
          </w:p>
          <w:p w14:paraId="4B03F3D4">
            <w:pPr>
              <w:adjustRightInd w:val="0"/>
              <w:snapToGrid w:val="0"/>
              <w:jc w:val="center"/>
              <w:rPr>
                <w:b/>
                <w:snapToGrid w:val="0"/>
                <w:color w:val="auto"/>
                <w:szCs w:val="21"/>
                <w:highlight w:val="yellow"/>
              </w:rPr>
            </w:pPr>
          </w:p>
          <w:p w14:paraId="108FBEDE">
            <w:pPr>
              <w:adjustRightInd w:val="0"/>
              <w:snapToGrid w:val="0"/>
              <w:jc w:val="center"/>
              <w:rPr>
                <w:b/>
                <w:snapToGrid w:val="0"/>
                <w:color w:val="auto"/>
                <w:szCs w:val="21"/>
                <w:highlight w:val="yellow"/>
              </w:rPr>
            </w:pPr>
          </w:p>
          <w:p w14:paraId="3A55886F">
            <w:pPr>
              <w:adjustRightInd w:val="0"/>
              <w:snapToGrid w:val="0"/>
              <w:jc w:val="center"/>
              <w:rPr>
                <w:b/>
                <w:snapToGrid w:val="0"/>
                <w:color w:val="auto"/>
                <w:szCs w:val="21"/>
                <w:highlight w:val="yellow"/>
              </w:rPr>
            </w:pPr>
          </w:p>
          <w:p w14:paraId="2774B9F7">
            <w:pPr>
              <w:adjustRightInd w:val="0"/>
              <w:snapToGrid w:val="0"/>
              <w:jc w:val="center"/>
              <w:rPr>
                <w:b/>
                <w:snapToGrid w:val="0"/>
                <w:color w:val="auto"/>
                <w:szCs w:val="21"/>
                <w:highlight w:val="yellow"/>
              </w:rPr>
            </w:pPr>
          </w:p>
          <w:p w14:paraId="2DA8C11D">
            <w:pPr>
              <w:widowControl/>
              <w:adjustRightInd w:val="0"/>
              <w:snapToGrid w:val="0"/>
              <w:spacing w:line="360" w:lineRule="auto"/>
              <w:rPr>
                <w:color w:val="auto"/>
                <w:sz w:val="24"/>
              </w:rPr>
            </w:pPr>
          </w:p>
        </w:tc>
      </w:tr>
      <w:tr w14:paraId="2D18E1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98" w:hRule="atLeast"/>
          <w:jc w:val="center"/>
        </w:trPr>
        <w:tc>
          <w:tcPr>
            <w:tcW w:w="225" w:type="pct"/>
            <w:vAlign w:val="center"/>
          </w:tcPr>
          <w:p w14:paraId="22D5130A">
            <w:pPr>
              <w:pStyle w:val="21"/>
              <w:adjustRightInd w:val="0"/>
              <w:snapToGrid w:val="0"/>
              <w:spacing w:before="0" w:beforeAutospacing="0" w:after="0" w:afterAutospacing="0"/>
              <w:jc w:val="center"/>
              <w:rPr>
                <w:rFonts w:ascii="Times New Roman" w:hAnsi="Times New Roman"/>
                <w:color w:val="auto"/>
                <w:szCs w:val="24"/>
              </w:rPr>
            </w:pPr>
            <w:r>
              <w:rPr>
                <w:rFonts w:ascii="Times New Roman" w:hAnsi="Times New Roman"/>
                <w:bCs/>
                <w:color w:val="auto"/>
                <w:kern w:val="2"/>
                <w:szCs w:val="24"/>
              </w:rPr>
              <w:t>与项目有关的原有环境污染问题</w:t>
            </w:r>
          </w:p>
        </w:tc>
        <w:tc>
          <w:tcPr>
            <w:tcW w:w="4774" w:type="pct"/>
          </w:tcPr>
          <w:p w14:paraId="5669A3BF">
            <w:pPr>
              <w:pStyle w:val="71"/>
              <w:numPr>
                <w:ilvl w:val="0"/>
                <w:numId w:val="3"/>
              </w:numPr>
              <w:spacing w:line="360" w:lineRule="auto"/>
              <w:ind w:firstLineChars="0"/>
              <w:rPr>
                <w:b/>
                <w:bCs/>
                <w:color w:val="auto"/>
                <w:sz w:val="24"/>
              </w:rPr>
            </w:pPr>
            <w:r>
              <w:rPr>
                <w:rFonts w:hint="eastAsia"/>
                <w:b/>
                <w:bCs/>
                <w:color w:val="auto"/>
                <w:sz w:val="24"/>
              </w:rPr>
              <w:t>现有工程</w:t>
            </w:r>
          </w:p>
          <w:p w14:paraId="061FD0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6" w:firstLineChars="200"/>
              <w:textAlignment w:val="auto"/>
              <w:rPr>
                <w:rFonts w:hint="default" w:ascii="Times New Roman" w:hAnsi="Times New Roman" w:eastAsia="宋体" w:cs="Times New Roman"/>
                <w:color w:val="auto"/>
                <w:sz w:val="24"/>
                <w:szCs w:val="24"/>
                <w:lang w:val="zh-CN" w:eastAsia="zh-CN"/>
              </w:rPr>
            </w:pPr>
            <w:r>
              <w:rPr>
                <w:rFonts w:hint="eastAsia"/>
                <w:color w:val="auto"/>
                <w:spacing w:val="-6"/>
                <w:sz w:val="24"/>
                <w:lang w:val="en-US" w:eastAsia="zh-CN"/>
              </w:rPr>
              <w:t>四川桓洋智能科技有限公司成立于2018年，选址于大英县蓬莱镇工业集中发展区采和大道1楼，建设“</w:t>
            </w:r>
            <w:r>
              <w:rPr>
                <w:rFonts w:hint="default" w:ascii="Times New Roman" w:hAnsi="Times New Roman" w:eastAsia="宋体" w:cs="Times New Roman"/>
                <w:color w:val="auto"/>
                <w:sz w:val="24"/>
                <w:szCs w:val="24"/>
                <w:lang w:eastAsia="zh-CN"/>
              </w:rPr>
              <w:t>高端塑胶外包装容器制造项目</w:t>
            </w:r>
            <w:r>
              <w:rPr>
                <w:rFonts w:hint="eastAsia"/>
                <w:color w:val="auto"/>
                <w:spacing w:val="-6"/>
                <w:sz w:val="24"/>
                <w:lang w:val="en-US" w:eastAsia="zh-CN"/>
              </w:rPr>
              <w:t>”；于2020年12月4日取得了遂宁市大英生态环境局《关于高端塑胶外包装容器制造项目环境影响报告表的批复》（遂大环函[2020]150号）。并于2022年4月完成竣工环境保护验收并取得验收意见。该项目</w:t>
            </w:r>
            <w:r>
              <w:rPr>
                <w:rFonts w:hint="default" w:ascii="Times New Roman" w:hAnsi="Times New Roman" w:eastAsia="宋体" w:cs="Times New Roman"/>
                <w:color w:val="auto"/>
                <w:sz w:val="24"/>
                <w:szCs w:val="24"/>
                <w:lang w:val="zh-CN" w:eastAsia="zh-CN"/>
              </w:rPr>
              <w:t>主要产品为</w:t>
            </w:r>
            <w:r>
              <w:rPr>
                <w:rFonts w:hint="default" w:ascii="Times New Roman" w:hAnsi="Times New Roman" w:eastAsia="宋体" w:cs="Times New Roman"/>
                <w:color w:val="auto"/>
                <w:sz w:val="24"/>
                <w:szCs w:val="24"/>
                <w:lang w:val="en-US" w:eastAsia="zh-CN"/>
              </w:rPr>
              <w:t>亚克力酒类包装外盒</w:t>
            </w:r>
            <w:r>
              <w:rPr>
                <w:rFonts w:hint="default" w:ascii="Times New Roman" w:hAnsi="Times New Roman" w:eastAsia="宋体" w:cs="Times New Roman"/>
                <w:color w:val="auto"/>
                <w:sz w:val="24"/>
                <w:szCs w:val="24"/>
                <w:lang w:val="zh-CN" w:eastAsia="zh-CN"/>
              </w:rPr>
              <w:t>，建成后</w:t>
            </w:r>
            <w:r>
              <w:rPr>
                <w:rFonts w:hint="eastAsia" w:cs="Times New Roman"/>
                <w:color w:val="auto"/>
                <w:sz w:val="24"/>
                <w:szCs w:val="24"/>
                <w:lang w:val="en-US" w:eastAsia="zh-CN"/>
              </w:rPr>
              <w:t>年产</w:t>
            </w:r>
            <w:r>
              <w:rPr>
                <w:rFonts w:hint="default" w:ascii="Times New Roman" w:hAnsi="Times New Roman" w:eastAsia="宋体" w:cs="Times New Roman"/>
                <w:color w:val="auto"/>
                <w:sz w:val="24"/>
                <w:szCs w:val="24"/>
                <w:lang w:val="zh-CN" w:eastAsia="zh-CN"/>
              </w:rPr>
              <w:t>亚克力酒类包装外盒300万套</w:t>
            </w:r>
            <w:r>
              <w:rPr>
                <w:rFonts w:hint="default" w:ascii="Times New Roman" w:hAnsi="Times New Roman" w:cs="Times New Roman"/>
                <w:color w:val="auto"/>
                <w:sz w:val="24"/>
                <w:szCs w:val="24"/>
                <w:lang w:val="zh-CN" w:eastAsia="zh-CN"/>
              </w:rPr>
              <w:t>。</w:t>
            </w:r>
          </w:p>
          <w:p w14:paraId="0EEE0EDD">
            <w:pPr>
              <w:autoSpaceDE w:val="0"/>
              <w:autoSpaceDN w:val="0"/>
              <w:adjustRightInd w:val="0"/>
              <w:spacing w:line="360" w:lineRule="auto"/>
              <w:ind w:firstLine="448" w:firstLineChars="200"/>
              <w:rPr>
                <w:color w:val="auto"/>
                <w:spacing w:val="-8"/>
                <w:sz w:val="24"/>
              </w:rPr>
            </w:pPr>
            <w:r>
              <w:rPr>
                <w:rFonts w:hint="eastAsia"/>
                <w:color w:val="auto"/>
                <w:spacing w:val="-8"/>
                <w:sz w:val="24"/>
              </w:rPr>
              <w:t>现有工程环评、验收及排污许可手续情况见下表：</w:t>
            </w:r>
          </w:p>
          <w:p w14:paraId="28E6D017">
            <w:pPr>
              <w:adjustRightInd w:val="0"/>
              <w:snapToGrid w:val="0"/>
              <w:ind w:left="422"/>
              <w:jc w:val="center"/>
              <w:rPr>
                <w:b/>
                <w:color w:val="auto"/>
                <w:szCs w:val="21"/>
              </w:rPr>
            </w:pPr>
            <w:r>
              <w:rPr>
                <w:rFonts w:hint="eastAsia"/>
                <w:b/>
                <w:color w:val="auto"/>
                <w:szCs w:val="21"/>
              </w:rPr>
              <w:t>表</w:t>
            </w:r>
            <w:r>
              <w:rPr>
                <w:b/>
                <w:color w:val="auto"/>
                <w:szCs w:val="21"/>
              </w:rPr>
              <w:t>2</w:t>
            </w:r>
            <w:r>
              <w:rPr>
                <w:rFonts w:hint="eastAsia"/>
                <w:b/>
                <w:color w:val="auto"/>
                <w:szCs w:val="21"/>
              </w:rPr>
              <w:t>-</w:t>
            </w:r>
            <w:r>
              <w:rPr>
                <w:b/>
                <w:color w:val="auto"/>
                <w:szCs w:val="21"/>
              </w:rPr>
              <w:t>1</w:t>
            </w:r>
            <w:r>
              <w:rPr>
                <w:rFonts w:hint="eastAsia"/>
                <w:b/>
                <w:color w:val="auto"/>
                <w:szCs w:val="21"/>
                <w:lang w:val="en-US" w:eastAsia="zh-CN"/>
              </w:rPr>
              <w:t>4</w:t>
            </w:r>
            <w:r>
              <w:rPr>
                <w:b/>
                <w:color w:val="auto"/>
                <w:szCs w:val="21"/>
              </w:rPr>
              <w:t xml:space="preserve">   </w:t>
            </w:r>
            <w:r>
              <w:rPr>
                <w:rFonts w:hint="eastAsia"/>
                <w:b/>
                <w:color w:val="auto"/>
                <w:szCs w:val="21"/>
              </w:rPr>
              <w:t>现有工程环评、验收及排污许可情况</w:t>
            </w:r>
            <w:r>
              <w:rPr>
                <w:b/>
                <w:color w:val="auto"/>
                <w:szCs w:val="21"/>
              </w:rPr>
              <w:t>一览表</w:t>
            </w:r>
          </w:p>
          <w:tbl>
            <w:tblPr>
              <w:tblStyle w:val="25"/>
              <w:tblW w:w="837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1508"/>
              <w:gridCol w:w="1701"/>
              <w:gridCol w:w="3254"/>
            </w:tblGrid>
            <w:tr w14:paraId="6AB425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142" w:type="pct"/>
                  <w:tcBorders>
                    <w:tl2br w:val="nil"/>
                    <w:tr2bl w:val="nil"/>
                  </w:tcBorders>
                  <w:vAlign w:val="center"/>
                </w:tcPr>
                <w:p w14:paraId="2369481F">
                  <w:pPr>
                    <w:jc w:val="center"/>
                    <w:rPr>
                      <w:b/>
                      <w:color w:val="auto"/>
                      <w:szCs w:val="21"/>
                    </w:rPr>
                  </w:pPr>
                  <w:r>
                    <w:rPr>
                      <w:rFonts w:hint="eastAsia"/>
                      <w:b/>
                      <w:color w:val="auto"/>
                      <w:szCs w:val="21"/>
                    </w:rPr>
                    <w:t>项目名称</w:t>
                  </w:r>
                </w:p>
              </w:tc>
              <w:tc>
                <w:tcPr>
                  <w:tcW w:w="900" w:type="pct"/>
                  <w:tcBorders>
                    <w:tl2br w:val="nil"/>
                    <w:tr2bl w:val="nil"/>
                  </w:tcBorders>
                  <w:vAlign w:val="center"/>
                </w:tcPr>
                <w:p w14:paraId="4DCD1174">
                  <w:pPr>
                    <w:jc w:val="center"/>
                    <w:rPr>
                      <w:b/>
                      <w:color w:val="auto"/>
                      <w:szCs w:val="21"/>
                    </w:rPr>
                  </w:pPr>
                  <w:r>
                    <w:rPr>
                      <w:rFonts w:hint="eastAsia"/>
                      <w:b/>
                      <w:color w:val="auto"/>
                      <w:szCs w:val="21"/>
                    </w:rPr>
                    <w:t>环评批复部门</w:t>
                  </w:r>
                </w:p>
              </w:tc>
              <w:tc>
                <w:tcPr>
                  <w:tcW w:w="1015" w:type="pct"/>
                  <w:tcBorders>
                    <w:tl2br w:val="nil"/>
                    <w:tr2bl w:val="nil"/>
                  </w:tcBorders>
                  <w:vAlign w:val="center"/>
                </w:tcPr>
                <w:p w14:paraId="76FC06B4">
                  <w:pPr>
                    <w:jc w:val="center"/>
                    <w:rPr>
                      <w:b/>
                      <w:color w:val="auto"/>
                      <w:szCs w:val="21"/>
                    </w:rPr>
                  </w:pPr>
                  <w:r>
                    <w:rPr>
                      <w:rFonts w:hint="eastAsia"/>
                      <w:b/>
                      <w:color w:val="auto"/>
                      <w:szCs w:val="21"/>
                    </w:rPr>
                    <w:t>批复文号</w:t>
                  </w:r>
                </w:p>
              </w:tc>
              <w:tc>
                <w:tcPr>
                  <w:tcW w:w="1941" w:type="pct"/>
                  <w:tcBorders>
                    <w:tl2br w:val="nil"/>
                    <w:tr2bl w:val="nil"/>
                  </w:tcBorders>
                  <w:vAlign w:val="center"/>
                </w:tcPr>
                <w:p w14:paraId="36EB8EAF">
                  <w:pPr>
                    <w:jc w:val="center"/>
                    <w:rPr>
                      <w:b/>
                      <w:color w:val="auto"/>
                      <w:szCs w:val="21"/>
                    </w:rPr>
                  </w:pPr>
                  <w:r>
                    <w:rPr>
                      <w:rFonts w:hint="eastAsia"/>
                      <w:b/>
                      <w:color w:val="auto"/>
                      <w:szCs w:val="21"/>
                    </w:rPr>
                    <w:t>验收情况</w:t>
                  </w:r>
                </w:p>
              </w:tc>
            </w:tr>
            <w:tr w14:paraId="22758B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142" w:type="pct"/>
                  <w:tcBorders>
                    <w:tl2br w:val="nil"/>
                    <w:tr2bl w:val="nil"/>
                  </w:tcBorders>
                  <w:vAlign w:val="center"/>
                </w:tcPr>
                <w:p w14:paraId="510445B1">
                  <w:pPr>
                    <w:jc w:val="center"/>
                    <w:rPr>
                      <w:color w:val="auto"/>
                      <w:szCs w:val="21"/>
                    </w:rPr>
                  </w:pPr>
                  <w:r>
                    <w:rPr>
                      <w:rFonts w:hint="default"/>
                      <w:color w:val="auto"/>
                      <w:szCs w:val="21"/>
                      <w:lang w:eastAsia="zh-CN"/>
                    </w:rPr>
                    <w:t>高端塑胶外包装容器制造项目</w:t>
                  </w:r>
                </w:p>
              </w:tc>
              <w:tc>
                <w:tcPr>
                  <w:tcW w:w="900" w:type="pct"/>
                  <w:tcBorders>
                    <w:tl2br w:val="nil"/>
                    <w:tr2bl w:val="nil"/>
                  </w:tcBorders>
                  <w:vAlign w:val="center"/>
                </w:tcPr>
                <w:p w14:paraId="6A8A06F9">
                  <w:pPr>
                    <w:jc w:val="center"/>
                    <w:rPr>
                      <w:rFonts w:hint="default" w:eastAsia="宋体"/>
                      <w:color w:val="auto"/>
                      <w:szCs w:val="21"/>
                      <w:lang w:val="en-US" w:eastAsia="zh-CN"/>
                    </w:rPr>
                  </w:pPr>
                  <w:r>
                    <w:rPr>
                      <w:rFonts w:hint="eastAsia"/>
                      <w:color w:val="auto"/>
                      <w:szCs w:val="21"/>
                      <w:lang w:val="en-US" w:eastAsia="zh-CN"/>
                    </w:rPr>
                    <w:t>遂宁</w:t>
                  </w:r>
                  <w:r>
                    <w:rPr>
                      <w:rFonts w:hint="default" w:eastAsia="宋体"/>
                      <w:color w:val="auto"/>
                      <w:szCs w:val="21"/>
                      <w:lang w:val="en-US" w:eastAsia="zh-CN"/>
                    </w:rPr>
                    <w:t>市大英生态环境</w:t>
                  </w:r>
                </w:p>
              </w:tc>
              <w:tc>
                <w:tcPr>
                  <w:tcW w:w="1015" w:type="pct"/>
                  <w:tcBorders>
                    <w:tl2br w:val="nil"/>
                    <w:tr2bl w:val="nil"/>
                  </w:tcBorders>
                  <w:vAlign w:val="center"/>
                </w:tcPr>
                <w:p w14:paraId="271A05D3">
                  <w:pPr>
                    <w:jc w:val="center"/>
                    <w:rPr>
                      <w:color w:val="auto"/>
                      <w:szCs w:val="21"/>
                    </w:rPr>
                  </w:pPr>
                  <w:r>
                    <w:rPr>
                      <w:rFonts w:hint="eastAsia"/>
                      <w:color w:val="auto"/>
                      <w:szCs w:val="21"/>
                      <w:lang w:val="en-US" w:eastAsia="zh-CN"/>
                    </w:rPr>
                    <w:t>遂大环函[2020]150号</w:t>
                  </w:r>
                </w:p>
              </w:tc>
              <w:tc>
                <w:tcPr>
                  <w:tcW w:w="1941" w:type="pct"/>
                  <w:tcBorders>
                    <w:tl2br w:val="nil"/>
                    <w:tr2bl w:val="nil"/>
                  </w:tcBorders>
                  <w:vAlign w:val="center"/>
                </w:tcPr>
                <w:p w14:paraId="50D5D547">
                  <w:pPr>
                    <w:jc w:val="center"/>
                    <w:rPr>
                      <w:rFonts w:hint="default" w:eastAsia="宋体"/>
                      <w:color w:val="auto"/>
                      <w:szCs w:val="21"/>
                      <w:lang w:val="en-US" w:eastAsia="zh-CN"/>
                    </w:rPr>
                  </w:pPr>
                  <w:r>
                    <w:rPr>
                      <w:rFonts w:hint="eastAsia"/>
                      <w:color w:val="auto"/>
                      <w:szCs w:val="21"/>
                      <w:lang w:val="en-US" w:eastAsia="zh-CN"/>
                    </w:rPr>
                    <w:t>2022年4月通过竣工环境保护验收</w:t>
                  </w:r>
                  <w:r>
                    <w:rPr>
                      <w:rFonts w:hint="eastAsia"/>
                      <w:color w:val="auto"/>
                      <w:szCs w:val="21"/>
                    </w:rPr>
                    <w:t>，</w:t>
                  </w:r>
                  <w:r>
                    <w:rPr>
                      <w:rFonts w:hint="eastAsia"/>
                      <w:color w:val="auto"/>
                      <w:szCs w:val="21"/>
                      <w:lang w:val="en-US" w:eastAsia="zh-CN"/>
                    </w:rPr>
                    <w:t>并取得验收意见</w:t>
                  </w:r>
                </w:p>
              </w:tc>
            </w:tr>
            <w:tr w14:paraId="1080C9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142" w:type="pct"/>
                  <w:tcBorders>
                    <w:tl2br w:val="nil"/>
                    <w:tr2bl w:val="nil"/>
                  </w:tcBorders>
                  <w:vAlign w:val="center"/>
                </w:tcPr>
                <w:p w14:paraId="707F61A4">
                  <w:pPr>
                    <w:jc w:val="center"/>
                    <w:rPr>
                      <w:b/>
                      <w:bCs/>
                      <w:color w:val="auto"/>
                      <w:szCs w:val="21"/>
                    </w:rPr>
                  </w:pPr>
                  <w:r>
                    <w:rPr>
                      <w:b/>
                      <w:bCs/>
                      <w:color w:val="auto"/>
                      <w:szCs w:val="21"/>
                    </w:rPr>
                    <w:t>排污许可手续</w:t>
                  </w:r>
                </w:p>
              </w:tc>
              <w:tc>
                <w:tcPr>
                  <w:tcW w:w="3857" w:type="pct"/>
                  <w:gridSpan w:val="3"/>
                  <w:tcBorders>
                    <w:tl2br w:val="nil"/>
                    <w:tr2bl w:val="nil"/>
                  </w:tcBorders>
                  <w:vAlign w:val="center"/>
                </w:tcPr>
                <w:p w14:paraId="743A55F9">
                  <w:pPr>
                    <w:jc w:val="left"/>
                    <w:rPr>
                      <w:b/>
                      <w:bCs/>
                      <w:color w:val="auto"/>
                      <w:szCs w:val="21"/>
                    </w:rPr>
                  </w:pPr>
                  <w:r>
                    <w:rPr>
                      <w:rFonts w:hint="eastAsia"/>
                      <w:color w:val="auto"/>
                      <w:szCs w:val="21"/>
                      <w:lang w:val="en-US" w:eastAsia="zh-CN"/>
                    </w:rPr>
                    <w:t>2024年8月16日</w:t>
                  </w:r>
                  <w:r>
                    <w:rPr>
                      <w:color w:val="auto"/>
                      <w:szCs w:val="21"/>
                    </w:rPr>
                    <w:t>，</w:t>
                  </w:r>
                  <w:r>
                    <w:rPr>
                      <w:rFonts w:hint="eastAsia"/>
                      <w:color w:val="auto"/>
                      <w:szCs w:val="21"/>
                    </w:rPr>
                    <w:t>建设单位进行了</w:t>
                  </w:r>
                  <w:r>
                    <w:rPr>
                      <w:color w:val="auto"/>
                      <w:szCs w:val="21"/>
                    </w:rPr>
                    <w:t>排污许可</w:t>
                  </w:r>
                  <w:r>
                    <w:rPr>
                      <w:rFonts w:hint="eastAsia"/>
                      <w:color w:val="auto"/>
                      <w:szCs w:val="21"/>
                    </w:rPr>
                    <w:t>登记（固定污染源排污登记回执见附件）</w:t>
                  </w:r>
                  <w:r>
                    <w:rPr>
                      <w:color w:val="auto"/>
                      <w:szCs w:val="21"/>
                    </w:rPr>
                    <w:t>，</w:t>
                  </w:r>
                  <w:r>
                    <w:rPr>
                      <w:rFonts w:hint="eastAsia"/>
                      <w:color w:val="auto"/>
                      <w:szCs w:val="21"/>
                    </w:rPr>
                    <w:t>登记</w:t>
                  </w:r>
                  <w:r>
                    <w:rPr>
                      <w:color w:val="auto"/>
                      <w:szCs w:val="21"/>
                    </w:rPr>
                    <w:t>编号：</w:t>
                  </w:r>
                  <w:r>
                    <w:rPr>
                      <w:rFonts w:hint="eastAsia"/>
                      <w:color w:val="auto"/>
                      <w:szCs w:val="21"/>
                      <w:lang w:val="en-US" w:eastAsia="zh-CN"/>
                    </w:rPr>
                    <w:t xml:space="preserve">91510923MA67JWY60J002Y </w:t>
                  </w:r>
                  <w:r>
                    <w:rPr>
                      <w:rFonts w:hint="eastAsia"/>
                      <w:color w:val="auto"/>
                      <w:szCs w:val="21"/>
                    </w:rPr>
                    <w:t>。</w:t>
                  </w:r>
                </w:p>
              </w:tc>
            </w:tr>
          </w:tbl>
          <w:p w14:paraId="77895C78">
            <w:pPr>
              <w:pStyle w:val="71"/>
              <w:numPr>
                <w:ilvl w:val="0"/>
                <w:numId w:val="3"/>
              </w:numPr>
              <w:adjustRightInd w:val="0"/>
              <w:snapToGrid w:val="0"/>
              <w:spacing w:line="360" w:lineRule="auto"/>
              <w:ind w:firstLineChars="0"/>
              <w:rPr>
                <w:b/>
                <w:bCs/>
                <w:color w:val="auto"/>
                <w:sz w:val="24"/>
              </w:rPr>
            </w:pPr>
            <w:r>
              <w:rPr>
                <w:rFonts w:hint="eastAsia"/>
                <w:b/>
                <w:bCs/>
                <w:color w:val="auto"/>
                <w:sz w:val="24"/>
              </w:rPr>
              <w:t>现有工程产品及产能</w:t>
            </w:r>
          </w:p>
          <w:p w14:paraId="24311B9E">
            <w:pPr>
              <w:autoSpaceDE w:val="0"/>
              <w:autoSpaceDN w:val="0"/>
              <w:adjustRightInd w:val="0"/>
              <w:spacing w:line="360" w:lineRule="auto"/>
              <w:ind w:firstLine="480" w:firstLineChars="200"/>
              <w:jc w:val="left"/>
              <w:rPr>
                <w:color w:val="auto"/>
                <w:sz w:val="24"/>
              </w:rPr>
            </w:pPr>
            <w:r>
              <w:rPr>
                <w:rFonts w:hint="eastAsia"/>
                <w:color w:val="auto"/>
                <w:sz w:val="24"/>
              </w:rPr>
              <w:t>产品方案见下表：</w:t>
            </w:r>
          </w:p>
          <w:p w14:paraId="25DC5DA1">
            <w:pPr>
              <w:adjustRightInd w:val="0"/>
              <w:snapToGrid w:val="0"/>
              <w:ind w:left="422"/>
              <w:jc w:val="center"/>
              <w:rPr>
                <w:b/>
                <w:color w:val="auto"/>
                <w:szCs w:val="21"/>
              </w:rPr>
            </w:pPr>
            <w:r>
              <w:rPr>
                <w:rFonts w:hint="eastAsia"/>
                <w:b/>
                <w:color w:val="auto"/>
                <w:szCs w:val="21"/>
              </w:rPr>
              <w:t>表</w:t>
            </w:r>
            <w:r>
              <w:rPr>
                <w:b/>
                <w:color w:val="auto"/>
                <w:szCs w:val="21"/>
              </w:rPr>
              <w:t>2</w:t>
            </w:r>
            <w:r>
              <w:rPr>
                <w:rFonts w:hint="eastAsia"/>
                <w:b/>
                <w:color w:val="auto"/>
                <w:szCs w:val="21"/>
              </w:rPr>
              <w:t>-</w:t>
            </w:r>
            <w:r>
              <w:rPr>
                <w:b/>
                <w:color w:val="auto"/>
                <w:szCs w:val="21"/>
              </w:rPr>
              <w:t>1</w:t>
            </w:r>
            <w:r>
              <w:rPr>
                <w:rFonts w:hint="eastAsia"/>
                <w:b/>
                <w:color w:val="auto"/>
                <w:szCs w:val="21"/>
                <w:lang w:val="en-US" w:eastAsia="zh-CN"/>
              </w:rPr>
              <w:t>5</w:t>
            </w:r>
            <w:r>
              <w:rPr>
                <w:b/>
                <w:color w:val="auto"/>
                <w:szCs w:val="21"/>
              </w:rPr>
              <w:t xml:space="preserve">   </w:t>
            </w:r>
            <w:r>
              <w:rPr>
                <w:rFonts w:hint="eastAsia"/>
                <w:b/>
                <w:color w:val="auto"/>
                <w:szCs w:val="21"/>
              </w:rPr>
              <w:t>现有工程</w:t>
            </w:r>
            <w:r>
              <w:rPr>
                <w:b/>
                <w:color w:val="auto"/>
                <w:szCs w:val="21"/>
              </w:rPr>
              <w:t>产品方案一览表</w:t>
            </w:r>
          </w:p>
          <w:tbl>
            <w:tblPr>
              <w:tblStyle w:val="25"/>
              <w:tblW w:w="85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35"/>
              <w:gridCol w:w="2135"/>
              <w:gridCol w:w="2135"/>
              <w:gridCol w:w="2135"/>
            </w:tblGrid>
            <w:tr w14:paraId="627C6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135" w:type="dxa"/>
                  <w:tcBorders>
                    <w:tl2br w:val="nil"/>
                    <w:tr2bl w:val="nil"/>
                  </w:tcBorders>
                  <w:noWrap w:val="0"/>
                  <w:vAlign w:val="center"/>
                </w:tcPr>
                <w:p w14:paraId="7D1D1764">
                  <w:pPr>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序号</w:t>
                  </w:r>
                </w:p>
              </w:tc>
              <w:tc>
                <w:tcPr>
                  <w:tcW w:w="2135" w:type="dxa"/>
                  <w:tcBorders>
                    <w:tl2br w:val="nil"/>
                    <w:tr2bl w:val="nil"/>
                  </w:tcBorders>
                  <w:noWrap w:val="0"/>
                  <w:vAlign w:val="center"/>
                </w:tcPr>
                <w:p w14:paraId="6A81C26F">
                  <w:pPr>
                    <w:jc w:val="center"/>
                    <w:rPr>
                      <w:rFonts w:hint="default" w:ascii="Times New Roman" w:hAnsi="Times New Roman" w:cs="Times New Roman"/>
                      <w:b/>
                      <w:color w:val="auto"/>
                      <w:szCs w:val="21"/>
                      <w:lang w:eastAsia="zh-CN"/>
                    </w:rPr>
                  </w:pPr>
                  <w:r>
                    <w:rPr>
                      <w:rFonts w:hint="default" w:ascii="Times New Roman" w:hAnsi="Times New Roman" w:cs="Times New Roman"/>
                      <w:b/>
                      <w:color w:val="auto"/>
                      <w:szCs w:val="21"/>
                      <w:lang w:eastAsia="zh-CN"/>
                    </w:rPr>
                    <w:t>产品名称</w:t>
                  </w:r>
                </w:p>
              </w:tc>
              <w:tc>
                <w:tcPr>
                  <w:tcW w:w="2135" w:type="dxa"/>
                  <w:tcBorders>
                    <w:tl2br w:val="nil"/>
                    <w:tr2bl w:val="nil"/>
                  </w:tcBorders>
                  <w:noWrap w:val="0"/>
                  <w:vAlign w:val="center"/>
                </w:tcPr>
                <w:p w14:paraId="7F870A61">
                  <w:pPr>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规格</w:t>
                  </w:r>
                </w:p>
              </w:tc>
              <w:tc>
                <w:tcPr>
                  <w:tcW w:w="2135" w:type="dxa"/>
                  <w:tcBorders>
                    <w:tl2br w:val="nil"/>
                    <w:tr2bl w:val="nil"/>
                  </w:tcBorders>
                  <w:noWrap w:val="0"/>
                  <w:vAlign w:val="center"/>
                </w:tcPr>
                <w:p w14:paraId="7B859CCB">
                  <w:pPr>
                    <w:jc w:val="center"/>
                    <w:rPr>
                      <w:rFonts w:hint="default" w:ascii="Times New Roman" w:hAnsi="Times New Roman" w:cs="Times New Roman"/>
                      <w:b/>
                      <w:color w:val="auto"/>
                      <w:szCs w:val="21"/>
                    </w:rPr>
                  </w:pPr>
                  <w:r>
                    <w:rPr>
                      <w:rFonts w:hint="default" w:ascii="Times New Roman" w:hAnsi="Times New Roman" w:cs="Times New Roman"/>
                      <w:b/>
                      <w:color w:val="auto"/>
                      <w:szCs w:val="21"/>
                      <w:lang w:eastAsia="zh-CN"/>
                    </w:rPr>
                    <w:t>产量</w:t>
                  </w:r>
                </w:p>
              </w:tc>
            </w:tr>
            <w:tr w14:paraId="6BBE2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135" w:type="dxa"/>
                  <w:tcBorders>
                    <w:tl2br w:val="nil"/>
                    <w:tr2bl w:val="nil"/>
                  </w:tcBorders>
                  <w:noWrap w:val="0"/>
                  <w:vAlign w:val="center"/>
                </w:tcPr>
                <w:p w14:paraId="69088549">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135" w:type="dxa"/>
                  <w:tcBorders>
                    <w:tl2br w:val="nil"/>
                    <w:tr2bl w:val="nil"/>
                  </w:tcBorders>
                  <w:noWrap w:val="0"/>
                  <w:vAlign w:val="center"/>
                </w:tcPr>
                <w:p w14:paraId="39C079DF">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亚克力酒类包装外盒</w:t>
                  </w:r>
                </w:p>
              </w:tc>
              <w:tc>
                <w:tcPr>
                  <w:tcW w:w="2135" w:type="dxa"/>
                  <w:tcBorders>
                    <w:tl2br w:val="nil"/>
                    <w:tr2bl w:val="nil"/>
                  </w:tcBorders>
                  <w:noWrap w:val="0"/>
                  <w:vAlign w:val="center"/>
                </w:tcPr>
                <w:p w14:paraId="3D583CCB">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12*12*28.5cm</w:t>
                  </w:r>
                </w:p>
              </w:tc>
              <w:tc>
                <w:tcPr>
                  <w:tcW w:w="2135" w:type="dxa"/>
                  <w:tcBorders>
                    <w:tl2br w:val="nil"/>
                    <w:tr2bl w:val="nil"/>
                  </w:tcBorders>
                  <w:noWrap w:val="0"/>
                  <w:vAlign w:val="center"/>
                </w:tcPr>
                <w:p w14:paraId="2343ABE4">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300万套/年</w:t>
                  </w:r>
                </w:p>
              </w:tc>
            </w:tr>
            <w:tr w14:paraId="3973F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270" w:type="dxa"/>
                  <w:gridSpan w:val="2"/>
                  <w:tcBorders>
                    <w:tl2br w:val="nil"/>
                    <w:tr2bl w:val="nil"/>
                  </w:tcBorders>
                  <w:noWrap w:val="0"/>
                  <w:vAlign w:val="center"/>
                </w:tcPr>
                <w:p w14:paraId="2A75E834">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合计</w:t>
                  </w:r>
                </w:p>
              </w:tc>
              <w:tc>
                <w:tcPr>
                  <w:tcW w:w="2135" w:type="dxa"/>
                  <w:tcBorders>
                    <w:tl2br w:val="nil"/>
                    <w:tr2bl w:val="nil"/>
                  </w:tcBorders>
                  <w:noWrap w:val="0"/>
                  <w:vAlign w:val="center"/>
                </w:tcPr>
                <w:p w14:paraId="789CB209">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135" w:type="dxa"/>
                  <w:tcBorders>
                    <w:tl2br w:val="nil"/>
                    <w:tr2bl w:val="nil"/>
                  </w:tcBorders>
                  <w:noWrap w:val="0"/>
                  <w:vAlign w:val="center"/>
                </w:tcPr>
                <w:p w14:paraId="08638C02">
                  <w:pPr>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300万套/年</w:t>
                  </w:r>
                </w:p>
              </w:tc>
            </w:tr>
          </w:tbl>
          <w:p w14:paraId="1F5143D3">
            <w:pPr>
              <w:adjustRightInd w:val="0"/>
              <w:snapToGrid w:val="0"/>
              <w:spacing w:line="360" w:lineRule="auto"/>
              <w:ind w:firstLine="482" w:firstLineChars="200"/>
              <w:rPr>
                <w:b/>
                <w:bCs/>
                <w:color w:val="auto"/>
                <w:sz w:val="24"/>
              </w:rPr>
            </w:pPr>
            <w:r>
              <w:rPr>
                <w:rFonts w:hint="eastAsia"/>
                <w:b/>
                <w:bCs/>
                <w:color w:val="auto"/>
                <w:sz w:val="24"/>
              </w:rPr>
              <w:t>3、现有工程主要生产设备清单</w:t>
            </w:r>
          </w:p>
          <w:p w14:paraId="54C4C2C9">
            <w:pPr>
              <w:adjustRightInd w:val="0"/>
              <w:snapToGrid w:val="0"/>
              <w:spacing w:line="360" w:lineRule="auto"/>
              <w:ind w:left="422"/>
              <w:rPr>
                <w:color w:val="auto"/>
                <w:sz w:val="24"/>
              </w:rPr>
            </w:pPr>
            <w:r>
              <w:rPr>
                <w:rFonts w:hint="eastAsia"/>
                <w:color w:val="auto"/>
                <w:sz w:val="24"/>
              </w:rPr>
              <w:t>现有工程主要生产设备清单见下表：</w:t>
            </w:r>
          </w:p>
          <w:p w14:paraId="0ED57AD0">
            <w:pPr>
              <w:adjustRightInd w:val="0"/>
              <w:snapToGrid w:val="0"/>
              <w:ind w:left="422"/>
              <w:jc w:val="center"/>
              <w:rPr>
                <w:b/>
                <w:bCs/>
                <w:color w:val="auto"/>
                <w:szCs w:val="21"/>
              </w:rPr>
            </w:pPr>
            <w:r>
              <w:rPr>
                <w:rFonts w:hint="eastAsia"/>
                <w:b/>
                <w:bCs/>
                <w:color w:val="auto"/>
                <w:szCs w:val="21"/>
              </w:rPr>
              <w:t>表2</w:t>
            </w:r>
            <w:r>
              <w:rPr>
                <w:b/>
                <w:bCs/>
                <w:color w:val="auto"/>
                <w:szCs w:val="21"/>
              </w:rPr>
              <w:t>-1</w:t>
            </w:r>
            <w:r>
              <w:rPr>
                <w:rFonts w:hint="eastAsia"/>
                <w:b/>
                <w:bCs/>
                <w:color w:val="auto"/>
                <w:szCs w:val="21"/>
                <w:lang w:val="en-US" w:eastAsia="zh-CN"/>
              </w:rPr>
              <w:t>6</w:t>
            </w:r>
            <w:r>
              <w:rPr>
                <w:b/>
                <w:bCs/>
                <w:color w:val="auto"/>
                <w:szCs w:val="21"/>
              </w:rPr>
              <w:t xml:space="preserve">  </w:t>
            </w:r>
            <w:r>
              <w:rPr>
                <w:rFonts w:hint="eastAsia"/>
                <w:b/>
                <w:bCs/>
                <w:color w:val="auto"/>
                <w:szCs w:val="21"/>
              </w:rPr>
              <w:t>现有工程设备清单一览表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856"/>
              <w:gridCol w:w="1652"/>
              <w:gridCol w:w="2105"/>
              <w:gridCol w:w="2091"/>
            </w:tblGrid>
            <w:tr w14:paraId="67FD8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4" w:type="dxa"/>
                  <w:tcBorders>
                    <w:tl2br w:val="nil"/>
                    <w:tr2bl w:val="nil"/>
                  </w:tcBorders>
                  <w:noWrap w:val="0"/>
                  <w:vAlign w:val="center"/>
                </w:tcPr>
                <w:p w14:paraId="249FDDB8">
                  <w:pPr>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序号</w:t>
                  </w:r>
                </w:p>
              </w:tc>
              <w:tc>
                <w:tcPr>
                  <w:tcW w:w="1856" w:type="dxa"/>
                  <w:tcBorders>
                    <w:tl2br w:val="nil"/>
                    <w:tr2bl w:val="nil"/>
                  </w:tcBorders>
                  <w:noWrap w:val="0"/>
                  <w:vAlign w:val="center"/>
                </w:tcPr>
                <w:p w14:paraId="7A556685">
                  <w:pPr>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名称</w:t>
                  </w:r>
                </w:p>
              </w:tc>
              <w:tc>
                <w:tcPr>
                  <w:tcW w:w="1652" w:type="dxa"/>
                  <w:tcBorders>
                    <w:tl2br w:val="nil"/>
                    <w:tr2bl w:val="nil"/>
                  </w:tcBorders>
                  <w:noWrap w:val="0"/>
                  <w:vAlign w:val="center"/>
                </w:tcPr>
                <w:p w14:paraId="2C5BAECC">
                  <w:pPr>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数量（台/套）</w:t>
                  </w:r>
                </w:p>
              </w:tc>
              <w:tc>
                <w:tcPr>
                  <w:tcW w:w="2105" w:type="dxa"/>
                  <w:tcBorders>
                    <w:tl2br w:val="nil"/>
                    <w:tr2bl w:val="nil"/>
                  </w:tcBorders>
                  <w:noWrap w:val="0"/>
                  <w:vAlign w:val="center"/>
                </w:tcPr>
                <w:p w14:paraId="11FF6EF6">
                  <w:pPr>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型号</w:t>
                  </w:r>
                </w:p>
              </w:tc>
              <w:tc>
                <w:tcPr>
                  <w:tcW w:w="2091" w:type="dxa"/>
                  <w:tcBorders>
                    <w:tl2br w:val="nil"/>
                    <w:tr2bl w:val="nil"/>
                  </w:tcBorders>
                  <w:noWrap w:val="0"/>
                  <w:vAlign w:val="center"/>
                </w:tcPr>
                <w:p w14:paraId="2480BCC5">
                  <w:pPr>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备注</w:t>
                  </w:r>
                </w:p>
              </w:tc>
            </w:tr>
            <w:tr w14:paraId="7B814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74" w:type="dxa"/>
                  <w:tcBorders>
                    <w:tl2br w:val="nil"/>
                    <w:tr2bl w:val="nil"/>
                  </w:tcBorders>
                  <w:noWrap w:val="0"/>
                  <w:vAlign w:val="center"/>
                </w:tcPr>
                <w:p w14:paraId="40EDE40C">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856" w:type="dxa"/>
                  <w:tcBorders>
                    <w:tl2br w:val="nil"/>
                    <w:tr2bl w:val="nil"/>
                  </w:tcBorders>
                  <w:noWrap w:val="0"/>
                  <w:vAlign w:val="center"/>
                </w:tcPr>
                <w:p w14:paraId="1C9B9AE6">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Calibri" w:cs="Times New Roman"/>
                      <w:color w:val="auto"/>
                      <w:kern w:val="2"/>
                      <w:sz w:val="21"/>
                      <w:szCs w:val="21"/>
                      <w:lang w:val="zh-CN" w:eastAsia="zh-CN"/>
                    </w:rPr>
                    <w:t>注塑机</w:t>
                  </w:r>
                </w:p>
              </w:tc>
              <w:tc>
                <w:tcPr>
                  <w:tcW w:w="1652" w:type="dxa"/>
                  <w:tcBorders>
                    <w:tl2br w:val="nil"/>
                    <w:tr2bl w:val="nil"/>
                  </w:tcBorders>
                  <w:noWrap w:val="0"/>
                  <w:vAlign w:val="center"/>
                </w:tcPr>
                <w:p w14:paraId="5D395529">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2105" w:type="dxa"/>
                  <w:tcBorders>
                    <w:tl2br w:val="nil"/>
                    <w:tr2bl w:val="nil"/>
                  </w:tcBorders>
                  <w:noWrap w:val="0"/>
                  <w:vAlign w:val="center"/>
                </w:tcPr>
                <w:p w14:paraId="33F4AF79">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rPr>
                    <w:t>320T</w:t>
                  </w:r>
                </w:p>
              </w:tc>
              <w:tc>
                <w:tcPr>
                  <w:tcW w:w="2091" w:type="dxa"/>
                  <w:tcBorders>
                    <w:tl2br w:val="nil"/>
                    <w:tr2bl w:val="nil"/>
                  </w:tcBorders>
                  <w:noWrap w:val="0"/>
                  <w:vAlign w:val="center"/>
                </w:tcPr>
                <w:p w14:paraId="2E5A3D04">
                  <w:pPr>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注塑成型</w:t>
                  </w:r>
                </w:p>
              </w:tc>
            </w:tr>
            <w:tr w14:paraId="0F9AAC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74" w:type="dxa"/>
                  <w:tcBorders>
                    <w:tl2br w:val="nil"/>
                    <w:tr2bl w:val="nil"/>
                  </w:tcBorders>
                  <w:noWrap w:val="0"/>
                  <w:vAlign w:val="center"/>
                </w:tcPr>
                <w:p w14:paraId="76CFCF18">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856" w:type="dxa"/>
                  <w:tcBorders>
                    <w:tl2br w:val="nil"/>
                    <w:tr2bl w:val="nil"/>
                  </w:tcBorders>
                  <w:noWrap w:val="0"/>
                  <w:vAlign w:val="center"/>
                </w:tcPr>
                <w:p w14:paraId="16A08006">
                  <w:pPr>
                    <w:spacing w:line="240" w:lineRule="auto"/>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Calibri" w:cs="Times New Roman"/>
                      <w:color w:val="auto"/>
                      <w:kern w:val="2"/>
                      <w:sz w:val="21"/>
                      <w:szCs w:val="21"/>
                      <w:lang w:val="zh-CN" w:eastAsia="zh-CN"/>
                    </w:rPr>
                    <w:t>注塑机</w:t>
                  </w:r>
                </w:p>
              </w:tc>
              <w:tc>
                <w:tcPr>
                  <w:tcW w:w="1652" w:type="dxa"/>
                  <w:tcBorders>
                    <w:tl2br w:val="nil"/>
                    <w:tr2bl w:val="nil"/>
                  </w:tcBorders>
                  <w:noWrap w:val="0"/>
                  <w:vAlign w:val="center"/>
                </w:tcPr>
                <w:p w14:paraId="507998C6">
                  <w:pPr>
                    <w:spacing w:line="240" w:lineRule="auto"/>
                    <w:jc w:val="center"/>
                    <w:rPr>
                      <w:rFonts w:hint="default" w:ascii="Times New Roman" w:hAnsi="Times New Roman" w:eastAsia="宋体" w:cs="Times New Roman"/>
                      <w:bCs/>
                      <w:color w:val="auto"/>
                      <w:spacing w:val="-2"/>
                      <w:sz w:val="21"/>
                      <w:szCs w:val="21"/>
                      <w:lang w:val="en-US" w:eastAsia="zh-CN"/>
                    </w:rPr>
                  </w:pPr>
                  <w:r>
                    <w:rPr>
                      <w:rFonts w:hint="default" w:ascii="Times New Roman" w:hAnsi="Times New Roman" w:cs="Times New Roman"/>
                      <w:color w:val="auto"/>
                      <w:kern w:val="2"/>
                      <w:sz w:val="21"/>
                      <w:szCs w:val="21"/>
                      <w:lang w:val="en-US"/>
                    </w:rPr>
                    <w:t>3</w:t>
                  </w:r>
                </w:p>
              </w:tc>
              <w:tc>
                <w:tcPr>
                  <w:tcW w:w="2105" w:type="dxa"/>
                  <w:tcBorders>
                    <w:tl2br w:val="nil"/>
                    <w:tr2bl w:val="nil"/>
                  </w:tcBorders>
                  <w:noWrap w:val="0"/>
                  <w:vAlign w:val="center"/>
                </w:tcPr>
                <w:p w14:paraId="42F12881">
                  <w:pPr>
                    <w:spacing w:line="240" w:lineRule="auto"/>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kern w:val="2"/>
                      <w:sz w:val="21"/>
                      <w:szCs w:val="21"/>
                      <w:lang w:val="en-US"/>
                    </w:rPr>
                    <w:t>150T</w:t>
                  </w:r>
                </w:p>
              </w:tc>
              <w:tc>
                <w:tcPr>
                  <w:tcW w:w="2091" w:type="dxa"/>
                  <w:tcBorders>
                    <w:tl2br w:val="nil"/>
                    <w:tr2bl w:val="nil"/>
                  </w:tcBorders>
                  <w:noWrap w:val="0"/>
                  <w:vAlign w:val="center"/>
                </w:tcPr>
                <w:p w14:paraId="4AD7A871">
                  <w:pPr>
                    <w:spacing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eastAsia="zh-CN"/>
                    </w:rPr>
                    <w:t>注塑成型</w:t>
                  </w:r>
                </w:p>
              </w:tc>
            </w:tr>
            <w:tr w14:paraId="03394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74" w:type="dxa"/>
                  <w:tcBorders>
                    <w:tl2br w:val="nil"/>
                    <w:tr2bl w:val="nil"/>
                  </w:tcBorders>
                  <w:noWrap w:val="0"/>
                  <w:vAlign w:val="center"/>
                </w:tcPr>
                <w:p w14:paraId="10A1098D">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856" w:type="dxa"/>
                  <w:tcBorders>
                    <w:tl2br w:val="nil"/>
                    <w:tr2bl w:val="nil"/>
                  </w:tcBorders>
                  <w:noWrap w:val="0"/>
                  <w:vAlign w:val="center"/>
                </w:tcPr>
                <w:p w14:paraId="126C02C0">
                  <w:pPr>
                    <w:spacing w:line="240" w:lineRule="auto"/>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Calibri" w:cs="Times New Roman"/>
                      <w:color w:val="auto"/>
                      <w:kern w:val="2"/>
                      <w:sz w:val="21"/>
                      <w:szCs w:val="21"/>
                      <w:lang w:val="zh-CN" w:eastAsia="zh-CN"/>
                    </w:rPr>
                    <w:t>注塑机</w:t>
                  </w:r>
                </w:p>
              </w:tc>
              <w:tc>
                <w:tcPr>
                  <w:tcW w:w="1652" w:type="dxa"/>
                  <w:tcBorders>
                    <w:tl2br w:val="nil"/>
                    <w:tr2bl w:val="nil"/>
                  </w:tcBorders>
                  <w:noWrap w:val="0"/>
                  <w:vAlign w:val="center"/>
                </w:tcPr>
                <w:p w14:paraId="614DF357">
                  <w:pPr>
                    <w:spacing w:line="240" w:lineRule="auto"/>
                    <w:jc w:val="center"/>
                    <w:rPr>
                      <w:rFonts w:hint="default" w:ascii="Times New Roman" w:hAnsi="Times New Roman" w:eastAsia="宋体" w:cs="Times New Roman"/>
                      <w:bCs/>
                      <w:color w:val="auto"/>
                      <w:spacing w:val="-2"/>
                      <w:sz w:val="21"/>
                      <w:szCs w:val="21"/>
                      <w:lang w:val="en-US" w:eastAsia="zh-CN"/>
                    </w:rPr>
                  </w:pPr>
                  <w:r>
                    <w:rPr>
                      <w:rFonts w:hint="default" w:ascii="Times New Roman" w:hAnsi="Times New Roman" w:cs="Times New Roman"/>
                      <w:color w:val="auto"/>
                      <w:kern w:val="2"/>
                      <w:sz w:val="21"/>
                      <w:szCs w:val="21"/>
                      <w:lang w:val="en-US"/>
                    </w:rPr>
                    <w:t>3</w:t>
                  </w:r>
                </w:p>
              </w:tc>
              <w:tc>
                <w:tcPr>
                  <w:tcW w:w="2105" w:type="dxa"/>
                  <w:tcBorders>
                    <w:tl2br w:val="nil"/>
                    <w:tr2bl w:val="nil"/>
                  </w:tcBorders>
                  <w:noWrap w:val="0"/>
                  <w:vAlign w:val="center"/>
                </w:tcPr>
                <w:p w14:paraId="2EA27A29">
                  <w:pPr>
                    <w:spacing w:line="240" w:lineRule="auto"/>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kern w:val="2"/>
                      <w:sz w:val="21"/>
                      <w:szCs w:val="21"/>
                      <w:lang w:val="en-US"/>
                    </w:rPr>
                    <w:t>200T</w:t>
                  </w:r>
                </w:p>
              </w:tc>
              <w:tc>
                <w:tcPr>
                  <w:tcW w:w="2091" w:type="dxa"/>
                  <w:tcBorders>
                    <w:tl2br w:val="nil"/>
                    <w:tr2bl w:val="nil"/>
                  </w:tcBorders>
                  <w:noWrap w:val="0"/>
                  <w:vAlign w:val="center"/>
                </w:tcPr>
                <w:p w14:paraId="6A4CEEF4">
                  <w:pPr>
                    <w:spacing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eastAsia="zh-CN"/>
                    </w:rPr>
                    <w:t>注塑成型</w:t>
                  </w:r>
                </w:p>
              </w:tc>
            </w:tr>
            <w:tr w14:paraId="35FEF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74" w:type="dxa"/>
                  <w:tcBorders>
                    <w:tl2br w:val="nil"/>
                    <w:tr2bl w:val="nil"/>
                  </w:tcBorders>
                  <w:noWrap w:val="0"/>
                  <w:vAlign w:val="center"/>
                </w:tcPr>
                <w:p w14:paraId="4F01B1CB">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856" w:type="dxa"/>
                  <w:tcBorders>
                    <w:tl2br w:val="nil"/>
                    <w:tr2bl w:val="nil"/>
                  </w:tcBorders>
                  <w:noWrap w:val="0"/>
                  <w:vAlign w:val="center"/>
                </w:tcPr>
                <w:p w14:paraId="57B605F4">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Calibri" w:cs="Times New Roman"/>
                      <w:color w:val="auto"/>
                      <w:kern w:val="2"/>
                      <w:sz w:val="21"/>
                      <w:szCs w:val="21"/>
                      <w:lang w:val="zh-CN" w:eastAsia="zh-CN"/>
                    </w:rPr>
                    <w:t>烫金机</w:t>
                  </w:r>
                </w:p>
              </w:tc>
              <w:tc>
                <w:tcPr>
                  <w:tcW w:w="1652" w:type="dxa"/>
                  <w:tcBorders>
                    <w:tl2br w:val="nil"/>
                    <w:tr2bl w:val="nil"/>
                  </w:tcBorders>
                  <w:noWrap w:val="0"/>
                  <w:vAlign w:val="center"/>
                </w:tcPr>
                <w:p w14:paraId="72291481">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rPr>
                    <w:t>12</w:t>
                  </w:r>
                </w:p>
              </w:tc>
              <w:tc>
                <w:tcPr>
                  <w:tcW w:w="2105" w:type="dxa"/>
                  <w:tcBorders>
                    <w:tl2br w:val="nil"/>
                    <w:tr2bl w:val="nil"/>
                  </w:tcBorders>
                  <w:noWrap w:val="0"/>
                  <w:vAlign w:val="center"/>
                </w:tcPr>
                <w:p w14:paraId="4B95E540">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091" w:type="dxa"/>
                  <w:tcBorders>
                    <w:tl2br w:val="nil"/>
                    <w:tr2bl w:val="nil"/>
                  </w:tcBorders>
                  <w:noWrap w:val="0"/>
                  <w:vAlign w:val="center"/>
                </w:tcPr>
                <w:p w14:paraId="557B6052">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烫金</w:t>
                  </w:r>
                </w:p>
              </w:tc>
            </w:tr>
            <w:tr w14:paraId="40E1B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74" w:type="dxa"/>
                  <w:tcBorders>
                    <w:tl2br w:val="nil"/>
                    <w:tr2bl w:val="nil"/>
                  </w:tcBorders>
                  <w:noWrap w:val="0"/>
                  <w:vAlign w:val="center"/>
                </w:tcPr>
                <w:p w14:paraId="0AAA2CFD">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856" w:type="dxa"/>
                  <w:tcBorders>
                    <w:tl2br w:val="nil"/>
                    <w:tr2bl w:val="nil"/>
                  </w:tcBorders>
                  <w:noWrap w:val="0"/>
                  <w:vAlign w:val="center"/>
                </w:tcPr>
                <w:p w14:paraId="3A79FEF2">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Calibri" w:cs="Times New Roman"/>
                      <w:color w:val="auto"/>
                      <w:kern w:val="2"/>
                      <w:sz w:val="21"/>
                      <w:szCs w:val="21"/>
                      <w:lang w:val="zh-CN" w:eastAsia="zh-CN"/>
                    </w:rPr>
                    <w:t>热转印机</w:t>
                  </w:r>
                </w:p>
              </w:tc>
              <w:tc>
                <w:tcPr>
                  <w:tcW w:w="1652" w:type="dxa"/>
                  <w:tcBorders>
                    <w:tl2br w:val="nil"/>
                    <w:tr2bl w:val="nil"/>
                  </w:tcBorders>
                  <w:noWrap w:val="0"/>
                  <w:vAlign w:val="center"/>
                </w:tcPr>
                <w:p w14:paraId="53AEDF90">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rPr>
                    <w:t>4</w:t>
                  </w:r>
                </w:p>
              </w:tc>
              <w:tc>
                <w:tcPr>
                  <w:tcW w:w="2105" w:type="dxa"/>
                  <w:tcBorders>
                    <w:tl2br w:val="nil"/>
                    <w:tr2bl w:val="nil"/>
                  </w:tcBorders>
                  <w:noWrap w:val="0"/>
                  <w:vAlign w:val="center"/>
                </w:tcPr>
                <w:p w14:paraId="7C86426E">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091" w:type="dxa"/>
                  <w:tcBorders>
                    <w:tl2br w:val="nil"/>
                    <w:tr2bl w:val="nil"/>
                  </w:tcBorders>
                  <w:noWrap w:val="0"/>
                  <w:vAlign w:val="center"/>
                </w:tcPr>
                <w:p w14:paraId="0BBADB4D">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图案转印</w:t>
                  </w:r>
                </w:p>
              </w:tc>
            </w:tr>
            <w:tr w14:paraId="2D792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74" w:type="dxa"/>
                  <w:tcBorders>
                    <w:tl2br w:val="nil"/>
                    <w:tr2bl w:val="nil"/>
                  </w:tcBorders>
                  <w:noWrap w:val="0"/>
                  <w:vAlign w:val="center"/>
                </w:tcPr>
                <w:p w14:paraId="7C5E0940">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856" w:type="dxa"/>
                  <w:tcBorders>
                    <w:tl2br w:val="nil"/>
                    <w:tr2bl w:val="nil"/>
                  </w:tcBorders>
                  <w:noWrap w:val="0"/>
                  <w:vAlign w:val="center"/>
                </w:tcPr>
                <w:p w14:paraId="436201DE">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Calibri" w:cs="Times New Roman"/>
                      <w:color w:val="auto"/>
                      <w:kern w:val="2"/>
                      <w:sz w:val="21"/>
                      <w:szCs w:val="21"/>
                      <w:lang w:val="zh-CN" w:eastAsia="zh-CN"/>
                    </w:rPr>
                    <w:t>压泡机</w:t>
                  </w:r>
                </w:p>
              </w:tc>
              <w:tc>
                <w:tcPr>
                  <w:tcW w:w="1652" w:type="dxa"/>
                  <w:tcBorders>
                    <w:tl2br w:val="nil"/>
                    <w:tr2bl w:val="nil"/>
                  </w:tcBorders>
                  <w:noWrap w:val="0"/>
                  <w:vAlign w:val="center"/>
                </w:tcPr>
                <w:p w14:paraId="5A1D21F8">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rPr>
                    <w:t>2</w:t>
                  </w:r>
                </w:p>
              </w:tc>
              <w:tc>
                <w:tcPr>
                  <w:tcW w:w="2105" w:type="dxa"/>
                  <w:tcBorders>
                    <w:tl2br w:val="nil"/>
                    <w:tr2bl w:val="nil"/>
                  </w:tcBorders>
                  <w:noWrap w:val="0"/>
                  <w:vAlign w:val="center"/>
                </w:tcPr>
                <w:p w14:paraId="3E1DE3A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091" w:type="dxa"/>
                  <w:tcBorders>
                    <w:tl2br w:val="nil"/>
                    <w:tr2bl w:val="nil"/>
                  </w:tcBorders>
                  <w:noWrap w:val="0"/>
                  <w:vAlign w:val="center"/>
                </w:tcPr>
                <w:p w14:paraId="7EEF7860">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去除气泡</w:t>
                  </w:r>
                </w:p>
              </w:tc>
            </w:tr>
            <w:tr w14:paraId="7E8016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74" w:type="dxa"/>
                  <w:tcBorders>
                    <w:tl2br w:val="nil"/>
                    <w:tr2bl w:val="nil"/>
                  </w:tcBorders>
                  <w:noWrap w:val="0"/>
                  <w:vAlign w:val="center"/>
                </w:tcPr>
                <w:p w14:paraId="15C702AE">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1856" w:type="dxa"/>
                  <w:tcBorders>
                    <w:tl2br w:val="nil"/>
                    <w:tr2bl w:val="nil"/>
                  </w:tcBorders>
                  <w:noWrap w:val="0"/>
                  <w:vAlign w:val="center"/>
                </w:tcPr>
                <w:p w14:paraId="6F2BF521">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Calibri" w:cs="Times New Roman"/>
                      <w:color w:val="auto"/>
                      <w:kern w:val="2"/>
                      <w:sz w:val="21"/>
                      <w:szCs w:val="21"/>
                      <w:lang w:val="zh-CN" w:eastAsia="zh-CN"/>
                    </w:rPr>
                    <w:t>空压机</w:t>
                  </w:r>
                </w:p>
              </w:tc>
              <w:tc>
                <w:tcPr>
                  <w:tcW w:w="1652" w:type="dxa"/>
                  <w:tcBorders>
                    <w:tl2br w:val="nil"/>
                    <w:tr2bl w:val="nil"/>
                  </w:tcBorders>
                  <w:noWrap w:val="0"/>
                  <w:vAlign w:val="center"/>
                </w:tcPr>
                <w:p w14:paraId="456E7820">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rPr>
                    <w:t>3</w:t>
                  </w:r>
                </w:p>
              </w:tc>
              <w:tc>
                <w:tcPr>
                  <w:tcW w:w="2105" w:type="dxa"/>
                  <w:tcBorders>
                    <w:tl2br w:val="nil"/>
                    <w:tr2bl w:val="nil"/>
                  </w:tcBorders>
                  <w:noWrap w:val="0"/>
                  <w:vAlign w:val="center"/>
                </w:tcPr>
                <w:p w14:paraId="595D3DE4">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rPr>
                    <w:t>400</w:t>
                  </w:r>
                </w:p>
              </w:tc>
              <w:tc>
                <w:tcPr>
                  <w:tcW w:w="2091" w:type="dxa"/>
                  <w:tcBorders>
                    <w:tl2br w:val="nil"/>
                    <w:tr2bl w:val="nil"/>
                  </w:tcBorders>
                  <w:noWrap w:val="0"/>
                  <w:vAlign w:val="center"/>
                </w:tcPr>
                <w:p w14:paraId="7E39CEE9">
                  <w:pPr>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w:t>
                  </w:r>
                </w:p>
              </w:tc>
            </w:tr>
            <w:tr w14:paraId="367284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74" w:type="dxa"/>
                  <w:tcBorders>
                    <w:tl2br w:val="nil"/>
                    <w:tr2bl w:val="nil"/>
                  </w:tcBorders>
                  <w:noWrap w:val="0"/>
                  <w:vAlign w:val="center"/>
                </w:tcPr>
                <w:p w14:paraId="34C19ADA">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1856" w:type="dxa"/>
                  <w:tcBorders>
                    <w:tl2br w:val="nil"/>
                    <w:tr2bl w:val="nil"/>
                  </w:tcBorders>
                  <w:noWrap w:val="0"/>
                  <w:vAlign w:val="center"/>
                </w:tcPr>
                <w:p w14:paraId="2E58CB01">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Calibri" w:cs="Times New Roman"/>
                      <w:color w:val="auto"/>
                      <w:kern w:val="2"/>
                      <w:sz w:val="21"/>
                      <w:szCs w:val="21"/>
                      <w:lang w:val="zh-CN" w:eastAsia="zh-CN"/>
                    </w:rPr>
                    <w:t>过胶机</w:t>
                  </w:r>
                </w:p>
              </w:tc>
              <w:tc>
                <w:tcPr>
                  <w:tcW w:w="1652" w:type="dxa"/>
                  <w:tcBorders>
                    <w:tl2br w:val="nil"/>
                    <w:tr2bl w:val="nil"/>
                  </w:tcBorders>
                  <w:noWrap w:val="0"/>
                  <w:vAlign w:val="center"/>
                </w:tcPr>
                <w:p w14:paraId="555F0A31">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rPr>
                    <w:t>3</w:t>
                  </w:r>
                </w:p>
              </w:tc>
              <w:tc>
                <w:tcPr>
                  <w:tcW w:w="2105" w:type="dxa"/>
                  <w:tcBorders>
                    <w:tl2br w:val="nil"/>
                    <w:tr2bl w:val="nil"/>
                  </w:tcBorders>
                  <w:noWrap w:val="0"/>
                  <w:vAlign w:val="center"/>
                </w:tcPr>
                <w:p w14:paraId="42522293">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rPr>
                    <w:t>3</w:t>
                  </w:r>
                  <w:r>
                    <w:rPr>
                      <w:rFonts w:hint="default" w:ascii="Times New Roman" w:hAnsi="Times New Roman" w:eastAsia="Calibri" w:cs="Times New Roman"/>
                      <w:color w:val="auto"/>
                      <w:kern w:val="2"/>
                      <w:sz w:val="21"/>
                      <w:szCs w:val="21"/>
                      <w:lang w:val="zh-CN" w:eastAsia="zh-CN"/>
                    </w:rPr>
                    <w:t>立方</w:t>
                  </w:r>
                </w:p>
              </w:tc>
              <w:tc>
                <w:tcPr>
                  <w:tcW w:w="2091" w:type="dxa"/>
                  <w:tcBorders>
                    <w:tl2br w:val="nil"/>
                    <w:tr2bl w:val="nil"/>
                  </w:tcBorders>
                  <w:noWrap w:val="0"/>
                  <w:vAlign w:val="center"/>
                </w:tcPr>
                <w:p w14:paraId="52474D9E">
                  <w:pPr>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组装</w:t>
                  </w:r>
                </w:p>
              </w:tc>
            </w:tr>
            <w:tr w14:paraId="42334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74" w:type="dxa"/>
                  <w:tcBorders>
                    <w:tl2br w:val="nil"/>
                    <w:tr2bl w:val="nil"/>
                  </w:tcBorders>
                  <w:noWrap w:val="0"/>
                  <w:vAlign w:val="center"/>
                </w:tcPr>
                <w:p w14:paraId="6EC91950">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w:t>
                  </w:r>
                </w:p>
              </w:tc>
              <w:tc>
                <w:tcPr>
                  <w:tcW w:w="1856" w:type="dxa"/>
                  <w:tcBorders>
                    <w:tl2br w:val="nil"/>
                    <w:tr2bl w:val="nil"/>
                  </w:tcBorders>
                  <w:noWrap w:val="0"/>
                  <w:vAlign w:val="center"/>
                </w:tcPr>
                <w:p w14:paraId="1FA1D8D5">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Calibri" w:cs="Times New Roman"/>
                      <w:color w:val="auto"/>
                      <w:kern w:val="2"/>
                      <w:sz w:val="21"/>
                      <w:szCs w:val="21"/>
                      <w:lang w:val="zh-CN" w:eastAsia="zh-CN"/>
                    </w:rPr>
                    <w:t>机刀</w:t>
                  </w:r>
                </w:p>
              </w:tc>
              <w:tc>
                <w:tcPr>
                  <w:tcW w:w="1652" w:type="dxa"/>
                  <w:tcBorders>
                    <w:tl2br w:val="nil"/>
                    <w:tr2bl w:val="nil"/>
                  </w:tcBorders>
                  <w:noWrap w:val="0"/>
                  <w:vAlign w:val="center"/>
                </w:tcPr>
                <w:p w14:paraId="41A814E1">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2"/>
                      <w:sz w:val="21"/>
                      <w:szCs w:val="21"/>
                      <w:lang w:val="en-US"/>
                    </w:rPr>
                    <w:t>1</w:t>
                  </w:r>
                </w:p>
              </w:tc>
              <w:tc>
                <w:tcPr>
                  <w:tcW w:w="2105" w:type="dxa"/>
                  <w:tcBorders>
                    <w:tl2br w:val="nil"/>
                    <w:tr2bl w:val="nil"/>
                  </w:tcBorders>
                  <w:noWrap w:val="0"/>
                  <w:vAlign w:val="center"/>
                </w:tcPr>
                <w:p w14:paraId="1AF3BF29">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rPr>
                    <w:t>600</w:t>
                  </w:r>
                </w:p>
              </w:tc>
              <w:tc>
                <w:tcPr>
                  <w:tcW w:w="2091" w:type="dxa"/>
                  <w:tcBorders>
                    <w:tl2br w:val="nil"/>
                    <w:tr2bl w:val="nil"/>
                  </w:tcBorders>
                  <w:noWrap w:val="0"/>
                  <w:vAlign w:val="center"/>
                </w:tcPr>
                <w:p w14:paraId="7193C0A2">
                  <w:pPr>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裁剪</w:t>
                  </w:r>
                </w:p>
              </w:tc>
            </w:tr>
            <w:tr w14:paraId="03CCF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74" w:type="dxa"/>
                  <w:tcBorders>
                    <w:tl2br w:val="nil"/>
                    <w:tr2bl w:val="nil"/>
                  </w:tcBorders>
                  <w:noWrap w:val="0"/>
                  <w:vAlign w:val="center"/>
                </w:tcPr>
                <w:p w14:paraId="1C0322C8">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cs="Times New Roman"/>
                      <w:color w:val="auto"/>
                      <w:sz w:val="21"/>
                      <w:szCs w:val="21"/>
                      <w:lang w:val="en-US" w:eastAsia="zh-CN"/>
                    </w:rPr>
                    <w:t>0</w:t>
                  </w:r>
                </w:p>
              </w:tc>
              <w:tc>
                <w:tcPr>
                  <w:tcW w:w="1856" w:type="dxa"/>
                  <w:tcBorders>
                    <w:tl2br w:val="nil"/>
                    <w:tr2bl w:val="nil"/>
                  </w:tcBorders>
                  <w:noWrap w:val="0"/>
                  <w:vAlign w:val="center"/>
                </w:tcPr>
                <w:p w14:paraId="0720C3A0">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Calibri" w:cs="Times New Roman"/>
                      <w:color w:val="auto"/>
                      <w:kern w:val="2"/>
                      <w:sz w:val="21"/>
                      <w:szCs w:val="21"/>
                      <w:lang w:val="zh-CN" w:eastAsia="zh-CN"/>
                    </w:rPr>
                    <w:t>丝印机</w:t>
                  </w:r>
                </w:p>
              </w:tc>
              <w:tc>
                <w:tcPr>
                  <w:tcW w:w="1652" w:type="dxa"/>
                  <w:tcBorders>
                    <w:tl2br w:val="nil"/>
                    <w:tr2bl w:val="nil"/>
                  </w:tcBorders>
                  <w:noWrap w:val="0"/>
                  <w:vAlign w:val="center"/>
                </w:tcPr>
                <w:p w14:paraId="5FCBC013">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pacing w:val="-2"/>
                      <w:sz w:val="21"/>
                      <w:szCs w:val="21"/>
                      <w:lang w:val="en-US" w:eastAsia="zh-CN"/>
                    </w:rPr>
                    <w:t>1</w:t>
                  </w:r>
                </w:p>
              </w:tc>
              <w:tc>
                <w:tcPr>
                  <w:tcW w:w="2105" w:type="dxa"/>
                  <w:tcBorders>
                    <w:tl2br w:val="nil"/>
                    <w:tr2bl w:val="nil"/>
                  </w:tcBorders>
                  <w:noWrap w:val="0"/>
                  <w:vAlign w:val="center"/>
                </w:tcPr>
                <w:p w14:paraId="6C45BE63">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091" w:type="dxa"/>
                  <w:tcBorders>
                    <w:tl2br w:val="nil"/>
                    <w:tr2bl w:val="nil"/>
                  </w:tcBorders>
                  <w:noWrap w:val="0"/>
                  <w:vAlign w:val="center"/>
                </w:tcPr>
                <w:p w14:paraId="369BFCE2">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丝印</w:t>
                  </w:r>
                </w:p>
              </w:tc>
            </w:tr>
            <w:tr w14:paraId="02D75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530" w:type="dxa"/>
                  <w:gridSpan w:val="2"/>
                  <w:tcBorders>
                    <w:tl2br w:val="nil"/>
                    <w:tr2bl w:val="nil"/>
                  </w:tcBorders>
                  <w:noWrap w:val="0"/>
                  <w:vAlign w:val="center"/>
                </w:tcPr>
                <w:p w14:paraId="27C63A8E">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合计</w:t>
                  </w:r>
                </w:p>
              </w:tc>
              <w:tc>
                <w:tcPr>
                  <w:tcW w:w="1652" w:type="dxa"/>
                  <w:tcBorders>
                    <w:tl2br w:val="nil"/>
                    <w:tr2bl w:val="nil"/>
                  </w:tcBorders>
                  <w:noWrap w:val="0"/>
                  <w:vAlign w:val="center"/>
                </w:tcPr>
                <w:p w14:paraId="1FF159E7">
                  <w:pPr>
                    <w:spacing w:line="240" w:lineRule="auto"/>
                    <w:jc w:val="center"/>
                    <w:rPr>
                      <w:rFonts w:hint="default" w:ascii="Times New Roman" w:hAnsi="Times New Roman" w:eastAsia="宋体" w:cs="Times New Roman"/>
                      <w:bCs/>
                      <w:color w:val="auto"/>
                      <w:spacing w:val="-2"/>
                      <w:sz w:val="21"/>
                      <w:szCs w:val="21"/>
                      <w:lang w:val="en-US" w:eastAsia="zh-CN"/>
                    </w:rPr>
                  </w:pPr>
                  <w:r>
                    <w:rPr>
                      <w:rFonts w:hint="default" w:ascii="Times New Roman" w:hAnsi="Times New Roman" w:cs="Times New Roman"/>
                      <w:bCs/>
                      <w:color w:val="auto"/>
                      <w:spacing w:val="-2"/>
                      <w:sz w:val="21"/>
                      <w:szCs w:val="21"/>
                      <w:lang w:val="en-US" w:eastAsia="zh-CN"/>
                    </w:rPr>
                    <w:t>35</w:t>
                  </w:r>
                </w:p>
              </w:tc>
              <w:tc>
                <w:tcPr>
                  <w:tcW w:w="2105" w:type="dxa"/>
                  <w:tcBorders>
                    <w:tl2br w:val="nil"/>
                    <w:tr2bl w:val="nil"/>
                  </w:tcBorders>
                  <w:noWrap w:val="0"/>
                  <w:vAlign w:val="center"/>
                </w:tcPr>
                <w:p w14:paraId="6DA60189">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2091" w:type="dxa"/>
                  <w:tcBorders>
                    <w:tl2br w:val="nil"/>
                    <w:tr2bl w:val="nil"/>
                  </w:tcBorders>
                  <w:noWrap w:val="0"/>
                  <w:vAlign w:val="center"/>
                </w:tcPr>
                <w:p w14:paraId="5CF12DDA">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i w:val="0"/>
                      <w:color w:val="auto"/>
                      <w:kern w:val="0"/>
                      <w:sz w:val="21"/>
                      <w:szCs w:val="21"/>
                      <w:u w:val="none"/>
                      <w:lang w:val="en-US" w:eastAsia="zh-CN" w:bidi="ar"/>
                    </w:rPr>
                    <w:t>/</w:t>
                  </w:r>
                </w:p>
              </w:tc>
            </w:tr>
          </w:tbl>
          <w:p w14:paraId="1CD8FF24">
            <w:pPr>
              <w:adjustRightInd w:val="0"/>
              <w:snapToGrid w:val="0"/>
              <w:spacing w:line="360" w:lineRule="auto"/>
              <w:ind w:firstLine="482" w:firstLineChars="200"/>
              <w:rPr>
                <w:rFonts w:hint="default" w:eastAsia="宋体"/>
                <w:b/>
                <w:bCs/>
                <w:color w:val="auto"/>
                <w:sz w:val="24"/>
                <w:lang w:val="en-US" w:eastAsia="zh-CN"/>
              </w:rPr>
            </w:pPr>
            <w:r>
              <w:rPr>
                <w:rFonts w:hint="eastAsia"/>
                <w:b/>
                <w:bCs/>
                <w:color w:val="auto"/>
                <w:sz w:val="24"/>
              </w:rPr>
              <w:t>4、现有工程</w:t>
            </w:r>
            <w:r>
              <w:rPr>
                <w:rFonts w:hint="eastAsia"/>
                <w:b/>
                <w:bCs/>
                <w:color w:val="auto"/>
                <w:sz w:val="24"/>
                <w:lang w:val="en-US" w:eastAsia="zh-CN"/>
              </w:rPr>
              <w:t>项目组成情况</w:t>
            </w:r>
          </w:p>
          <w:p w14:paraId="5BC99F51">
            <w:pPr>
              <w:adjustRightInd w:val="0"/>
              <w:snapToGrid w:val="0"/>
              <w:spacing w:line="360" w:lineRule="auto"/>
              <w:ind w:left="422"/>
              <w:rPr>
                <w:color w:val="auto"/>
                <w:sz w:val="24"/>
              </w:rPr>
            </w:pPr>
            <w:r>
              <w:rPr>
                <w:rFonts w:hint="eastAsia"/>
                <w:color w:val="auto"/>
                <w:sz w:val="24"/>
              </w:rPr>
              <w:t>现有工程环保设施设置情况：</w:t>
            </w:r>
          </w:p>
          <w:p w14:paraId="08231106">
            <w:pPr>
              <w:numPr>
                <w:ilvl w:val="0"/>
                <w:numId w:val="0"/>
              </w:numPr>
              <w:jc w:val="center"/>
              <w:rPr>
                <w:rFonts w:hint="eastAsia"/>
                <w:b/>
                <w:bCs/>
                <w:color w:val="auto"/>
                <w:szCs w:val="21"/>
              </w:rPr>
            </w:pPr>
            <w:r>
              <w:rPr>
                <w:rFonts w:ascii="Times New Roman" w:hAnsi="Times New Roman"/>
                <w:b/>
                <w:color w:val="auto"/>
                <w:sz w:val="21"/>
                <w:szCs w:val="21"/>
              </w:rPr>
              <w:t>表2-1</w:t>
            </w:r>
            <w:r>
              <w:rPr>
                <w:rFonts w:hint="eastAsia"/>
                <w:b/>
                <w:color w:val="auto"/>
                <w:sz w:val="21"/>
                <w:szCs w:val="21"/>
                <w:lang w:val="en-US" w:eastAsia="zh-CN"/>
              </w:rPr>
              <w:t>7</w:t>
            </w:r>
            <w:r>
              <w:rPr>
                <w:rFonts w:ascii="Times New Roman" w:hAnsi="Times New Roman"/>
                <w:b/>
                <w:color w:val="auto"/>
                <w:sz w:val="21"/>
                <w:szCs w:val="21"/>
              </w:rPr>
              <w:t xml:space="preserve">   </w:t>
            </w:r>
            <w:r>
              <w:rPr>
                <w:rFonts w:hint="eastAsia"/>
                <w:b/>
                <w:bCs/>
                <w:color w:val="auto"/>
                <w:szCs w:val="21"/>
              </w:rPr>
              <w:t>本项目主要建设内容一览表</w:t>
            </w:r>
          </w:p>
          <w:tbl>
            <w:tblPr>
              <w:tblStyle w:val="25"/>
              <w:tblW w:w="8538"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721"/>
              <w:gridCol w:w="1024"/>
              <w:gridCol w:w="4100"/>
              <w:gridCol w:w="891"/>
              <w:gridCol w:w="1050"/>
              <w:gridCol w:w="752"/>
            </w:tblGrid>
            <w:tr w14:paraId="333FA37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99" w:hRule="atLeast"/>
                <w:tblHeader/>
                <w:jc w:val="center"/>
              </w:trPr>
              <w:tc>
                <w:tcPr>
                  <w:tcW w:w="721" w:type="dxa"/>
                  <w:vMerge w:val="restart"/>
                  <w:shd w:val="clear" w:color="auto" w:fill="FFFFFF"/>
                  <w:noWrap w:val="0"/>
                  <w:vAlign w:val="center"/>
                </w:tcPr>
                <w:p w14:paraId="6A842579">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工程</w:t>
                  </w:r>
                </w:p>
                <w:p w14:paraId="545D44BA">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类别</w:t>
                  </w:r>
                </w:p>
              </w:tc>
              <w:tc>
                <w:tcPr>
                  <w:tcW w:w="1024" w:type="dxa"/>
                  <w:vMerge w:val="restart"/>
                  <w:shd w:val="clear" w:color="auto" w:fill="FFFFFF"/>
                  <w:noWrap w:val="0"/>
                  <w:vAlign w:val="center"/>
                </w:tcPr>
                <w:p w14:paraId="194A8364">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项目</w:t>
                  </w:r>
                </w:p>
                <w:p w14:paraId="6F77A2F3">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名称</w:t>
                  </w:r>
                </w:p>
              </w:tc>
              <w:tc>
                <w:tcPr>
                  <w:tcW w:w="4100" w:type="dxa"/>
                  <w:vMerge w:val="restart"/>
                  <w:shd w:val="clear" w:color="auto" w:fill="FFFFFF"/>
                  <w:noWrap w:val="0"/>
                  <w:vAlign w:val="center"/>
                </w:tcPr>
                <w:p w14:paraId="5902EA85">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主要建设内容</w:t>
                  </w:r>
                </w:p>
              </w:tc>
              <w:tc>
                <w:tcPr>
                  <w:tcW w:w="1941" w:type="dxa"/>
                  <w:gridSpan w:val="2"/>
                  <w:shd w:val="clear" w:color="auto" w:fill="FFFFFF"/>
                  <w:noWrap w:val="0"/>
                  <w:vAlign w:val="center"/>
                </w:tcPr>
                <w:p w14:paraId="0D8E2561">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可能产生的环境问题</w:t>
                  </w:r>
                </w:p>
              </w:tc>
              <w:tc>
                <w:tcPr>
                  <w:tcW w:w="752" w:type="dxa"/>
                  <w:vMerge w:val="restart"/>
                  <w:shd w:val="clear" w:color="auto" w:fill="FFFFFF"/>
                  <w:noWrap w:val="0"/>
                  <w:vAlign w:val="center"/>
                </w:tcPr>
                <w:p w14:paraId="61DC9DF2">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备注</w:t>
                  </w:r>
                </w:p>
              </w:tc>
            </w:tr>
            <w:tr w14:paraId="1DC45A4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9" w:hRule="atLeast"/>
                <w:tblHeader/>
                <w:jc w:val="center"/>
              </w:trPr>
              <w:tc>
                <w:tcPr>
                  <w:tcW w:w="721" w:type="dxa"/>
                  <w:vMerge w:val="continue"/>
                  <w:shd w:val="clear" w:color="auto" w:fill="FFFFFF"/>
                  <w:noWrap w:val="0"/>
                  <w:vAlign w:val="center"/>
                </w:tcPr>
                <w:p w14:paraId="11D488E8">
                  <w:pPr>
                    <w:spacing w:line="240" w:lineRule="auto"/>
                    <w:jc w:val="center"/>
                    <w:rPr>
                      <w:rFonts w:hint="default" w:ascii="Times New Roman" w:hAnsi="Times New Roman" w:eastAsia="Calibri" w:cs="Times New Roman"/>
                      <w:color w:val="auto"/>
                      <w:kern w:val="2"/>
                      <w:sz w:val="21"/>
                      <w:szCs w:val="21"/>
                      <w:lang w:val="zh-CN" w:eastAsia="zh-CN"/>
                    </w:rPr>
                  </w:pPr>
                </w:p>
              </w:tc>
              <w:tc>
                <w:tcPr>
                  <w:tcW w:w="1024" w:type="dxa"/>
                  <w:vMerge w:val="continue"/>
                  <w:shd w:val="clear" w:color="auto" w:fill="FFFFFF"/>
                  <w:noWrap w:val="0"/>
                  <w:vAlign w:val="center"/>
                </w:tcPr>
                <w:p w14:paraId="24F6816C">
                  <w:pPr>
                    <w:spacing w:line="240" w:lineRule="auto"/>
                    <w:jc w:val="center"/>
                    <w:rPr>
                      <w:rFonts w:hint="default" w:ascii="Times New Roman" w:hAnsi="Times New Roman" w:eastAsia="Calibri" w:cs="Times New Roman"/>
                      <w:color w:val="auto"/>
                      <w:kern w:val="2"/>
                      <w:sz w:val="21"/>
                      <w:szCs w:val="21"/>
                      <w:lang w:val="zh-CN" w:eastAsia="zh-CN"/>
                    </w:rPr>
                  </w:pPr>
                </w:p>
              </w:tc>
              <w:tc>
                <w:tcPr>
                  <w:tcW w:w="4100" w:type="dxa"/>
                  <w:vMerge w:val="continue"/>
                  <w:shd w:val="clear" w:color="auto" w:fill="FFFFFF"/>
                  <w:noWrap w:val="0"/>
                  <w:vAlign w:val="center"/>
                </w:tcPr>
                <w:p w14:paraId="39E560E5">
                  <w:pPr>
                    <w:spacing w:line="240" w:lineRule="auto"/>
                    <w:jc w:val="center"/>
                    <w:rPr>
                      <w:rFonts w:hint="default" w:ascii="Times New Roman" w:hAnsi="Times New Roman" w:eastAsia="Calibri" w:cs="Times New Roman"/>
                      <w:color w:val="auto"/>
                      <w:kern w:val="2"/>
                      <w:sz w:val="21"/>
                      <w:szCs w:val="21"/>
                      <w:lang w:val="zh-CN" w:eastAsia="zh-CN"/>
                    </w:rPr>
                  </w:pPr>
                </w:p>
              </w:tc>
              <w:tc>
                <w:tcPr>
                  <w:tcW w:w="891" w:type="dxa"/>
                  <w:shd w:val="clear" w:color="auto" w:fill="FFFFFF"/>
                  <w:noWrap w:val="0"/>
                  <w:vAlign w:val="center"/>
                </w:tcPr>
                <w:p w14:paraId="7AE75B11">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施工期</w:t>
                  </w:r>
                </w:p>
              </w:tc>
              <w:tc>
                <w:tcPr>
                  <w:tcW w:w="1050" w:type="dxa"/>
                  <w:shd w:val="clear" w:color="auto" w:fill="FFFFFF"/>
                  <w:noWrap w:val="0"/>
                  <w:vAlign w:val="center"/>
                </w:tcPr>
                <w:p w14:paraId="7D43FA6B">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运营期</w:t>
                  </w:r>
                </w:p>
              </w:tc>
              <w:tc>
                <w:tcPr>
                  <w:tcW w:w="752" w:type="dxa"/>
                  <w:vMerge w:val="continue"/>
                  <w:shd w:val="clear" w:color="auto" w:fill="FFFFFF"/>
                  <w:noWrap w:val="0"/>
                  <w:vAlign w:val="center"/>
                </w:tcPr>
                <w:p w14:paraId="71B4D332">
                  <w:pPr>
                    <w:spacing w:line="240" w:lineRule="auto"/>
                    <w:jc w:val="center"/>
                    <w:rPr>
                      <w:rFonts w:hint="default" w:ascii="Times New Roman" w:hAnsi="Times New Roman" w:eastAsia="Calibri" w:cs="Times New Roman"/>
                      <w:color w:val="auto"/>
                      <w:kern w:val="2"/>
                      <w:sz w:val="21"/>
                      <w:szCs w:val="21"/>
                      <w:lang w:val="zh-CN" w:eastAsia="zh-CN"/>
                    </w:rPr>
                  </w:pPr>
                </w:p>
              </w:tc>
            </w:tr>
            <w:tr w14:paraId="76A6E06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364" w:hRule="atLeast"/>
                <w:jc w:val="center"/>
              </w:trPr>
              <w:tc>
                <w:tcPr>
                  <w:tcW w:w="721" w:type="dxa"/>
                  <w:shd w:val="clear" w:color="auto" w:fill="FFFFFF"/>
                  <w:noWrap w:val="0"/>
                  <w:vAlign w:val="center"/>
                </w:tcPr>
                <w:p w14:paraId="50A91977">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主体</w:t>
                  </w:r>
                </w:p>
                <w:p w14:paraId="67264650">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工程</w:t>
                  </w:r>
                </w:p>
              </w:tc>
              <w:tc>
                <w:tcPr>
                  <w:tcW w:w="1024" w:type="dxa"/>
                  <w:shd w:val="clear" w:color="auto" w:fill="FFFFFF"/>
                  <w:noWrap w:val="0"/>
                  <w:vAlign w:val="center"/>
                </w:tcPr>
                <w:p w14:paraId="13CF4E6D">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生产</w:t>
                  </w:r>
                </w:p>
                <w:p w14:paraId="7025EFB3">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车间</w:t>
                  </w:r>
                </w:p>
              </w:tc>
              <w:tc>
                <w:tcPr>
                  <w:tcW w:w="4100" w:type="dxa"/>
                  <w:shd w:val="clear" w:color="auto" w:fill="FFFFFF"/>
                  <w:noWrap w:val="0"/>
                  <w:vAlign w:val="center"/>
                </w:tcPr>
                <w:p w14:paraId="64A411EC">
                  <w:pPr>
                    <w:spacing w:line="240" w:lineRule="auto"/>
                    <w:jc w:val="both"/>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租用圣海包装科技有限公司局部闲置生产车间1F，2000m</w:t>
                  </w:r>
                  <w:r>
                    <w:rPr>
                      <w:rFonts w:hint="default" w:ascii="Times New Roman" w:hAnsi="Times New Roman" w:eastAsia="Calibri" w:cs="Times New Roman"/>
                      <w:color w:val="auto"/>
                      <w:kern w:val="2"/>
                      <w:sz w:val="21"/>
                      <w:szCs w:val="21"/>
                      <w:vertAlign w:val="superscript"/>
                      <w:lang w:val="en-US" w:eastAsia="zh-CN"/>
                    </w:rPr>
                    <w:t>2</w:t>
                  </w:r>
                  <w:r>
                    <w:rPr>
                      <w:rFonts w:hint="default" w:ascii="Times New Roman" w:hAnsi="Times New Roman" w:eastAsia="Calibri" w:cs="Times New Roman"/>
                      <w:color w:val="auto"/>
                      <w:kern w:val="2"/>
                      <w:sz w:val="21"/>
                      <w:szCs w:val="21"/>
                      <w:lang w:val="en-US" w:eastAsia="zh-CN"/>
                    </w:rPr>
                    <w:t>。车间内划分为固废暂存间、残次品堆放间、塑胶储存区、成品堆放区、塑胶原料堆放区、注塑区、模具堆放区、模具库房、组装区、烫金/丝印区等区域</w:t>
                  </w:r>
                </w:p>
              </w:tc>
              <w:tc>
                <w:tcPr>
                  <w:tcW w:w="891" w:type="dxa"/>
                  <w:vMerge w:val="restart"/>
                  <w:shd w:val="clear" w:color="auto" w:fill="FFFFFF"/>
                  <w:noWrap w:val="0"/>
                  <w:vAlign w:val="center"/>
                </w:tcPr>
                <w:p w14:paraId="2DE19ACC">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项目租用已建成的厂房，无土建工程，通过现场调查，不存在施工期环境遗留问题。</w:t>
                  </w:r>
                </w:p>
              </w:tc>
              <w:tc>
                <w:tcPr>
                  <w:tcW w:w="1050" w:type="dxa"/>
                  <w:shd w:val="clear" w:color="auto" w:fill="FFFFFF"/>
                  <w:noWrap w:val="0"/>
                  <w:vAlign w:val="center"/>
                </w:tcPr>
                <w:p w14:paraId="781503AF">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废气、固废、噪声</w:t>
                  </w:r>
                </w:p>
              </w:tc>
              <w:tc>
                <w:tcPr>
                  <w:tcW w:w="752" w:type="dxa"/>
                  <w:shd w:val="clear" w:color="auto" w:fill="FFFFFF"/>
                  <w:noWrap w:val="0"/>
                  <w:vAlign w:val="center"/>
                </w:tcPr>
                <w:p w14:paraId="7F0AE846">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依托</w:t>
                  </w:r>
                </w:p>
              </w:tc>
            </w:tr>
            <w:tr w14:paraId="36D667F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58" w:hRule="atLeast"/>
                <w:jc w:val="center"/>
              </w:trPr>
              <w:tc>
                <w:tcPr>
                  <w:tcW w:w="721" w:type="dxa"/>
                  <w:vMerge w:val="restart"/>
                  <w:shd w:val="clear" w:color="auto" w:fill="FFFFFF"/>
                  <w:noWrap w:val="0"/>
                  <w:vAlign w:val="center"/>
                </w:tcPr>
                <w:p w14:paraId="7B3E3329">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公用</w:t>
                  </w:r>
                </w:p>
                <w:p w14:paraId="3AD633E6">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工程</w:t>
                  </w:r>
                </w:p>
              </w:tc>
              <w:tc>
                <w:tcPr>
                  <w:tcW w:w="1024" w:type="dxa"/>
                  <w:shd w:val="clear" w:color="auto" w:fill="FFFFFF"/>
                  <w:noWrap w:val="0"/>
                  <w:vAlign w:val="center"/>
                </w:tcPr>
                <w:p w14:paraId="2C186D0C">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给</w:t>
                  </w:r>
                  <w:r>
                    <w:rPr>
                      <w:rFonts w:hint="default" w:ascii="Times New Roman" w:hAnsi="Times New Roman" w:eastAsia="Calibri" w:cs="Times New Roman"/>
                      <w:color w:val="auto"/>
                      <w:kern w:val="2"/>
                      <w:sz w:val="21"/>
                      <w:szCs w:val="21"/>
                      <w:lang w:val="en-US" w:eastAsia="zh-CN"/>
                    </w:rPr>
                    <w:t>排</w:t>
                  </w:r>
                  <w:r>
                    <w:rPr>
                      <w:rFonts w:hint="default" w:ascii="Times New Roman" w:hAnsi="Times New Roman" w:eastAsia="Calibri" w:cs="Times New Roman"/>
                      <w:color w:val="auto"/>
                      <w:kern w:val="2"/>
                      <w:sz w:val="21"/>
                      <w:szCs w:val="21"/>
                      <w:lang w:val="zh-CN" w:eastAsia="zh-CN"/>
                    </w:rPr>
                    <w:t>水</w:t>
                  </w:r>
                </w:p>
              </w:tc>
              <w:tc>
                <w:tcPr>
                  <w:tcW w:w="4100" w:type="dxa"/>
                  <w:shd w:val="clear" w:color="auto" w:fill="FFFFFF"/>
                  <w:noWrap w:val="0"/>
                  <w:vAlign w:val="center"/>
                </w:tcPr>
                <w:p w14:paraId="59A01C36">
                  <w:pPr>
                    <w:spacing w:line="240" w:lineRule="auto"/>
                    <w:jc w:val="both"/>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市政给</w:t>
                  </w:r>
                  <w:r>
                    <w:rPr>
                      <w:rFonts w:hint="default" w:ascii="Times New Roman" w:hAnsi="Times New Roman" w:eastAsia="Calibri" w:cs="Times New Roman"/>
                      <w:color w:val="auto"/>
                      <w:kern w:val="2"/>
                      <w:sz w:val="21"/>
                      <w:szCs w:val="21"/>
                      <w:lang w:val="en-US" w:eastAsia="zh-CN"/>
                    </w:rPr>
                    <w:t>排</w:t>
                  </w:r>
                  <w:r>
                    <w:rPr>
                      <w:rFonts w:hint="default" w:ascii="Times New Roman" w:hAnsi="Times New Roman" w:eastAsia="Calibri" w:cs="Times New Roman"/>
                      <w:color w:val="auto"/>
                      <w:kern w:val="2"/>
                      <w:sz w:val="21"/>
                      <w:szCs w:val="21"/>
                      <w:lang w:val="zh-CN" w:eastAsia="zh-CN"/>
                    </w:rPr>
                    <w:t>水，采用雨污分流体制。依托圣海包装科技有限公司既有设施。</w:t>
                  </w:r>
                </w:p>
              </w:tc>
              <w:tc>
                <w:tcPr>
                  <w:tcW w:w="891" w:type="dxa"/>
                  <w:vMerge w:val="continue"/>
                  <w:shd w:val="clear" w:color="auto" w:fill="FFFFFF"/>
                  <w:noWrap w:val="0"/>
                  <w:vAlign w:val="center"/>
                </w:tcPr>
                <w:p w14:paraId="05B73303">
                  <w:pPr>
                    <w:spacing w:line="240" w:lineRule="auto"/>
                    <w:jc w:val="center"/>
                    <w:rPr>
                      <w:rFonts w:hint="default" w:ascii="Times New Roman" w:hAnsi="Times New Roman" w:eastAsia="Calibri" w:cs="Times New Roman"/>
                      <w:color w:val="auto"/>
                      <w:kern w:val="2"/>
                      <w:sz w:val="21"/>
                      <w:szCs w:val="21"/>
                      <w:lang w:val="zh-CN" w:eastAsia="zh-CN"/>
                    </w:rPr>
                  </w:pPr>
                </w:p>
              </w:tc>
              <w:tc>
                <w:tcPr>
                  <w:tcW w:w="1050" w:type="dxa"/>
                  <w:shd w:val="clear" w:color="auto" w:fill="FFFFFF"/>
                  <w:noWrap w:val="0"/>
                  <w:vAlign w:val="center"/>
                </w:tcPr>
                <w:p w14:paraId="246D8995">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w:t>
                  </w:r>
                </w:p>
              </w:tc>
              <w:tc>
                <w:tcPr>
                  <w:tcW w:w="752" w:type="dxa"/>
                  <w:shd w:val="clear" w:color="auto" w:fill="FFFFFF"/>
                  <w:noWrap w:val="0"/>
                  <w:vAlign w:val="center"/>
                </w:tcPr>
                <w:p w14:paraId="390C995A">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依托</w:t>
                  </w:r>
                </w:p>
              </w:tc>
            </w:tr>
            <w:tr w14:paraId="09325F0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9" w:hRule="atLeast"/>
                <w:jc w:val="center"/>
              </w:trPr>
              <w:tc>
                <w:tcPr>
                  <w:tcW w:w="721" w:type="dxa"/>
                  <w:vMerge w:val="continue"/>
                  <w:shd w:val="clear" w:color="auto" w:fill="FFFFFF"/>
                  <w:noWrap w:val="0"/>
                  <w:vAlign w:val="center"/>
                </w:tcPr>
                <w:p w14:paraId="47E429A4">
                  <w:pPr>
                    <w:spacing w:line="240" w:lineRule="auto"/>
                    <w:jc w:val="center"/>
                    <w:rPr>
                      <w:rFonts w:hint="default" w:ascii="Times New Roman" w:hAnsi="Times New Roman" w:eastAsia="Calibri" w:cs="Times New Roman"/>
                      <w:color w:val="auto"/>
                      <w:kern w:val="2"/>
                      <w:sz w:val="21"/>
                      <w:szCs w:val="21"/>
                      <w:lang w:val="zh-CN" w:eastAsia="zh-CN"/>
                    </w:rPr>
                  </w:pPr>
                </w:p>
              </w:tc>
              <w:tc>
                <w:tcPr>
                  <w:tcW w:w="1024" w:type="dxa"/>
                  <w:shd w:val="clear" w:color="auto" w:fill="FFFFFF"/>
                  <w:noWrap w:val="0"/>
                  <w:vAlign w:val="center"/>
                </w:tcPr>
                <w:p w14:paraId="52AA0369">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供电</w:t>
                  </w:r>
                </w:p>
              </w:tc>
              <w:tc>
                <w:tcPr>
                  <w:tcW w:w="4100" w:type="dxa"/>
                  <w:shd w:val="clear" w:color="auto" w:fill="FFFFFF"/>
                  <w:noWrap w:val="0"/>
                  <w:vAlign w:val="center"/>
                </w:tcPr>
                <w:p w14:paraId="7EDBEDED">
                  <w:pPr>
                    <w:spacing w:line="240" w:lineRule="auto"/>
                    <w:jc w:val="both"/>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依托圣海包装科技有限公司既有</w:t>
                  </w:r>
                  <w:r>
                    <w:rPr>
                      <w:rFonts w:hint="default" w:ascii="Times New Roman" w:hAnsi="Times New Roman" w:eastAsia="Calibri" w:cs="Times New Roman"/>
                      <w:color w:val="auto"/>
                      <w:kern w:val="2"/>
                      <w:sz w:val="21"/>
                      <w:szCs w:val="21"/>
                      <w:lang w:val="en-US" w:eastAsia="zh-CN"/>
                    </w:rPr>
                    <w:t>供电</w:t>
                  </w:r>
                  <w:r>
                    <w:rPr>
                      <w:rFonts w:hint="default" w:ascii="Times New Roman" w:hAnsi="Times New Roman" w:eastAsia="Calibri" w:cs="Times New Roman"/>
                      <w:color w:val="auto"/>
                      <w:kern w:val="2"/>
                      <w:sz w:val="21"/>
                      <w:szCs w:val="21"/>
                      <w:lang w:val="zh-CN" w:eastAsia="zh-CN"/>
                    </w:rPr>
                    <w:t>设施。</w:t>
                  </w:r>
                </w:p>
              </w:tc>
              <w:tc>
                <w:tcPr>
                  <w:tcW w:w="891" w:type="dxa"/>
                  <w:vMerge w:val="continue"/>
                  <w:shd w:val="clear" w:color="auto" w:fill="FFFFFF"/>
                  <w:noWrap w:val="0"/>
                  <w:vAlign w:val="center"/>
                </w:tcPr>
                <w:p w14:paraId="2C61DA78">
                  <w:pPr>
                    <w:spacing w:line="240" w:lineRule="auto"/>
                    <w:jc w:val="center"/>
                    <w:rPr>
                      <w:rFonts w:hint="default" w:ascii="Times New Roman" w:hAnsi="Times New Roman" w:eastAsia="Calibri" w:cs="Times New Roman"/>
                      <w:color w:val="auto"/>
                      <w:kern w:val="2"/>
                      <w:sz w:val="21"/>
                      <w:szCs w:val="21"/>
                      <w:lang w:val="zh-CN" w:eastAsia="zh-CN"/>
                    </w:rPr>
                  </w:pPr>
                </w:p>
              </w:tc>
              <w:tc>
                <w:tcPr>
                  <w:tcW w:w="1050" w:type="dxa"/>
                  <w:shd w:val="clear" w:color="auto" w:fill="FFFFFF"/>
                  <w:noWrap w:val="0"/>
                  <w:vAlign w:val="center"/>
                </w:tcPr>
                <w:p w14:paraId="6251AA15">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w:t>
                  </w:r>
                </w:p>
              </w:tc>
              <w:tc>
                <w:tcPr>
                  <w:tcW w:w="752" w:type="dxa"/>
                  <w:shd w:val="clear" w:color="auto" w:fill="FFFFFF"/>
                  <w:noWrap w:val="0"/>
                  <w:vAlign w:val="center"/>
                </w:tcPr>
                <w:p w14:paraId="4F487A43">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依托</w:t>
                  </w:r>
                </w:p>
              </w:tc>
            </w:tr>
            <w:tr w14:paraId="564F217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9" w:hRule="atLeast"/>
                <w:jc w:val="center"/>
              </w:trPr>
              <w:tc>
                <w:tcPr>
                  <w:tcW w:w="721" w:type="dxa"/>
                  <w:vMerge w:val="continue"/>
                  <w:shd w:val="clear" w:color="auto" w:fill="FFFFFF"/>
                  <w:noWrap w:val="0"/>
                  <w:vAlign w:val="center"/>
                </w:tcPr>
                <w:p w14:paraId="2155E325">
                  <w:pPr>
                    <w:spacing w:line="240" w:lineRule="auto"/>
                    <w:jc w:val="center"/>
                    <w:rPr>
                      <w:rFonts w:hint="default" w:ascii="Times New Roman" w:hAnsi="Times New Roman" w:eastAsia="Calibri" w:cs="Times New Roman"/>
                      <w:color w:val="auto"/>
                      <w:kern w:val="2"/>
                      <w:sz w:val="21"/>
                      <w:szCs w:val="21"/>
                      <w:lang w:val="zh-CN" w:eastAsia="zh-CN"/>
                    </w:rPr>
                  </w:pPr>
                </w:p>
              </w:tc>
              <w:tc>
                <w:tcPr>
                  <w:tcW w:w="1024" w:type="dxa"/>
                  <w:shd w:val="clear" w:color="auto" w:fill="FFFFFF"/>
                  <w:noWrap w:val="0"/>
                  <w:vAlign w:val="center"/>
                </w:tcPr>
                <w:p w14:paraId="715E21A6">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道路</w:t>
                  </w:r>
                </w:p>
              </w:tc>
              <w:tc>
                <w:tcPr>
                  <w:tcW w:w="4100" w:type="dxa"/>
                  <w:shd w:val="clear" w:color="auto" w:fill="FFFFFF"/>
                  <w:noWrap w:val="0"/>
                  <w:vAlign w:val="center"/>
                </w:tcPr>
                <w:p w14:paraId="757DA408">
                  <w:pPr>
                    <w:spacing w:line="240" w:lineRule="auto"/>
                    <w:jc w:val="both"/>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zh-CN" w:eastAsia="zh-CN"/>
                    </w:rPr>
                    <w:t>依托圣海包装科技有限公司</w:t>
                  </w:r>
                  <w:r>
                    <w:rPr>
                      <w:rFonts w:hint="default" w:ascii="Times New Roman" w:hAnsi="Times New Roman" w:eastAsia="Calibri" w:cs="Times New Roman"/>
                      <w:color w:val="auto"/>
                      <w:kern w:val="2"/>
                      <w:sz w:val="21"/>
                      <w:szCs w:val="21"/>
                      <w:lang w:val="en-US" w:eastAsia="zh-CN"/>
                    </w:rPr>
                    <w:t>现有道路运输。</w:t>
                  </w:r>
                </w:p>
              </w:tc>
              <w:tc>
                <w:tcPr>
                  <w:tcW w:w="891" w:type="dxa"/>
                  <w:vMerge w:val="continue"/>
                  <w:shd w:val="clear" w:color="auto" w:fill="FFFFFF"/>
                  <w:noWrap w:val="0"/>
                  <w:vAlign w:val="center"/>
                </w:tcPr>
                <w:p w14:paraId="2DD0B5F8">
                  <w:pPr>
                    <w:spacing w:line="240" w:lineRule="auto"/>
                    <w:jc w:val="center"/>
                    <w:rPr>
                      <w:rFonts w:hint="default" w:ascii="Times New Roman" w:hAnsi="Times New Roman" w:eastAsia="Calibri" w:cs="Times New Roman"/>
                      <w:color w:val="auto"/>
                      <w:kern w:val="2"/>
                      <w:sz w:val="21"/>
                      <w:szCs w:val="21"/>
                      <w:lang w:val="zh-CN" w:eastAsia="zh-CN"/>
                    </w:rPr>
                  </w:pPr>
                </w:p>
              </w:tc>
              <w:tc>
                <w:tcPr>
                  <w:tcW w:w="1050" w:type="dxa"/>
                  <w:shd w:val="clear" w:color="auto" w:fill="FFFFFF"/>
                  <w:noWrap w:val="0"/>
                  <w:vAlign w:val="center"/>
                </w:tcPr>
                <w:p w14:paraId="0DBEE8CE">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w:t>
                  </w:r>
                </w:p>
              </w:tc>
              <w:tc>
                <w:tcPr>
                  <w:tcW w:w="752" w:type="dxa"/>
                  <w:shd w:val="clear" w:color="auto" w:fill="FFFFFF"/>
                  <w:noWrap w:val="0"/>
                  <w:vAlign w:val="center"/>
                </w:tcPr>
                <w:p w14:paraId="725AA274">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依托</w:t>
                  </w:r>
                </w:p>
              </w:tc>
            </w:tr>
            <w:tr w14:paraId="69983EB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9" w:hRule="atLeast"/>
                <w:jc w:val="center"/>
              </w:trPr>
              <w:tc>
                <w:tcPr>
                  <w:tcW w:w="721" w:type="dxa"/>
                  <w:vMerge w:val="continue"/>
                  <w:shd w:val="clear" w:color="auto" w:fill="FFFFFF"/>
                  <w:noWrap w:val="0"/>
                  <w:vAlign w:val="center"/>
                </w:tcPr>
                <w:p w14:paraId="613AC387">
                  <w:pPr>
                    <w:spacing w:line="240" w:lineRule="auto"/>
                    <w:jc w:val="center"/>
                    <w:rPr>
                      <w:rFonts w:hint="default" w:ascii="Times New Roman" w:hAnsi="Times New Roman" w:eastAsia="Calibri" w:cs="Times New Roman"/>
                      <w:color w:val="auto"/>
                      <w:kern w:val="2"/>
                      <w:sz w:val="21"/>
                      <w:szCs w:val="21"/>
                      <w:lang w:val="zh-CN" w:eastAsia="zh-CN"/>
                    </w:rPr>
                  </w:pPr>
                </w:p>
              </w:tc>
              <w:tc>
                <w:tcPr>
                  <w:tcW w:w="1024" w:type="dxa"/>
                  <w:shd w:val="clear" w:color="auto" w:fill="FFFFFF"/>
                  <w:noWrap w:val="0"/>
                  <w:vAlign w:val="center"/>
                </w:tcPr>
                <w:p w14:paraId="1AAA05BD">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绿化</w:t>
                  </w:r>
                </w:p>
              </w:tc>
              <w:tc>
                <w:tcPr>
                  <w:tcW w:w="4100" w:type="dxa"/>
                  <w:shd w:val="clear" w:color="auto" w:fill="FFFFFF"/>
                  <w:noWrap w:val="0"/>
                  <w:vAlign w:val="center"/>
                </w:tcPr>
                <w:p w14:paraId="0146416F">
                  <w:pPr>
                    <w:spacing w:line="240" w:lineRule="auto"/>
                    <w:jc w:val="both"/>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依托圣海包装科技有限公司既有绿化。</w:t>
                  </w:r>
                </w:p>
              </w:tc>
              <w:tc>
                <w:tcPr>
                  <w:tcW w:w="891" w:type="dxa"/>
                  <w:vMerge w:val="continue"/>
                  <w:shd w:val="clear" w:color="auto" w:fill="FFFFFF"/>
                  <w:noWrap w:val="0"/>
                  <w:vAlign w:val="center"/>
                </w:tcPr>
                <w:p w14:paraId="6527F59A">
                  <w:pPr>
                    <w:spacing w:line="240" w:lineRule="auto"/>
                    <w:jc w:val="center"/>
                    <w:rPr>
                      <w:rFonts w:hint="default" w:ascii="Times New Roman" w:hAnsi="Times New Roman" w:eastAsia="Calibri" w:cs="Times New Roman"/>
                      <w:color w:val="auto"/>
                      <w:kern w:val="2"/>
                      <w:sz w:val="21"/>
                      <w:szCs w:val="21"/>
                      <w:lang w:val="zh-CN" w:eastAsia="zh-CN"/>
                    </w:rPr>
                  </w:pPr>
                </w:p>
              </w:tc>
              <w:tc>
                <w:tcPr>
                  <w:tcW w:w="1050" w:type="dxa"/>
                  <w:shd w:val="clear" w:color="auto" w:fill="FFFFFF"/>
                  <w:noWrap w:val="0"/>
                  <w:vAlign w:val="center"/>
                </w:tcPr>
                <w:p w14:paraId="495E94CB">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正效应</w:t>
                  </w:r>
                </w:p>
              </w:tc>
              <w:tc>
                <w:tcPr>
                  <w:tcW w:w="752" w:type="dxa"/>
                  <w:shd w:val="clear" w:color="auto" w:fill="FFFFFF"/>
                  <w:noWrap w:val="0"/>
                  <w:vAlign w:val="center"/>
                </w:tcPr>
                <w:p w14:paraId="47FD7C40">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依托</w:t>
                  </w:r>
                </w:p>
              </w:tc>
            </w:tr>
            <w:tr w14:paraId="262C736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58" w:hRule="atLeast"/>
                <w:jc w:val="center"/>
              </w:trPr>
              <w:tc>
                <w:tcPr>
                  <w:tcW w:w="721" w:type="dxa"/>
                  <w:vMerge w:val="restart"/>
                  <w:shd w:val="clear" w:color="auto" w:fill="FFFFFF"/>
                  <w:noWrap w:val="0"/>
                  <w:vAlign w:val="center"/>
                </w:tcPr>
                <w:p w14:paraId="2298EFFB">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办公生活设施</w:t>
                  </w:r>
                </w:p>
              </w:tc>
              <w:tc>
                <w:tcPr>
                  <w:tcW w:w="1024" w:type="dxa"/>
                  <w:shd w:val="clear" w:color="auto" w:fill="FFFFFF"/>
                  <w:noWrap w:val="0"/>
                  <w:vAlign w:val="center"/>
                </w:tcPr>
                <w:p w14:paraId="207932CD">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zh-CN" w:eastAsia="zh-CN"/>
                    </w:rPr>
                    <w:t>办公</w:t>
                  </w:r>
                  <w:r>
                    <w:rPr>
                      <w:rFonts w:hint="default" w:ascii="Times New Roman" w:hAnsi="Times New Roman" w:eastAsia="Calibri" w:cs="Times New Roman"/>
                      <w:color w:val="auto"/>
                      <w:kern w:val="2"/>
                      <w:sz w:val="21"/>
                      <w:szCs w:val="21"/>
                      <w:lang w:val="en-US" w:eastAsia="zh-CN"/>
                    </w:rPr>
                    <w:t>楼</w:t>
                  </w:r>
                </w:p>
              </w:tc>
              <w:tc>
                <w:tcPr>
                  <w:tcW w:w="4100" w:type="dxa"/>
                  <w:shd w:val="clear" w:color="auto" w:fill="FFFFFF"/>
                  <w:noWrap w:val="0"/>
                  <w:vAlign w:val="center"/>
                </w:tcPr>
                <w:p w14:paraId="24E26CC8">
                  <w:pPr>
                    <w:spacing w:line="240" w:lineRule="auto"/>
                    <w:jc w:val="both"/>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生产车间内设办公区，用于日常办公、休息</w:t>
                  </w:r>
                </w:p>
              </w:tc>
              <w:tc>
                <w:tcPr>
                  <w:tcW w:w="891" w:type="dxa"/>
                  <w:vMerge w:val="continue"/>
                  <w:shd w:val="clear" w:color="auto" w:fill="FFFFFF"/>
                  <w:noWrap w:val="0"/>
                  <w:vAlign w:val="center"/>
                </w:tcPr>
                <w:p w14:paraId="04C9AC59">
                  <w:pPr>
                    <w:spacing w:line="240" w:lineRule="auto"/>
                    <w:jc w:val="center"/>
                    <w:rPr>
                      <w:rFonts w:hint="default" w:ascii="Times New Roman" w:hAnsi="Times New Roman" w:eastAsia="Calibri" w:cs="Times New Roman"/>
                      <w:color w:val="auto"/>
                      <w:kern w:val="2"/>
                      <w:sz w:val="21"/>
                      <w:szCs w:val="21"/>
                      <w:lang w:val="zh-CN" w:eastAsia="zh-CN"/>
                    </w:rPr>
                  </w:pPr>
                </w:p>
              </w:tc>
              <w:tc>
                <w:tcPr>
                  <w:tcW w:w="1050" w:type="dxa"/>
                  <w:shd w:val="clear" w:color="auto" w:fill="FFFFFF"/>
                  <w:noWrap w:val="0"/>
                  <w:vAlign w:val="center"/>
                </w:tcPr>
                <w:p w14:paraId="0966C9A6">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固废、废水</w:t>
                  </w:r>
                </w:p>
              </w:tc>
              <w:tc>
                <w:tcPr>
                  <w:tcW w:w="752" w:type="dxa"/>
                  <w:shd w:val="clear" w:color="auto" w:fill="FFFFFF"/>
                  <w:noWrap w:val="0"/>
                  <w:vAlign w:val="center"/>
                </w:tcPr>
                <w:p w14:paraId="5DCE5648">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新建</w:t>
                  </w:r>
                </w:p>
              </w:tc>
            </w:tr>
            <w:tr w14:paraId="157A4CD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9" w:hRule="atLeast"/>
                <w:jc w:val="center"/>
              </w:trPr>
              <w:tc>
                <w:tcPr>
                  <w:tcW w:w="721" w:type="dxa"/>
                  <w:vMerge w:val="continue"/>
                  <w:shd w:val="clear" w:color="auto" w:fill="FFFFFF"/>
                  <w:noWrap w:val="0"/>
                  <w:vAlign w:val="center"/>
                </w:tcPr>
                <w:p w14:paraId="2B3DB077">
                  <w:pPr>
                    <w:spacing w:line="240" w:lineRule="auto"/>
                    <w:jc w:val="center"/>
                    <w:rPr>
                      <w:rFonts w:hint="default" w:ascii="Times New Roman" w:hAnsi="Times New Roman" w:eastAsia="Calibri" w:cs="Times New Roman"/>
                      <w:color w:val="auto"/>
                      <w:kern w:val="2"/>
                      <w:sz w:val="21"/>
                      <w:szCs w:val="21"/>
                      <w:lang w:val="zh-CN" w:eastAsia="zh-CN"/>
                    </w:rPr>
                  </w:pPr>
                </w:p>
              </w:tc>
              <w:tc>
                <w:tcPr>
                  <w:tcW w:w="1024" w:type="dxa"/>
                  <w:shd w:val="clear" w:color="auto" w:fill="FFFFFF"/>
                  <w:noWrap w:val="0"/>
                  <w:vAlign w:val="center"/>
                </w:tcPr>
                <w:p w14:paraId="5AC5EAFB">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停车位</w:t>
                  </w:r>
                </w:p>
              </w:tc>
              <w:tc>
                <w:tcPr>
                  <w:tcW w:w="4100" w:type="dxa"/>
                  <w:shd w:val="clear" w:color="auto" w:fill="FFFFFF"/>
                  <w:noWrap w:val="0"/>
                  <w:vAlign w:val="center"/>
                </w:tcPr>
                <w:p w14:paraId="02816523">
                  <w:pPr>
                    <w:spacing w:line="240" w:lineRule="auto"/>
                    <w:jc w:val="both"/>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依托圣海包装科技有限公司既有设施。</w:t>
                  </w:r>
                </w:p>
              </w:tc>
              <w:tc>
                <w:tcPr>
                  <w:tcW w:w="891" w:type="dxa"/>
                  <w:vMerge w:val="continue"/>
                  <w:shd w:val="clear" w:color="auto" w:fill="FFFFFF"/>
                  <w:noWrap w:val="0"/>
                  <w:vAlign w:val="center"/>
                </w:tcPr>
                <w:p w14:paraId="62EB7957">
                  <w:pPr>
                    <w:spacing w:line="240" w:lineRule="auto"/>
                    <w:jc w:val="center"/>
                    <w:rPr>
                      <w:rFonts w:hint="default" w:ascii="Times New Roman" w:hAnsi="Times New Roman" w:eastAsia="Calibri" w:cs="Times New Roman"/>
                      <w:color w:val="auto"/>
                      <w:kern w:val="2"/>
                      <w:sz w:val="21"/>
                      <w:szCs w:val="21"/>
                      <w:lang w:val="zh-CN" w:eastAsia="zh-CN"/>
                    </w:rPr>
                  </w:pPr>
                </w:p>
              </w:tc>
              <w:tc>
                <w:tcPr>
                  <w:tcW w:w="1050" w:type="dxa"/>
                  <w:shd w:val="clear" w:color="auto" w:fill="FFFFFF"/>
                  <w:noWrap w:val="0"/>
                  <w:vAlign w:val="center"/>
                </w:tcPr>
                <w:p w14:paraId="787769E1">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w:t>
                  </w:r>
                </w:p>
              </w:tc>
              <w:tc>
                <w:tcPr>
                  <w:tcW w:w="752" w:type="dxa"/>
                  <w:shd w:val="clear" w:color="auto" w:fill="FFFFFF"/>
                  <w:noWrap w:val="0"/>
                  <w:vAlign w:val="center"/>
                </w:tcPr>
                <w:p w14:paraId="09272E79">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依托</w:t>
                  </w:r>
                </w:p>
              </w:tc>
            </w:tr>
            <w:tr w14:paraId="4B96B0C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096" w:hRule="atLeast"/>
                <w:jc w:val="center"/>
              </w:trPr>
              <w:tc>
                <w:tcPr>
                  <w:tcW w:w="721" w:type="dxa"/>
                  <w:vMerge w:val="restart"/>
                  <w:shd w:val="clear" w:color="auto" w:fill="FFFFFF"/>
                  <w:noWrap w:val="0"/>
                  <w:vAlign w:val="center"/>
                </w:tcPr>
                <w:p w14:paraId="2034007B">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环保</w:t>
                  </w:r>
                </w:p>
                <w:p w14:paraId="34D0FB1A">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工程</w:t>
                  </w:r>
                </w:p>
              </w:tc>
              <w:tc>
                <w:tcPr>
                  <w:tcW w:w="1024" w:type="dxa"/>
                  <w:shd w:val="clear" w:color="auto" w:fill="FFFFFF"/>
                  <w:noWrap w:val="0"/>
                  <w:vAlign w:val="center"/>
                </w:tcPr>
                <w:p w14:paraId="792AE2BF">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废气处理设施</w:t>
                  </w:r>
                </w:p>
              </w:tc>
              <w:tc>
                <w:tcPr>
                  <w:tcW w:w="4100" w:type="dxa"/>
                  <w:shd w:val="clear" w:color="auto" w:fill="FFFFFF"/>
                  <w:noWrap w:val="0"/>
                  <w:vAlign w:val="center"/>
                </w:tcPr>
                <w:p w14:paraId="3C19C2B7">
                  <w:pPr>
                    <w:spacing w:line="240" w:lineRule="auto"/>
                    <w:jc w:val="both"/>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有机废气经在每台注塑机、丝印机、热转印、过胶机机上方设置集气罩收集，汇入1套“两级活性炭吸附装置”处理后通过1根15m高的排气筒排放</w:t>
                  </w:r>
                </w:p>
              </w:tc>
              <w:tc>
                <w:tcPr>
                  <w:tcW w:w="891" w:type="dxa"/>
                  <w:vMerge w:val="continue"/>
                  <w:shd w:val="clear" w:color="auto" w:fill="FFFFFF"/>
                  <w:noWrap w:val="0"/>
                  <w:vAlign w:val="center"/>
                </w:tcPr>
                <w:p w14:paraId="19D26CB9">
                  <w:pPr>
                    <w:spacing w:line="240" w:lineRule="auto"/>
                    <w:jc w:val="center"/>
                    <w:rPr>
                      <w:rFonts w:hint="default" w:ascii="Times New Roman" w:hAnsi="Times New Roman" w:eastAsia="Calibri" w:cs="Times New Roman"/>
                      <w:color w:val="auto"/>
                      <w:kern w:val="2"/>
                      <w:sz w:val="21"/>
                      <w:szCs w:val="21"/>
                      <w:lang w:val="zh-CN" w:eastAsia="zh-CN"/>
                    </w:rPr>
                  </w:pPr>
                </w:p>
              </w:tc>
              <w:tc>
                <w:tcPr>
                  <w:tcW w:w="1050" w:type="dxa"/>
                  <w:shd w:val="clear" w:color="auto" w:fill="FFFFFF"/>
                  <w:noWrap w:val="0"/>
                  <w:vAlign w:val="center"/>
                </w:tcPr>
                <w:p w14:paraId="1BE97C09">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废气</w:t>
                  </w:r>
                </w:p>
              </w:tc>
              <w:tc>
                <w:tcPr>
                  <w:tcW w:w="752" w:type="dxa"/>
                  <w:shd w:val="clear" w:color="auto" w:fill="FFFFFF"/>
                  <w:noWrap w:val="0"/>
                  <w:vAlign w:val="center"/>
                </w:tcPr>
                <w:p w14:paraId="3098894D">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新建</w:t>
                  </w:r>
                </w:p>
              </w:tc>
            </w:tr>
            <w:tr w14:paraId="343A923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827" w:hRule="atLeast"/>
                <w:jc w:val="center"/>
              </w:trPr>
              <w:tc>
                <w:tcPr>
                  <w:tcW w:w="721" w:type="dxa"/>
                  <w:vMerge w:val="continue"/>
                  <w:shd w:val="clear" w:color="auto" w:fill="FFFFFF"/>
                  <w:noWrap w:val="0"/>
                  <w:vAlign w:val="center"/>
                </w:tcPr>
                <w:p w14:paraId="5B11C9B9">
                  <w:pPr>
                    <w:spacing w:line="240" w:lineRule="auto"/>
                    <w:jc w:val="center"/>
                    <w:rPr>
                      <w:rFonts w:hint="default" w:ascii="Times New Roman" w:hAnsi="Times New Roman" w:eastAsia="Calibri" w:cs="Times New Roman"/>
                      <w:color w:val="auto"/>
                      <w:kern w:val="2"/>
                      <w:sz w:val="21"/>
                      <w:szCs w:val="21"/>
                      <w:lang w:val="zh-CN" w:eastAsia="zh-CN"/>
                    </w:rPr>
                  </w:pPr>
                </w:p>
              </w:tc>
              <w:tc>
                <w:tcPr>
                  <w:tcW w:w="1024" w:type="dxa"/>
                  <w:shd w:val="clear" w:color="auto" w:fill="FFFFFF"/>
                  <w:noWrap w:val="0"/>
                  <w:vAlign w:val="center"/>
                </w:tcPr>
                <w:p w14:paraId="6AF4E087">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废水处理设施</w:t>
                  </w:r>
                </w:p>
              </w:tc>
              <w:tc>
                <w:tcPr>
                  <w:tcW w:w="4100" w:type="dxa"/>
                  <w:shd w:val="clear" w:color="auto" w:fill="FFFFFF"/>
                  <w:noWrap w:val="0"/>
                  <w:vAlign w:val="center"/>
                </w:tcPr>
                <w:p w14:paraId="2DD68468">
                  <w:pPr>
                    <w:spacing w:line="240" w:lineRule="auto"/>
                    <w:jc w:val="both"/>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项目废水经厂区现有处理能力为40m3/d的预处理池处理达标后进入市政污水管网，最终进入大英县工业污水处理厂处理后外排郪江</w:t>
                  </w:r>
                </w:p>
              </w:tc>
              <w:tc>
                <w:tcPr>
                  <w:tcW w:w="891" w:type="dxa"/>
                  <w:vMerge w:val="continue"/>
                  <w:shd w:val="clear" w:color="auto" w:fill="FFFFFF"/>
                  <w:noWrap w:val="0"/>
                  <w:vAlign w:val="center"/>
                </w:tcPr>
                <w:p w14:paraId="61E22EEA">
                  <w:pPr>
                    <w:spacing w:line="240" w:lineRule="auto"/>
                    <w:jc w:val="center"/>
                    <w:rPr>
                      <w:rFonts w:hint="default" w:ascii="Times New Roman" w:hAnsi="Times New Roman" w:eastAsia="Calibri" w:cs="Times New Roman"/>
                      <w:color w:val="auto"/>
                      <w:kern w:val="2"/>
                      <w:sz w:val="21"/>
                      <w:szCs w:val="21"/>
                      <w:lang w:val="zh-CN" w:eastAsia="zh-CN"/>
                    </w:rPr>
                  </w:pPr>
                </w:p>
              </w:tc>
              <w:tc>
                <w:tcPr>
                  <w:tcW w:w="1050" w:type="dxa"/>
                  <w:shd w:val="clear" w:color="auto" w:fill="FFFFFF"/>
                  <w:noWrap w:val="0"/>
                  <w:vAlign w:val="center"/>
                </w:tcPr>
                <w:p w14:paraId="08567A3E">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废水</w:t>
                  </w:r>
                </w:p>
              </w:tc>
              <w:tc>
                <w:tcPr>
                  <w:tcW w:w="752" w:type="dxa"/>
                  <w:shd w:val="clear" w:color="auto" w:fill="FFFFFF"/>
                  <w:noWrap w:val="0"/>
                  <w:vAlign w:val="center"/>
                </w:tcPr>
                <w:p w14:paraId="62F5E8F9">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依托</w:t>
                  </w:r>
                </w:p>
              </w:tc>
            </w:tr>
            <w:tr w14:paraId="06F891B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721" w:type="dxa"/>
                  <w:vMerge w:val="continue"/>
                  <w:shd w:val="clear" w:color="auto" w:fill="FFFFFF"/>
                  <w:noWrap w:val="0"/>
                  <w:vAlign w:val="center"/>
                </w:tcPr>
                <w:p w14:paraId="7CF2EEEF">
                  <w:pPr>
                    <w:spacing w:line="240" w:lineRule="auto"/>
                    <w:jc w:val="center"/>
                    <w:rPr>
                      <w:rFonts w:hint="default" w:ascii="Times New Roman" w:hAnsi="Times New Roman" w:eastAsia="Calibri" w:cs="Times New Roman"/>
                      <w:color w:val="auto"/>
                      <w:kern w:val="2"/>
                      <w:sz w:val="21"/>
                      <w:szCs w:val="21"/>
                      <w:lang w:val="zh-CN" w:eastAsia="zh-CN"/>
                    </w:rPr>
                  </w:pPr>
                </w:p>
              </w:tc>
              <w:tc>
                <w:tcPr>
                  <w:tcW w:w="1024" w:type="dxa"/>
                  <w:vMerge w:val="restart"/>
                  <w:shd w:val="clear" w:color="auto" w:fill="FFFFFF"/>
                  <w:noWrap w:val="0"/>
                  <w:vAlign w:val="center"/>
                </w:tcPr>
                <w:p w14:paraId="03F469C2">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固废收集设施</w:t>
                  </w:r>
                </w:p>
              </w:tc>
              <w:tc>
                <w:tcPr>
                  <w:tcW w:w="4100" w:type="dxa"/>
                  <w:shd w:val="clear" w:color="auto" w:fill="FFFFFF"/>
                  <w:noWrap w:val="0"/>
                  <w:vAlign w:val="center"/>
                </w:tcPr>
                <w:p w14:paraId="64007851">
                  <w:pPr>
                    <w:spacing w:line="240" w:lineRule="auto"/>
                    <w:jc w:val="both"/>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新建残次品堆放间一处，约100m</w:t>
                  </w:r>
                  <w:r>
                    <w:rPr>
                      <w:rFonts w:hint="default" w:ascii="Times New Roman" w:hAnsi="Times New Roman" w:eastAsia="Calibri" w:cs="Times New Roman"/>
                      <w:color w:val="auto"/>
                      <w:kern w:val="2"/>
                      <w:sz w:val="21"/>
                      <w:szCs w:val="21"/>
                      <w:vertAlign w:val="superscript"/>
                      <w:lang w:val="en-US" w:eastAsia="zh-CN"/>
                    </w:rPr>
                    <w:t>2</w:t>
                  </w:r>
                  <w:r>
                    <w:rPr>
                      <w:rFonts w:hint="default" w:ascii="Times New Roman" w:hAnsi="Times New Roman" w:eastAsia="Calibri" w:cs="Times New Roman"/>
                      <w:color w:val="auto"/>
                      <w:kern w:val="2"/>
                      <w:sz w:val="21"/>
                      <w:szCs w:val="21"/>
                      <w:lang w:val="en-US" w:eastAsia="zh-CN"/>
                    </w:rPr>
                    <w:t>，专用于收集管理残次品</w:t>
                  </w:r>
                </w:p>
              </w:tc>
              <w:tc>
                <w:tcPr>
                  <w:tcW w:w="891" w:type="dxa"/>
                  <w:vMerge w:val="continue"/>
                  <w:shd w:val="clear" w:color="auto" w:fill="FFFFFF"/>
                  <w:noWrap w:val="0"/>
                  <w:vAlign w:val="center"/>
                </w:tcPr>
                <w:p w14:paraId="573A73AD">
                  <w:pPr>
                    <w:spacing w:line="240" w:lineRule="auto"/>
                    <w:jc w:val="center"/>
                    <w:rPr>
                      <w:rFonts w:hint="default" w:ascii="Times New Roman" w:hAnsi="Times New Roman" w:eastAsia="Calibri" w:cs="Times New Roman"/>
                      <w:color w:val="auto"/>
                      <w:kern w:val="2"/>
                      <w:sz w:val="21"/>
                      <w:szCs w:val="21"/>
                      <w:lang w:val="zh-CN" w:eastAsia="zh-CN"/>
                    </w:rPr>
                  </w:pPr>
                </w:p>
              </w:tc>
              <w:tc>
                <w:tcPr>
                  <w:tcW w:w="1050" w:type="dxa"/>
                  <w:shd w:val="clear" w:color="auto" w:fill="FFFFFF"/>
                  <w:noWrap w:val="0"/>
                  <w:vAlign w:val="center"/>
                </w:tcPr>
                <w:p w14:paraId="0D0DDD25">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w:t>
                  </w:r>
                </w:p>
              </w:tc>
              <w:tc>
                <w:tcPr>
                  <w:tcW w:w="752" w:type="dxa"/>
                  <w:shd w:val="clear" w:color="auto" w:fill="FFFFFF"/>
                  <w:noWrap w:val="0"/>
                  <w:vAlign w:val="center"/>
                </w:tcPr>
                <w:p w14:paraId="34A96DCD">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新建</w:t>
                  </w:r>
                </w:p>
              </w:tc>
            </w:tr>
            <w:tr w14:paraId="1339B87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58" w:hRule="atLeast"/>
                <w:jc w:val="center"/>
              </w:trPr>
              <w:tc>
                <w:tcPr>
                  <w:tcW w:w="721" w:type="dxa"/>
                  <w:vMerge w:val="continue"/>
                  <w:shd w:val="clear" w:color="auto" w:fill="FFFFFF"/>
                  <w:noWrap w:val="0"/>
                  <w:vAlign w:val="center"/>
                </w:tcPr>
                <w:p w14:paraId="3E1EFAD6">
                  <w:pPr>
                    <w:spacing w:line="240" w:lineRule="auto"/>
                    <w:jc w:val="center"/>
                    <w:rPr>
                      <w:rFonts w:hint="default" w:ascii="Times New Roman" w:hAnsi="Times New Roman" w:eastAsia="Calibri" w:cs="Times New Roman"/>
                      <w:color w:val="auto"/>
                      <w:kern w:val="2"/>
                      <w:sz w:val="21"/>
                      <w:szCs w:val="21"/>
                      <w:lang w:val="zh-CN" w:eastAsia="zh-CN"/>
                    </w:rPr>
                  </w:pPr>
                </w:p>
              </w:tc>
              <w:tc>
                <w:tcPr>
                  <w:tcW w:w="1024" w:type="dxa"/>
                  <w:vMerge w:val="continue"/>
                  <w:shd w:val="clear" w:color="auto" w:fill="FFFFFF"/>
                  <w:noWrap w:val="0"/>
                  <w:vAlign w:val="center"/>
                </w:tcPr>
                <w:p w14:paraId="2C1D595B">
                  <w:pPr>
                    <w:spacing w:line="240" w:lineRule="auto"/>
                    <w:jc w:val="center"/>
                    <w:rPr>
                      <w:rFonts w:hint="default" w:ascii="Times New Roman" w:hAnsi="Times New Roman" w:eastAsia="Calibri" w:cs="Times New Roman"/>
                      <w:color w:val="auto"/>
                      <w:kern w:val="2"/>
                      <w:sz w:val="21"/>
                      <w:szCs w:val="21"/>
                      <w:lang w:val="zh-CN" w:eastAsia="zh-CN"/>
                    </w:rPr>
                  </w:pPr>
                </w:p>
              </w:tc>
              <w:tc>
                <w:tcPr>
                  <w:tcW w:w="4100" w:type="dxa"/>
                  <w:shd w:val="clear" w:color="auto" w:fill="FFFFFF"/>
                  <w:noWrap w:val="0"/>
                  <w:vAlign w:val="center"/>
                </w:tcPr>
                <w:p w14:paraId="40FC0E0B">
                  <w:pPr>
                    <w:spacing w:line="240" w:lineRule="auto"/>
                    <w:jc w:val="both"/>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新建固废暂存间一间，20m</w:t>
                  </w:r>
                  <w:r>
                    <w:rPr>
                      <w:rFonts w:hint="default" w:ascii="Times New Roman" w:hAnsi="Times New Roman" w:eastAsia="Calibri" w:cs="Times New Roman"/>
                      <w:color w:val="auto"/>
                      <w:kern w:val="2"/>
                      <w:sz w:val="21"/>
                      <w:szCs w:val="21"/>
                      <w:vertAlign w:val="superscript"/>
                      <w:lang w:val="en-US" w:eastAsia="zh-CN"/>
                    </w:rPr>
                    <w:t>2</w:t>
                  </w:r>
                  <w:r>
                    <w:rPr>
                      <w:rFonts w:hint="default" w:ascii="Times New Roman" w:hAnsi="Times New Roman" w:eastAsia="Calibri" w:cs="Times New Roman"/>
                      <w:color w:val="auto"/>
                      <w:kern w:val="2"/>
                      <w:sz w:val="21"/>
                      <w:szCs w:val="21"/>
                      <w:lang w:val="en-US" w:eastAsia="zh-CN"/>
                    </w:rPr>
                    <w:t>，用于收集管理包装垃圾等一般固废</w:t>
                  </w:r>
                </w:p>
              </w:tc>
              <w:tc>
                <w:tcPr>
                  <w:tcW w:w="891" w:type="dxa"/>
                  <w:vMerge w:val="continue"/>
                  <w:shd w:val="clear" w:color="auto" w:fill="FFFFFF"/>
                  <w:noWrap w:val="0"/>
                  <w:vAlign w:val="center"/>
                </w:tcPr>
                <w:p w14:paraId="53291124">
                  <w:pPr>
                    <w:spacing w:line="240" w:lineRule="auto"/>
                    <w:jc w:val="center"/>
                    <w:rPr>
                      <w:rFonts w:hint="default" w:ascii="Times New Roman" w:hAnsi="Times New Roman" w:eastAsia="Calibri" w:cs="Times New Roman"/>
                      <w:color w:val="auto"/>
                      <w:kern w:val="2"/>
                      <w:sz w:val="21"/>
                      <w:szCs w:val="21"/>
                      <w:lang w:val="zh-CN" w:eastAsia="zh-CN"/>
                    </w:rPr>
                  </w:pPr>
                </w:p>
              </w:tc>
              <w:tc>
                <w:tcPr>
                  <w:tcW w:w="1050" w:type="dxa"/>
                  <w:shd w:val="clear" w:color="auto" w:fill="FFFFFF"/>
                  <w:noWrap w:val="0"/>
                  <w:vAlign w:val="center"/>
                </w:tcPr>
                <w:p w14:paraId="68EB072A">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w:t>
                  </w:r>
                </w:p>
              </w:tc>
              <w:tc>
                <w:tcPr>
                  <w:tcW w:w="752" w:type="dxa"/>
                  <w:shd w:val="clear" w:color="auto" w:fill="FFFFFF"/>
                  <w:noWrap w:val="0"/>
                  <w:vAlign w:val="center"/>
                </w:tcPr>
                <w:p w14:paraId="61DB8F4A">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新建</w:t>
                  </w:r>
                </w:p>
              </w:tc>
            </w:tr>
            <w:tr w14:paraId="055E0FC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58" w:hRule="atLeast"/>
                <w:jc w:val="center"/>
              </w:trPr>
              <w:tc>
                <w:tcPr>
                  <w:tcW w:w="721" w:type="dxa"/>
                  <w:vMerge w:val="continue"/>
                  <w:shd w:val="clear" w:color="auto" w:fill="FFFFFF"/>
                  <w:noWrap w:val="0"/>
                  <w:vAlign w:val="center"/>
                </w:tcPr>
                <w:p w14:paraId="2C8C086D">
                  <w:pPr>
                    <w:spacing w:line="240" w:lineRule="auto"/>
                    <w:jc w:val="center"/>
                    <w:rPr>
                      <w:rFonts w:hint="default" w:ascii="Times New Roman" w:hAnsi="Times New Roman" w:eastAsia="Calibri" w:cs="Times New Roman"/>
                      <w:color w:val="auto"/>
                      <w:kern w:val="2"/>
                      <w:sz w:val="21"/>
                      <w:szCs w:val="21"/>
                      <w:lang w:val="zh-CN" w:eastAsia="zh-CN"/>
                    </w:rPr>
                  </w:pPr>
                </w:p>
              </w:tc>
              <w:tc>
                <w:tcPr>
                  <w:tcW w:w="1024" w:type="dxa"/>
                  <w:vMerge w:val="continue"/>
                  <w:shd w:val="clear" w:color="auto" w:fill="FFFFFF"/>
                  <w:noWrap w:val="0"/>
                  <w:vAlign w:val="center"/>
                </w:tcPr>
                <w:p w14:paraId="67E5CD3C">
                  <w:pPr>
                    <w:spacing w:line="240" w:lineRule="auto"/>
                    <w:jc w:val="center"/>
                    <w:rPr>
                      <w:rFonts w:hint="default" w:ascii="Times New Roman" w:hAnsi="Times New Roman" w:eastAsia="Calibri" w:cs="Times New Roman"/>
                      <w:color w:val="auto"/>
                      <w:kern w:val="2"/>
                      <w:sz w:val="21"/>
                      <w:szCs w:val="21"/>
                      <w:lang w:val="zh-CN" w:eastAsia="zh-CN"/>
                    </w:rPr>
                  </w:pPr>
                </w:p>
              </w:tc>
              <w:tc>
                <w:tcPr>
                  <w:tcW w:w="4100" w:type="dxa"/>
                  <w:shd w:val="clear" w:color="auto" w:fill="FFFFFF"/>
                  <w:noWrap w:val="0"/>
                  <w:vAlign w:val="center"/>
                </w:tcPr>
                <w:p w14:paraId="00376463">
                  <w:pPr>
                    <w:spacing w:line="240" w:lineRule="auto"/>
                    <w:jc w:val="both"/>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依托使用圣海包装公司危废暂存间一间，50m</w:t>
                  </w:r>
                  <w:r>
                    <w:rPr>
                      <w:rFonts w:hint="default" w:ascii="Times New Roman" w:hAnsi="Times New Roman" w:eastAsia="Calibri" w:cs="Times New Roman"/>
                      <w:color w:val="auto"/>
                      <w:kern w:val="2"/>
                      <w:sz w:val="21"/>
                      <w:szCs w:val="21"/>
                      <w:vertAlign w:val="superscript"/>
                      <w:lang w:val="en-US" w:eastAsia="zh-CN"/>
                    </w:rPr>
                    <w:t>2</w:t>
                  </w:r>
                  <w:r>
                    <w:rPr>
                      <w:rFonts w:hint="default" w:ascii="Times New Roman" w:hAnsi="Times New Roman" w:eastAsia="Calibri" w:cs="Times New Roman"/>
                      <w:color w:val="auto"/>
                      <w:kern w:val="2"/>
                      <w:sz w:val="21"/>
                      <w:szCs w:val="21"/>
                      <w:lang w:val="en-US" w:eastAsia="zh-CN"/>
                    </w:rPr>
                    <w:t>，用于收集管理废活性炭等危险固废</w:t>
                  </w:r>
                </w:p>
              </w:tc>
              <w:tc>
                <w:tcPr>
                  <w:tcW w:w="891" w:type="dxa"/>
                  <w:vMerge w:val="continue"/>
                  <w:shd w:val="clear" w:color="auto" w:fill="FFFFFF"/>
                  <w:noWrap w:val="0"/>
                  <w:vAlign w:val="center"/>
                </w:tcPr>
                <w:p w14:paraId="386BBF85">
                  <w:pPr>
                    <w:spacing w:line="240" w:lineRule="auto"/>
                    <w:jc w:val="center"/>
                    <w:rPr>
                      <w:rFonts w:hint="default" w:ascii="Times New Roman" w:hAnsi="Times New Roman" w:eastAsia="Calibri" w:cs="Times New Roman"/>
                      <w:color w:val="auto"/>
                      <w:kern w:val="2"/>
                      <w:sz w:val="21"/>
                      <w:szCs w:val="21"/>
                      <w:lang w:val="zh-CN" w:eastAsia="zh-CN"/>
                    </w:rPr>
                  </w:pPr>
                </w:p>
              </w:tc>
              <w:tc>
                <w:tcPr>
                  <w:tcW w:w="1050" w:type="dxa"/>
                  <w:shd w:val="clear" w:color="auto" w:fill="FFFFFF"/>
                  <w:noWrap w:val="0"/>
                  <w:vAlign w:val="center"/>
                </w:tcPr>
                <w:p w14:paraId="12B548FF">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w:t>
                  </w:r>
                </w:p>
              </w:tc>
              <w:tc>
                <w:tcPr>
                  <w:tcW w:w="752" w:type="dxa"/>
                  <w:shd w:val="clear" w:color="auto" w:fill="FFFFFF"/>
                  <w:noWrap w:val="0"/>
                  <w:vAlign w:val="center"/>
                </w:tcPr>
                <w:p w14:paraId="21DBEB6B">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依托</w:t>
                  </w:r>
                </w:p>
              </w:tc>
            </w:tr>
            <w:tr w14:paraId="2E5E0E8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9" w:hRule="atLeast"/>
                <w:jc w:val="center"/>
              </w:trPr>
              <w:tc>
                <w:tcPr>
                  <w:tcW w:w="721" w:type="dxa"/>
                  <w:vMerge w:val="continue"/>
                  <w:shd w:val="clear" w:color="auto" w:fill="FFFFFF"/>
                  <w:noWrap w:val="0"/>
                  <w:vAlign w:val="center"/>
                </w:tcPr>
                <w:p w14:paraId="6B9581F9">
                  <w:pPr>
                    <w:spacing w:line="240" w:lineRule="auto"/>
                    <w:jc w:val="center"/>
                    <w:rPr>
                      <w:rFonts w:hint="default" w:ascii="Times New Roman" w:hAnsi="Times New Roman" w:eastAsia="Calibri" w:cs="Times New Roman"/>
                      <w:color w:val="auto"/>
                      <w:kern w:val="2"/>
                      <w:sz w:val="21"/>
                      <w:szCs w:val="21"/>
                      <w:lang w:val="zh-CN" w:eastAsia="zh-CN"/>
                    </w:rPr>
                  </w:pPr>
                </w:p>
              </w:tc>
              <w:tc>
                <w:tcPr>
                  <w:tcW w:w="1024" w:type="dxa"/>
                  <w:shd w:val="clear" w:color="auto" w:fill="FFFFFF"/>
                  <w:noWrap w:val="0"/>
                  <w:vAlign w:val="center"/>
                </w:tcPr>
                <w:p w14:paraId="407933F9">
                  <w:pPr>
                    <w:spacing w:line="240" w:lineRule="auto"/>
                    <w:jc w:val="center"/>
                    <w:rPr>
                      <w:rFonts w:hint="default" w:ascii="Times New Roman" w:hAnsi="Times New Roman" w:eastAsia="Calibri" w:cs="Times New Roman"/>
                      <w:color w:val="auto"/>
                      <w:kern w:val="2"/>
                      <w:sz w:val="21"/>
                      <w:szCs w:val="21"/>
                      <w:lang w:val="zh-CN" w:eastAsia="zh-CN"/>
                    </w:rPr>
                  </w:pPr>
                  <w:r>
                    <w:rPr>
                      <w:rFonts w:hint="default" w:ascii="Times New Roman" w:hAnsi="Times New Roman" w:eastAsia="Calibri" w:cs="Times New Roman"/>
                      <w:color w:val="auto"/>
                      <w:kern w:val="2"/>
                      <w:sz w:val="21"/>
                      <w:szCs w:val="21"/>
                      <w:lang w:val="zh-CN" w:eastAsia="zh-CN"/>
                    </w:rPr>
                    <w:t>噪声治理</w:t>
                  </w:r>
                </w:p>
              </w:tc>
              <w:tc>
                <w:tcPr>
                  <w:tcW w:w="4100" w:type="dxa"/>
                  <w:shd w:val="clear" w:color="auto" w:fill="FFFFFF"/>
                  <w:noWrap w:val="0"/>
                  <w:vAlign w:val="center"/>
                </w:tcPr>
                <w:p w14:paraId="1A9F1099">
                  <w:pPr>
                    <w:spacing w:line="240" w:lineRule="auto"/>
                    <w:jc w:val="both"/>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zh-CN" w:eastAsia="zh-CN"/>
                    </w:rPr>
                    <w:t>隔声减震、厂房隔声等。</w:t>
                  </w:r>
                </w:p>
              </w:tc>
              <w:tc>
                <w:tcPr>
                  <w:tcW w:w="891" w:type="dxa"/>
                  <w:vMerge w:val="continue"/>
                  <w:shd w:val="clear" w:color="auto" w:fill="FFFFFF"/>
                  <w:noWrap w:val="0"/>
                  <w:vAlign w:val="center"/>
                </w:tcPr>
                <w:p w14:paraId="618E8D64">
                  <w:pPr>
                    <w:spacing w:line="240" w:lineRule="auto"/>
                    <w:jc w:val="center"/>
                    <w:rPr>
                      <w:rFonts w:hint="default" w:ascii="Times New Roman" w:hAnsi="Times New Roman" w:eastAsia="Calibri" w:cs="Times New Roman"/>
                      <w:color w:val="auto"/>
                      <w:kern w:val="2"/>
                      <w:sz w:val="21"/>
                      <w:szCs w:val="21"/>
                      <w:lang w:val="zh-CN" w:eastAsia="zh-CN"/>
                    </w:rPr>
                  </w:pPr>
                </w:p>
              </w:tc>
              <w:tc>
                <w:tcPr>
                  <w:tcW w:w="1050" w:type="dxa"/>
                  <w:shd w:val="clear" w:color="auto" w:fill="FFFFFF"/>
                  <w:noWrap w:val="0"/>
                  <w:vAlign w:val="center"/>
                </w:tcPr>
                <w:p w14:paraId="0939E977">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w:t>
                  </w:r>
                </w:p>
              </w:tc>
              <w:tc>
                <w:tcPr>
                  <w:tcW w:w="752" w:type="dxa"/>
                  <w:shd w:val="clear" w:color="auto" w:fill="FFFFFF"/>
                  <w:noWrap w:val="0"/>
                  <w:vAlign w:val="center"/>
                </w:tcPr>
                <w:p w14:paraId="171F3CE6">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依托</w:t>
                  </w:r>
                </w:p>
              </w:tc>
            </w:tr>
            <w:tr w14:paraId="3CB44A5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87" w:hRule="atLeast"/>
                <w:jc w:val="center"/>
              </w:trPr>
              <w:tc>
                <w:tcPr>
                  <w:tcW w:w="721" w:type="dxa"/>
                  <w:shd w:val="clear" w:color="auto" w:fill="FFFFFF"/>
                  <w:noWrap w:val="0"/>
                  <w:vAlign w:val="center"/>
                </w:tcPr>
                <w:p w14:paraId="5CCEEF1E">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仓储工程</w:t>
                  </w:r>
                </w:p>
              </w:tc>
              <w:tc>
                <w:tcPr>
                  <w:tcW w:w="1024" w:type="dxa"/>
                  <w:shd w:val="clear" w:color="auto" w:fill="FFFFFF"/>
                  <w:noWrap w:val="0"/>
                  <w:vAlign w:val="center"/>
                </w:tcPr>
                <w:p w14:paraId="4111810D">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w:t>
                  </w:r>
                </w:p>
              </w:tc>
              <w:tc>
                <w:tcPr>
                  <w:tcW w:w="4100" w:type="dxa"/>
                  <w:shd w:val="clear" w:color="auto" w:fill="FFFFFF"/>
                  <w:noWrap w:val="0"/>
                  <w:vAlign w:val="center"/>
                </w:tcPr>
                <w:p w14:paraId="2F21FBFD">
                  <w:pPr>
                    <w:spacing w:line="240" w:lineRule="auto"/>
                    <w:jc w:val="both"/>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车间内设置胶储存区、成品堆放区、塑胶原料堆放区、模具堆放区等仓储区域</w:t>
                  </w:r>
                </w:p>
              </w:tc>
              <w:tc>
                <w:tcPr>
                  <w:tcW w:w="891" w:type="dxa"/>
                  <w:vMerge w:val="continue"/>
                  <w:shd w:val="clear" w:color="auto" w:fill="FFFFFF"/>
                  <w:noWrap w:val="0"/>
                  <w:vAlign w:val="center"/>
                </w:tcPr>
                <w:p w14:paraId="744707FA">
                  <w:pPr>
                    <w:spacing w:line="240" w:lineRule="auto"/>
                    <w:jc w:val="center"/>
                    <w:rPr>
                      <w:rFonts w:hint="default" w:ascii="Times New Roman" w:hAnsi="Times New Roman" w:eastAsia="Calibri" w:cs="Times New Roman"/>
                      <w:color w:val="auto"/>
                      <w:kern w:val="2"/>
                      <w:sz w:val="21"/>
                      <w:szCs w:val="21"/>
                      <w:lang w:val="zh-CN" w:eastAsia="zh-CN"/>
                    </w:rPr>
                  </w:pPr>
                </w:p>
              </w:tc>
              <w:tc>
                <w:tcPr>
                  <w:tcW w:w="1050" w:type="dxa"/>
                  <w:shd w:val="clear" w:color="auto" w:fill="FFFFFF"/>
                  <w:noWrap w:val="0"/>
                  <w:vAlign w:val="center"/>
                </w:tcPr>
                <w:p w14:paraId="6F54B4EE">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w:t>
                  </w:r>
                </w:p>
              </w:tc>
              <w:tc>
                <w:tcPr>
                  <w:tcW w:w="752" w:type="dxa"/>
                  <w:shd w:val="clear" w:color="auto" w:fill="FFFFFF"/>
                  <w:noWrap w:val="0"/>
                  <w:vAlign w:val="center"/>
                </w:tcPr>
                <w:p w14:paraId="16F158B3">
                  <w:pPr>
                    <w:spacing w:line="240" w:lineRule="auto"/>
                    <w:jc w:val="center"/>
                    <w:rPr>
                      <w:rFonts w:hint="default" w:ascii="Times New Roman" w:hAnsi="Times New Roman" w:eastAsia="Calibri" w:cs="Times New Roman"/>
                      <w:color w:val="auto"/>
                      <w:kern w:val="2"/>
                      <w:sz w:val="21"/>
                      <w:szCs w:val="21"/>
                      <w:lang w:val="en-US" w:eastAsia="zh-CN"/>
                    </w:rPr>
                  </w:pPr>
                  <w:r>
                    <w:rPr>
                      <w:rFonts w:hint="default" w:ascii="Times New Roman" w:hAnsi="Times New Roman" w:eastAsia="Calibri" w:cs="Times New Roman"/>
                      <w:color w:val="auto"/>
                      <w:kern w:val="2"/>
                      <w:sz w:val="21"/>
                      <w:szCs w:val="21"/>
                      <w:lang w:val="en-US" w:eastAsia="zh-CN"/>
                    </w:rPr>
                    <w:t>新建</w:t>
                  </w:r>
                </w:p>
              </w:tc>
            </w:tr>
          </w:tbl>
          <w:p w14:paraId="344CDE65">
            <w:pPr>
              <w:adjustRightInd w:val="0"/>
              <w:snapToGrid w:val="0"/>
              <w:spacing w:line="360" w:lineRule="auto"/>
              <w:ind w:firstLine="482" w:firstLineChars="200"/>
              <w:rPr>
                <w:b/>
                <w:bCs/>
                <w:color w:val="auto"/>
                <w:sz w:val="24"/>
              </w:rPr>
            </w:pPr>
            <w:r>
              <w:rPr>
                <w:b/>
                <w:bCs/>
                <w:color w:val="auto"/>
                <w:sz w:val="24"/>
              </w:rPr>
              <w:t>5</w:t>
            </w:r>
            <w:r>
              <w:rPr>
                <w:rFonts w:hint="eastAsia"/>
                <w:b/>
                <w:bCs/>
                <w:color w:val="auto"/>
                <w:sz w:val="24"/>
              </w:rPr>
              <w:t>、现有工程主要原辅材料的种类和用量</w:t>
            </w:r>
          </w:p>
          <w:p w14:paraId="63A3BA4D">
            <w:pPr>
              <w:adjustRightInd w:val="0"/>
              <w:snapToGrid w:val="0"/>
              <w:spacing w:line="360" w:lineRule="auto"/>
              <w:ind w:left="422"/>
              <w:rPr>
                <w:color w:val="auto"/>
                <w:sz w:val="24"/>
              </w:rPr>
            </w:pPr>
            <w:r>
              <w:rPr>
                <w:rFonts w:hint="eastAsia"/>
                <w:color w:val="auto"/>
                <w:sz w:val="24"/>
              </w:rPr>
              <w:t>现有工程</w:t>
            </w:r>
            <w:r>
              <w:rPr>
                <w:color w:val="auto"/>
                <w:sz w:val="24"/>
              </w:rPr>
              <w:t>主要原辅材料消耗详见</w:t>
            </w:r>
            <w:r>
              <w:rPr>
                <w:rFonts w:hint="eastAsia"/>
                <w:color w:val="auto"/>
                <w:sz w:val="24"/>
              </w:rPr>
              <w:t>下</w:t>
            </w:r>
            <w:r>
              <w:rPr>
                <w:color w:val="auto"/>
                <w:sz w:val="24"/>
              </w:rPr>
              <w:t>表</w:t>
            </w:r>
            <w:r>
              <w:rPr>
                <w:rFonts w:hint="eastAsia"/>
                <w:color w:val="auto"/>
                <w:sz w:val="24"/>
              </w:rPr>
              <w:t>：</w:t>
            </w:r>
          </w:p>
          <w:p w14:paraId="38F4330D">
            <w:pPr>
              <w:pStyle w:val="7"/>
              <w:widowControl/>
              <w:ind w:firstLine="422" w:firstLineChars="200"/>
              <w:jc w:val="center"/>
              <w:rPr>
                <w:rFonts w:ascii="Times New Roman" w:hAnsi="Times New Roman"/>
                <w:b/>
                <w:color w:val="auto"/>
                <w:sz w:val="21"/>
                <w:szCs w:val="21"/>
              </w:rPr>
            </w:pPr>
            <w:r>
              <w:rPr>
                <w:rFonts w:ascii="Times New Roman" w:hAnsi="Times New Roman"/>
                <w:b/>
                <w:color w:val="auto"/>
                <w:sz w:val="21"/>
                <w:szCs w:val="21"/>
              </w:rPr>
              <w:t>表2-1</w:t>
            </w:r>
            <w:r>
              <w:rPr>
                <w:rFonts w:hint="eastAsia" w:ascii="Times New Roman" w:hAnsi="Times New Roman"/>
                <w:b/>
                <w:color w:val="auto"/>
                <w:sz w:val="21"/>
                <w:szCs w:val="21"/>
                <w:lang w:val="en-US" w:eastAsia="zh-CN"/>
              </w:rPr>
              <w:t>8</w:t>
            </w:r>
            <w:r>
              <w:rPr>
                <w:rFonts w:ascii="Times New Roman" w:hAnsi="Times New Roman"/>
                <w:b/>
                <w:color w:val="auto"/>
                <w:sz w:val="21"/>
                <w:szCs w:val="21"/>
              </w:rPr>
              <w:t xml:space="preserve">  </w:t>
            </w:r>
            <w:r>
              <w:rPr>
                <w:rFonts w:hint="eastAsia" w:ascii="Times New Roman" w:hAnsi="Times New Roman"/>
                <w:b/>
                <w:color w:val="auto"/>
                <w:sz w:val="21"/>
                <w:szCs w:val="21"/>
              </w:rPr>
              <w:t>现有工程</w:t>
            </w:r>
            <w:r>
              <w:rPr>
                <w:rFonts w:ascii="Times New Roman" w:hAnsi="Times New Roman"/>
                <w:b/>
                <w:color w:val="auto"/>
                <w:sz w:val="21"/>
                <w:szCs w:val="21"/>
              </w:rPr>
              <w:t>主要原辅材料消耗一览表</w:t>
            </w:r>
          </w:p>
          <w:tbl>
            <w:tblPr>
              <w:tblStyle w:val="26"/>
              <w:tblW w:w="84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432"/>
              <w:gridCol w:w="1212"/>
              <w:gridCol w:w="1626"/>
              <w:gridCol w:w="1420"/>
              <w:gridCol w:w="2151"/>
            </w:tblGrid>
            <w:tr w14:paraId="49E26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58" w:type="dxa"/>
                  <w:tcBorders>
                    <w:tl2br w:val="nil"/>
                    <w:tr2bl w:val="nil"/>
                  </w:tcBorders>
                  <w:noWrap w:val="0"/>
                  <w:vAlign w:val="center"/>
                </w:tcPr>
                <w:p w14:paraId="7779E4D5">
                  <w:pPr>
                    <w:spacing w:line="240" w:lineRule="auto"/>
                    <w:jc w:val="center"/>
                    <w:rPr>
                      <w:rFonts w:hint="default" w:ascii="Times New Roman" w:hAnsi="Times New Roman" w:eastAsia="Calibri" w:cs="Times New Roman"/>
                      <w:b/>
                      <w:bCs/>
                      <w:color w:val="auto"/>
                      <w:kern w:val="2"/>
                      <w:sz w:val="21"/>
                      <w:szCs w:val="21"/>
                      <w:lang w:val="zh-CN" w:eastAsia="zh-CN"/>
                    </w:rPr>
                  </w:pPr>
                  <w:r>
                    <w:rPr>
                      <w:rFonts w:hint="default" w:ascii="Times New Roman" w:hAnsi="Times New Roman" w:eastAsia="Calibri" w:cs="Times New Roman"/>
                      <w:b/>
                      <w:bCs/>
                      <w:color w:val="auto"/>
                      <w:kern w:val="2"/>
                      <w:sz w:val="21"/>
                      <w:szCs w:val="21"/>
                      <w:lang w:val="zh-CN" w:eastAsia="zh-CN"/>
                    </w:rPr>
                    <w:t>类别</w:t>
                  </w:r>
                </w:p>
              </w:tc>
              <w:tc>
                <w:tcPr>
                  <w:tcW w:w="1432" w:type="dxa"/>
                  <w:tcBorders>
                    <w:tl2br w:val="nil"/>
                    <w:tr2bl w:val="nil"/>
                  </w:tcBorders>
                  <w:noWrap w:val="0"/>
                  <w:vAlign w:val="center"/>
                </w:tcPr>
                <w:p w14:paraId="12C49971">
                  <w:pPr>
                    <w:spacing w:line="240" w:lineRule="auto"/>
                    <w:jc w:val="center"/>
                    <w:rPr>
                      <w:rFonts w:hint="default" w:ascii="Times New Roman" w:hAnsi="Times New Roman" w:eastAsia="Calibri" w:cs="Times New Roman"/>
                      <w:b/>
                      <w:bCs/>
                      <w:color w:val="auto"/>
                      <w:kern w:val="2"/>
                      <w:sz w:val="21"/>
                      <w:szCs w:val="21"/>
                      <w:lang w:val="zh-CN" w:eastAsia="zh-CN"/>
                    </w:rPr>
                  </w:pPr>
                  <w:r>
                    <w:rPr>
                      <w:rFonts w:hint="default" w:ascii="Times New Roman" w:hAnsi="Times New Roman" w:eastAsia="Calibri" w:cs="Times New Roman"/>
                      <w:b/>
                      <w:bCs/>
                      <w:color w:val="auto"/>
                      <w:kern w:val="2"/>
                      <w:sz w:val="21"/>
                      <w:szCs w:val="21"/>
                      <w:lang w:val="zh-CN" w:eastAsia="zh-CN"/>
                    </w:rPr>
                    <w:t>名称</w:t>
                  </w:r>
                </w:p>
              </w:tc>
              <w:tc>
                <w:tcPr>
                  <w:tcW w:w="1212" w:type="dxa"/>
                  <w:tcBorders>
                    <w:tl2br w:val="nil"/>
                    <w:tr2bl w:val="nil"/>
                  </w:tcBorders>
                  <w:noWrap w:val="0"/>
                  <w:vAlign w:val="center"/>
                </w:tcPr>
                <w:p w14:paraId="5AD4C61A">
                  <w:pPr>
                    <w:spacing w:line="240" w:lineRule="auto"/>
                    <w:jc w:val="center"/>
                    <w:rPr>
                      <w:rFonts w:hint="default" w:ascii="Times New Roman" w:hAnsi="Times New Roman" w:eastAsia="Calibri" w:cs="Times New Roman"/>
                      <w:b/>
                      <w:bCs/>
                      <w:color w:val="auto"/>
                      <w:kern w:val="2"/>
                      <w:sz w:val="21"/>
                      <w:szCs w:val="21"/>
                      <w:lang w:val="zh-CN" w:eastAsia="zh-CN"/>
                    </w:rPr>
                  </w:pPr>
                  <w:r>
                    <w:rPr>
                      <w:rFonts w:hint="default" w:ascii="Times New Roman" w:hAnsi="Times New Roman" w:eastAsia="Calibri" w:cs="Times New Roman"/>
                      <w:b/>
                      <w:bCs/>
                      <w:color w:val="auto"/>
                      <w:kern w:val="2"/>
                      <w:sz w:val="21"/>
                      <w:szCs w:val="21"/>
                      <w:lang w:val="zh-CN" w:eastAsia="zh-CN"/>
                    </w:rPr>
                    <w:t>年用量（</w:t>
                  </w:r>
                  <w:r>
                    <w:rPr>
                      <w:rFonts w:hint="default" w:ascii="Times New Roman" w:hAnsi="Times New Roman" w:eastAsia="Calibri" w:cs="Times New Roman"/>
                      <w:b/>
                      <w:bCs/>
                      <w:color w:val="auto"/>
                      <w:kern w:val="2"/>
                      <w:sz w:val="21"/>
                      <w:szCs w:val="21"/>
                      <w:lang w:val="en-US" w:eastAsia="zh-CN"/>
                    </w:rPr>
                    <w:t>t/a</w:t>
                  </w:r>
                  <w:r>
                    <w:rPr>
                      <w:rFonts w:hint="default" w:ascii="Times New Roman" w:hAnsi="Times New Roman" w:eastAsia="Calibri" w:cs="Times New Roman"/>
                      <w:b/>
                      <w:bCs/>
                      <w:color w:val="auto"/>
                      <w:kern w:val="2"/>
                      <w:sz w:val="21"/>
                      <w:szCs w:val="21"/>
                      <w:lang w:val="zh-CN" w:eastAsia="zh-CN"/>
                    </w:rPr>
                    <w:t>）</w:t>
                  </w:r>
                </w:p>
              </w:tc>
              <w:tc>
                <w:tcPr>
                  <w:tcW w:w="1626" w:type="dxa"/>
                  <w:tcBorders>
                    <w:tl2br w:val="nil"/>
                    <w:tr2bl w:val="nil"/>
                  </w:tcBorders>
                  <w:noWrap w:val="0"/>
                  <w:vAlign w:val="center"/>
                </w:tcPr>
                <w:p w14:paraId="59844D9D">
                  <w:pPr>
                    <w:spacing w:line="240" w:lineRule="auto"/>
                    <w:jc w:val="center"/>
                    <w:rPr>
                      <w:rFonts w:hint="default" w:ascii="Times New Roman" w:hAnsi="Times New Roman" w:eastAsia="Calibri" w:cs="Times New Roman"/>
                      <w:b/>
                      <w:bCs/>
                      <w:color w:val="auto"/>
                      <w:kern w:val="2"/>
                      <w:sz w:val="21"/>
                      <w:szCs w:val="21"/>
                      <w:lang w:val="en-US" w:eastAsia="zh-CN"/>
                    </w:rPr>
                  </w:pPr>
                  <w:r>
                    <w:rPr>
                      <w:rFonts w:hint="default" w:ascii="Times New Roman" w:hAnsi="Times New Roman" w:eastAsia="Calibri" w:cs="Times New Roman"/>
                      <w:b/>
                      <w:bCs/>
                      <w:color w:val="auto"/>
                      <w:kern w:val="2"/>
                      <w:sz w:val="21"/>
                      <w:szCs w:val="21"/>
                      <w:lang w:val="en-US" w:eastAsia="zh-CN"/>
                    </w:rPr>
                    <w:t>主要成分</w:t>
                  </w:r>
                </w:p>
              </w:tc>
              <w:tc>
                <w:tcPr>
                  <w:tcW w:w="1420" w:type="dxa"/>
                  <w:tcBorders>
                    <w:tl2br w:val="nil"/>
                    <w:tr2bl w:val="nil"/>
                  </w:tcBorders>
                  <w:noWrap w:val="0"/>
                  <w:vAlign w:val="center"/>
                </w:tcPr>
                <w:p w14:paraId="018DC9A3">
                  <w:pPr>
                    <w:spacing w:line="240" w:lineRule="auto"/>
                    <w:jc w:val="center"/>
                    <w:rPr>
                      <w:rFonts w:hint="default" w:ascii="Times New Roman" w:hAnsi="Times New Roman" w:eastAsia="Calibri" w:cs="Times New Roman"/>
                      <w:b/>
                      <w:bCs/>
                      <w:color w:val="auto"/>
                      <w:kern w:val="2"/>
                      <w:sz w:val="21"/>
                      <w:szCs w:val="21"/>
                      <w:lang w:val="en-US" w:eastAsia="zh-CN"/>
                    </w:rPr>
                  </w:pPr>
                  <w:r>
                    <w:rPr>
                      <w:rFonts w:hint="default" w:ascii="Times New Roman" w:hAnsi="Times New Roman" w:eastAsia="Calibri" w:cs="Times New Roman"/>
                      <w:b/>
                      <w:bCs/>
                      <w:color w:val="auto"/>
                      <w:kern w:val="2"/>
                      <w:sz w:val="21"/>
                      <w:szCs w:val="21"/>
                      <w:lang w:val="en-US" w:eastAsia="zh-CN"/>
                    </w:rPr>
                    <w:t>规格</w:t>
                  </w:r>
                </w:p>
              </w:tc>
              <w:tc>
                <w:tcPr>
                  <w:tcW w:w="2151" w:type="dxa"/>
                  <w:tcBorders>
                    <w:tl2br w:val="nil"/>
                    <w:tr2bl w:val="nil"/>
                  </w:tcBorders>
                  <w:noWrap w:val="0"/>
                  <w:vAlign w:val="center"/>
                </w:tcPr>
                <w:p w14:paraId="2B800273">
                  <w:pPr>
                    <w:spacing w:line="240" w:lineRule="auto"/>
                    <w:jc w:val="center"/>
                    <w:rPr>
                      <w:rFonts w:hint="default" w:ascii="Times New Roman" w:hAnsi="Times New Roman" w:eastAsia="Calibri" w:cs="Times New Roman"/>
                      <w:b/>
                      <w:bCs/>
                      <w:color w:val="auto"/>
                      <w:kern w:val="2"/>
                      <w:sz w:val="21"/>
                      <w:szCs w:val="21"/>
                      <w:lang w:val="en-US" w:eastAsia="zh-CN"/>
                    </w:rPr>
                  </w:pPr>
                  <w:r>
                    <w:rPr>
                      <w:rFonts w:hint="default" w:ascii="Times New Roman" w:hAnsi="Times New Roman" w:eastAsia="Calibri" w:cs="Times New Roman"/>
                      <w:b/>
                      <w:bCs/>
                      <w:color w:val="auto"/>
                      <w:kern w:val="2"/>
                      <w:sz w:val="21"/>
                      <w:szCs w:val="21"/>
                      <w:lang w:val="en-US" w:eastAsia="zh-CN"/>
                    </w:rPr>
                    <w:t>备注</w:t>
                  </w:r>
                </w:p>
              </w:tc>
            </w:tr>
            <w:tr w14:paraId="09728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58" w:type="dxa"/>
                  <w:vMerge w:val="restart"/>
                  <w:tcBorders>
                    <w:tl2br w:val="nil"/>
                    <w:tr2bl w:val="nil"/>
                  </w:tcBorders>
                  <w:noWrap w:val="0"/>
                  <w:vAlign w:val="center"/>
                </w:tcPr>
                <w:p w14:paraId="206BBBA7">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原辅材料</w:t>
                  </w:r>
                </w:p>
              </w:tc>
              <w:tc>
                <w:tcPr>
                  <w:tcW w:w="1432" w:type="dxa"/>
                  <w:tcBorders>
                    <w:tl2br w:val="nil"/>
                    <w:tr2bl w:val="nil"/>
                  </w:tcBorders>
                  <w:noWrap w:val="0"/>
                  <w:vAlign w:val="center"/>
                </w:tcPr>
                <w:p w14:paraId="08BC8ECD">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rPr>
                    <w:t>PET</w:t>
                  </w:r>
                  <w:r>
                    <w:rPr>
                      <w:rFonts w:hint="default" w:ascii="Times New Roman" w:hAnsi="Times New Roman" w:cs="Times New Roman"/>
                      <w:color w:val="auto"/>
                      <w:kern w:val="2"/>
                      <w:sz w:val="21"/>
                      <w:szCs w:val="21"/>
                      <w:lang w:val="en-US" w:eastAsia="zh-CN"/>
                    </w:rPr>
                    <w:t>塑料</w:t>
                  </w:r>
                </w:p>
              </w:tc>
              <w:tc>
                <w:tcPr>
                  <w:tcW w:w="1212" w:type="dxa"/>
                  <w:tcBorders>
                    <w:tl2br w:val="nil"/>
                    <w:tr2bl w:val="nil"/>
                  </w:tcBorders>
                  <w:noWrap w:val="0"/>
                  <w:vAlign w:val="center"/>
                </w:tcPr>
                <w:p w14:paraId="11448F65">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rPr>
                    <w:t>400</w:t>
                  </w:r>
                </w:p>
              </w:tc>
              <w:tc>
                <w:tcPr>
                  <w:tcW w:w="1626" w:type="dxa"/>
                  <w:tcBorders>
                    <w:tl2br w:val="nil"/>
                    <w:tr2bl w:val="nil"/>
                  </w:tcBorders>
                  <w:noWrap w:val="0"/>
                  <w:vAlign w:val="center"/>
                </w:tcPr>
                <w:p w14:paraId="0D9EC52D">
                  <w:pPr>
                    <w:spacing w:line="240" w:lineRule="auto"/>
                    <w:jc w:val="center"/>
                    <w:rPr>
                      <w:rFonts w:hint="default" w:ascii="Times New Roman" w:hAnsi="Times New Roman" w:eastAsia="宋体" w:cs="Times New Roman"/>
                      <w:color w:val="auto"/>
                      <w:kern w:val="2"/>
                      <w:sz w:val="21"/>
                      <w:szCs w:val="21"/>
                      <w:lang w:val="en-US"/>
                    </w:rPr>
                  </w:pPr>
                  <w:r>
                    <w:rPr>
                      <w:rFonts w:hint="default" w:ascii="Times New Roman" w:hAnsi="Times New Roman" w:cs="Times New Roman"/>
                      <w:color w:val="auto"/>
                      <w:kern w:val="0"/>
                      <w:sz w:val="21"/>
                      <w:szCs w:val="21"/>
                    </w:rPr>
                    <w:t>聚对苯二甲酸乙二醇酯</w:t>
                  </w:r>
                </w:p>
              </w:tc>
              <w:tc>
                <w:tcPr>
                  <w:tcW w:w="1420" w:type="dxa"/>
                  <w:tcBorders>
                    <w:tl2br w:val="nil"/>
                    <w:tr2bl w:val="nil"/>
                  </w:tcBorders>
                  <w:noWrap w:val="0"/>
                  <w:vAlign w:val="center"/>
                </w:tcPr>
                <w:p w14:paraId="57B9F520">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25kg/袋</w:t>
                  </w:r>
                </w:p>
              </w:tc>
              <w:tc>
                <w:tcPr>
                  <w:tcW w:w="2151" w:type="dxa"/>
                  <w:tcBorders>
                    <w:tl2br w:val="nil"/>
                    <w:tr2bl w:val="nil"/>
                  </w:tcBorders>
                  <w:noWrap w:val="0"/>
                  <w:vAlign w:val="center"/>
                </w:tcPr>
                <w:p w14:paraId="0C070C2B">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zh-CN" w:eastAsia="zh-CN"/>
                    </w:rPr>
                    <w:t>颗粒状</w:t>
                  </w:r>
                </w:p>
              </w:tc>
            </w:tr>
            <w:tr w14:paraId="1D54DD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58" w:type="dxa"/>
                  <w:vMerge w:val="continue"/>
                  <w:tcBorders>
                    <w:tl2br w:val="nil"/>
                    <w:tr2bl w:val="nil"/>
                  </w:tcBorders>
                  <w:noWrap w:val="0"/>
                  <w:vAlign w:val="center"/>
                </w:tcPr>
                <w:p w14:paraId="3F724408">
                  <w:pPr>
                    <w:spacing w:line="240" w:lineRule="auto"/>
                    <w:jc w:val="center"/>
                    <w:rPr>
                      <w:rFonts w:hint="default" w:ascii="Times New Roman" w:hAnsi="Times New Roman" w:eastAsia="宋体" w:cs="Times New Roman"/>
                      <w:color w:val="auto"/>
                      <w:sz w:val="21"/>
                      <w:szCs w:val="21"/>
                    </w:rPr>
                  </w:pPr>
                </w:p>
              </w:tc>
              <w:tc>
                <w:tcPr>
                  <w:tcW w:w="1432" w:type="dxa"/>
                  <w:tcBorders>
                    <w:tl2br w:val="nil"/>
                    <w:tr2bl w:val="nil"/>
                  </w:tcBorders>
                  <w:noWrap w:val="0"/>
                  <w:vAlign w:val="center"/>
                </w:tcPr>
                <w:p w14:paraId="3057C548">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rPr>
                    <w:t>ABS</w:t>
                  </w:r>
                  <w:r>
                    <w:rPr>
                      <w:rFonts w:hint="default" w:ascii="Times New Roman" w:hAnsi="Times New Roman" w:cs="Times New Roman"/>
                      <w:color w:val="auto"/>
                      <w:kern w:val="2"/>
                      <w:sz w:val="21"/>
                      <w:szCs w:val="21"/>
                      <w:lang w:val="en-US" w:eastAsia="zh-CN"/>
                    </w:rPr>
                    <w:t>塑料</w:t>
                  </w:r>
                </w:p>
              </w:tc>
              <w:tc>
                <w:tcPr>
                  <w:tcW w:w="1212" w:type="dxa"/>
                  <w:tcBorders>
                    <w:tl2br w:val="nil"/>
                    <w:tr2bl w:val="nil"/>
                  </w:tcBorders>
                  <w:noWrap w:val="0"/>
                  <w:vAlign w:val="center"/>
                </w:tcPr>
                <w:p w14:paraId="50B06DAE">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rPr>
                    <w:t>300</w:t>
                  </w:r>
                </w:p>
              </w:tc>
              <w:tc>
                <w:tcPr>
                  <w:tcW w:w="1626" w:type="dxa"/>
                  <w:tcBorders>
                    <w:tl2br w:val="nil"/>
                    <w:tr2bl w:val="nil"/>
                  </w:tcBorders>
                  <w:noWrap w:val="0"/>
                  <w:vAlign w:val="center"/>
                </w:tcPr>
                <w:p w14:paraId="0067A561">
                  <w:pPr>
                    <w:spacing w:line="240" w:lineRule="auto"/>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lang w:val="en-US"/>
                    </w:rPr>
                    <w:t>丙烯腈-丁二烯-苯乙烯塑胶</w:t>
                  </w:r>
                </w:p>
              </w:tc>
              <w:tc>
                <w:tcPr>
                  <w:tcW w:w="1420" w:type="dxa"/>
                  <w:tcBorders>
                    <w:tl2br w:val="nil"/>
                    <w:tr2bl w:val="nil"/>
                  </w:tcBorders>
                  <w:noWrap w:val="0"/>
                  <w:vAlign w:val="center"/>
                </w:tcPr>
                <w:p w14:paraId="72EE5051">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25kg/袋</w:t>
                  </w:r>
                </w:p>
              </w:tc>
              <w:tc>
                <w:tcPr>
                  <w:tcW w:w="2151" w:type="dxa"/>
                  <w:tcBorders>
                    <w:tl2br w:val="nil"/>
                    <w:tr2bl w:val="nil"/>
                  </w:tcBorders>
                  <w:noWrap w:val="0"/>
                  <w:vAlign w:val="center"/>
                </w:tcPr>
                <w:p w14:paraId="5E2C983A">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zh-CN" w:eastAsia="zh-CN"/>
                    </w:rPr>
                    <w:t>颗粒状</w:t>
                  </w:r>
                </w:p>
              </w:tc>
            </w:tr>
            <w:tr w14:paraId="68868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58" w:type="dxa"/>
                  <w:vMerge w:val="continue"/>
                  <w:tcBorders>
                    <w:tl2br w:val="nil"/>
                    <w:tr2bl w:val="nil"/>
                  </w:tcBorders>
                  <w:noWrap w:val="0"/>
                  <w:vAlign w:val="center"/>
                </w:tcPr>
                <w:p w14:paraId="720AC653">
                  <w:pPr>
                    <w:spacing w:line="240" w:lineRule="auto"/>
                    <w:jc w:val="center"/>
                    <w:rPr>
                      <w:rFonts w:hint="default" w:ascii="Times New Roman" w:hAnsi="Times New Roman" w:eastAsia="宋体" w:cs="Times New Roman"/>
                      <w:color w:val="auto"/>
                      <w:sz w:val="21"/>
                      <w:szCs w:val="21"/>
                    </w:rPr>
                  </w:pPr>
                </w:p>
              </w:tc>
              <w:tc>
                <w:tcPr>
                  <w:tcW w:w="1432" w:type="dxa"/>
                  <w:tcBorders>
                    <w:tl2br w:val="nil"/>
                    <w:tr2bl w:val="nil"/>
                  </w:tcBorders>
                  <w:noWrap w:val="0"/>
                  <w:vAlign w:val="center"/>
                </w:tcPr>
                <w:p w14:paraId="1A436890">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rPr>
                    <w:t>GPPS</w:t>
                  </w:r>
                  <w:r>
                    <w:rPr>
                      <w:rFonts w:hint="default" w:ascii="Times New Roman" w:hAnsi="Times New Roman" w:cs="Times New Roman"/>
                      <w:color w:val="auto"/>
                      <w:kern w:val="2"/>
                      <w:sz w:val="21"/>
                      <w:szCs w:val="21"/>
                      <w:lang w:val="en-US" w:eastAsia="zh-CN"/>
                    </w:rPr>
                    <w:t>塑料</w:t>
                  </w:r>
                </w:p>
              </w:tc>
              <w:tc>
                <w:tcPr>
                  <w:tcW w:w="1212" w:type="dxa"/>
                  <w:tcBorders>
                    <w:tl2br w:val="nil"/>
                    <w:tr2bl w:val="nil"/>
                  </w:tcBorders>
                  <w:noWrap w:val="0"/>
                  <w:vAlign w:val="center"/>
                </w:tcPr>
                <w:p w14:paraId="4505416A">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rPr>
                    <w:t>100</w:t>
                  </w:r>
                </w:p>
              </w:tc>
              <w:tc>
                <w:tcPr>
                  <w:tcW w:w="1626" w:type="dxa"/>
                  <w:tcBorders>
                    <w:tl2br w:val="nil"/>
                    <w:tr2bl w:val="nil"/>
                  </w:tcBorders>
                  <w:noWrap w:val="0"/>
                  <w:vAlign w:val="center"/>
                </w:tcPr>
                <w:p w14:paraId="42FD6D87">
                  <w:pPr>
                    <w:spacing w:line="240" w:lineRule="auto"/>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lang w:val="en-US"/>
                    </w:rPr>
                    <w:t>聚苯乙烯</w:t>
                  </w:r>
                </w:p>
              </w:tc>
              <w:tc>
                <w:tcPr>
                  <w:tcW w:w="1420" w:type="dxa"/>
                  <w:tcBorders>
                    <w:tl2br w:val="nil"/>
                    <w:tr2bl w:val="nil"/>
                  </w:tcBorders>
                  <w:noWrap w:val="0"/>
                  <w:vAlign w:val="center"/>
                </w:tcPr>
                <w:p w14:paraId="013AF214">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25kg/袋</w:t>
                  </w:r>
                </w:p>
              </w:tc>
              <w:tc>
                <w:tcPr>
                  <w:tcW w:w="2151" w:type="dxa"/>
                  <w:tcBorders>
                    <w:tl2br w:val="nil"/>
                    <w:tr2bl w:val="nil"/>
                  </w:tcBorders>
                  <w:noWrap w:val="0"/>
                  <w:vAlign w:val="center"/>
                </w:tcPr>
                <w:p w14:paraId="1AC08A6B">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zh-CN" w:eastAsia="zh-CN"/>
                    </w:rPr>
                    <w:t>颗粒状</w:t>
                  </w:r>
                </w:p>
              </w:tc>
            </w:tr>
            <w:tr w14:paraId="7DDACE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58" w:type="dxa"/>
                  <w:vMerge w:val="continue"/>
                  <w:tcBorders>
                    <w:tl2br w:val="nil"/>
                    <w:tr2bl w:val="nil"/>
                  </w:tcBorders>
                  <w:noWrap w:val="0"/>
                  <w:vAlign w:val="center"/>
                </w:tcPr>
                <w:p w14:paraId="0FC238CF">
                  <w:pPr>
                    <w:spacing w:line="240" w:lineRule="auto"/>
                    <w:jc w:val="center"/>
                    <w:rPr>
                      <w:rFonts w:hint="default" w:ascii="Times New Roman" w:hAnsi="Times New Roman" w:eastAsia="宋体" w:cs="Times New Roman"/>
                      <w:color w:val="auto"/>
                      <w:sz w:val="21"/>
                      <w:szCs w:val="21"/>
                    </w:rPr>
                  </w:pPr>
                </w:p>
              </w:tc>
              <w:tc>
                <w:tcPr>
                  <w:tcW w:w="1432" w:type="dxa"/>
                  <w:tcBorders>
                    <w:tl2br w:val="nil"/>
                    <w:tr2bl w:val="nil"/>
                  </w:tcBorders>
                  <w:noWrap w:val="0"/>
                  <w:vAlign w:val="center"/>
                </w:tcPr>
                <w:p w14:paraId="1D00FB98">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rPr>
                    <w:t>色母料</w:t>
                  </w:r>
                </w:p>
              </w:tc>
              <w:tc>
                <w:tcPr>
                  <w:tcW w:w="1212" w:type="dxa"/>
                  <w:tcBorders>
                    <w:tl2br w:val="nil"/>
                    <w:tr2bl w:val="nil"/>
                  </w:tcBorders>
                  <w:noWrap w:val="0"/>
                  <w:vAlign w:val="center"/>
                </w:tcPr>
                <w:p w14:paraId="6C96E719">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rPr>
                    <w:t>3</w:t>
                  </w:r>
                </w:p>
              </w:tc>
              <w:tc>
                <w:tcPr>
                  <w:tcW w:w="1626" w:type="dxa"/>
                  <w:tcBorders>
                    <w:tl2br w:val="nil"/>
                    <w:tr2bl w:val="nil"/>
                  </w:tcBorders>
                  <w:noWrap w:val="0"/>
                  <w:vAlign w:val="center"/>
                </w:tcPr>
                <w:p w14:paraId="5175E54E">
                  <w:pPr>
                    <w:spacing w:line="240" w:lineRule="auto"/>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lang w:val="en-US"/>
                    </w:rPr>
                    <w:t>色剂、树脂</w:t>
                  </w:r>
                </w:p>
              </w:tc>
              <w:tc>
                <w:tcPr>
                  <w:tcW w:w="1420" w:type="dxa"/>
                  <w:tcBorders>
                    <w:tl2br w:val="nil"/>
                    <w:tr2bl w:val="nil"/>
                  </w:tcBorders>
                  <w:noWrap w:val="0"/>
                  <w:vAlign w:val="center"/>
                </w:tcPr>
                <w:p w14:paraId="51BCB1A3">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25kg/袋</w:t>
                  </w:r>
                </w:p>
              </w:tc>
              <w:tc>
                <w:tcPr>
                  <w:tcW w:w="2151" w:type="dxa"/>
                  <w:tcBorders>
                    <w:tl2br w:val="nil"/>
                    <w:tr2bl w:val="nil"/>
                  </w:tcBorders>
                  <w:noWrap w:val="0"/>
                  <w:vAlign w:val="center"/>
                </w:tcPr>
                <w:p w14:paraId="596BE52A">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zh-CN" w:eastAsia="zh-CN"/>
                    </w:rPr>
                    <w:t>颗粒状</w:t>
                  </w:r>
                </w:p>
              </w:tc>
            </w:tr>
            <w:tr w14:paraId="4058E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58" w:type="dxa"/>
                  <w:vMerge w:val="continue"/>
                  <w:tcBorders>
                    <w:tl2br w:val="nil"/>
                    <w:tr2bl w:val="nil"/>
                  </w:tcBorders>
                  <w:noWrap w:val="0"/>
                  <w:vAlign w:val="center"/>
                </w:tcPr>
                <w:p w14:paraId="3FDB6541">
                  <w:pPr>
                    <w:spacing w:line="240" w:lineRule="auto"/>
                    <w:jc w:val="center"/>
                    <w:rPr>
                      <w:rFonts w:hint="default" w:ascii="Times New Roman" w:hAnsi="Times New Roman" w:eastAsia="宋体" w:cs="Times New Roman"/>
                      <w:color w:val="auto"/>
                      <w:sz w:val="21"/>
                      <w:szCs w:val="21"/>
                    </w:rPr>
                  </w:pPr>
                </w:p>
              </w:tc>
              <w:tc>
                <w:tcPr>
                  <w:tcW w:w="1432" w:type="dxa"/>
                  <w:tcBorders>
                    <w:tl2br w:val="nil"/>
                    <w:tr2bl w:val="nil"/>
                  </w:tcBorders>
                  <w:noWrap w:val="0"/>
                  <w:vAlign w:val="center"/>
                </w:tcPr>
                <w:p w14:paraId="1BC26CA2">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zh-CN" w:eastAsia="zh-CN"/>
                    </w:rPr>
                    <w:t>电化铝箔</w:t>
                  </w:r>
                </w:p>
              </w:tc>
              <w:tc>
                <w:tcPr>
                  <w:tcW w:w="1212" w:type="dxa"/>
                  <w:tcBorders>
                    <w:tl2br w:val="nil"/>
                    <w:tr2bl w:val="nil"/>
                  </w:tcBorders>
                  <w:noWrap w:val="0"/>
                  <w:vAlign w:val="center"/>
                </w:tcPr>
                <w:p w14:paraId="6D0C1E99">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rPr>
                    <w:t>5</w:t>
                  </w:r>
                </w:p>
              </w:tc>
              <w:tc>
                <w:tcPr>
                  <w:tcW w:w="1626" w:type="dxa"/>
                  <w:tcBorders>
                    <w:tl2br w:val="nil"/>
                    <w:tr2bl w:val="nil"/>
                  </w:tcBorders>
                  <w:noWrap w:val="0"/>
                  <w:vAlign w:val="center"/>
                </w:tcPr>
                <w:p w14:paraId="7532E15B">
                  <w:pPr>
                    <w:spacing w:line="240" w:lineRule="auto"/>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lang w:val="zh-CN" w:eastAsia="zh-CN"/>
                    </w:rPr>
                    <w:t>铝</w:t>
                  </w:r>
                </w:p>
              </w:tc>
              <w:tc>
                <w:tcPr>
                  <w:tcW w:w="1420" w:type="dxa"/>
                  <w:tcBorders>
                    <w:tl2br w:val="nil"/>
                    <w:tr2bl w:val="nil"/>
                  </w:tcBorders>
                  <w:noWrap w:val="0"/>
                  <w:vAlign w:val="center"/>
                </w:tcPr>
                <w:p w14:paraId="4068D0B0">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3×8×120cm/卷</w:t>
                  </w:r>
                </w:p>
              </w:tc>
              <w:tc>
                <w:tcPr>
                  <w:tcW w:w="2151" w:type="dxa"/>
                  <w:tcBorders>
                    <w:tl2br w:val="nil"/>
                    <w:tr2bl w:val="nil"/>
                  </w:tcBorders>
                  <w:noWrap w:val="0"/>
                  <w:vAlign w:val="center"/>
                </w:tcPr>
                <w:p w14:paraId="2EC67198">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zh-CN" w:eastAsia="zh-CN"/>
                    </w:rPr>
                    <w:t>用于烫金</w:t>
                  </w:r>
                </w:p>
              </w:tc>
            </w:tr>
            <w:tr w14:paraId="0B24A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58" w:type="dxa"/>
                  <w:vMerge w:val="continue"/>
                  <w:tcBorders>
                    <w:tl2br w:val="nil"/>
                    <w:tr2bl w:val="nil"/>
                  </w:tcBorders>
                  <w:noWrap w:val="0"/>
                  <w:vAlign w:val="center"/>
                </w:tcPr>
                <w:p w14:paraId="26EF072E">
                  <w:pPr>
                    <w:spacing w:line="240" w:lineRule="auto"/>
                    <w:jc w:val="center"/>
                    <w:rPr>
                      <w:rFonts w:hint="default" w:ascii="Times New Roman" w:hAnsi="Times New Roman" w:eastAsia="宋体" w:cs="Times New Roman"/>
                      <w:color w:val="auto"/>
                      <w:sz w:val="21"/>
                      <w:szCs w:val="21"/>
                    </w:rPr>
                  </w:pPr>
                </w:p>
              </w:tc>
              <w:tc>
                <w:tcPr>
                  <w:tcW w:w="1432" w:type="dxa"/>
                  <w:tcBorders>
                    <w:tl2br w:val="nil"/>
                    <w:tr2bl w:val="nil"/>
                  </w:tcBorders>
                  <w:noWrap w:val="0"/>
                  <w:vAlign w:val="center"/>
                </w:tcPr>
                <w:p w14:paraId="29FFE53F">
                  <w:pPr>
                    <w:spacing w:line="240" w:lineRule="auto"/>
                    <w:jc w:val="center"/>
                    <w:rPr>
                      <w:rFonts w:hint="default" w:ascii="Times New Roman" w:hAnsi="Times New Roman" w:eastAsia="宋体" w:cs="Times New Roman"/>
                      <w:color w:val="auto"/>
                      <w:kern w:val="2"/>
                      <w:sz w:val="21"/>
                      <w:szCs w:val="21"/>
                      <w:lang w:val="zh-CN" w:eastAsia="zh-CN"/>
                    </w:rPr>
                  </w:pPr>
                  <w:r>
                    <w:rPr>
                      <w:rFonts w:hint="default" w:ascii="Times New Roman" w:hAnsi="Times New Roman" w:eastAsia="宋体" w:cs="Times New Roman"/>
                      <w:color w:val="auto"/>
                      <w:kern w:val="2"/>
                      <w:sz w:val="21"/>
                      <w:szCs w:val="21"/>
                      <w:lang w:val="en-US" w:eastAsia="zh-CN"/>
                    </w:rPr>
                    <w:t>UV油墨</w:t>
                  </w:r>
                </w:p>
              </w:tc>
              <w:tc>
                <w:tcPr>
                  <w:tcW w:w="1212" w:type="dxa"/>
                  <w:tcBorders>
                    <w:tl2br w:val="nil"/>
                    <w:tr2bl w:val="nil"/>
                  </w:tcBorders>
                  <w:noWrap w:val="0"/>
                  <w:vAlign w:val="center"/>
                </w:tcPr>
                <w:p w14:paraId="59BD1988">
                  <w:pPr>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w:t>
                  </w:r>
                </w:p>
              </w:tc>
              <w:tc>
                <w:tcPr>
                  <w:tcW w:w="1626" w:type="dxa"/>
                  <w:tcBorders>
                    <w:tl2br w:val="nil"/>
                    <w:tr2bl w:val="nil"/>
                  </w:tcBorders>
                  <w:noWrap w:val="0"/>
                  <w:vAlign w:val="center"/>
                </w:tcPr>
                <w:p w14:paraId="2B01F447">
                  <w:pPr>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20" w:type="dxa"/>
                  <w:tcBorders>
                    <w:tl2br w:val="nil"/>
                    <w:tr2bl w:val="nil"/>
                  </w:tcBorders>
                  <w:noWrap w:val="0"/>
                  <w:vAlign w:val="center"/>
                </w:tcPr>
                <w:p w14:paraId="2B3B025E">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2.5kg/瓶</w:t>
                  </w:r>
                </w:p>
              </w:tc>
              <w:tc>
                <w:tcPr>
                  <w:tcW w:w="2151" w:type="dxa"/>
                  <w:tcBorders>
                    <w:tl2br w:val="nil"/>
                    <w:tr2bl w:val="nil"/>
                  </w:tcBorders>
                  <w:noWrap w:val="0"/>
                  <w:vAlign w:val="center"/>
                </w:tcPr>
                <w:p w14:paraId="5A69935A">
                  <w:pPr>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用于丝印、热转印</w:t>
                  </w:r>
                </w:p>
              </w:tc>
            </w:tr>
            <w:tr w14:paraId="1D612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658" w:type="dxa"/>
                  <w:vMerge w:val="continue"/>
                  <w:tcBorders>
                    <w:tl2br w:val="nil"/>
                    <w:tr2bl w:val="nil"/>
                  </w:tcBorders>
                  <w:noWrap w:val="0"/>
                  <w:vAlign w:val="center"/>
                </w:tcPr>
                <w:p w14:paraId="1D208A93">
                  <w:pPr>
                    <w:spacing w:line="240" w:lineRule="auto"/>
                    <w:jc w:val="center"/>
                    <w:rPr>
                      <w:rFonts w:hint="default" w:ascii="Times New Roman" w:hAnsi="Times New Roman" w:eastAsia="宋体" w:cs="Times New Roman"/>
                      <w:color w:val="auto"/>
                      <w:sz w:val="21"/>
                      <w:szCs w:val="21"/>
                    </w:rPr>
                  </w:pPr>
                </w:p>
              </w:tc>
              <w:tc>
                <w:tcPr>
                  <w:tcW w:w="1432" w:type="dxa"/>
                  <w:tcBorders>
                    <w:tl2br w:val="nil"/>
                    <w:tr2bl w:val="nil"/>
                  </w:tcBorders>
                  <w:noWrap w:val="0"/>
                  <w:vAlign w:val="center"/>
                </w:tcPr>
                <w:p w14:paraId="67EF71F2">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eastAsia="zh-CN"/>
                    </w:rPr>
                    <w:t>水性</w:t>
                  </w:r>
                  <w:r>
                    <w:rPr>
                      <w:rFonts w:hint="default" w:ascii="Times New Roman" w:hAnsi="Times New Roman" w:eastAsia="宋体" w:cs="Times New Roman"/>
                      <w:color w:val="auto"/>
                      <w:kern w:val="2"/>
                      <w:sz w:val="21"/>
                      <w:szCs w:val="21"/>
                      <w:lang w:val="en-US" w:eastAsia="zh-CN"/>
                    </w:rPr>
                    <w:t>贴面</w:t>
                  </w:r>
                  <w:r>
                    <w:rPr>
                      <w:rFonts w:hint="default" w:ascii="Times New Roman" w:hAnsi="Times New Roman" w:eastAsia="宋体" w:cs="Times New Roman"/>
                      <w:color w:val="auto"/>
                      <w:kern w:val="2"/>
                      <w:sz w:val="21"/>
                      <w:szCs w:val="21"/>
                      <w:lang w:val="zh-CN" w:eastAsia="zh-CN"/>
                    </w:rPr>
                    <w:t>胶</w:t>
                  </w:r>
                </w:p>
              </w:tc>
              <w:tc>
                <w:tcPr>
                  <w:tcW w:w="1212" w:type="dxa"/>
                  <w:tcBorders>
                    <w:tl2br w:val="nil"/>
                    <w:tr2bl w:val="nil"/>
                  </w:tcBorders>
                  <w:noWrap w:val="0"/>
                  <w:vAlign w:val="center"/>
                </w:tcPr>
                <w:p w14:paraId="0766FAF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626" w:type="dxa"/>
                  <w:tcBorders>
                    <w:tl2br w:val="nil"/>
                    <w:tr2bl w:val="nil"/>
                  </w:tcBorders>
                  <w:noWrap w:val="0"/>
                  <w:vAlign w:val="center"/>
                </w:tcPr>
                <w:p w14:paraId="61733569">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20" w:type="dxa"/>
                  <w:tcBorders>
                    <w:tl2br w:val="nil"/>
                    <w:tr2bl w:val="nil"/>
                  </w:tcBorders>
                  <w:noWrap w:val="0"/>
                  <w:vAlign w:val="center"/>
                </w:tcPr>
                <w:p w14:paraId="5E102B04">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151" w:type="dxa"/>
                  <w:tcBorders>
                    <w:tl2br w:val="nil"/>
                    <w:tr2bl w:val="nil"/>
                  </w:tcBorders>
                  <w:noWrap w:val="0"/>
                  <w:vAlign w:val="center"/>
                </w:tcPr>
                <w:p w14:paraId="482C06CF">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搭口胶</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用于组装</w:t>
                  </w:r>
                </w:p>
              </w:tc>
            </w:tr>
            <w:tr w14:paraId="49AB4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58" w:type="dxa"/>
                  <w:vMerge w:val="continue"/>
                  <w:tcBorders>
                    <w:tl2br w:val="nil"/>
                    <w:tr2bl w:val="nil"/>
                  </w:tcBorders>
                  <w:noWrap w:val="0"/>
                  <w:vAlign w:val="center"/>
                </w:tcPr>
                <w:p w14:paraId="1A881400">
                  <w:pPr>
                    <w:spacing w:line="240" w:lineRule="auto"/>
                    <w:jc w:val="center"/>
                    <w:rPr>
                      <w:rFonts w:hint="default" w:ascii="Times New Roman" w:hAnsi="Times New Roman" w:eastAsia="宋体" w:cs="Times New Roman"/>
                      <w:color w:val="auto"/>
                      <w:sz w:val="21"/>
                      <w:szCs w:val="21"/>
                    </w:rPr>
                  </w:pPr>
                </w:p>
              </w:tc>
              <w:tc>
                <w:tcPr>
                  <w:tcW w:w="1432" w:type="dxa"/>
                  <w:tcBorders>
                    <w:tl2br w:val="nil"/>
                    <w:tr2bl w:val="nil"/>
                  </w:tcBorders>
                  <w:noWrap w:val="0"/>
                  <w:vAlign w:val="center"/>
                </w:tcPr>
                <w:p w14:paraId="7D88A604">
                  <w:pPr>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包装纸盒</w:t>
                  </w:r>
                </w:p>
              </w:tc>
              <w:tc>
                <w:tcPr>
                  <w:tcW w:w="1212" w:type="dxa"/>
                  <w:tcBorders>
                    <w:tl2br w:val="nil"/>
                    <w:tr2bl w:val="nil"/>
                  </w:tcBorders>
                  <w:noWrap w:val="0"/>
                  <w:vAlign w:val="center"/>
                </w:tcPr>
                <w:p w14:paraId="6433AAF3">
                  <w:pPr>
                    <w:spacing w:line="240" w:lineRule="auto"/>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lang w:val="en-US"/>
                    </w:rPr>
                    <w:t>100</w:t>
                  </w:r>
                </w:p>
              </w:tc>
              <w:tc>
                <w:tcPr>
                  <w:tcW w:w="1626" w:type="dxa"/>
                  <w:tcBorders>
                    <w:tl2br w:val="nil"/>
                    <w:tr2bl w:val="nil"/>
                  </w:tcBorders>
                  <w:noWrap w:val="0"/>
                  <w:vAlign w:val="center"/>
                </w:tcPr>
                <w:p w14:paraId="5F348D8F">
                  <w:pPr>
                    <w:spacing w:line="240" w:lineRule="auto"/>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sz w:val="21"/>
                      <w:szCs w:val="21"/>
                      <w:lang w:val="en-US" w:eastAsia="zh-CN"/>
                    </w:rPr>
                    <w:t>/</w:t>
                  </w:r>
                </w:p>
              </w:tc>
              <w:tc>
                <w:tcPr>
                  <w:tcW w:w="1420" w:type="dxa"/>
                  <w:tcBorders>
                    <w:tl2br w:val="nil"/>
                    <w:tr2bl w:val="nil"/>
                  </w:tcBorders>
                  <w:noWrap w:val="0"/>
                  <w:vAlign w:val="center"/>
                </w:tcPr>
                <w:p w14:paraId="537C8255">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151" w:type="dxa"/>
                  <w:tcBorders>
                    <w:tl2br w:val="nil"/>
                    <w:tr2bl w:val="nil"/>
                  </w:tcBorders>
                  <w:noWrap w:val="0"/>
                  <w:vAlign w:val="center"/>
                </w:tcPr>
                <w:p w14:paraId="1FE73ABF">
                  <w:pPr>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外购成品，用于包装</w:t>
                  </w:r>
                </w:p>
              </w:tc>
            </w:tr>
            <w:tr w14:paraId="0047A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58" w:type="dxa"/>
                  <w:vMerge w:val="continue"/>
                  <w:tcBorders>
                    <w:tl2br w:val="nil"/>
                    <w:tr2bl w:val="nil"/>
                  </w:tcBorders>
                  <w:noWrap w:val="0"/>
                  <w:vAlign w:val="center"/>
                </w:tcPr>
                <w:p w14:paraId="151A5E55">
                  <w:pPr>
                    <w:spacing w:line="240" w:lineRule="auto"/>
                    <w:jc w:val="center"/>
                    <w:rPr>
                      <w:rFonts w:hint="default" w:ascii="Times New Roman" w:hAnsi="Times New Roman" w:eastAsia="宋体" w:cs="Times New Roman"/>
                      <w:color w:val="auto"/>
                      <w:sz w:val="21"/>
                      <w:szCs w:val="21"/>
                    </w:rPr>
                  </w:pPr>
                </w:p>
              </w:tc>
              <w:tc>
                <w:tcPr>
                  <w:tcW w:w="1432" w:type="dxa"/>
                  <w:tcBorders>
                    <w:tl2br w:val="nil"/>
                    <w:tr2bl w:val="nil"/>
                  </w:tcBorders>
                  <w:noWrap w:val="0"/>
                  <w:vAlign w:val="center"/>
                </w:tcPr>
                <w:p w14:paraId="3AC56DF0">
                  <w:pPr>
                    <w:spacing w:line="240" w:lineRule="auto"/>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钢制模具</w:t>
                  </w:r>
                </w:p>
              </w:tc>
              <w:tc>
                <w:tcPr>
                  <w:tcW w:w="1212" w:type="dxa"/>
                  <w:tcBorders>
                    <w:tl2br w:val="nil"/>
                    <w:tr2bl w:val="nil"/>
                  </w:tcBorders>
                  <w:noWrap w:val="0"/>
                  <w:vAlign w:val="center"/>
                </w:tcPr>
                <w:p w14:paraId="7AA64858">
                  <w:pPr>
                    <w:spacing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626" w:type="dxa"/>
                  <w:tcBorders>
                    <w:tl2br w:val="nil"/>
                    <w:tr2bl w:val="nil"/>
                  </w:tcBorders>
                  <w:noWrap w:val="0"/>
                  <w:vAlign w:val="center"/>
                </w:tcPr>
                <w:p w14:paraId="3CCE4A54">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420" w:type="dxa"/>
                  <w:tcBorders>
                    <w:tl2br w:val="nil"/>
                    <w:tr2bl w:val="nil"/>
                  </w:tcBorders>
                  <w:noWrap w:val="0"/>
                  <w:vAlign w:val="center"/>
                </w:tcPr>
                <w:p w14:paraId="794C4E7D">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151" w:type="dxa"/>
                  <w:tcBorders>
                    <w:tl2br w:val="nil"/>
                    <w:tr2bl w:val="nil"/>
                  </w:tcBorders>
                  <w:noWrap w:val="0"/>
                  <w:vAlign w:val="center"/>
                </w:tcPr>
                <w:p w14:paraId="05F57167">
                  <w:pPr>
                    <w:spacing w:line="240" w:lineRule="auto"/>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委外，用于注塑</w:t>
                  </w:r>
                </w:p>
              </w:tc>
            </w:tr>
            <w:tr w14:paraId="2ED7B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58" w:type="dxa"/>
                  <w:vMerge w:val="continue"/>
                  <w:tcBorders>
                    <w:tl2br w:val="nil"/>
                    <w:tr2bl w:val="nil"/>
                  </w:tcBorders>
                  <w:noWrap w:val="0"/>
                  <w:vAlign w:val="center"/>
                </w:tcPr>
                <w:p w14:paraId="7BC4008D">
                  <w:pPr>
                    <w:spacing w:line="240" w:lineRule="auto"/>
                    <w:jc w:val="center"/>
                    <w:rPr>
                      <w:rFonts w:hint="default" w:ascii="Times New Roman" w:hAnsi="Times New Roman" w:eastAsia="宋体" w:cs="Times New Roman"/>
                      <w:color w:val="auto"/>
                      <w:sz w:val="21"/>
                      <w:szCs w:val="21"/>
                    </w:rPr>
                  </w:pPr>
                </w:p>
              </w:tc>
              <w:tc>
                <w:tcPr>
                  <w:tcW w:w="1432" w:type="dxa"/>
                  <w:tcBorders>
                    <w:tl2br w:val="nil"/>
                    <w:tr2bl w:val="nil"/>
                  </w:tcBorders>
                  <w:noWrap w:val="0"/>
                  <w:vAlign w:val="center"/>
                </w:tcPr>
                <w:p w14:paraId="6E2EE87F">
                  <w:pPr>
                    <w:spacing w:line="240" w:lineRule="auto"/>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网版</w:t>
                  </w:r>
                </w:p>
              </w:tc>
              <w:tc>
                <w:tcPr>
                  <w:tcW w:w="1212" w:type="dxa"/>
                  <w:tcBorders>
                    <w:tl2br w:val="nil"/>
                    <w:tr2bl w:val="nil"/>
                  </w:tcBorders>
                  <w:noWrap w:val="0"/>
                  <w:vAlign w:val="center"/>
                </w:tcPr>
                <w:p w14:paraId="01657686">
                  <w:pPr>
                    <w:spacing w:line="240" w:lineRule="auto"/>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0.5</w:t>
                  </w:r>
                </w:p>
              </w:tc>
              <w:tc>
                <w:tcPr>
                  <w:tcW w:w="1626" w:type="dxa"/>
                  <w:tcBorders>
                    <w:tl2br w:val="nil"/>
                    <w:tr2bl w:val="nil"/>
                  </w:tcBorders>
                  <w:noWrap w:val="0"/>
                  <w:vAlign w:val="center"/>
                </w:tcPr>
                <w:p w14:paraId="5EA808EF">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420" w:type="dxa"/>
                  <w:tcBorders>
                    <w:tl2br w:val="nil"/>
                    <w:tr2bl w:val="nil"/>
                  </w:tcBorders>
                  <w:noWrap w:val="0"/>
                  <w:vAlign w:val="center"/>
                </w:tcPr>
                <w:p w14:paraId="6F8757AD">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151" w:type="dxa"/>
                  <w:tcBorders>
                    <w:tl2br w:val="nil"/>
                    <w:tr2bl w:val="nil"/>
                  </w:tcBorders>
                  <w:noWrap w:val="0"/>
                  <w:vAlign w:val="center"/>
                </w:tcPr>
                <w:p w14:paraId="161B94B1">
                  <w:pPr>
                    <w:spacing w:line="240" w:lineRule="auto"/>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用于丝印/热转印</w:t>
                  </w:r>
                </w:p>
              </w:tc>
            </w:tr>
            <w:tr w14:paraId="208CDD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58" w:type="dxa"/>
                  <w:vMerge w:val="continue"/>
                  <w:tcBorders>
                    <w:tl2br w:val="nil"/>
                    <w:tr2bl w:val="nil"/>
                  </w:tcBorders>
                  <w:noWrap w:val="0"/>
                  <w:vAlign w:val="center"/>
                </w:tcPr>
                <w:p w14:paraId="126B9AC5">
                  <w:pPr>
                    <w:spacing w:line="240" w:lineRule="auto"/>
                    <w:jc w:val="center"/>
                    <w:rPr>
                      <w:rFonts w:hint="default" w:ascii="Times New Roman" w:hAnsi="Times New Roman" w:eastAsia="宋体" w:cs="Times New Roman"/>
                      <w:color w:val="auto"/>
                      <w:sz w:val="21"/>
                      <w:szCs w:val="21"/>
                    </w:rPr>
                  </w:pPr>
                </w:p>
              </w:tc>
              <w:tc>
                <w:tcPr>
                  <w:tcW w:w="1432" w:type="dxa"/>
                  <w:tcBorders>
                    <w:tl2br w:val="nil"/>
                    <w:tr2bl w:val="nil"/>
                  </w:tcBorders>
                  <w:noWrap w:val="0"/>
                  <w:vAlign w:val="center"/>
                </w:tcPr>
                <w:p w14:paraId="66416265">
                  <w:pPr>
                    <w:spacing w:line="240" w:lineRule="auto"/>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机械润滑油</w:t>
                  </w:r>
                </w:p>
              </w:tc>
              <w:tc>
                <w:tcPr>
                  <w:tcW w:w="1212" w:type="dxa"/>
                  <w:tcBorders>
                    <w:tl2br w:val="nil"/>
                    <w:tr2bl w:val="nil"/>
                  </w:tcBorders>
                  <w:noWrap w:val="0"/>
                  <w:vAlign w:val="center"/>
                </w:tcPr>
                <w:p w14:paraId="2B9622ED">
                  <w:pPr>
                    <w:spacing w:line="240" w:lineRule="auto"/>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0.1</w:t>
                  </w:r>
                </w:p>
              </w:tc>
              <w:tc>
                <w:tcPr>
                  <w:tcW w:w="1626" w:type="dxa"/>
                  <w:tcBorders>
                    <w:tl2br w:val="nil"/>
                    <w:tr2bl w:val="nil"/>
                  </w:tcBorders>
                  <w:noWrap w:val="0"/>
                  <w:vAlign w:val="center"/>
                </w:tcPr>
                <w:p w14:paraId="15DB08FF">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矿物油</w:t>
                  </w:r>
                </w:p>
              </w:tc>
              <w:tc>
                <w:tcPr>
                  <w:tcW w:w="1420" w:type="dxa"/>
                  <w:tcBorders>
                    <w:tl2br w:val="nil"/>
                    <w:tr2bl w:val="nil"/>
                  </w:tcBorders>
                  <w:noWrap w:val="0"/>
                  <w:vAlign w:val="center"/>
                </w:tcPr>
                <w:p w14:paraId="7B28AC33">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5kg/</w:t>
                  </w:r>
                  <w:r>
                    <w:rPr>
                      <w:rFonts w:hint="default" w:ascii="Times New Roman" w:hAnsi="Times New Roman" w:cs="Times New Roman"/>
                      <w:color w:val="auto"/>
                      <w:sz w:val="21"/>
                      <w:szCs w:val="21"/>
                      <w:lang w:val="en-US" w:eastAsia="zh-CN"/>
                    </w:rPr>
                    <w:t>瓶</w:t>
                  </w:r>
                </w:p>
              </w:tc>
              <w:tc>
                <w:tcPr>
                  <w:tcW w:w="2151" w:type="dxa"/>
                  <w:tcBorders>
                    <w:tl2br w:val="nil"/>
                    <w:tr2bl w:val="nil"/>
                  </w:tcBorders>
                  <w:noWrap w:val="0"/>
                  <w:vAlign w:val="center"/>
                </w:tcPr>
                <w:p w14:paraId="6930724F">
                  <w:pPr>
                    <w:spacing w:line="240" w:lineRule="auto"/>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设备维护保养</w:t>
                  </w:r>
                </w:p>
              </w:tc>
            </w:tr>
            <w:tr w14:paraId="4FB81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58" w:type="dxa"/>
                  <w:vMerge w:val="continue"/>
                  <w:tcBorders>
                    <w:tl2br w:val="nil"/>
                    <w:tr2bl w:val="nil"/>
                  </w:tcBorders>
                  <w:noWrap w:val="0"/>
                  <w:vAlign w:val="center"/>
                </w:tcPr>
                <w:p w14:paraId="2872C3EA">
                  <w:pPr>
                    <w:spacing w:line="240" w:lineRule="auto"/>
                    <w:jc w:val="center"/>
                    <w:rPr>
                      <w:rFonts w:hint="default" w:ascii="Times New Roman" w:hAnsi="Times New Roman" w:eastAsia="宋体" w:cs="Times New Roman"/>
                      <w:color w:val="auto"/>
                      <w:sz w:val="21"/>
                      <w:szCs w:val="21"/>
                    </w:rPr>
                  </w:pPr>
                </w:p>
              </w:tc>
              <w:tc>
                <w:tcPr>
                  <w:tcW w:w="1432" w:type="dxa"/>
                  <w:tcBorders>
                    <w:tl2br w:val="nil"/>
                    <w:tr2bl w:val="nil"/>
                  </w:tcBorders>
                  <w:noWrap w:val="0"/>
                  <w:vAlign w:val="center"/>
                </w:tcPr>
                <w:p w14:paraId="4C0AD53F">
                  <w:pPr>
                    <w:spacing w:line="240" w:lineRule="auto"/>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手套、棉布</w:t>
                  </w:r>
                </w:p>
              </w:tc>
              <w:tc>
                <w:tcPr>
                  <w:tcW w:w="1212" w:type="dxa"/>
                  <w:tcBorders>
                    <w:tl2br w:val="nil"/>
                    <w:tr2bl w:val="nil"/>
                  </w:tcBorders>
                  <w:noWrap w:val="0"/>
                  <w:vAlign w:val="center"/>
                </w:tcPr>
                <w:p w14:paraId="64EA168E">
                  <w:pPr>
                    <w:spacing w:line="240" w:lineRule="auto"/>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0.02</w:t>
                  </w:r>
                </w:p>
              </w:tc>
              <w:tc>
                <w:tcPr>
                  <w:tcW w:w="1626" w:type="dxa"/>
                  <w:tcBorders>
                    <w:tl2br w:val="nil"/>
                    <w:tr2bl w:val="nil"/>
                  </w:tcBorders>
                  <w:noWrap w:val="0"/>
                  <w:vAlign w:val="center"/>
                </w:tcPr>
                <w:p w14:paraId="471CF80E">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420" w:type="dxa"/>
                  <w:tcBorders>
                    <w:tl2br w:val="nil"/>
                    <w:tr2bl w:val="nil"/>
                  </w:tcBorders>
                  <w:noWrap w:val="0"/>
                  <w:vAlign w:val="center"/>
                </w:tcPr>
                <w:p w14:paraId="32B02F50">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151" w:type="dxa"/>
                  <w:tcBorders>
                    <w:tl2br w:val="nil"/>
                    <w:tr2bl w:val="nil"/>
                  </w:tcBorders>
                  <w:noWrap w:val="0"/>
                  <w:vAlign w:val="center"/>
                </w:tcPr>
                <w:p w14:paraId="76312084">
                  <w:pPr>
                    <w:spacing w:line="240" w:lineRule="auto"/>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设备维护保养</w:t>
                  </w:r>
                </w:p>
              </w:tc>
            </w:tr>
            <w:tr w14:paraId="78803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58" w:type="dxa"/>
                  <w:vMerge w:val="restart"/>
                  <w:tcBorders>
                    <w:tl2br w:val="nil"/>
                    <w:tr2bl w:val="nil"/>
                  </w:tcBorders>
                  <w:noWrap w:val="0"/>
                  <w:vAlign w:val="center"/>
                </w:tcPr>
                <w:p w14:paraId="0A5862D3">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能耗</w:t>
                  </w:r>
                </w:p>
              </w:tc>
              <w:tc>
                <w:tcPr>
                  <w:tcW w:w="1432" w:type="dxa"/>
                  <w:tcBorders>
                    <w:tl2br w:val="nil"/>
                    <w:tr2bl w:val="nil"/>
                  </w:tcBorders>
                  <w:noWrap w:val="0"/>
                  <w:vAlign w:val="center"/>
                </w:tcPr>
                <w:p w14:paraId="72CDFCE8">
                  <w:pPr>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水</w:t>
                  </w:r>
                </w:p>
              </w:tc>
              <w:tc>
                <w:tcPr>
                  <w:tcW w:w="1212" w:type="dxa"/>
                  <w:tcBorders>
                    <w:tl2br w:val="nil"/>
                    <w:tr2bl w:val="nil"/>
                  </w:tcBorders>
                  <w:noWrap w:val="0"/>
                  <w:vAlign w:val="center"/>
                </w:tcPr>
                <w:p w14:paraId="23C5DCE1">
                  <w:pPr>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795</w:t>
                  </w:r>
                </w:p>
              </w:tc>
              <w:tc>
                <w:tcPr>
                  <w:tcW w:w="1626" w:type="dxa"/>
                  <w:tcBorders>
                    <w:tl2br w:val="nil"/>
                    <w:tr2bl w:val="nil"/>
                  </w:tcBorders>
                  <w:noWrap w:val="0"/>
                  <w:vAlign w:val="center"/>
                </w:tcPr>
                <w:p w14:paraId="323E56AF">
                  <w:pPr>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20" w:type="dxa"/>
                  <w:tcBorders>
                    <w:tl2br w:val="nil"/>
                    <w:tr2bl w:val="nil"/>
                  </w:tcBorders>
                  <w:noWrap w:val="0"/>
                  <w:vAlign w:val="center"/>
                </w:tcPr>
                <w:p w14:paraId="55BA35D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151" w:type="dxa"/>
                  <w:tcBorders>
                    <w:tl2br w:val="nil"/>
                    <w:tr2bl w:val="nil"/>
                  </w:tcBorders>
                  <w:noWrap w:val="0"/>
                  <w:vAlign w:val="center"/>
                </w:tcPr>
                <w:p w14:paraId="21C962C0">
                  <w:pPr>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市政供水</w:t>
                  </w:r>
                </w:p>
              </w:tc>
            </w:tr>
            <w:tr w14:paraId="5EAC73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58" w:type="dxa"/>
                  <w:vMerge w:val="continue"/>
                  <w:tcBorders>
                    <w:tl2br w:val="nil"/>
                    <w:tr2bl w:val="nil"/>
                  </w:tcBorders>
                  <w:noWrap w:val="0"/>
                  <w:vAlign w:val="center"/>
                </w:tcPr>
                <w:p w14:paraId="2A546953">
                  <w:pPr>
                    <w:spacing w:line="240" w:lineRule="auto"/>
                    <w:jc w:val="center"/>
                    <w:rPr>
                      <w:rFonts w:hint="default" w:ascii="Times New Roman" w:hAnsi="Times New Roman" w:eastAsia="宋体" w:cs="Times New Roman"/>
                      <w:color w:val="auto"/>
                      <w:sz w:val="21"/>
                      <w:szCs w:val="21"/>
                    </w:rPr>
                  </w:pPr>
                </w:p>
              </w:tc>
              <w:tc>
                <w:tcPr>
                  <w:tcW w:w="1432" w:type="dxa"/>
                  <w:tcBorders>
                    <w:tl2br w:val="nil"/>
                    <w:tr2bl w:val="nil"/>
                  </w:tcBorders>
                  <w:noWrap w:val="0"/>
                  <w:vAlign w:val="center"/>
                </w:tcPr>
                <w:p w14:paraId="10E69FEC">
                  <w:pPr>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电</w:t>
                  </w:r>
                </w:p>
              </w:tc>
              <w:tc>
                <w:tcPr>
                  <w:tcW w:w="1212" w:type="dxa"/>
                  <w:tcBorders>
                    <w:tl2br w:val="nil"/>
                    <w:tr2bl w:val="nil"/>
                  </w:tcBorders>
                  <w:noWrap w:val="0"/>
                  <w:vAlign w:val="center"/>
                </w:tcPr>
                <w:p w14:paraId="0B962D18">
                  <w:pPr>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1.5×10</w:t>
                  </w:r>
                  <w:r>
                    <w:rPr>
                      <w:rFonts w:hint="default" w:ascii="Times New Roman" w:hAnsi="Times New Roman" w:eastAsia="宋体" w:cs="Times New Roman"/>
                      <w:color w:val="auto"/>
                      <w:sz w:val="21"/>
                      <w:szCs w:val="21"/>
                      <w:vertAlign w:val="superscript"/>
                      <w:lang w:val="en-US" w:eastAsia="zh-CN"/>
                    </w:rPr>
                    <w:t>6</w:t>
                  </w:r>
                  <w:r>
                    <w:rPr>
                      <w:rFonts w:hint="default" w:ascii="Times New Roman" w:hAnsi="Times New Roman" w:eastAsia="宋体" w:cs="Times New Roman"/>
                      <w:color w:val="auto"/>
                      <w:sz w:val="21"/>
                      <w:szCs w:val="21"/>
                      <w:lang w:val="en-US" w:eastAsia="zh-CN"/>
                    </w:rPr>
                    <w:t>KW·h</w:t>
                  </w:r>
                </w:p>
              </w:tc>
              <w:tc>
                <w:tcPr>
                  <w:tcW w:w="1626" w:type="dxa"/>
                  <w:tcBorders>
                    <w:tl2br w:val="nil"/>
                    <w:tr2bl w:val="nil"/>
                  </w:tcBorders>
                  <w:noWrap w:val="0"/>
                  <w:vAlign w:val="center"/>
                </w:tcPr>
                <w:p w14:paraId="1D2F36E6">
                  <w:pPr>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20" w:type="dxa"/>
                  <w:tcBorders>
                    <w:tl2br w:val="nil"/>
                    <w:tr2bl w:val="nil"/>
                  </w:tcBorders>
                  <w:noWrap w:val="0"/>
                  <w:vAlign w:val="center"/>
                </w:tcPr>
                <w:p w14:paraId="6F7C68FD">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151" w:type="dxa"/>
                  <w:tcBorders>
                    <w:tl2br w:val="nil"/>
                    <w:tr2bl w:val="nil"/>
                  </w:tcBorders>
                  <w:noWrap w:val="0"/>
                  <w:vAlign w:val="center"/>
                </w:tcPr>
                <w:p w14:paraId="68733F7B">
                  <w:pPr>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市政供电</w:t>
                  </w:r>
                </w:p>
              </w:tc>
            </w:tr>
            <w:tr w14:paraId="7D876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499" w:type="dxa"/>
                  <w:gridSpan w:val="6"/>
                  <w:tcBorders>
                    <w:tl2br w:val="nil"/>
                    <w:tr2bl w:val="nil"/>
                  </w:tcBorders>
                  <w:noWrap w:val="0"/>
                  <w:vAlign w:val="center"/>
                </w:tcPr>
                <w:p w14:paraId="2C94DDEC">
                  <w:pPr>
                    <w:snapToGrid w:val="0"/>
                    <w:spacing w:line="240" w:lineRule="auto"/>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注：1、本项目使用的所有塑料原料不涉及</w:t>
                  </w:r>
                  <w:r>
                    <w:rPr>
                      <w:rFonts w:hint="default" w:ascii="Times New Roman" w:hAnsi="Times New Roman" w:eastAsia="宋体" w:cs="Times New Roman"/>
                      <w:color w:val="auto"/>
                      <w:sz w:val="21"/>
                      <w:szCs w:val="21"/>
                      <w:lang w:val="en-US" w:eastAsia="zh-CN"/>
                    </w:rPr>
                    <w:t>HCl</w:t>
                  </w:r>
                </w:p>
                <w:p w14:paraId="48922AB9">
                  <w:pPr>
                    <w:snapToGrid w:val="0"/>
                    <w:spacing w:line="240" w:lineRule="auto"/>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2、本项目原辅料均不涉及清洗，无清洗用水</w:t>
                  </w:r>
                </w:p>
              </w:tc>
            </w:tr>
          </w:tbl>
          <w:p w14:paraId="22BAE45F">
            <w:pPr>
              <w:adjustRightInd w:val="0"/>
              <w:snapToGrid w:val="0"/>
              <w:spacing w:line="360" w:lineRule="auto"/>
              <w:ind w:firstLine="482" w:firstLineChars="200"/>
              <w:rPr>
                <w:b/>
                <w:bCs/>
                <w:color w:val="auto"/>
                <w:sz w:val="24"/>
              </w:rPr>
            </w:pPr>
            <w:r>
              <w:rPr>
                <w:b/>
                <w:bCs/>
                <w:color w:val="auto"/>
                <w:sz w:val="24"/>
              </w:rPr>
              <w:t>6</w:t>
            </w:r>
            <w:r>
              <w:rPr>
                <w:rFonts w:hint="eastAsia"/>
                <w:b/>
                <w:bCs/>
                <w:color w:val="auto"/>
                <w:sz w:val="24"/>
              </w:rPr>
              <w:t>、现有工程工艺流程</w:t>
            </w:r>
          </w:p>
          <w:p w14:paraId="105AC99E">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bCs/>
                <w:color w:val="auto"/>
                <w:sz w:val="24"/>
              </w:rPr>
              <w:t>运营期工艺流程及产污位置</w:t>
            </w:r>
            <w:r>
              <w:rPr>
                <w:rFonts w:hint="default" w:ascii="Times New Roman" w:hAnsi="Times New Roman" w:cs="Times New Roman"/>
                <w:b/>
                <w:bCs/>
                <w:color w:val="auto"/>
                <w:sz w:val="24"/>
                <w:lang w:val="en-US" w:eastAsia="zh-CN"/>
              </w:rPr>
              <w:t>如下</w:t>
            </w:r>
            <w:r>
              <w:rPr>
                <w:rFonts w:hint="default" w:ascii="Times New Roman" w:hAnsi="Times New Roman" w:cs="Times New Roman"/>
                <w:b/>
                <w:bCs/>
                <w:color w:val="auto"/>
                <w:sz w:val="24"/>
                <w:lang w:eastAsia="zh-CN"/>
              </w:rPr>
              <w:t>：</w:t>
            </w:r>
          </w:p>
          <w:p w14:paraId="79E2B458">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object>
                <v:shape id="_x0000_i1034" o:spt="75" type="#_x0000_t75" style="height:503.45pt;width:391.35pt;" o:ole="t" filled="f" o:preferrelative="t" stroked="f" coordsize="21600,21600">
                  <v:path/>
                  <v:fill on="f" focussize="0,0"/>
                  <v:stroke on="f"/>
                  <v:imagedata r:id="rId38" cropleft="1578f" croptop="1190f" cropbottom="2379f" o:title=""/>
                  <o:lock v:ext="edit" aspectratio="f"/>
                  <w10:wrap type="none"/>
                  <w10:anchorlock/>
                </v:shape>
                <o:OLEObject Type="Embed" ProgID="Visio.Drawing.15" ShapeID="_x0000_i1034" DrawAspect="Content" ObjectID="_1468075734" r:id="rId37">
                  <o:LockedField>false</o:LockedField>
                </o:OLEObject>
              </w:object>
            </w:r>
          </w:p>
          <w:p w14:paraId="03D33A3B">
            <w:pPr>
              <w:spacing w:line="240" w:lineRule="auto"/>
              <w:ind w:firstLine="422" w:firstLineChars="20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图2-2 </w:t>
            </w:r>
            <w:r>
              <w:rPr>
                <w:rFonts w:hint="default" w:ascii="Times New Roman" w:hAnsi="Times New Roman" w:eastAsia="宋体" w:cs="Times New Roman"/>
                <w:b/>
                <w:bCs/>
                <w:color w:val="auto"/>
                <w:sz w:val="21"/>
                <w:szCs w:val="21"/>
              </w:rPr>
              <w:t>项目生产工艺流程及产污位置节点图</w:t>
            </w:r>
          </w:p>
          <w:p w14:paraId="13475C16">
            <w:pPr>
              <w:adjustRightInd w:val="0"/>
              <w:snapToGrid w:val="0"/>
              <w:spacing w:line="360" w:lineRule="auto"/>
              <w:ind w:firstLine="482" w:firstLineChars="200"/>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工艺流程简述：</w:t>
            </w:r>
          </w:p>
          <w:p w14:paraId="247F4C89">
            <w:pPr>
              <w:spacing w:line="360" w:lineRule="auto"/>
              <w:ind w:firstLine="482"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配色：</w:t>
            </w:r>
            <w:r>
              <w:rPr>
                <w:rFonts w:hint="default" w:ascii="Times New Roman" w:hAnsi="Times New Roman" w:cs="Times New Roman"/>
                <w:color w:val="auto"/>
                <w:sz w:val="24"/>
                <w:szCs w:val="24"/>
                <w:lang w:eastAsia="zh-CN"/>
              </w:rPr>
              <w:t>根据客户</w:t>
            </w:r>
            <w:r>
              <w:rPr>
                <w:rFonts w:hint="default" w:ascii="Times New Roman" w:hAnsi="Times New Roman" w:cs="Times New Roman"/>
                <w:color w:val="auto"/>
                <w:sz w:val="24"/>
                <w:szCs w:val="24"/>
                <w:lang w:val="en-US" w:eastAsia="zh-CN"/>
              </w:rPr>
              <w:t>订单</w:t>
            </w:r>
            <w:r>
              <w:rPr>
                <w:rFonts w:hint="default" w:ascii="Times New Roman" w:hAnsi="Times New Roman" w:cs="Times New Roman"/>
                <w:color w:val="auto"/>
                <w:sz w:val="24"/>
                <w:szCs w:val="24"/>
                <w:lang w:eastAsia="zh-CN"/>
              </w:rPr>
              <w:t>要求，</w:t>
            </w:r>
            <w:r>
              <w:rPr>
                <w:rFonts w:hint="default" w:ascii="Times New Roman" w:hAnsi="Times New Roman" w:cs="Times New Roman"/>
                <w:color w:val="auto"/>
                <w:sz w:val="24"/>
                <w:szCs w:val="24"/>
                <w:lang w:val="en-US" w:eastAsia="zh-CN"/>
              </w:rPr>
              <w:t>首先将</w:t>
            </w:r>
            <w:r>
              <w:rPr>
                <w:rFonts w:hint="default" w:ascii="Times New Roman" w:hAnsi="Times New Roman" w:cs="Times New Roman"/>
                <w:color w:val="auto"/>
                <w:sz w:val="24"/>
                <w:szCs w:val="24"/>
                <w:lang w:eastAsia="zh-CN"/>
              </w:rPr>
              <w:t>外购</w:t>
            </w:r>
            <w:r>
              <w:rPr>
                <w:rFonts w:hint="default" w:ascii="Times New Roman" w:hAnsi="Times New Roman" w:cs="Times New Roman"/>
                <w:color w:val="auto"/>
                <w:sz w:val="24"/>
                <w:szCs w:val="24"/>
                <w:lang w:val="en-US" w:eastAsia="zh-CN"/>
              </w:rPr>
              <w:t>的</w:t>
            </w:r>
            <w:r>
              <w:rPr>
                <w:rFonts w:hint="default" w:ascii="Times New Roman" w:hAnsi="Times New Roman" w:cs="Times New Roman"/>
                <w:color w:val="auto"/>
                <w:sz w:val="24"/>
                <w:szCs w:val="24"/>
                <w:lang w:eastAsia="zh-CN"/>
              </w:rPr>
              <w:t>PET、ABS、</w:t>
            </w:r>
            <w:r>
              <w:rPr>
                <w:rFonts w:hint="default" w:ascii="Times New Roman" w:hAnsi="Times New Roman" w:cs="Times New Roman"/>
                <w:color w:val="auto"/>
                <w:sz w:val="24"/>
                <w:szCs w:val="24"/>
                <w:lang w:val="en-US" w:eastAsia="zh-CN"/>
              </w:rPr>
              <w:t>GP</w:t>
            </w:r>
            <w:r>
              <w:rPr>
                <w:rFonts w:hint="default" w:ascii="Times New Roman" w:hAnsi="Times New Roman" w:cs="Times New Roman"/>
                <w:color w:val="auto"/>
                <w:sz w:val="24"/>
                <w:szCs w:val="24"/>
                <w:lang w:eastAsia="zh-CN"/>
              </w:rPr>
              <w:t>PS等</w:t>
            </w:r>
            <w:r>
              <w:rPr>
                <w:rFonts w:hint="default" w:ascii="Times New Roman" w:hAnsi="Times New Roman" w:cs="Times New Roman"/>
                <w:color w:val="auto"/>
                <w:sz w:val="24"/>
                <w:szCs w:val="24"/>
                <w:lang w:val="en-US" w:eastAsia="zh-CN"/>
              </w:rPr>
              <w:t>进行人工拆包并将</w:t>
            </w:r>
            <w:r>
              <w:rPr>
                <w:rFonts w:hint="default" w:ascii="Times New Roman" w:hAnsi="Times New Roman" w:cs="Times New Roman"/>
                <w:color w:val="auto"/>
                <w:sz w:val="24"/>
                <w:szCs w:val="24"/>
                <w:lang w:eastAsia="zh-CN"/>
              </w:rPr>
              <w:t>塑胶材料</w:t>
            </w:r>
            <w:r>
              <w:rPr>
                <w:rFonts w:hint="default" w:ascii="Times New Roman" w:hAnsi="Times New Roman" w:cs="Times New Roman"/>
                <w:color w:val="auto"/>
                <w:sz w:val="24"/>
                <w:szCs w:val="24"/>
                <w:lang w:val="en-US" w:eastAsia="zh-CN"/>
              </w:rPr>
              <w:t>与</w:t>
            </w:r>
            <w:r>
              <w:rPr>
                <w:rFonts w:hint="default" w:ascii="Times New Roman" w:hAnsi="Times New Roman" w:cs="Times New Roman"/>
                <w:color w:val="auto"/>
                <w:sz w:val="24"/>
                <w:szCs w:val="24"/>
                <w:lang w:eastAsia="zh-CN"/>
              </w:rPr>
              <w:t>色母粒</w:t>
            </w:r>
            <w:r>
              <w:rPr>
                <w:rFonts w:hint="default" w:ascii="Times New Roman" w:hAnsi="Times New Roman" w:cs="Times New Roman"/>
                <w:color w:val="auto"/>
                <w:sz w:val="24"/>
                <w:szCs w:val="24"/>
                <w:lang w:val="en-US" w:eastAsia="zh-CN"/>
              </w:rPr>
              <w:t>按一定比例配色。配色后再采用注塑机配套的自动投料装置通过密闭</w:t>
            </w:r>
            <w:r>
              <w:rPr>
                <w:rFonts w:hint="default" w:ascii="Times New Roman" w:hAnsi="Times New Roman" w:cs="Times New Roman"/>
                <w:color w:val="auto"/>
                <w:sz w:val="24"/>
                <w:szCs w:val="24"/>
                <w:lang w:eastAsia="zh-CN"/>
              </w:rPr>
              <w:t>负压</w:t>
            </w:r>
            <w:r>
              <w:rPr>
                <w:rFonts w:hint="default" w:ascii="Times New Roman" w:hAnsi="Times New Roman" w:cs="Times New Roman"/>
                <w:color w:val="auto"/>
                <w:sz w:val="24"/>
                <w:szCs w:val="24"/>
                <w:lang w:val="en-US" w:eastAsia="zh-CN"/>
              </w:rPr>
              <w:t>的方式将物料泵入</w:t>
            </w:r>
            <w:r>
              <w:rPr>
                <w:rFonts w:hint="default" w:ascii="Times New Roman" w:hAnsi="Times New Roman" w:cs="Times New Roman"/>
                <w:color w:val="auto"/>
                <w:sz w:val="24"/>
                <w:szCs w:val="24"/>
                <w:lang w:eastAsia="zh-CN"/>
              </w:rPr>
              <w:t>成套</w:t>
            </w:r>
            <w:r>
              <w:rPr>
                <w:rFonts w:hint="default" w:ascii="Times New Roman" w:hAnsi="Times New Roman" w:cs="Times New Roman"/>
                <w:color w:val="auto"/>
                <w:sz w:val="24"/>
                <w:szCs w:val="24"/>
                <w:lang w:val="en-US" w:eastAsia="zh-CN"/>
              </w:rPr>
              <w:t>注塑机内</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由于本项目使用的</w:t>
            </w:r>
            <w:r>
              <w:rPr>
                <w:rFonts w:hint="default" w:ascii="Times New Roman" w:hAnsi="Times New Roman" w:cs="Times New Roman"/>
                <w:color w:val="auto"/>
                <w:sz w:val="24"/>
                <w:szCs w:val="24"/>
                <w:lang w:eastAsia="zh-CN"/>
              </w:rPr>
              <w:t>PET、ABS、</w:t>
            </w:r>
            <w:r>
              <w:rPr>
                <w:rFonts w:hint="default" w:ascii="Times New Roman" w:hAnsi="Times New Roman" w:cs="Times New Roman"/>
                <w:color w:val="auto"/>
                <w:sz w:val="24"/>
                <w:szCs w:val="24"/>
                <w:lang w:val="en-US" w:eastAsia="zh-CN"/>
              </w:rPr>
              <w:t>GP</w:t>
            </w:r>
            <w:r>
              <w:rPr>
                <w:rFonts w:hint="default" w:ascii="Times New Roman" w:hAnsi="Times New Roman" w:cs="Times New Roman"/>
                <w:color w:val="auto"/>
                <w:sz w:val="24"/>
                <w:szCs w:val="24"/>
                <w:lang w:eastAsia="zh-CN"/>
              </w:rPr>
              <w:t>PS等塑胶材料</w:t>
            </w:r>
            <w:r>
              <w:rPr>
                <w:rFonts w:hint="default" w:ascii="Times New Roman" w:hAnsi="Times New Roman" w:cs="Times New Roman"/>
                <w:color w:val="auto"/>
                <w:sz w:val="24"/>
                <w:szCs w:val="24"/>
                <w:lang w:val="en-US" w:eastAsia="zh-CN"/>
              </w:rPr>
              <w:t>均为大颗粒状物料，且采用自动投料方式，因此投料过程中无粉尘产生，此工序产生的污染物主要为噪声。</w:t>
            </w:r>
          </w:p>
          <w:p w14:paraId="1DFD8DE7">
            <w:pPr>
              <w:spacing w:line="360" w:lineRule="auto"/>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bCs/>
                <w:color w:val="auto"/>
                <w:sz w:val="24"/>
                <w:szCs w:val="24"/>
                <w:lang w:val="en-US" w:eastAsia="zh-CN"/>
              </w:rPr>
              <w:t>干燥：</w:t>
            </w:r>
            <w:r>
              <w:rPr>
                <w:rFonts w:hint="default" w:ascii="Times New Roman" w:hAnsi="Times New Roman" w:cs="Times New Roman"/>
                <w:color w:val="auto"/>
                <w:sz w:val="24"/>
                <w:szCs w:val="24"/>
                <w:lang w:val="en-US" w:eastAsia="zh-CN"/>
              </w:rPr>
              <w:t>启动成套注塑设备的干燥功能，将注入机内的塑料进行干燥，去除水分，便于接下来的注塑成型操作。干燥采用电加热，温度约为85℃，此温度尚未达到</w:t>
            </w:r>
            <w:r>
              <w:rPr>
                <w:rFonts w:hint="default" w:ascii="Times New Roman" w:hAnsi="Times New Roman" w:cs="Times New Roman"/>
                <w:color w:val="auto"/>
                <w:sz w:val="24"/>
                <w:szCs w:val="24"/>
                <w:lang w:eastAsia="zh-CN"/>
              </w:rPr>
              <w:t>PET、ABS、</w:t>
            </w:r>
            <w:r>
              <w:rPr>
                <w:rFonts w:hint="default" w:ascii="Times New Roman" w:hAnsi="Times New Roman" w:cs="Times New Roman"/>
                <w:color w:val="auto"/>
                <w:sz w:val="24"/>
                <w:szCs w:val="24"/>
                <w:lang w:val="en-US" w:eastAsia="zh-CN"/>
              </w:rPr>
              <w:t>GP</w:t>
            </w:r>
            <w:r>
              <w:rPr>
                <w:rFonts w:hint="default" w:ascii="Times New Roman" w:hAnsi="Times New Roman" w:cs="Times New Roman"/>
                <w:color w:val="auto"/>
                <w:sz w:val="24"/>
                <w:szCs w:val="24"/>
                <w:lang w:eastAsia="zh-CN"/>
              </w:rPr>
              <w:t>PS等</w:t>
            </w:r>
            <w:r>
              <w:rPr>
                <w:rFonts w:hint="default" w:ascii="Times New Roman" w:hAnsi="Times New Roman" w:cs="Times New Roman"/>
                <w:color w:val="auto"/>
                <w:sz w:val="24"/>
                <w:szCs w:val="24"/>
                <w:lang w:val="en-US" w:eastAsia="zh-CN"/>
              </w:rPr>
              <w:t>塑料的热分解温度，</w:t>
            </w:r>
            <w:r>
              <w:rPr>
                <w:rFonts w:hint="default" w:ascii="Times New Roman" w:hAnsi="Times New Roman" w:cs="Times New Roman"/>
                <w:color w:val="auto"/>
                <w:sz w:val="24"/>
              </w:rPr>
              <w:t>仅少量塑料单体在高温下挥发</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此工序产生少量的VOCs。</w:t>
            </w:r>
          </w:p>
          <w:p w14:paraId="2378FC8C">
            <w:pPr>
              <w:spacing w:line="360" w:lineRule="auto"/>
              <w:ind w:firstLine="482" w:firstLineChars="200"/>
              <w:rPr>
                <w:rFonts w:hint="default" w:ascii="Times New Roman" w:hAnsi="Times New Roman" w:cs="Times New Roman"/>
                <w:color w:val="auto"/>
                <w:sz w:val="24"/>
                <w:szCs w:val="24"/>
                <w:lang w:eastAsia="zh-CN"/>
              </w:rPr>
            </w:pPr>
            <w:r>
              <w:rPr>
                <w:rFonts w:hint="default" w:ascii="Times New Roman" w:hAnsi="Times New Roman" w:cs="Times New Roman"/>
                <w:b/>
                <w:bCs/>
                <w:color w:val="auto"/>
                <w:sz w:val="24"/>
                <w:szCs w:val="24"/>
                <w:lang w:val="en-US" w:eastAsia="zh-CN"/>
              </w:rPr>
              <w:t>注塑</w:t>
            </w:r>
            <w:r>
              <w:rPr>
                <w:rFonts w:hint="default" w:ascii="Times New Roman" w:hAnsi="Times New Roman" w:cs="Times New Roman"/>
                <w:b/>
                <w:bCs/>
                <w:color w:val="auto"/>
                <w:sz w:val="24"/>
                <w:szCs w:val="24"/>
                <w:lang w:eastAsia="zh-CN"/>
              </w:rPr>
              <w:t>成型：</w:t>
            </w:r>
            <w:r>
              <w:rPr>
                <w:rFonts w:hint="default" w:ascii="Times New Roman" w:hAnsi="Times New Roman" w:cs="Times New Roman"/>
                <w:color w:val="auto"/>
                <w:sz w:val="24"/>
                <w:szCs w:val="24"/>
                <w:lang w:val="en-US" w:eastAsia="zh-CN"/>
              </w:rPr>
              <w:t>将干燥之后的物料采取负压方式打入注塑机模具内，</w:t>
            </w:r>
            <w:r>
              <w:rPr>
                <w:rFonts w:hint="default" w:ascii="Times New Roman" w:hAnsi="Times New Roman" w:cs="Times New Roman"/>
                <w:color w:val="auto"/>
                <w:sz w:val="24"/>
                <w:szCs w:val="24"/>
                <w:lang w:eastAsia="zh-CN"/>
              </w:rPr>
              <w:t>通过电加热至</w:t>
            </w:r>
            <w:r>
              <w:rPr>
                <w:rFonts w:hint="default" w:ascii="Times New Roman" w:hAnsi="Times New Roman" w:cs="Times New Roman"/>
                <w:color w:val="auto"/>
                <w:sz w:val="24"/>
                <w:szCs w:val="24"/>
                <w:lang w:val="en-US" w:eastAsia="zh-CN"/>
              </w:rPr>
              <w:t>120</w:t>
            </w:r>
            <w:r>
              <w:rPr>
                <w:rFonts w:hint="default" w:ascii="Times New Roman" w:hAnsi="Times New Roman" w:cs="Times New Roman"/>
                <w:color w:val="auto"/>
                <w:sz w:val="24"/>
                <w:szCs w:val="24"/>
                <w:lang w:eastAsia="zh-CN"/>
              </w:rPr>
              <w:t>℃，按照钢制模具形状进行成型，得到</w:t>
            </w:r>
            <w:r>
              <w:rPr>
                <w:rFonts w:hint="default" w:ascii="Times New Roman" w:hAnsi="Times New Roman" w:cs="Times New Roman"/>
                <w:color w:val="auto"/>
                <w:sz w:val="24"/>
                <w:szCs w:val="24"/>
                <w:lang w:val="en-US" w:eastAsia="zh-CN"/>
              </w:rPr>
              <w:t>包装容器毛坯</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注塑成型过程尚未达到</w:t>
            </w:r>
            <w:r>
              <w:rPr>
                <w:rFonts w:hint="default" w:ascii="Times New Roman" w:hAnsi="Times New Roman" w:cs="Times New Roman"/>
                <w:color w:val="auto"/>
                <w:sz w:val="24"/>
                <w:szCs w:val="24"/>
                <w:lang w:eastAsia="zh-CN"/>
              </w:rPr>
              <w:t>PET、ABS、</w:t>
            </w:r>
            <w:r>
              <w:rPr>
                <w:rFonts w:hint="default" w:ascii="Times New Roman" w:hAnsi="Times New Roman" w:cs="Times New Roman"/>
                <w:color w:val="auto"/>
                <w:sz w:val="24"/>
                <w:szCs w:val="24"/>
                <w:lang w:val="en-US" w:eastAsia="zh-CN"/>
              </w:rPr>
              <w:t>GP</w:t>
            </w:r>
            <w:r>
              <w:rPr>
                <w:rFonts w:hint="default" w:ascii="Times New Roman" w:hAnsi="Times New Roman" w:cs="Times New Roman"/>
                <w:color w:val="auto"/>
                <w:sz w:val="24"/>
                <w:szCs w:val="24"/>
                <w:lang w:eastAsia="zh-CN"/>
              </w:rPr>
              <w:t>PS等</w:t>
            </w:r>
            <w:r>
              <w:rPr>
                <w:rFonts w:hint="default" w:ascii="Times New Roman" w:hAnsi="Times New Roman" w:cs="Times New Roman"/>
                <w:color w:val="auto"/>
                <w:sz w:val="24"/>
                <w:szCs w:val="24"/>
                <w:lang w:val="en-US" w:eastAsia="zh-CN"/>
              </w:rPr>
              <w:t>塑料的热分解温度（均＞250℃），</w:t>
            </w:r>
            <w:r>
              <w:rPr>
                <w:rFonts w:hint="default" w:ascii="Times New Roman" w:hAnsi="Times New Roman" w:cs="Times New Roman"/>
                <w:color w:val="auto"/>
                <w:sz w:val="24"/>
              </w:rPr>
              <w:t>仅少量塑料单体在高温下挥发</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此工序产生的污染物主要为VOCs。</w:t>
            </w:r>
          </w:p>
          <w:p w14:paraId="17021D5B">
            <w:pPr>
              <w:spacing w:line="360" w:lineRule="auto"/>
              <w:ind w:firstLine="482"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冷却脱模：</w:t>
            </w:r>
            <w:r>
              <w:rPr>
                <w:rFonts w:hint="default" w:ascii="Times New Roman" w:hAnsi="Times New Roman" w:cs="Times New Roman"/>
                <w:color w:val="auto"/>
                <w:sz w:val="24"/>
                <w:szCs w:val="24"/>
                <w:lang w:val="en-US" w:eastAsia="zh-CN"/>
              </w:rPr>
              <w:t>成型之后要对钢制模具进行冷却处理，以使产品毛坯脱离模具。本项目成套注塑机自带冷却循环水系统，与循环冷却水池相连。冷却系统采取水冷的方式（使用自来水，不添加任何阻垢剂等物质），通过套管间接对钢制模具进行冷却，冷却水循环使用，每天补充新鲜用水，不外排。经过冷却处理，容器毛坯与模壁分离，再通过真空吸收使之脱模。此工序产生的污染物主要为噪声。</w:t>
            </w:r>
          </w:p>
          <w:p w14:paraId="3B456077">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压泡：</w:t>
            </w:r>
            <w:r>
              <w:rPr>
                <w:rFonts w:hint="default" w:ascii="Times New Roman" w:hAnsi="Times New Roman" w:cs="Times New Roman"/>
                <w:color w:val="auto"/>
                <w:sz w:val="24"/>
                <w:szCs w:val="24"/>
                <w:lang w:val="en-US" w:eastAsia="zh-CN"/>
              </w:rPr>
              <w:t>用压泡机对脱模之后容器毛坯进行压泡操作，以去除塑胶板材内部的气泡，此工序产生的污染物主要为噪声。</w:t>
            </w:r>
          </w:p>
          <w:p w14:paraId="3295401E">
            <w:pPr>
              <w:spacing w:line="360" w:lineRule="auto"/>
              <w:ind w:firstLine="482"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裁边</w:t>
            </w:r>
            <w:r>
              <w:rPr>
                <w:rFonts w:hint="default" w:ascii="Times New Roman" w:hAnsi="Times New Roman" w:cs="Times New Roman"/>
                <w:b/>
                <w:bCs/>
                <w:color w:val="auto"/>
                <w:sz w:val="24"/>
                <w:szCs w:val="24"/>
                <w:lang w:eastAsia="zh-CN"/>
              </w:rPr>
              <w:t>：</w:t>
            </w:r>
            <w:r>
              <w:rPr>
                <w:rFonts w:hint="default" w:ascii="Times New Roman" w:hAnsi="Times New Roman" w:cs="Times New Roman"/>
                <w:color w:val="auto"/>
                <w:sz w:val="24"/>
                <w:szCs w:val="24"/>
                <w:lang w:val="en-US" w:eastAsia="zh-CN"/>
              </w:rPr>
              <w:t>使用机刀对压泡之后的容器毛坯的多余边角进行裁边，此过程产生的污染物主要为边角料和噪声。</w:t>
            </w:r>
          </w:p>
          <w:p w14:paraId="6B0C5DB0">
            <w:pPr>
              <w:spacing w:line="360" w:lineRule="auto"/>
              <w:ind w:firstLine="482"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丝印/热转印</w:t>
            </w:r>
            <w:r>
              <w:rPr>
                <w:rFonts w:hint="default" w:ascii="Times New Roman" w:hAnsi="Times New Roman" w:cs="Times New Roman"/>
                <w:b/>
                <w:bCs/>
                <w:color w:val="auto"/>
                <w:sz w:val="24"/>
                <w:szCs w:val="24"/>
                <w:lang w:eastAsia="zh-CN"/>
              </w:rPr>
              <w:t>：</w:t>
            </w:r>
            <w:r>
              <w:rPr>
                <w:rFonts w:hint="default" w:ascii="Times New Roman" w:hAnsi="Times New Roman" w:cs="Times New Roman"/>
                <w:color w:val="auto"/>
                <w:sz w:val="24"/>
                <w:szCs w:val="24"/>
                <w:lang w:eastAsia="zh-CN"/>
              </w:rPr>
              <w:t>根据客户需求，部分产品需</w:t>
            </w:r>
            <w:r>
              <w:rPr>
                <w:rFonts w:hint="default" w:ascii="Times New Roman" w:hAnsi="Times New Roman" w:cs="Times New Roman"/>
                <w:color w:val="auto"/>
                <w:sz w:val="24"/>
                <w:szCs w:val="24"/>
                <w:lang w:val="en-US" w:eastAsia="zh-CN"/>
              </w:rPr>
              <w:t>采用丝印或热转印工艺</w:t>
            </w:r>
            <w:r>
              <w:rPr>
                <w:rFonts w:hint="default" w:ascii="Times New Roman" w:hAnsi="Times New Roman" w:cs="Times New Roman"/>
                <w:color w:val="auto"/>
                <w:sz w:val="24"/>
                <w:szCs w:val="24"/>
                <w:lang w:eastAsia="zh-CN"/>
              </w:rPr>
              <w:t>将客户需要的图案效果印刷在</w:t>
            </w:r>
            <w:r>
              <w:rPr>
                <w:rFonts w:hint="default" w:ascii="Times New Roman" w:hAnsi="Times New Roman" w:cs="Times New Roman"/>
                <w:color w:val="auto"/>
                <w:sz w:val="24"/>
                <w:szCs w:val="24"/>
                <w:lang w:val="en-US" w:eastAsia="zh-CN"/>
              </w:rPr>
              <w:t>产品表面。根据业主提供的经验资料，约10%的产品需采用丝印工艺印刷图案，约20%的产品需采用热转印工序印刷图案。</w:t>
            </w:r>
            <w:r>
              <w:rPr>
                <w:rFonts w:hint="default" w:ascii="Times New Roman" w:hAnsi="Times New Roman" w:cs="Times New Roman"/>
                <w:color w:val="auto"/>
                <w:sz w:val="24"/>
                <w:szCs w:val="24"/>
                <w:lang w:eastAsia="zh-CN"/>
              </w:rPr>
              <w:t>本项目丝印需要的网版</w:t>
            </w:r>
            <w:r>
              <w:rPr>
                <w:rFonts w:hint="default" w:ascii="Times New Roman" w:hAnsi="Times New Roman" w:cs="Times New Roman"/>
                <w:color w:val="auto"/>
                <w:sz w:val="24"/>
                <w:szCs w:val="24"/>
                <w:lang w:val="en-US" w:eastAsia="zh-CN"/>
              </w:rPr>
              <w:t>全部外购</w:t>
            </w:r>
            <w:r>
              <w:rPr>
                <w:rFonts w:hint="default" w:ascii="Times New Roman" w:hAnsi="Times New Roman" w:cs="Times New Roman"/>
                <w:color w:val="auto"/>
                <w:sz w:val="24"/>
                <w:szCs w:val="24"/>
                <w:lang w:eastAsia="zh-CN"/>
              </w:rPr>
              <w:t>，车间内不进行制版、晒版、洗版等工艺；</w:t>
            </w:r>
            <w:r>
              <w:rPr>
                <w:rFonts w:hint="default" w:ascii="Times New Roman" w:hAnsi="Times New Roman" w:cs="Times New Roman"/>
                <w:color w:val="auto"/>
                <w:sz w:val="24"/>
                <w:szCs w:val="24"/>
                <w:lang w:val="en-US" w:eastAsia="zh-CN"/>
              </w:rPr>
              <w:t>丝印温度为常温，热转印温度约为120℃，无需另外进行晾晒固化；丝印和热转印均</w:t>
            </w:r>
            <w:r>
              <w:rPr>
                <w:rFonts w:hint="default" w:ascii="Times New Roman" w:hAnsi="Times New Roman" w:cs="Times New Roman"/>
                <w:color w:val="auto"/>
                <w:sz w:val="24"/>
                <w:szCs w:val="24"/>
                <w:lang w:eastAsia="zh-CN"/>
              </w:rPr>
              <w:t>使用符合环保要求的UV油墨（</w:t>
            </w:r>
            <w:r>
              <w:rPr>
                <w:rFonts w:hint="default" w:ascii="Times New Roman" w:hAnsi="Times New Roman" w:cs="Times New Roman"/>
                <w:color w:val="auto"/>
                <w:sz w:val="24"/>
                <w:szCs w:val="24"/>
                <w:lang w:val="en-US" w:eastAsia="zh-CN"/>
              </w:rPr>
              <w:t>水性</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丝印及热转印</w:t>
            </w:r>
            <w:r>
              <w:rPr>
                <w:rFonts w:hint="default" w:ascii="Times New Roman" w:hAnsi="Times New Roman" w:cs="Times New Roman"/>
                <w:color w:val="auto"/>
                <w:sz w:val="24"/>
                <w:szCs w:val="24"/>
                <w:lang w:eastAsia="zh-CN"/>
              </w:rPr>
              <w:t>工序产生的污染物主要为</w:t>
            </w:r>
            <w:r>
              <w:rPr>
                <w:rFonts w:hint="default" w:ascii="Times New Roman" w:hAnsi="Times New Roman" w:cs="Times New Roman"/>
                <w:color w:val="auto"/>
                <w:sz w:val="24"/>
                <w:szCs w:val="24"/>
                <w:lang w:val="en-US" w:eastAsia="zh-CN"/>
              </w:rPr>
              <w:t>VOCs</w:t>
            </w:r>
            <w:r>
              <w:rPr>
                <w:rFonts w:hint="default" w:ascii="Times New Roman" w:hAnsi="Times New Roman" w:cs="Times New Roman"/>
                <w:color w:val="auto"/>
                <w:sz w:val="24"/>
                <w:szCs w:val="24"/>
                <w:lang w:eastAsia="zh-CN"/>
              </w:rPr>
              <w:t>、废油墨桶、</w:t>
            </w:r>
            <w:r>
              <w:rPr>
                <w:rFonts w:hint="default" w:ascii="Times New Roman" w:hAnsi="Times New Roman" w:cs="Times New Roman"/>
                <w:color w:val="auto"/>
                <w:sz w:val="24"/>
                <w:szCs w:val="24"/>
                <w:lang w:val="en-US" w:eastAsia="zh-CN"/>
              </w:rPr>
              <w:t>废网版</w:t>
            </w:r>
            <w:r>
              <w:rPr>
                <w:rFonts w:hint="default" w:ascii="Times New Roman" w:hAnsi="Times New Roman" w:cs="Times New Roman"/>
                <w:color w:val="auto"/>
                <w:sz w:val="24"/>
                <w:szCs w:val="24"/>
                <w:lang w:eastAsia="zh-CN"/>
              </w:rPr>
              <w:t>。</w:t>
            </w:r>
          </w:p>
          <w:p w14:paraId="6105314E">
            <w:pPr>
              <w:spacing w:line="360" w:lineRule="auto"/>
              <w:ind w:firstLine="482" w:firstLineChars="200"/>
              <w:rPr>
                <w:rFonts w:hint="default" w:ascii="Times New Roman" w:hAnsi="Times New Roman" w:cs="Times New Roman"/>
                <w:color w:val="auto"/>
                <w:sz w:val="24"/>
                <w:szCs w:val="24"/>
                <w:lang w:eastAsia="zh-CN"/>
              </w:rPr>
            </w:pPr>
            <w:r>
              <w:rPr>
                <w:rFonts w:hint="default" w:ascii="Times New Roman" w:hAnsi="Times New Roman" w:cs="Times New Roman"/>
                <w:b/>
                <w:bCs/>
                <w:color w:val="auto"/>
                <w:sz w:val="24"/>
                <w:szCs w:val="24"/>
                <w:lang w:val="en-US" w:eastAsia="zh-CN"/>
              </w:rPr>
              <w:t>烫金：</w:t>
            </w:r>
            <w:r>
              <w:rPr>
                <w:rFonts w:hint="default" w:ascii="Times New Roman" w:hAnsi="Times New Roman" w:cs="Times New Roman"/>
                <w:color w:val="auto"/>
                <w:sz w:val="24"/>
                <w:szCs w:val="24"/>
                <w:lang w:val="en-US" w:eastAsia="zh-CN"/>
              </w:rPr>
              <w:t>使用烫金机和电化铝箔在塑胶板材上进行印制图文。烫金工艺是一种不用油墨的特种印刷工艺，它是借助一定的压力于温度，运用装在烫印机上的模版，使印刷品和烫印箔在短时间内互相受压，将金属箔或颜料箔按烫印模版的图文转印到被烫印刷品的表面。本项目烫金工序温度为80℃，此工序主要污染物为噪声。</w:t>
            </w:r>
          </w:p>
          <w:p w14:paraId="6A732A97">
            <w:pPr>
              <w:spacing w:line="360" w:lineRule="auto"/>
              <w:ind w:firstLine="482"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组装</w:t>
            </w:r>
            <w:r>
              <w:rPr>
                <w:rFonts w:hint="default" w:ascii="Times New Roman" w:hAnsi="Times New Roman" w:cs="Times New Roman"/>
                <w:b/>
                <w:bCs/>
                <w:color w:val="auto"/>
                <w:sz w:val="24"/>
                <w:szCs w:val="24"/>
                <w:lang w:eastAsia="zh-CN"/>
              </w:rPr>
              <w:t>：</w:t>
            </w:r>
            <w:r>
              <w:rPr>
                <w:rFonts w:hint="default" w:ascii="Times New Roman" w:hAnsi="Times New Roman" w:cs="Times New Roman"/>
                <w:color w:val="auto"/>
                <w:sz w:val="24"/>
                <w:szCs w:val="24"/>
                <w:lang w:val="en-US" w:eastAsia="zh-CN"/>
              </w:rPr>
              <w:t>使用过胶机和手工结合的方式将烫金之后的塑胶板材进行组装，以得到完整的塑胶容器产品。组装过程在常温下进行，需使用水性贴面胶进行粘合，此工序产生的污染物主要为胶粘废气（VOCs）、废胶黏剂罐和噪声。</w:t>
            </w:r>
          </w:p>
          <w:p w14:paraId="3459C96A">
            <w:pPr>
              <w:spacing w:line="360" w:lineRule="auto"/>
              <w:ind w:firstLine="482"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检验：</w:t>
            </w:r>
            <w:r>
              <w:rPr>
                <w:rFonts w:hint="default" w:ascii="Times New Roman" w:hAnsi="Times New Roman" w:cs="Times New Roman"/>
                <w:color w:val="auto"/>
                <w:sz w:val="24"/>
                <w:szCs w:val="24"/>
                <w:lang w:val="en-US" w:eastAsia="zh-CN"/>
              </w:rPr>
              <w:t>对组装完成之后的产品进行检验，主要检验产品是否有破损等，检验合格的则直接包装入库；检验不合格的属于残次品，统一收集之后交由原料供货商回收。</w:t>
            </w:r>
          </w:p>
          <w:p w14:paraId="087F11EC">
            <w:pPr>
              <w:pStyle w:val="98"/>
              <w:spacing w:line="360" w:lineRule="auto"/>
              <w:ind w:firstLine="482" w:firstLineChars="200"/>
              <w:rPr>
                <w:rFonts w:hint="default" w:ascii="Times New Roman" w:hAnsi="Times New Roman" w:cs="Times New Roman"/>
                <w:b/>
                <w:bCs/>
                <w:color w:val="auto"/>
                <w:sz w:val="28"/>
                <w:szCs w:val="32"/>
                <w:highlight w:val="none"/>
              </w:rPr>
            </w:pPr>
            <w:r>
              <w:rPr>
                <w:rFonts w:hint="default" w:ascii="Times New Roman" w:hAnsi="Times New Roman" w:cs="Times New Roman"/>
                <w:b/>
                <w:bCs/>
                <w:color w:val="auto"/>
                <w:sz w:val="24"/>
                <w:szCs w:val="24"/>
                <w:lang w:val="en-US" w:eastAsia="zh-CN"/>
              </w:rPr>
              <w:t>包装入库：</w:t>
            </w:r>
            <w:r>
              <w:rPr>
                <w:rFonts w:hint="default" w:ascii="Times New Roman" w:hAnsi="Times New Roman" w:cs="Times New Roman"/>
                <w:color w:val="auto"/>
                <w:sz w:val="24"/>
                <w:szCs w:val="24"/>
                <w:lang w:val="en-US" w:eastAsia="zh-CN"/>
              </w:rPr>
              <w:t>使用外购的成品包装纸盒对检验合格的产品进行包装，之后入库待售。此工序产生的污染物主要为包装垃圾和噪声。</w:t>
            </w:r>
          </w:p>
          <w:p w14:paraId="13678520">
            <w:pPr>
              <w:spacing w:line="360" w:lineRule="auto"/>
              <w:ind w:firstLine="482" w:firstLineChars="200"/>
              <w:rPr>
                <w:color w:val="auto"/>
                <w:sz w:val="24"/>
              </w:rPr>
            </w:pPr>
            <w:r>
              <w:rPr>
                <w:b/>
                <w:bCs/>
                <w:color w:val="auto"/>
                <w:sz w:val="24"/>
              </w:rPr>
              <w:t>7</w:t>
            </w:r>
            <w:r>
              <w:rPr>
                <w:rFonts w:hint="eastAsia"/>
                <w:b/>
                <w:bCs/>
                <w:color w:val="auto"/>
                <w:sz w:val="24"/>
              </w:rPr>
              <w:t>、现有工程污染物排放情况</w:t>
            </w:r>
          </w:p>
          <w:p w14:paraId="59EDB1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w:t>
            </w:r>
            <w:r>
              <w:rPr>
                <w:rFonts w:hint="default" w:ascii="Times New Roman" w:hAnsi="Times New Roman" w:eastAsia="宋体" w:cs="Times New Roman"/>
                <w:color w:val="auto"/>
                <w:sz w:val="24"/>
                <w:szCs w:val="24"/>
                <w:lang w:eastAsia="zh-CN"/>
              </w:rPr>
              <w:t>四川桓洋智能科技有限公司高端塑胶外包装容器制造项目</w:t>
            </w:r>
            <w:r>
              <w:rPr>
                <w:rFonts w:hint="eastAsia" w:ascii="Times New Roman" w:hAnsi="Times New Roman" w:eastAsia="宋体" w:cs="Times New Roman"/>
                <w:color w:val="auto"/>
                <w:sz w:val="24"/>
                <w:szCs w:val="24"/>
                <w:lang w:eastAsia="zh-CN"/>
              </w:rPr>
              <w:t>环境影响报告表》及其</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竣工环境保护验收</w:t>
            </w:r>
            <w:r>
              <w:rPr>
                <w:rFonts w:hint="eastAsia" w:ascii="Times New Roman" w:hAnsi="Times New Roman" w:eastAsia="宋体" w:cs="Times New Roman"/>
                <w:color w:val="auto"/>
                <w:sz w:val="24"/>
                <w:szCs w:val="24"/>
                <w:lang w:val="en-US" w:eastAsia="zh-CN"/>
              </w:rPr>
              <w:t>结论</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提供的数据，结合现场踏勘情况对现有工程污染物排放情况进行分析。</w:t>
            </w:r>
          </w:p>
          <w:p w14:paraId="0C8501C7">
            <w:pPr>
              <w:spacing w:line="360" w:lineRule="auto"/>
              <w:ind w:firstLine="482" w:firstLineChars="200"/>
              <w:rPr>
                <w:b/>
                <w:bCs/>
                <w:color w:val="auto"/>
                <w:sz w:val="24"/>
              </w:rPr>
            </w:pPr>
            <w:r>
              <w:rPr>
                <w:b/>
                <w:bCs/>
                <w:color w:val="auto"/>
                <w:sz w:val="24"/>
              </w:rPr>
              <w:t>7.1</w:t>
            </w:r>
            <w:r>
              <w:rPr>
                <w:rFonts w:hint="eastAsia"/>
                <w:b/>
                <w:bCs/>
                <w:color w:val="auto"/>
                <w:sz w:val="24"/>
              </w:rPr>
              <w:t>废水</w:t>
            </w:r>
          </w:p>
          <w:p w14:paraId="25173A35">
            <w:pPr>
              <w:spacing w:line="360" w:lineRule="auto"/>
              <w:ind w:firstLine="480" w:firstLineChars="200"/>
              <w:rPr>
                <w:rFonts w:hint="default" w:ascii="Times New Roman" w:hAnsi="Times New Roman" w:cs="Times New Roman"/>
                <w:color w:val="auto"/>
                <w:sz w:val="24"/>
                <w:szCs w:val="24"/>
                <w:lang w:val="en-US"/>
              </w:rPr>
            </w:pPr>
            <w:r>
              <w:rPr>
                <w:rFonts w:hint="eastAsia" w:ascii="Times New Roman" w:hAnsi="Times New Roman" w:cs="Times New Roman"/>
                <w:color w:val="auto"/>
                <w:sz w:val="24"/>
                <w:szCs w:val="24"/>
                <w:lang w:val="en-US" w:eastAsia="zh-CN"/>
              </w:rPr>
              <w:t>现有工程废水主要为</w:t>
            </w:r>
            <w:r>
              <w:rPr>
                <w:rFonts w:hint="default" w:ascii="Times New Roman" w:hAnsi="Times New Roman" w:cs="Times New Roman"/>
                <w:color w:val="auto"/>
                <w:sz w:val="24"/>
                <w:szCs w:val="24"/>
              </w:rPr>
              <w:t>员工生活</w:t>
            </w:r>
            <w:r>
              <w:rPr>
                <w:rFonts w:hint="default" w:ascii="Times New Roman" w:hAnsi="Times New Roman" w:cs="Times New Roman"/>
                <w:color w:val="auto"/>
                <w:sz w:val="24"/>
                <w:szCs w:val="24"/>
                <w:lang w:val="en-US" w:eastAsia="zh-CN"/>
              </w:rPr>
              <w:t>用水、车间洗手用水以及注塑机循环冷却水；车间采用扫帚清扫，不进行拖洗，无地坪拖洗废水产生，注塑机循环冷却水循环使用不外排。</w:t>
            </w:r>
            <w:r>
              <w:rPr>
                <w:rFonts w:hint="eastAsia" w:ascii="Times New Roman" w:hAnsi="Times New Roman" w:cs="Times New Roman"/>
                <w:color w:val="auto"/>
                <w:sz w:val="24"/>
                <w:szCs w:val="24"/>
                <w:lang w:val="en-US" w:eastAsia="zh-CN"/>
              </w:rPr>
              <w:t>现有工程废水</w:t>
            </w:r>
            <w:r>
              <w:rPr>
                <w:rFonts w:hint="default" w:ascii="Times New Roman" w:hAnsi="Times New Roman" w:cs="Times New Roman"/>
                <w:color w:val="auto"/>
                <w:sz w:val="24"/>
                <w:szCs w:val="24"/>
                <w:lang w:val="en-US" w:eastAsia="zh-CN"/>
              </w:rPr>
              <w:t>废水产生环节为生活污水和车间洗手废水。</w:t>
            </w:r>
          </w:p>
          <w:p w14:paraId="521AA428">
            <w:pPr>
              <w:pStyle w:val="61"/>
              <w:adjustRightInd/>
              <w:spacing w:before="0" w:after="0" w:line="360" w:lineRule="auto"/>
              <w:ind w:firstLine="480" w:firstLineChars="200"/>
              <w:textAlignment w:val="auto"/>
              <w:rPr>
                <w:rFonts w:hint="default" w:ascii="Times New Roman Regular" w:hAnsi="Times New Roman Regular" w:eastAsia="宋体" w:cs="Times New Roman Regular"/>
                <w:b w:val="0"/>
                <w:bCs w:val="0"/>
                <w:color w:val="auto"/>
                <w:kern w:val="2"/>
                <w:sz w:val="24"/>
                <w:szCs w:val="24"/>
                <w:lang w:val="en-US" w:eastAsia="zh-CN" w:bidi="ar-SA"/>
              </w:rPr>
            </w:pPr>
            <w:r>
              <w:rPr>
                <w:rFonts w:hint="default" w:ascii="Times New Roman Regular" w:hAnsi="Times New Roman Regular" w:eastAsia="宋体" w:cs="Times New Roman Regular"/>
                <w:b w:val="0"/>
                <w:bCs w:val="0"/>
                <w:color w:val="auto"/>
                <w:kern w:val="2"/>
                <w:sz w:val="24"/>
                <w:szCs w:val="24"/>
                <w:lang w:val="en-US" w:eastAsia="zh-CN" w:bidi="ar-SA"/>
              </w:rPr>
              <w:t>治理措施：</w:t>
            </w:r>
            <w:r>
              <w:rPr>
                <w:rFonts w:hint="eastAsia" w:ascii="Times New Roman Regular" w:hAnsi="Times New Roman Regular" w:eastAsia="宋体" w:cs="Times New Roman Regular"/>
                <w:b w:val="0"/>
                <w:bCs w:val="0"/>
                <w:color w:val="auto"/>
                <w:kern w:val="2"/>
                <w:sz w:val="24"/>
                <w:szCs w:val="24"/>
                <w:lang w:val="en-US" w:eastAsia="zh-CN" w:bidi="ar-SA"/>
              </w:rPr>
              <w:t>现有工程</w:t>
            </w:r>
            <w:r>
              <w:rPr>
                <w:rFonts w:hint="default" w:ascii="Times New Roman Regular" w:hAnsi="Times New Roman Regular" w:eastAsia="宋体" w:cs="Times New Roman Regular"/>
                <w:b w:val="0"/>
                <w:bCs w:val="0"/>
                <w:color w:val="auto"/>
                <w:kern w:val="2"/>
                <w:sz w:val="24"/>
                <w:szCs w:val="24"/>
                <w:lang w:val="en-US" w:eastAsia="zh-CN" w:bidi="ar-SA"/>
              </w:rPr>
              <w:t>车间外西南侧设置一个洗手池</w:t>
            </w:r>
            <w:r>
              <w:rPr>
                <w:rFonts w:hint="eastAsia" w:ascii="Times New Roman Regular" w:hAnsi="Times New Roman Regular" w:eastAsia="宋体" w:cs="Times New Roman Regular"/>
                <w:b w:val="0"/>
                <w:bCs w:val="0"/>
                <w:color w:val="auto"/>
                <w:kern w:val="2"/>
                <w:sz w:val="24"/>
                <w:szCs w:val="24"/>
                <w:lang w:val="en-US" w:eastAsia="zh-CN" w:bidi="ar-SA"/>
              </w:rPr>
              <w:t>，车间洗手废水和生活污水经预处理池处理后</w:t>
            </w:r>
            <w:r>
              <w:rPr>
                <w:rFonts w:hint="default" w:ascii="Times New Roman" w:hAnsi="Times New Roman" w:eastAsia="宋体" w:cs="Times New Roman"/>
                <w:b w:val="0"/>
                <w:bCs w:val="0"/>
                <w:color w:val="auto"/>
                <w:sz w:val="24"/>
                <w:szCs w:val="24"/>
                <w:highlight w:val="none"/>
              </w:rPr>
              <w:t>达到《污水综合</w:t>
            </w:r>
            <w:r>
              <w:rPr>
                <w:rFonts w:hint="default" w:ascii="Times New Roman Regular" w:hAnsi="Times New Roman Regular" w:eastAsia="宋体" w:cs="Times New Roman Regular"/>
                <w:b w:val="0"/>
                <w:bCs w:val="0"/>
                <w:color w:val="auto"/>
                <w:kern w:val="2"/>
                <w:sz w:val="24"/>
                <w:szCs w:val="24"/>
                <w:lang w:val="en-US" w:eastAsia="zh-CN" w:bidi="ar-SA"/>
              </w:rPr>
              <w:t>排放标准》（GB8978-1996）中三级标准后，经市政污水管网进入大英县工业污水处理厂处理，达到《地表水环境质量标准》（GB3838-2002）中Ⅲ类水域功能标准值后</w:t>
            </w:r>
            <w:r>
              <w:rPr>
                <w:rFonts w:hint="default" w:ascii="Times New Roman" w:hAnsi="Times New Roman" w:eastAsia="宋体" w:cs="Times New Roman"/>
                <w:b w:val="0"/>
                <w:bCs w:val="0"/>
                <w:color w:val="auto"/>
                <w:sz w:val="24"/>
                <w:szCs w:val="24"/>
                <w:lang w:eastAsia="zh-CN"/>
              </w:rPr>
              <w:t>排入郪江。</w:t>
            </w:r>
          </w:p>
          <w:p w14:paraId="26053230">
            <w:pPr>
              <w:spacing w:line="360" w:lineRule="auto"/>
              <w:ind w:firstLine="480" w:firstLineChars="200"/>
              <w:rPr>
                <w:color w:val="auto"/>
                <w:sz w:val="24"/>
                <w:highlight w:val="none"/>
              </w:rPr>
            </w:pPr>
            <w:r>
              <w:rPr>
                <w:rFonts w:hint="default" w:ascii="Times New Roman" w:hAnsi="Times New Roman" w:cs="Times New Roman"/>
                <w:color w:val="auto"/>
                <w:kern w:val="0"/>
                <w:sz w:val="24"/>
                <w:highlight w:val="none"/>
              </w:rPr>
              <w:t>根据例行</w:t>
            </w:r>
            <w:r>
              <w:rPr>
                <w:rFonts w:hint="eastAsia" w:cs="Times New Roman"/>
                <w:color w:val="auto"/>
                <w:kern w:val="0"/>
                <w:sz w:val="24"/>
                <w:highlight w:val="none"/>
                <w:lang w:val="en-US" w:eastAsia="zh-CN"/>
              </w:rPr>
              <w:t>监测</w:t>
            </w:r>
            <w:r>
              <w:rPr>
                <w:rFonts w:hint="default" w:ascii="Times New Roman" w:hAnsi="Times New Roman" w:cs="Times New Roman"/>
                <w:color w:val="auto"/>
                <w:kern w:val="0"/>
                <w:sz w:val="24"/>
                <w:highlight w:val="none"/>
              </w:rPr>
              <w:t>结果</w:t>
            </w:r>
            <w:r>
              <w:rPr>
                <w:rFonts w:hint="default" w:ascii="Times New Roman" w:hAnsi="Times New Roman" w:cs="Times New Roman"/>
                <w:color w:val="auto"/>
                <w:sz w:val="24"/>
                <w:highlight w:val="none"/>
              </w:rPr>
              <w:t>（见附件</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w:t>
            </w:r>
            <w:r>
              <w:rPr>
                <w:rFonts w:hint="default" w:ascii="Times New Roman" w:hAnsi="Times New Roman" w:cs="Times New Roman"/>
                <w:color w:val="auto"/>
                <w:kern w:val="0"/>
                <w:sz w:val="24"/>
              </w:rPr>
              <w:t>，</w:t>
            </w:r>
            <w:r>
              <w:rPr>
                <w:rFonts w:hint="eastAsia" w:cs="Times New Roman"/>
                <w:color w:val="auto"/>
                <w:kern w:val="0"/>
                <w:sz w:val="24"/>
                <w:lang w:val="en-US" w:eastAsia="zh-CN"/>
              </w:rPr>
              <w:t>2024年11月20日监测期间，</w:t>
            </w:r>
            <w:r>
              <w:rPr>
                <w:rFonts w:hint="eastAsia" w:ascii="Times New Roman" w:hAnsi="Times New Roman" w:cs="Times New Roman"/>
                <w:color w:val="auto"/>
                <w:kern w:val="0"/>
                <w:sz w:val="24"/>
                <w:lang w:val="en-US" w:eastAsia="zh-CN"/>
              </w:rPr>
              <w:t>现有工程</w:t>
            </w:r>
            <w:r>
              <w:rPr>
                <w:rFonts w:hint="default" w:ascii="Times New Roman" w:hAnsi="Times New Roman" w:cs="Times New Roman"/>
                <w:color w:val="auto"/>
                <w:kern w:val="0"/>
                <w:sz w:val="24"/>
              </w:rPr>
              <w:t>废水COD、BOD</w:t>
            </w:r>
            <w:r>
              <w:rPr>
                <w:rFonts w:hint="eastAsia" w:ascii="Times New Roman" w:hAnsi="Times New Roman" w:cs="Times New Roman"/>
                <w:color w:val="auto"/>
                <w:kern w:val="0"/>
                <w:sz w:val="24"/>
                <w:vertAlign w:val="subscript"/>
                <w:lang w:val="en-US" w:eastAsia="zh-CN"/>
              </w:rPr>
              <w:t>5</w:t>
            </w:r>
            <w:r>
              <w:rPr>
                <w:rFonts w:hint="default" w:ascii="Times New Roman" w:hAnsi="Times New Roman" w:cs="Times New Roman"/>
                <w:color w:val="auto"/>
                <w:kern w:val="0"/>
                <w:sz w:val="24"/>
              </w:rPr>
              <w:t>、SS等指标浓度均达到《污水综合排放标准》（GB8978-1996）三级标准</w:t>
            </w:r>
            <w:r>
              <w:rPr>
                <w:rFonts w:hint="eastAsia"/>
                <w:color w:val="auto"/>
                <w:sz w:val="24"/>
                <w:highlight w:val="none"/>
                <w:lang w:val="en-US" w:eastAsia="zh-CN"/>
              </w:rPr>
              <w:t>。</w:t>
            </w:r>
            <w:r>
              <w:rPr>
                <w:rFonts w:hint="default" w:ascii="Times New Roman" w:hAnsi="Times New Roman" w:cs="Times New Roman"/>
                <w:color w:val="auto"/>
                <w:kern w:val="0"/>
                <w:sz w:val="24"/>
              </w:rPr>
              <w:t>氨氮</w:t>
            </w:r>
            <w:r>
              <w:rPr>
                <w:rFonts w:hint="eastAsia" w:ascii="Times New Roman" w:hAnsi="Times New Roman" w:cs="Times New Roman"/>
                <w:color w:val="auto"/>
                <w:kern w:val="0"/>
                <w:sz w:val="24"/>
                <w:lang w:eastAsia="zh-CN"/>
              </w:rPr>
              <w:t>、</w:t>
            </w:r>
            <w:r>
              <w:rPr>
                <w:rFonts w:hint="eastAsia" w:ascii="Times New Roman" w:hAnsi="Times New Roman" w:cs="Times New Roman"/>
                <w:color w:val="auto"/>
                <w:kern w:val="0"/>
                <w:sz w:val="24"/>
                <w:lang w:val="en-US" w:eastAsia="zh-CN"/>
              </w:rPr>
              <w:t>总磷达到《污水排入城镇下水道水质标准 》（GB/T 31962-2015）表 1 中 B 级标准。</w:t>
            </w:r>
            <w:r>
              <w:rPr>
                <w:rFonts w:hint="eastAsia" w:ascii="Times New Roman" w:hAnsi="Times New Roman" w:cs="Times New Roman"/>
                <w:color w:val="auto"/>
                <w:kern w:val="0"/>
                <w:sz w:val="24"/>
                <w:lang w:eastAsia="zh-CN"/>
              </w:rPr>
              <w:t>现有工程</w:t>
            </w:r>
            <w:r>
              <w:rPr>
                <w:rFonts w:hint="eastAsia" w:ascii="Times New Roman" w:hAnsi="Times New Roman" w:cs="Times New Roman"/>
                <w:color w:val="auto"/>
                <w:kern w:val="0"/>
                <w:sz w:val="24"/>
                <w:lang w:val="en-US" w:eastAsia="zh-CN"/>
              </w:rPr>
              <w:t>废水</w:t>
            </w:r>
            <w:r>
              <w:rPr>
                <w:rFonts w:hint="eastAsia" w:ascii="Times New Roman" w:hAnsi="Times New Roman" w:cs="Times New Roman"/>
                <w:color w:val="auto"/>
                <w:kern w:val="0"/>
                <w:sz w:val="24"/>
                <w:lang w:eastAsia="zh-CN"/>
              </w:rPr>
              <w:t>能够实现达标排放。</w:t>
            </w:r>
          </w:p>
          <w:p w14:paraId="523B671E">
            <w:pPr>
              <w:jc w:val="center"/>
              <w:rPr>
                <w:rFonts w:hint="eastAsia"/>
                <w:b/>
                <w:bCs/>
                <w:color w:val="auto"/>
                <w:szCs w:val="21"/>
                <w:highlight w:val="none"/>
              </w:rPr>
            </w:pPr>
            <w:r>
              <w:rPr>
                <w:rFonts w:hint="eastAsia"/>
                <w:b/>
                <w:bCs/>
                <w:color w:val="auto"/>
                <w:szCs w:val="21"/>
                <w:highlight w:val="none"/>
              </w:rPr>
              <w:t>表</w:t>
            </w:r>
            <w:r>
              <w:rPr>
                <w:b/>
                <w:bCs/>
                <w:color w:val="auto"/>
                <w:szCs w:val="21"/>
                <w:highlight w:val="none"/>
              </w:rPr>
              <w:t>2-1</w:t>
            </w:r>
            <w:r>
              <w:rPr>
                <w:rFonts w:hint="eastAsia"/>
                <w:b/>
                <w:bCs/>
                <w:color w:val="auto"/>
                <w:szCs w:val="21"/>
                <w:highlight w:val="none"/>
                <w:lang w:val="en-US" w:eastAsia="zh-CN"/>
              </w:rPr>
              <w:t>9</w:t>
            </w:r>
            <w:r>
              <w:rPr>
                <w:b/>
                <w:bCs/>
                <w:color w:val="auto"/>
                <w:szCs w:val="21"/>
                <w:highlight w:val="none"/>
              </w:rPr>
              <w:t xml:space="preserve">   </w:t>
            </w:r>
            <w:r>
              <w:rPr>
                <w:rFonts w:hint="eastAsia"/>
                <w:b/>
                <w:bCs/>
                <w:color w:val="auto"/>
                <w:szCs w:val="21"/>
                <w:highlight w:val="none"/>
              </w:rPr>
              <w:t>现有工程废水污染物排放情况</w:t>
            </w:r>
          </w:p>
          <w:tbl>
            <w:tblPr>
              <w:tblStyle w:val="25"/>
              <w:tblW w:w="484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2190"/>
              <w:gridCol w:w="2860"/>
              <w:gridCol w:w="1971"/>
            </w:tblGrid>
            <w:tr w14:paraId="31360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53" w:type="dxa"/>
                  <w:tcBorders>
                    <w:top w:val="single" w:color="auto" w:sz="12" w:space="0"/>
                    <w:left w:val="nil"/>
                    <w:right w:val="single" w:color="auto" w:sz="4" w:space="0"/>
                  </w:tcBorders>
                  <w:noWrap w:val="0"/>
                  <w:vAlign w:val="center"/>
                </w:tcPr>
                <w:p w14:paraId="6F9913B6">
                  <w:pPr>
                    <w:adjustRightInd w:val="0"/>
                    <w:snapToGrid w:val="0"/>
                    <w:ind w:left="-105" w:leftChars="-50" w:right="-105" w:rightChars="-5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2190" w:type="dxa"/>
                  <w:tcBorders>
                    <w:top w:val="single" w:color="auto" w:sz="12" w:space="0"/>
                    <w:left w:val="single" w:color="auto" w:sz="4" w:space="0"/>
                    <w:right w:val="single" w:color="auto" w:sz="4" w:space="0"/>
                  </w:tcBorders>
                  <w:noWrap w:val="0"/>
                  <w:vAlign w:val="center"/>
                </w:tcPr>
                <w:p w14:paraId="3BFA3D90">
                  <w:pPr>
                    <w:adjustRightInd w:val="0"/>
                    <w:snapToGrid w:val="0"/>
                    <w:ind w:left="-105" w:leftChars="-50" w:right="-105" w:rightChars="-5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2860" w:type="dxa"/>
                  <w:tcBorders>
                    <w:top w:val="single" w:color="auto" w:sz="12" w:space="0"/>
                    <w:left w:val="single" w:color="auto" w:sz="4" w:space="0"/>
                    <w:right w:val="single" w:color="auto" w:sz="4" w:space="0"/>
                  </w:tcBorders>
                  <w:noWrap w:val="0"/>
                  <w:vAlign w:val="center"/>
                </w:tcPr>
                <w:p w14:paraId="4D79AAD1">
                  <w:pPr>
                    <w:adjustRightInd w:val="0"/>
                    <w:snapToGrid w:val="0"/>
                    <w:ind w:left="-105" w:leftChars="-50" w:right="-105" w:rightChars="-5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排放浓度（mg/</w:t>
                  </w:r>
                  <w:r>
                    <w:rPr>
                      <w:rFonts w:hint="eastAsia" w:ascii="Times New Roman" w:hAnsi="Times New Roman" w:cs="Times New Roman"/>
                      <w:b/>
                      <w:bCs/>
                      <w:color w:val="auto"/>
                      <w:sz w:val="21"/>
                      <w:szCs w:val="21"/>
                      <w:highlight w:val="none"/>
                      <w:lang w:val="en-US" w:eastAsia="zh-CN"/>
                    </w:rPr>
                    <w:t>L</w:t>
                  </w:r>
                  <w:r>
                    <w:rPr>
                      <w:rFonts w:hint="default" w:ascii="Times New Roman" w:hAnsi="Times New Roman" w:cs="Times New Roman"/>
                      <w:b/>
                      <w:bCs/>
                      <w:color w:val="auto"/>
                      <w:sz w:val="21"/>
                      <w:szCs w:val="21"/>
                      <w:highlight w:val="none"/>
                      <w:lang w:val="en-US" w:eastAsia="zh-CN"/>
                    </w:rPr>
                    <w:t>）</w:t>
                  </w:r>
                </w:p>
              </w:tc>
              <w:tc>
                <w:tcPr>
                  <w:tcW w:w="1971" w:type="dxa"/>
                  <w:tcBorders>
                    <w:top w:val="single" w:color="auto" w:sz="12" w:space="0"/>
                    <w:left w:val="single" w:color="auto" w:sz="4" w:space="0"/>
                    <w:bottom w:val="single" w:color="auto" w:sz="4" w:space="0"/>
                    <w:right w:val="nil"/>
                  </w:tcBorders>
                  <w:noWrap w:val="0"/>
                  <w:vAlign w:val="center"/>
                </w:tcPr>
                <w:p w14:paraId="329C616B">
                  <w:pPr>
                    <w:adjustRightInd w:val="0"/>
                    <w:snapToGrid w:val="0"/>
                    <w:ind w:left="-105" w:leftChars="-50" w:right="-105" w:rightChars="-5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标准</w:t>
                  </w:r>
                  <w:r>
                    <w:rPr>
                      <w:rFonts w:hint="eastAsia" w:ascii="Times New Roman" w:hAnsi="Times New Roman" w:cs="Times New Roman"/>
                      <w:b/>
                      <w:bCs/>
                      <w:color w:val="auto"/>
                      <w:sz w:val="21"/>
                      <w:szCs w:val="21"/>
                      <w:highlight w:val="none"/>
                      <w:lang w:val="en-US" w:eastAsia="zh-CN"/>
                    </w:rPr>
                    <w:t>限值</w:t>
                  </w:r>
                  <w:r>
                    <w:rPr>
                      <w:rFonts w:hint="default" w:ascii="Times New Roman" w:hAnsi="Times New Roman" w:cs="Times New Roman"/>
                      <w:b/>
                      <w:bCs/>
                      <w:color w:val="auto"/>
                      <w:sz w:val="21"/>
                      <w:szCs w:val="21"/>
                      <w:highlight w:val="none"/>
                      <w:lang w:val="en-US" w:eastAsia="zh-CN"/>
                    </w:rPr>
                    <w:t>（mg/</w:t>
                  </w:r>
                  <w:r>
                    <w:rPr>
                      <w:rFonts w:hint="eastAsia" w:ascii="Times New Roman" w:hAnsi="Times New Roman" w:cs="Times New Roman"/>
                      <w:b/>
                      <w:bCs/>
                      <w:color w:val="auto"/>
                      <w:sz w:val="21"/>
                      <w:szCs w:val="21"/>
                      <w:highlight w:val="none"/>
                      <w:lang w:val="en-US" w:eastAsia="zh-CN"/>
                    </w:rPr>
                    <w:t>L</w:t>
                  </w:r>
                  <w:r>
                    <w:rPr>
                      <w:rFonts w:hint="default" w:ascii="Times New Roman" w:hAnsi="Times New Roman" w:cs="Times New Roman"/>
                      <w:b/>
                      <w:bCs/>
                      <w:color w:val="auto"/>
                      <w:sz w:val="21"/>
                      <w:szCs w:val="21"/>
                      <w:highlight w:val="none"/>
                      <w:lang w:val="en-US" w:eastAsia="zh-CN"/>
                    </w:rPr>
                    <w:t>）</w:t>
                  </w:r>
                </w:p>
              </w:tc>
            </w:tr>
            <w:tr w14:paraId="1184FE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53" w:type="dxa"/>
                  <w:vMerge w:val="restart"/>
                  <w:tcBorders>
                    <w:top w:val="single" w:color="auto" w:sz="4" w:space="0"/>
                    <w:left w:val="nil"/>
                    <w:right w:val="single" w:color="auto" w:sz="4" w:space="0"/>
                  </w:tcBorders>
                  <w:noWrap w:val="0"/>
                  <w:vAlign w:val="center"/>
                </w:tcPr>
                <w:p w14:paraId="02848B01">
                  <w:pPr>
                    <w:adjustRightInd w:val="0"/>
                    <w:snapToGrid w:val="0"/>
                    <w:ind w:left="-105" w:leftChars="-50" w:right="-105" w:rightChars="-5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水污染物</w:t>
                  </w:r>
                </w:p>
              </w:tc>
              <w:tc>
                <w:tcPr>
                  <w:tcW w:w="2190" w:type="dxa"/>
                  <w:tcBorders>
                    <w:top w:val="single" w:color="auto" w:sz="4" w:space="0"/>
                    <w:left w:val="single" w:color="auto" w:sz="4" w:space="0"/>
                    <w:bottom w:val="single" w:color="auto" w:sz="4" w:space="0"/>
                    <w:right w:val="single" w:color="auto" w:sz="4" w:space="0"/>
                  </w:tcBorders>
                  <w:noWrap w:val="0"/>
                  <w:vAlign w:val="center"/>
                </w:tcPr>
                <w:p w14:paraId="6839E78F">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P</w:t>
                  </w:r>
                  <w:r>
                    <w:rPr>
                      <w:rFonts w:hint="eastAsia" w:ascii="Times New Roman" w:hAnsi="Times New Roman" w:cs="Times New Roman"/>
                      <w:color w:val="auto"/>
                      <w:sz w:val="21"/>
                      <w:szCs w:val="21"/>
                      <w:highlight w:val="none"/>
                      <w:lang w:val="en-US" w:eastAsia="zh-CN"/>
                    </w:rPr>
                    <w:t>H</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无量纲</w:t>
                  </w:r>
                  <w:r>
                    <w:rPr>
                      <w:rFonts w:hint="eastAsia" w:cs="Times New Roman"/>
                      <w:color w:val="auto"/>
                      <w:sz w:val="21"/>
                      <w:szCs w:val="21"/>
                      <w:highlight w:val="none"/>
                      <w:lang w:val="en-US" w:eastAsia="zh-CN"/>
                    </w:rPr>
                    <w:t>）</w:t>
                  </w:r>
                </w:p>
              </w:tc>
              <w:tc>
                <w:tcPr>
                  <w:tcW w:w="2860" w:type="dxa"/>
                  <w:tcBorders>
                    <w:top w:val="single" w:color="auto" w:sz="4" w:space="0"/>
                    <w:left w:val="single" w:color="auto" w:sz="4" w:space="0"/>
                    <w:bottom w:val="single" w:color="auto" w:sz="4" w:space="0"/>
                    <w:right w:val="single" w:color="auto" w:sz="4" w:space="0"/>
                  </w:tcBorders>
                  <w:noWrap w:val="0"/>
                  <w:vAlign w:val="center"/>
                </w:tcPr>
                <w:p w14:paraId="0DE74760">
                  <w:pPr>
                    <w:adjustRightInd w:val="0"/>
                    <w:snapToGrid w:val="0"/>
                    <w:ind w:left="-105" w:leftChars="-50" w:right="-105" w:rightChars="-5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6.8</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7.1</w:t>
                  </w:r>
                </w:p>
              </w:tc>
              <w:tc>
                <w:tcPr>
                  <w:tcW w:w="1971" w:type="dxa"/>
                  <w:tcBorders>
                    <w:top w:val="single" w:color="auto" w:sz="4" w:space="0"/>
                    <w:left w:val="single" w:color="auto" w:sz="4" w:space="0"/>
                    <w:bottom w:val="single" w:color="auto" w:sz="4" w:space="0"/>
                    <w:right w:val="nil"/>
                  </w:tcBorders>
                  <w:noWrap w:val="0"/>
                  <w:vAlign w:val="center"/>
                </w:tcPr>
                <w:p w14:paraId="2A346AC6">
                  <w:pPr>
                    <w:adjustRightInd w:val="0"/>
                    <w:snapToGrid w:val="0"/>
                    <w:ind w:left="-105" w:leftChars="-50" w:right="-105" w:rightChars="-5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6~9</w:t>
                  </w:r>
                </w:p>
              </w:tc>
            </w:tr>
            <w:tr w14:paraId="301722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53" w:type="dxa"/>
                  <w:vMerge w:val="continue"/>
                  <w:tcBorders>
                    <w:left w:val="nil"/>
                    <w:right w:val="single" w:color="auto" w:sz="4" w:space="0"/>
                  </w:tcBorders>
                  <w:noWrap w:val="0"/>
                  <w:vAlign w:val="center"/>
                </w:tcPr>
                <w:p w14:paraId="1785C9D1">
                  <w:pPr>
                    <w:pStyle w:val="15"/>
                    <w:rPr>
                      <w:rFonts w:hint="default" w:ascii="Times New Roman" w:hAnsi="Times New Roman" w:cs="Times New Roman"/>
                      <w:color w:val="auto"/>
                      <w:sz w:val="21"/>
                      <w:szCs w:val="21"/>
                      <w:highlight w:val="none"/>
                    </w:rPr>
                  </w:pPr>
                </w:p>
              </w:tc>
              <w:tc>
                <w:tcPr>
                  <w:tcW w:w="2190" w:type="dxa"/>
                  <w:tcBorders>
                    <w:top w:val="single" w:color="auto" w:sz="4" w:space="0"/>
                    <w:left w:val="single" w:color="auto" w:sz="4" w:space="0"/>
                    <w:bottom w:val="single" w:color="auto" w:sz="4" w:space="0"/>
                    <w:right w:val="single" w:color="auto" w:sz="4" w:space="0"/>
                  </w:tcBorders>
                  <w:noWrap w:val="0"/>
                  <w:vAlign w:val="center"/>
                </w:tcPr>
                <w:p w14:paraId="29DE6E1F">
                  <w:pPr>
                    <w:adjustRightInd w:val="0"/>
                    <w:snapToGrid w:val="0"/>
                    <w:ind w:left="-105" w:leftChars="-50" w:right="-105" w:rightChars="-5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悬浮物</w:t>
                  </w:r>
                </w:p>
              </w:tc>
              <w:tc>
                <w:tcPr>
                  <w:tcW w:w="2860" w:type="dxa"/>
                  <w:tcBorders>
                    <w:top w:val="single" w:color="auto" w:sz="4" w:space="0"/>
                    <w:left w:val="single" w:color="auto" w:sz="4" w:space="0"/>
                    <w:bottom w:val="single" w:color="auto" w:sz="4" w:space="0"/>
                    <w:right w:val="single" w:color="auto" w:sz="4" w:space="0"/>
                  </w:tcBorders>
                  <w:noWrap w:val="0"/>
                  <w:vAlign w:val="center"/>
                </w:tcPr>
                <w:p w14:paraId="6C786EDC">
                  <w:pPr>
                    <w:spacing w:line="240" w:lineRule="auto"/>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13~15</w:t>
                  </w:r>
                </w:p>
              </w:tc>
              <w:tc>
                <w:tcPr>
                  <w:tcW w:w="1971" w:type="dxa"/>
                  <w:tcBorders>
                    <w:top w:val="single" w:color="auto" w:sz="4" w:space="0"/>
                    <w:left w:val="single" w:color="auto" w:sz="4" w:space="0"/>
                    <w:bottom w:val="single" w:color="auto" w:sz="4" w:space="0"/>
                    <w:right w:val="nil"/>
                  </w:tcBorders>
                  <w:noWrap w:val="0"/>
                  <w:vAlign w:val="center"/>
                </w:tcPr>
                <w:p w14:paraId="2F36C5A1">
                  <w:pPr>
                    <w:spacing w:line="240" w:lineRule="auto"/>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r>
            <w:tr w14:paraId="7A2CD7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53" w:type="dxa"/>
                  <w:vMerge w:val="continue"/>
                  <w:tcBorders>
                    <w:left w:val="nil"/>
                    <w:right w:val="single" w:color="auto" w:sz="4" w:space="0"/>
                  </w:tcBorders>
                  <w:noWrap w:val="0"/>
                  <w:vAlign w:val="center"/>
                </w:tcPr>
                <w:p w14:paraId="4429C999">
                  <w:pPr>
                    <w:pStyle w:val="15"/>
                    <w:rPr>
                      <w:rFonts w:hint="default" w:ascii="Times New Roman" w:hAnsi="Times New Roman" w:cs="Times New Roman"/>
                      <w:color w:val="auto"/>
                      <w:sz w:val="21"/>
                      <w:szCs w:val="21"/>
                      <w:highlight w:val="none"/>
                    </w:rPr>
                  </w:pPr>
                </w:p>
              </w:tc>
              <w:tc>
                <w:tcPr>
                  <w:tcW w:w="2190" w:type="dxa"/>
                  <w:tcBorders>
                    <w:top w:val="single" w:color="auto" w:sz="4" w:space="0"/>
                    <w:left w:val="single" w:color="auto" w:sz="4" w:space="0"/>
                    <w:bottom w:val="single" w:color="auto" w:sz="4" w:space="0"/>
                    <w:right w:val="single" w:color="auto" w:sz="4" w:space="0"/>
                  </w:tcBorders>
                  <w:noWrap w:val="0"/>
                  <w:vAlign w:val="center"/>
                </w:tcPr>
                <w:p w14:paraId="44FFCA07">
                  <w:pPr>
                    <w:adjustRightInd w:val="0"/>
                    <w:snapToGrid w:val="0"/>
                    <w:ind w:left="-105" w:leftChars="-50" w:right="-105" w:rightChars="-5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COD</w:t>
                  </w:r>
                </w:p>
              </w:tc>
              <w:tc>
                <w:tcPr>
                  <w:tcW w:w="2860" w:type="dxa"/>
                  <w:tcBorders>
                    <w:top w:val="single" w:color="auto" w:sz="4" w:space="0"/>
                    <w:left w:val="single" w:color="auto" w:sz="4" w:space="0"/>
                    <w:bottom w:val="single" w:color="auto" w:sz="4" w:space="0"/>
                    <w:right w:val="single" w:color="auto" w:sz="4" w:space="0"/>
                  </w:tcBorders>
                  <w:noWrap w:val="0"/>
                  <w:vAlign w:val="center"/>
                </w:tcPr>
                <w:p w14:paraId="1AE82A58">
                  <w:pPr>
                    <w:spacing w:line="240" w:lineRule="auto"/>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30~35</w:t>
                  </w:r>
                </w:p>
              </w:tc>
              <w:tc>
                <w:tcPr>
                  <w:tcW w:w="1971" w:type="dxa"/>
                  <w:tcBorders>
                    <w:top w:val="single" w:color="auto" w:sz="4" w:space="0"/>
                    <w:left w:val="single" w:color="auto" w:sz="4" w:space="0"/>
                    <w:bottom w:val="single" w:color="auto" w:sz="4" w:space="0"/>
                    <w:right w:val="nil"/>
                  </w:tcBorders>
                  <w:noWrap w:val="0"/>
                  <w:vAlign w:val="center"/>
                </w:tcPr>
                <w:p w14:paraId="44729448">
                  <w:pPr>
                    <w:spacing w:line="240" w:lineRule="auto"/>
                    <w:ind w:left="-105" w:leftChars="-50" w:right="-105" w:rightChars="-5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500</w:t>
                  </w:r>
                </w:p>
              </w:tc>
            </w:tr>
            <w:tr w14:paraId="6051A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53" w:type="dxa"/>
                  <w:vMerge w:val="continue"/>
                  <w:tcBorders>
                    <w:left w:val="nil"/>
                    <w:right w:val="single" w:color="auto" w:sz="4" w:space="0"/>
                  </w:tcBorders>
                  <w:noWrap w:val="0"/>
                  <w:vAlign w:val="center"/>
                </w:tcPr>
                <w:p w14:paraId="539F7428">
                  <w:pPr>
                    <w:pStyle w:val="15"/>
                    <w:rPr>
                      <w:rFonts w:hint="default" w:ascii="Times New Roman" w:hAnsi="Times New Roman" w:cs="Times New Roman"/>
                      <w:color w:val="auto"/>
                      <w:sz w:val="21"/>
                      <w:szCs w:val="21"/>
                      <w:highlight w:val="none"/>
                    </w:rPr>
                  </w:pPr>
                </w:p>
              </w:tc>
              <w:tc>
                <w:tcPr>
                  <w:tcW w:w="2190" w:type="dxa"/>
                  <w:tcBorders>
                    <w:top w:val="single" w:color="auto" w:sz="4" w:space="0"/>
                    <w:left w:val="single" w:color="auto" w:sz="4" w:space="0"/>
                    <w:bottom w:val="single" w:color="auto" w:sz="4" w:space="0"/>
                    <w:right w:val="single" w:color="auto" w:sz="4" w:space="0"/>
                  </w:tcBorders>
                  <w:noWrap w:val="0"/>
                  <w:vAlign w:val="center"/>
                </w:tcPr>
                <w:p w14:paraId="6C990B64">
                  <w:pPr>
                    <w:widowControl w:val="0"/>
                    <w:adjustRightInd w:val="0"/>
                    <w:snapToGrid w:val="0"/>
                    <w:ind w:left="-105" w:leftChars="-50" w:right="-105" w:rightChars="-5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2860" w:type="dxa"/>
                  <w:tcBorders>
                    <w:top w:val="single" w:color="auto" w:sz="4" w:space="0"/>
                    <w:left w:val="single" w:color="auto" w:sz="4" w:space="0"/>
                    <w:bottom w:val="single" w:color="auto" w:sz="4" w:space="0"/>
                    <w:right w:val="single" w:color="auto" w:sz="4" w:space="0"/>
                  </w:tcBorders>
                  <w:noWrap w:val="0"/>
                  <w:vAlign w:val="center"/>
                </w:tcPr>
                <w:p w14:paraId="5705A017">
                  <w:pPr>
                    <w:spacing w:line="240" w:lineRule="auto"/>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10.8</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13.0</w:t>
                  </w:r>
                </w:p>
              </w:tc>
              <w:tc>
                <w:tcPr>
                  <w:tcW w:w="1971" w:type="dxa"/>
                  <w:tcBorders>
                    <w:top w:val="single" w:color="auto" w:sz="4" w:space="0"/>
                    <w:left w:val="single" w:color="auto" w:sz="4" w:space="0"/>
                    <w:bottom w:val="single" w:color="auto" w:sz="4" w:space="0"/>
                    <w:right w:val="nil"/>
                  </w:tcBorders>
                  <w:noWrap w:val="0"/>
                  <w:vAlign w:val="center"/>
                </w:tcPr>
                <w:p w14:paraId="7E0EED45">
                  <w:pPr>
                    <w:spacing w:line="240" w:lineRule="auto"/>
                    <w:ind w:left="-105" w:leftChars="-50" w:right="-105" w:rightChars="-5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300</w:t>
                  </w:r>
                </w:p>
              </w:tc>
            </w:tr>
            <w:tr w14:paraId="3DD22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53" w:type="dxa"/>
                  <w:vMerge w:val="continue"/>
                  <w:tcBorders>
                    <w:left w:val="nil"/>
                    <w:right w:val="single" w:color="auto" w:sz="4" w:space="0"/>
                  </w:tcBorders>
                  <w:noWrap w:val="0"/>
                  <w:vAlign w:val="center"/>
                </w:tcPr>
                <w:p w14:paraId="02494E4E">
                  <w:pPr>
                    <w:adjustRightInd w:val="0"/>
                    <w:snapToGrid w:val="0"/>
                    <w:ind w:left="-105" w:leftChars="-50" w:right="-105" w:rightChars="-50"/>
                    <w:jc w:val="center"/>
                    <w:rPr>
                      <w:rFonts w:hint="default" w:ascii="Times New Roman" w:hAnsi="Times New Roman" w:cs="Times New Roman"/>
                      <w:color w:val="auto"/>
                      <w:sz w:val="21"/>
                      <w:szCs w:val="21"/>
                      <w:highlight w:val="none"/>
                    </w:rPr>
                  </w:pPr>
                </w:p>
              </w:tc>
              <w:tc>
                <w:tcPr>
                  <w:tcW w:w="2190" w:type="dxa"/>
                  <w:tcBorders>
                    <w:top w:val="single" w:color="auto" w:sz="4" w:space="0"/>
                    <w:left w:val="single" w:color="auto" w:sz="4" w:space="0"/>
                    <w:bottom w:val="single" w:color="auto" w:sz="4" w:space="0"/>
                    <w:right w:val="single" w:color="auto" w:sz="4" w:space="0"/>
                  </w:tcBorders>
                  <w:noWrap w:val="0"/>
                  <w:vAlign w:val="center"/>
                </w:tcPr>
                <w:p w14:paraId="1C1F8975">
                  <w:pPr>
                    <w:widowControl w:val="0"/>
                    <w:adjustRightInd w:val="0"/>
                    <w:snapToGrid w:val="0"/>
                    <w:ind w:left="-105" w:leftChars="-50" w:right="-105" w:rightChars="-5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2860" w:type="dxa"/>
                  <w:tcBorders>
                    <w:top w:val="single" w:color="auto" w:sz="4" w:space="0"/>
                    <w:left w:val="single" w:color="auto" w:sz="4" w:space="0"/>
                    <w:bottom w:val="single" w:color="auto" w:sz="4" w:space="0"/>
                    <w:right w:val="single" w:color="auto" w:sz="4" w:space="0"/>
                  </w:tcBorders>
                  <w:noWrap w:val="0"/>
                  <w:vAlign w:val="center"/>
                </w:tcPr>
                <w:p w14:paraId="78471669">
                  <w:pPr>
                    <w:spacing w:line="240" w:lineRule="auto"/>
                    <w:ind w:left="-105" w:leftChars="-50" w:right="-105" w:rightChars="-5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3.72</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4.03</w:t>
                  </w:r>
                </w:p>
              </w:tc>
              <w:tc>
                <w:tcPr>
                  <w:tcW w:w="1971" w:type="dxa"/>
                  <w:tcBorders>
                    <w:top w:val="single" w:color="auto" w:sz="4" w:space="0"/>
                    <w:left w:val="single" w:color="auto" w:sz="4" w:space="0"/>
                    <w:bottom w:val="single" w:color="auto" w:sz="4" w:space="0"/>
                    <w:right w:val="nil"/>
                  </w:tcBorders>
                  <w:noWrap w:val="0"/>
                  <w:vAlign w:val="center"/>
                </w:tcPr>
                <w:p w14:paraId="7A1AAFD4">
                  <w:pPr>
                    <w:spacing w:line="240" w:lineRule="auto"/>
                    <w:ind w:left="-105" w:leftChars="-50" w:right="-105" w:rightChars="-5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45</w:t>
                  </w:r>
                </w:p>
              </w:tc>
            </w:tr>
            <w:tr w14:paraId="0C6A8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153" w:type="dxa"/>
                  <w:vMerge w:val="continue"/>
                  <w:tcBorders>
                    <w:left w:val="nil"/>
                    <w:right w:val="single" w:color="auto" w:sz="4" w:space="0"/>
                  </w:tcBorders>
                  <w:noWrap w:val="0"/>
                  <w:vAlign w:val="center"/>
                </w:tcPr>
                <w:p w14:paraId="1A89EE9C">
                  <w:pPr>
                    <w:adjustRightInd w:val="0"/>
                    <w:snapToGrid w:val="0"/>
                    <w:ind w:left="-105" w:leftChars="-50" w:right="-105" w:rightChars="-50"/>
                    <w:jc w:val="center"/>
                    <w:rPr>
                      <w:rFonts w:hint="default" w:ascii="Times New Roman" w:hAnsi="Times New Roman" w:cs="Times New Roman"/>
                      <w:color w:val="auto"/>
                      <w:sz w:val="21"/>
                      <w:szCs w:val="21"/>
                      <w:highlight w:val="none"/>
                    </w:rPr>
                  </w:pPr>
                </w:p>
              </w:tc>
              <w:tc>
                <w:tcPr>
                  <w:tcW w:w="2190" w:type="dxa"/>
                  <w:tcBorders>
                    <w:top w:val="single" w:color="auto" w:sz="4" w:space="0"/>
                    <w:left w:val="single" w:color="auto" w:sz="4" w:space="0"/>
                    <w:bottom w:val="single" w:color="auto" w:sz="4" w:space="0"/>
                    <w:right w:val="single" w:color="auto" w:sz="4" w:space="0"/>
                  </w:tcBorders>
                  <w:noWrap w:val="0"/>
                  <w:vAlign w:val="center"/>
                </w:tcPr>
                <w:p w14:paraId="4AE21893">
                  <w:pPr>
                    <w:widowControl w:val="0"/>
                    <w:adjustRightInd w:val="0"/>
                    <w:snapToGrid w:val="0"/>
                    <w:ind w:left="-105" w:leftChars="-50" w:right="-105" w:rightChars="-5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总磷</w:t>
                  </w:r>
                </w:p>
              </w:tc>
              <w:tc>
                <w:tcPr>
                  <w:tcW w:w="2860" w:type="dxa"/>
                  <w:tcBorders>
                    <w:top w:val="single" w:color="auto" w:sz="4" w:space="0"/>
                    <w:left w:val="single" w:color="auto" w:sz="4" w:space="0"/>
                    <w:bottom w:val="single" w:color="auto" w:sz="4" w:space="0"/>
                    <w:right w:val="single" w:color="auto" w:sz="4" w:space="0"/>
                  </w:tcBorders>
                  <w:noWrap w:val="0"/>
                  <w:vAlign w:val="center"/>
                </w:tcPr>
                <w:p w14:paraId="413ADA24">
                  <w:pPr>
                    <w:spacing w:line="240" w:lineRule="auto"/>
                    <w:ind w:left="-105" w:leftChars="-50" w:right="-105" w:rightChars="-5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0.09</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0.11</w:t>
                  </w:r>
                </w:p>
              </w:tc>
              <w:tc>
                <w:tcPr>
                  <w:tcW w:w="1971" w:type="dxa"/>
                  <w:tcBorders>
                    <w:top w:val="single" w:color="auto" w:sz="4" w:space="0"/>
                    <w:left w:val="single" w:color="auto" w:sz="4" w:space="0"/>
                    <w:bottom w:val="single" w:color="auto" w:sz="4" w:space="0"/>
                    <w:right w:val="nil"/>
                  </w:tcBorders>
                  <w:noWrap w:val="0"/>
                  <w:vAlign w:val="center"/>
                </w:tcPr>
                <w:p w14:paraId="1F39063F">
                  <w:pPr>
                    <w:spacing w:line="240" w:lineRule="auto"/>
                    <w:ind w:left="-105" w:leftChars="-50" w:right="-105" w:rightChars="-5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8</w:t>
                  </w:r>
                </w:p>
              </w:tc>
            </w:tr>
          </w:tbl>
          <w:p w14:paraId="33E9EADE">
            <w:pPr>
              <w:spacing w:line="360" w:lineRule="auto"/>
              <w:ind w:firstLine="482" w:firstLineChars="200"/>
              <w:rPr>
                <w:b/>
                <w:bCs/>
                <w:color w:val="auto"/>
                <w:sz w:val="24"/>
                <w:highlight w:val="none"/>
              </w:rPr>
            </w:pPr>
            <w:r>
              <w:rPr>
                <w:b/>
                <w:bCs/>
                <w:color w:val="auto"/>
                <w:sz w:val="24"/>
                <w:highlight w:val="none"/>
              </w:rPr>
              <w:t>7.2</w:t>
            </w:r>
            <w:r>
              <w:rPr>
                <w:rFonts w:hint="eastAsia"/>
                <w:b/>
                <w:bCs/>
                <w:color w:val="auto"/>
                <w:sz w:val="24"/>
                <w:highlight w:val="none"/>
              </w:rPr>
              <w:t>废气</w:t>
            </w:r>
          </w:p>
          <w:p w14:paraId="2F36DAC9">
            <w:pPr>
              <w:pStyle w:val="32"/>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现有工程废气</w:t>
            </w:r>
            <w:r>
              <w:rPr>
                <w:rFonts w:hint="eastAsia" w:ascii="Times New Roman" w:hAnsi="Times New Roman" w:cs="Times New Roman"/>
                <w:color w:val="auto"/>
                <w:highlight w:val="none"/>
              </w:rPr>
              <w:t>主要</w:t>
            </w:r>
            <w:r>
              <w:rPr>
                <w:rFonts w:ascii="Times New Roman" w:hAnsi="Times New Roman" w:cs="Times New Roman"/>
                <w:color w:val="auto"/>
                <w:highlight w:val="none"/>
              </w:rPr>
              <w:t>来源于</w:t>
            </w:r>
            <w:r>
              <w:rPr>
                <w:rFonts w:hint="default" w:ascii="Times New Roman" w:hAnsi="Times New Roman" w:eastAsia="宋体" w:cs="Times New Roman"/>
                <w:color w:val="auto"/>
                <w:kern w:val="2"/>
                <w:sz w:val="24"/>
                <w:szCs w:val="24"/>
                <w:lang w:val="en-US" w:eastAsia="zh-CN"/>
              </w:rPr>
              <w:t>干燥废气、注塑废气、丝印/热转印废气、胶粘废气</w:t>
            </w:r>
            <w:r>
              <w:rPr>
                <w:rFonts w:hint="eastAsia" w:ascii="Times New Roman" w:hAnsi="Times New Roman" w:cs="Times New Roman"/>
                <w:color w:val="auto"/>
                <w:highlight w:val="none"/>
                <w:lang w:val="en-US" w:eastAsia="zh-CN"/>
              </w:rPr>
              <w:t>。</w:t>
            </w:r>
          </w:p>
          <w:p w14:paraId="3D80134F">
            <w:pPr>
              <w:pStyle w:val="32"/>
              <w:spacing w:line="360" w:lineRule="auto"/>
              <w:ind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 1 \* GB3 \* MERGEFORMAT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rPr>
              <w:t>①</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干燥废气、注塑废气</w:t>
            </w:r>
          </w:p>
          <w:p w14:paraId="33C6F275">
            <w:pPr>
              <w:pStyle w:val="32"/>
              <w:spacing w:line="360" w:lineRule="auto"/>
              <w:ind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本项目干燥废气和注塑废气的产生点位均为注塑机。</w:t>
            </w:r>
          </w:p>
          <w:p w14:paraId="5ACCF8E5">
            <w:pPr>
              <w:pStyle w:val="32"/>
              <w:spacing w:line="360" w:lineRule="auto"/>
              <w:ind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 2 \* GB3 \* MERGEFORMAT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rPr>
              <w:t>②</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丝印/热转印废气</w:t>
            </w:r>
          </w:p>
          <w:p w14:paraId="28F718FD">
            <w:pPr>
              <w:pStyle w:val="32"/>
              <w:spacing w:line="360" w:lineRule="auto"/>
              <w:ind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本项目约10%的产品需采用丝印工艺印刷图案，约20%的产品需采用热转印工序印刷图案。</w:t>
            </w:r>
            <w:r>
              <w:rPr>
                <w:rFonts w:hint="default" w:ascii="Times New Roman" w:hAnsi="Times New Roman" w:cs="Times New Roman"/>
                <w:color w:val="auto"/>
                <w:highlight w:val="none"/>
                <w:lang w:eastAsia="zh-CN"/>
              </w:rPr>
              <w:t>本项目丝印需要的网版</w:t>
            </w:r>
            <w:r>
              <w:rPr>
                <w:rFonts w:hint="default" w:ascii="Times New Roman" w:hAnsi="Times New Roman" w:cs="Times New Roman"/>
                <w:color w:val="auto"/>
                <w:highlight w:val="none"/>
                <w:lang w:val="en-US" w:eastAsia="zh-CN"/>
              </w:rPr>
              <w:t>全部外购</w:t>
            </w:r>
            <w:r>
              <w:rPr>
                <w:rFonts w:hint="default" w:ascii="Times New Roman" w:hAnsi="Times New Roman" w:cs="Times New Roman"/>
                <w:color w:val="auto"/>
                <w:highlight w:val="none"/>
                <w:lang w:eastAsia="zh-CN"/>
              </w:rPr>
              <w:t>，车间内不进行制版、晒版、洗版等工艺，</w:t>
            </w:r>
            <w:r>
              <w:rPr>
                <w:rFonts w:hint="default" w:ascii="Times New Roman" w:hAnsi="Times New Roman" w:cs="Times New Roman"/>
                <w:color w:val="auto"/>
                <w:highlight w:val="none"/>
                <w:lang w:val="en-US" w:eastAsia="zh-CN"/>
              </w:rPr>
              <w:t>无制版废气产生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丝印温度为常温，热转印温度约为120℃，无需另外进行晾晒固化；使用的UV油墨不不进行调配，直接外购使用。</w:t>
            </w:r>
          </w:p>
          <w:p w14:paraId="01CBA9EF">
            <w:pPr>
              <w:pStyle w:val="32"/>
              <w:spacing w:line="360" w:lineRule="auto"/>
              <w:ind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 3 \* GB3 \* MERGEFORMAT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rPr>
              <w:t>③</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胶粘废气</w:t>
            </w:r>
          </w:p>
          <w:p w14:paraId="77D4174D">
            <w:pPr>
              <w:pStyle w:val="32"/>
              <w:spacing w:line="360" w:lineRule="auto"/>
              <w:ind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本项目组装工序中使用过胶机和手工结合的方式将烫金之后的塑胶板材进行组装，以得到完整的塑胶容器产品。组装过程在常温下进行，需使用水性贴面胶进行粘合，此工序会产生一定量的胶粘废气（VOCs）。</w:t>
            </w:r>
          </w:p>
          <w:p w14:paraId="6A4ECA32">
            <w:pPr>
              <w:pStyle w:val="32"/>
              <w:spacing w:line="360" w:lineRule="auto"/>
              <w:ind w:firstLine="480" w:firstLineChars="200"/>
              <w:jc w:val="both"/>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治理措施：</w:t>
            </w:r>
            <w:r>
              <w:rPr>
                <w:rFonts w:hint="default" w:ascii="Times New Roman" w:hAnsi="Times New Roman" w:cs="Times New Roman"/>
                <w:color w:val="auto"/>
                <w:highlight w:val="none"/>
                <w:lang w:val="en-US" w:eastAsia="zh-CN"/>
              </w:rPr>
              <w:t>建设单位在9台注塑机</w:t>
            </w:r>
            <w:r>
              <w:rPr>
                <w:rFonts w:hint="eastAsia" w:ascii="Times New Roman" w:hAnsi="Times New Roman" w:cs="Times New Roman"/>
                <w:color w:val="auto"/>
                <w:highlight w:val="none"/>
                <w:lang w:val="en-US" w:eastAsia="zh-CN"/>
              </w:rPr>
              <w:t>上方各设置集气罩，共9个，</w:t>
            </w:r>
            <w:r>
              <w:rPr>
                <w:rFonts w:hint="default" w:ascii="Times New Roman" w:hAnsi="Times New Roman" w:cs="Times New Roman"/>
                <w:color w:val="auto"/>
                <w:highlight w:val="none"/>
                <w:lang w:val="en-US" w:eastAsia="zh-CN"/>
              </w:rPr>
              <w:t>并设置1套两级活性炭吸附装置（含风冷装置）和1根15m</w:t>
            </w:r>
            <w:r>
              <w:rPr>
                <w:rFonts w:hint="eastAsia" w:ascii="Times New Roman" w:hAnsi="Times New Roman" w:cs="Times New Roman"/>
                <w:color w:val="auto"/>
                <w:highlight w:val="none"/>
                <w:lang w:val="en-US" w:eastAsia="zh-CN"/>
              </w:rPr>
              <w:t>（DA001）</w:t>
            </w:r>
            <w:r>
              <w:rPr>
                <w:rFonts w:hint="default" w:ascii="Times New Roman" w:hAnsi="Times New Roman" w:cs="Times New Roman"/>
                <w:color w:val="auto"/>
                <w:highlight w:val="none"/>
                <w:lang w:val="en-US" w:eastAsia="zh-CN"/>
              </w:rPr>
              <w:t>高的排气筒对收集的有机废气进行处理和排放。</w:t>
            </w:r>
            <w:r>
              <w:rPr>
                <w:rFonts w:hint="eastAsia" w:ascii="Times New Roman" w:hAnsi="Times New Roman" w:cs="Times New Roman"/>
                <w:color w:val="auto"/>
                <w:highlight w:val="none"/>
                <w:lang w:val="en-US" w:eastAsia="zh-CN"/>
              </w:rPr>
              <w:t>建设单位在</w:t>
            </w:r>
            <w:r>
              <w:rPr>
                <w:rFonts w:hint="default" w:ascii="Times New Roman" w:hAnsi="Times New Roman" w:cs="Times New Roman"/>
                <w:color w:val="auto"/>
                <w:highlight w:val="none"/>
                <w:lang w:val="en-US" w:eastAsia="zh-CN"/>
              </w:rPr>
              <w:t>4台热转印机、1台丝印机和3台过胶机</w:t>
            </w:r>
            <w:r>
              <w:rPr>
                <w:rFonts w:hint="eastAsia" w:ascii="Times New Roman" w:hAnsi="Times New Roman" w:cs="Times New Roman"/>
                <w:color w:val="auto"/>
                <w:highlight w:val="none"/>
                <w:lang w:val="en-US" w:eastAsia="zh-CN"/>
              </w:rPr>
              <w:t>，共8个</w:t>
            </w:r>
            <w:r>
              <w:rPr>
                <w:rFonts w:hint="default" w:ascii="Times New Roman" w:hAnsi="Times New Roman" w:cs="Times New Roman"/>
                <w:color w:val="auto"/>
                <w:highlight w:val="none"/>
                <w:lang w:val="en-US" w:eastAsia="zh-CN"/>
              </w:rPr>
              <w:t>各设置一台集气罩对有机废气VOCs进行收集，并设置1套两级活性炭吸附装置（含风冷装置）和1根15m</w:t>
            </w:r>
            <w:r>
              <w:rPr>
                <w:rFonts w:hint="eastAsia" w:ascii="Times New Roman" w:hAnsi="Times New Roman" w:cs="Times New Roman"/>
                <w:color w:val="auto"/>
                <w:highlight w:val="none"/>
                <w:lang w:val="en-US" w:eastAsia="zh-CN"/>
              </w:rPr>
              <w:t>（DA002）</w:t>
            </w:r>
            <w:r>
              <w:rPr>
                <w:rFonts w:hint="default" w:ascii="Times New Roman" w:hAnsi="Times New Roman" w:cs="Times New Roman"/>
                <w:color w:val="auto"/>
                <w:highlight w:val="none"/>
                <w:lang w:val="en-US" w:eastAsia="zh-CN"/>
              </w:rPr>
              <w:t>高的排气筒对收集的有机废气进行处理和排放。</w:t>
            </w:r>
          </w:p>
          <w:p w14:paraId="5925E691">
            <w:pPr>
              <w:spacing w:line="360" w:lineRule="auto"/>
              <w:ind w:firstLine="480" w:firstLineChars="200"/>
              <w:rPr>
                <w:rFonts w:hint="default" w:ascii="Times New Roman" w:hAnsi="Times New Roman" w:cs="Times New Roman"/>
                <w:color w:val="auto"/>
                <w:sz w:val="24"/>
                <w:szCs w:val="22"/>
                <w:highlight w:val="yellow"/>
                <w:lang w:val="en-US"/>
              </w:rPr>
            </w:pPr>
            <w:r>
              <w:rPr>
                <w:rFonts w:hint="default" w:ascii="Times New Roman" w:hAnsi="Times New Roman" w:cs="Times New Roman"/>
                <w:color w:val="auto"/>
                <w:sz w:val="24"/>
                <w:szCs w:val="22"/>
                <w:highlight w:val="none"/>
              </w:rPr>
              <w:t>根据</w:t>
            </w:r>
            <w:r>
              <w:rPr>
                <w:rFonts w:hint="eastAsia" w:ascii="Times New Roman" w:hAnsi="Times New Roman" w:cs="Times New Roman"/>
                <w:color w:val="auto"/>
                <w:sz w:val="24"/>
                <w:szCs w:val="22"/>
                <w:highlight w:val="none"/>
                <w:lang w:val="en-US" w:eastAsia="zh-CN"/>
              </w:rPr>
              <w:t>现有工程</w:t>
            </w:r>
            <w:r>
              <w:rPr>
                <w:rFonts w:hint="default" w:ascii="Times New Roman" w:hAnsi="Times New Roman" w:cs="Times New Roman"/>
                <w:color w:val="auto"/>
                <w:kern w:val="0"/>
                <w:sz w:val="24"/>
                <w:highlight w:val="none"/>
              </w:rPr>
              <w:t>例行</w:t>
            </w:r>
            <w:r>
              <w:rPr>
                <w:rFonts w:hint="eastAsia" w:cs="Times New Roman"/>
                <w:color w:val="auto"/>
                <w:kern w:val="0"/>
                <w:sz w:val="24"/>
                <w:highlight w:val="none"/>
                <w:lang w:val="en-US" w:eastAsia="zh-CN"/>
              </w:rPr>
              <w:t>监测</w:t>
            </w:r>
            <w:r>
              <w:rPr>
                <w:rFonts w:hint="eastAsia" w:ascii="Times New Roman" w:hAnsi="Times New Roman" w:cs="Times New Roman"/>
                <w:color w:val="auto"/>
                <w:kern w:val="0"/>
                <w:sz w:val="24"/>
                <w:highlight w:val="none"/>
                <w:lang w:eastAsia="zh-CN"/>
              </w:rPr>
              <w:t>结果</w:t>
            </w:r>
            <w:r>
              <w:rPr>
                <w:rFonts w:hint="default" w:ascii="Times New Roman" w:hAnsi="Times New Roman" w:cs="Times New Roman"/>
                <w:color w:val="auto"/>
                <w:sz w:val="24"/>
                <w:highlight w:val="none"/>
              </w:rPr>
              <w:t>（见附件</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w:t>
            </w:r>
            <w:r>
              <w:rPr>
                <w:rFonts w:hint="default" w:ascii="Times New Roman" w:hAnsi="Times New Roman" w:cs="Times New Roman"/>
                <w:color w:val="auto"/>
                <w:sz w:val="24"/>
                <w:szCs w:val="22"/>
                <w:highlight w:val="none"/>
              </w:rPr>
              <w:t>可知：</w:t>
            </w:r>
            <w:r>
              <w:rPr>
                <w:rFonts w:hint="eastAsia" w:cs="Times New Roman"/>
                <w:color w:val="auto"/>
                <w:kern w:val="0"/>
                <w:sz w:val="24"/>
                <w:highlight w:val="none"/>
                <w:lang w:val="en-US" w:eastAsia="zh-CN"/>
              </w:rPr>
              <w:t>2</w:t>
            </w:r>
            <w:r>
              <w:rPr>
                <w:rFonts w:hint="eastAsia" w:cs="Times New Roman"/>
                <w:color w:val="auto"/>
                <w:kern w:val="0"/>
                <w:sz w:val="24"/>
                <w:lang w:val="en-US" w:eastAsia="zh-CN"/>
              </w:rPr>
              <w:t>024年11月20日监测期间，</w:t>
            </w:r>
            <w:r>
              <w:rPr>
                <w:rFonts w:hint="eastAsia" w:ascii="Times New Roman" w:hAnsi="Times New Roman" w:cs="Times New Roman"/>
                <w:color w:val="auto"/>
                <w:kern w:val="0"/>
                <w:sz w:val="24"/>
                <w:lang w:val="en-US" w:eastAsia="zh-CN"/>
              </w:rPr>
              <w:t>现有工程1#废气排气筒DA001和2#废气排气筒DA002的</w:t>
            </w:r>
            <w:r>
              <w:rPr>
                <w:rFonts w:hint="default" w:ascii="Times New Roman" w:hAnsi="Times New Roman" w:eastAsia="宋体" w:cs="Times New Roman"/>
                <w:color w:val="auto"/>
                <w:kern w:val="0"/>
                <w:sz w:val="24"/>
                <w:szCs w:val="24"/>
                <w:highlight w:val="none"/>
                <w:lang w:val="en-US" w:eastAsia="zh-CN" w:bidi="ar"/>
              </w:rPr>
              <w:t>（VOCs）</w:t>
            </w:r>
            <w:r>
              <w:rPr>
                <w:rFonts w:hint="default" w:ascii="Times New Roman" w:hAnsi="Times New Roman" w:cs="Times New Roman"/>
                <w:color w:val="auto"/>
                <w:kern w:val="0"/>
                <w:sz w:val="24"/>
                <w:szCs w:val="24"/>
                <w:highlight w:val="none"/>
                <w:lang w:val="en-US" w:eastAsia="zh-CN" w:bidi="ar"/>
              </w:rPr>
              <w:t>有组织</w:t>
            </w:r>
            <w:r>
              <w:rPr>
                <w:rFonts w:hint="eastAsia" w:cs="Times New Roman"/>
                <w:color w:val="auto"/>
                <w:kern w:val="0"/>
                <w:sz w:val="24"/>
                <w:szCs w:val="24"/>
                <w:highlight w:val="none"/>
                <w:lang w:val="en-US" w:eastAsia="zh-CN" w:bidi="ar"/>
              </w:rPr>
              <w:t>监测</w:t>
            </w:r>
            <w:r>
              <w:rPr>
                <w:rFonts w:hint="eastAsia" w:ascii="Times New Roman" w:hAnsi="Times New Roman" w:cs="Times New Roman"/>
                <w:color w:val="auto"/>
                <w:kern w:val="0"/>
                <w:sz w:val="24"/>
                <w:szCs w:val="24"/>
                <w:highlight w:val="none"/>
                <w:lang w:val="en-US" w:eastAsia="zh-CN" w:bidi="ar"/>
              </w:rPr>
              <w:t>结果满足</w:t>
            </w:r>
            <w:r>
              <w:rPr>
                <w:rFonts w:hint="default" w:ascii="Times New Roman" w:hAnsi="Times New Roman" w:cs="Times New Roman"/>
                <w:color w:val="auto"/>
                <w:kern w:val="0"/>
                <w:sz w:val="24"/>
                <w:szCs w:val="24"/>
                <w:highlight w:val="none"/>
                <w:vertAlign w:val="baseline"/>
                <w:lang w:val="en-US" w:eastAsia="zh-CN" w:bidi="ar"/>
              </w:rPr>
              <w:t>《四川省固定污染源大气挥发有机物排放标准》DB51/2377-2017表</w:t>
            </w:r>
            <w:r>
              <w:rPr>
                <w:rFonts w:hint="eastAsia" w:ascii="Times New Roman" w:hAnsi="Times New Roman" w:cs="Times New Roman"/>
                <w:color w:val="auto"/>
                <w:kern w:val="0"/>
                <w:sz w:val="24"/>
                <w:szCs w:val="24"/>
                <w:highlight w:val="none"/>
                <w:vertAlign w:val="baseline"/>
                <w:lang w:val="en-US" w:eastAsia="zh-CN" w:bidi="ar"/>
              </w:rPr>
              <w:t>3排放限制。无组织</w:t>
            </w:r>
            <w:r>
              <w:rPr>
                <w:rFonts w:hint="default" w:ascii="Times New Roman" w:hAnsi="Times New Roman" w:eastAsia="宋体" w:cs="Times New Roman"/>
                <w:color w:val="auto"/>
                <w:kern w:val="0"/>
                <w:sz w:val="24"/>
                <w:szCs w:val="24"/>
                <w:highlight w:val="none"/>
                <w:lang w:val="en-US" w:eastAsia="zh-CN" w:bidi="ar"/>
              </w:rPr>
              <w:t>（VOCs）</w:t>
            </w:r>
            <w:r>
              <w:rPr>
                <w:rFonts w:hint="eastAsia" w:ascii="Times New Roman" w:hAnsi="Times New Roman" w:eastAsia="宋体" w:cs="Times New Roman"/>
                <w:color w:val="auto"/>
                <w:kern w:val="0"/>
                <w:sz w:val="24"/>
                <w:szCs w:val="24"/>
                <w:highlight w:val="none"/>
                <w:lang w:val="en-US" w:eastAsia="zh-CN" w:bidi="ar"/>
              </w:rPr>
              <w:t>满足</w:t>
            </w:r>
            <w:r>
              <w:rPr>
                <w:rFonts w:hint="default" w:ascii="Times New Roman" w:hAnsi="Times New Roman" w:cs="Times New Roman"/>
                <w:color w:val="auto"/>
                <w:kern w:val="0"/>
                <w:sz w:val="24"/>
                <w:szCs w:val="24"/>
                <w:highlight w:val="none"/>
                <w:vertAlign w:val="baseline"/>
                <w:lang w:val="en-US" w:eastAsia="zh-CN" w:bidi="ar"/>
              </w:rPr>
              <w:t>《四川省固定污染源大气挥发有机物排放标准》DB51/2377-2017表</w:t>
            </w:r>
            <w:r>
              <w:rPr>
                <w:rFonts w:hint="eastAsia" w:ascii="Times New Roman" w:hAnsi="Times New Roman" w:cs="Times New Roman"/>
                <w:color w:val="auto"/>
                <w:kern w:val="0"/>
                <w:sz w:val="24"/>
                <w:szCs w:val="24"/>
                <w:highlight w:val="none"/>
                <w:vertAlign w:val="baseline"/>
                <w:lang w:val="en-US" w:eastAsia="zh-CN" w:bidi="ar"/>
              </w:rPr>
              <w:t>5排放限制。</w:t>
            </w:r>
          </w:p>
          <w:p w14:paraId="7A7498C6">
            <w:pPr>
              <w:spacing w:line="360" w:lineRule="auto"/>
              <w:ind w:firstLine="480" w:firstLineChars="200"/>
              <w:rPr>
                <w:color w:val="auto"/>
                <w:sz w:val="24"/>
                <w:highlight w:val="none"/>
              </w:rPr>
            </w:pPr>
            <w:r>
              <w:rPr>
                <w:rFonts w:hint="eastAsia"/>
                <w:color w:val="auto"/>
                <w:sz w:val="24"/>
                <w:highlight w:val="none"/>
              </w:rPr>
              <w:t>废气污染物排放情况见下表：</w:t>
            </w:r>
          </w:p>
          <w:p w14:paraId="55D2236B">
            <w:pPr>
              <w:jc w:val="center"/>
              <w:rPr>
                <w:b/>
                <w:bCs/>
                <w:color w:val="auto"/>
                <w:szCs w:val="21"/>
                <w:highlight w:val="none"/>
              </w:rPr>
            </w:pPr>
            <w:r>
              <w:rPr>
                <w:rFonts w:hint="eastAsia"/>
                <w:b/>
                <w:bCs/>
                <w:color w:val="auto"/>
                <w:szCs w:val="21"/>
                <w:highlight w:val="none"/>
              </w:rPr>
              <w:t>表</w:t>
            </w:r>
            <w:r>
              <w:rPr>
                <w:b/>
                <w:bCs/>
                <w:color w:val="auto"/>
                <w:szCs w:val="21"/>
                <w:highlight w:val="none"/>
              </w:rPr>
              <w:t>2-</w:t>
            </w:r>
            <w:r>
              <w:rPr>
                <w:rFonts w:hint="eastAsia"/>
                <w:b/>
                <w:bCs/>
                <w:color w:val="auto"/>
                <w:szCs w:val="21"/>
                <w:highlight w:val="none"/>
                <w:lang w:val="en-US" w:eastAsia="zh-CN"/>
              </w:rPr>
              <w:t>20</w:t>
            </w:r>
            <w:r>
              <w:rPr>
                <w:b/>
                <w:bCs/>
                <w:color w:val="auto"/>
                <w:szCs w:val="21"/>
                <w:highlight w:val="none"/>
              </w:rPr>
              <w:t xml:space="preserve">   </w:t>
            </w:r>
            <w:r>
              <w:rPr>
                <w:rFonts w:hint="eastAsia"/>
                <w:b/>
                <w:bCs/>
                <w:color w:val="auto"/>
                <w:szCs w:val="21"/>
                <w:highlight w:val="none"/>
              </w:rPr>
              <w:t>现有工程废气污染物排放情况</w:t>
            </w:r>
          </w:p>
          <w:tbl>
            <w:tblPr>
              <w:tblStyle w:val="25"/>
              <w:tblW w:w="84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801"/>
              <w:gridCol w:w="1577"/>
              <w:gridCol w:w="2238"/>
              <w:gridCol w:w="1937"/>
            </w:tblGrid>
            <w:tr w14:paraId="41483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4" w:type="dxa"/>
                  <w:tcBorders>
                    <w:top w:val="single" w:color="auto" w:sz="4" w:space="0"/>
                    <w:left w:val="nil"/>
                    <w:right w:val="single" w:color="auto" w:sz="4" w:space="0"/>
                  </w:tcBorders>
                  <w:noWrap w:val="0"/>
                  <w:vAlign w:val="center"/>
                </w:tcPr>
                <w:p w14:paraId="2B43ACC4">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3378" w:type="dxa"/>
                  <w:gridSpan w:val="2"/>
                  <w:tcBorders>
                    <w:top w:val="single" w:color="auto" w:sz="4" w:space="0"/>
                    <w:left w:val="single" w:color="auto" w:sz="4" w:space="0"/>
                    <w:right w:val="single" w:color="auto" w:sz="4" w:space="0"/>
                  </w:tcBorders>
                  <w:noWrap w:val="0"/>
                  <w:vAlign w:val="center"/>
                </w:tcPr>
                <w:p w14:paraId="69C992DF">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2238" w:type="dxa"/>
                  <w:tcBorders>
                    <w:top w:val="single" w:color="auto" w:sz="4" w:space="0"/>
                    <w:left w:val="single" w:color="auto" w:sz="4" w:space="0"/>
                    <w:right w:val="single" w:color="auto" w:sz="4" w:space="0"/>
                  </w:tcBorders>
                  <w:noWrap w:val="0"/>
                  <w:vAlign w:val="center"/>
                </w:tcPr>
                <w:p w14:paraId="6344191E">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排放浓度（mg/</w:t>
                  </w:r>
                  <w:r>
                    <w:rPr>
                      <w:rFonts w:hint="eastAsia" w:ascii="Times New Roman" w:hAnsi="Times New Roman" w:cs="Times New Roman"/>
                      <w:b/>
                      <w:bCs/>
                      <w:color w:val="auto"/>
                      <w:sz w:val="21"/>
                      <w:szCs w:val="21"/>
                      <w:highlight w:val="none"/>
                      <w:lang w:val="en-US" w:eastAsia="zh-CN"/>
                    </w:rPr>
                    <w:t>m</w:t>
                  </w:r>
                  <w:r>
                    <w:rPr>
                      <w:rFonts w:hint="eastAsia" w:ascii="Times New Roman" w:hAnsi="Times New Roman" w:cs="Times New Roman"/>
                      <w:b/>
                      <w:bCs/>
                      <w:color w:val="auto"/>
                      <w:sz w:val="21"/>
                      <w:szCs w:val="21"/>
                      <w:highlight w:val="none"/>
                      <w:vertAlign w:val="superscript"/>
                      <w:lang w:val="en-US" w:eastAsia="zh-CN"/>
                    </w:rPr>
                    <w:t>3</w:t>
                  </w:r>
                  <w:r>
                    <w:rPr>
                      <w:rFonts w:hint="default" w:ascii="Times New Roman" w:hAnsi="Times New Roman" w:cs="Times New Roman"/>
                      <w:b/>
                      <w:bCs/>
                      <w:color w:val="auto"/>
                      <w:sz w:val="21"/>
                      <w:szCs w:val="21"/>
                      <w:highlight w:val="none"/>
                      <w:lang w:val="en-US" w:eastAsia="zh-CN"/>
                    </w:rPr>
                    <w:t>）</w:t>
                  </w:r>
                </w:p>
              </w:tc>
              <w:tc>
                <w:tcPr>
                  <w:tcW w:w="1937" w:type="dxa"/>
                  <w:tcBorders>
                    <w:top w:val="single" w:color="auto" w:sz="4" w:space="0"/>
                    <w:left w:val="single" w:color="auto" w:sz="4" w:space="0"/>
                    <w:bottom w:val="single" w:color="auto" w:sz="4" w:space="0"/>
                    <w:right w:val="nil"/>
                  </w:tcBorders>
                  <w:noWrap w:val="0"/>
                  <w:vAlign w:val="center"/>
                </w:tcPr>
                <w:p w14:paraId="69801DAE">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标准</w:t>
                  </w:r>
                  <w:r>
                    <w:rPr>
                      <w:rFonts w:hint="eastAsia" w:ascii="Times New Roman" w:hAnsi="Times New Roman" w:cs="Times New Roman"/>
                      <w:b/>
                      <w:bCs/>
                      <w:color w:val="auto"/>
                      <w:sz w:val="21"/>
                      <w:szCs w:val="21"/>
                      <w:highlight w:val="none"/>
                      <w:lang w:val="en-US" w:eastAsia="zh-CN"/>
                    </w:rPr>
                    <w:t>限</w:t>
                  </w:r>
                  <w:r>
                    <w:rPr>
                      <w:rFonts w:hint="default" w:ascii="Times New Roman" w:hAnsi="Times New Roman" w:cs="Times New Roman"/>
                      <w:b/>
                      <w:bCs/>
                      <w:color w:val="auto"/>
                      <w:sz w:val="21"/>
                      <w:szCs w:val="21"/>
                      <w:highlight w:val="none"/>
                      <w:lang w:val="en-US" w:eastAsia="zh-CN"/>
                    </w:rPr>
                    <w:t>（mg/</w:t>
                  </w:r>
                  <w:r>
                    <w:rPr>
                      <w:rFonts w:hint="eastAsia" w:ascii="Times New Roman" w:hAnsi="Times New Roman" w:cs="Times New Roman"/>
                      <w:b/>
                      <w:bCs/>
                      <w:color w:val="auto"/>
                      <w:sz w:val="21"/>
                      <w:szCs w:val="21"/>
                      <w:highlight w:val="none"/>
                      <w:lang w:val="en-US" w:eastAsia="zh-CN"/>
                    </w:rPr>
                    <w:t>m</w:t>
                  </w:r>
                  <w:r>
                    <w:rPr>
                      <w:rFonts w:hint="eastAsia" w:ascii="Times New Roman" w:hAnsi="Times New Roman" w:cs="Times New Roman"/>
                      <w:b/>
                      <w:bCs/>
                      <w:color w:val="auto"/>
                      <w:sz w:val="21"/>
                      <w:szCs w:val="21"/>
                      <w:highlight w:val="none"/>
                      <w:vertAlign w:val="superscript"/>
                      <w:lang w:val="en-US" w:eastAsia="zh-CN"/>
                    </w:rPr>
                    <w:t>3</w:t>
                  </w:r>
                  <w:r>
                    <w:rPr>
                      <w:rFonts w:hint="default" w:ascii="Times New Roman" w:hAnsi="Times New Roman" w:cs="Times New Roman"/>
                      <w:b/>
                      <w:bCs/>
                      <w:color w:val="auto"/>
                      <w:sz w:val="21"/>
                      <w:szCs w:val="21"/>
                      <w:highlight w:val="none"/>
                      <w:lang w:val="en-US" w:eastAsia="zh-CN"/>
                    </w:rPr>
                    <w:t>）</w:t>
                  </w:r>
                </w:p>
              </w:tc>
            </w:tr>
            <w:tr w14:paraId="753046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34" w:type="dxa"/>
                  <w:vMerge w:val="restart"/>
                  <w:tcBorders>
                    <w:left w:val="nil"/>
                    <w:right w:val="single" w:color="auto" w:sz="4" w:space="0"/>
                  </w:tcBorders>
                  <w:noWrap w:val="0"/>
                  <w:vAlign w:val="center"/>
                </w:tcPr>
                <w:p w14:paraId="586E868D">
                  <w:pPr>
                    <w:keepNext w:val="0"/>
                    <w:keepLines w:val="0"/>
                    <w:pageBreakBefore w:val="0"/>
                    <w:kinsoku/>
                    <w:wordWrap/>
                    <w:overflowPunct/>
                    <w:topLinePunct w:val="0"/>
                    <w:autoSpaceDE/>
                    <w:autoSpaceDN/>
                    <w:bidi w:val="0"/>
                    <w:adjustRightInd/>
                    <w:snapToGrid/>
                    <w:spacing w:line="30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有组织</w:t>
                  </w:r>
                </w:p>
              </w:tc>
              <w:tc>
                <w:tcPr>
                  <w:tcW w:w="1801" w:type="dxa"/>
                  <w:tcBorders>
                    <w:top w:val="single" w:color="auto" w:sz="4" w:space="0"/>
                    <w:left w:val="single" w:color="auto" w:sz="4" w:space="0"/>
                    <w:bottom w:val="single" w:color="auto" w:sz="4" w:space="0"/>
                    <w:right w:val="single" w:color="auto" w:sz="4" w:space="0"/>
                  </w:tcBorders>
                  <w:noWrap w:val="0"/>
                  <w:vAlign w:val="center"/>
                </w:tcPr>
                <w:p w14:paraId="5D47383D">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DA00</w:t>
                  </w:r>
                  <w:r>
                    <w:rPr>
                      <w:rFonts w:hint="eastAsia" w:cs="Times New Roman"/>
                      <w:color w:val="auto"/>
                      <w:kern w:val="2"/>
                      <w:sz w:val="21"/>
                      <w:szCs w:val="21"/>
                      <w:highlight w:val="none"/>
                      <w:lang w:val="en-US" w:eastAsia="zh-CN" w:bidi="ar-SA"/>
                    </w:rPr>
                    <w:t>1</w:t>
                  </w:r>
                </w:p>
              </w:tc>
              <w:tc>
                <w:tcPr>
                  <w:tcW w:w="1577" w:type="dxa"/>
                  <w:tcBorders>
                    <w:top w:val="single" w:color="auto" w:sz="4" w:space="0"/>
                    <w:left w:val="single" w:color="auto" w:sz="4" w:space="0"/>
                    <w:bottom w:val="single" w:color="auto" w:sz="4" w:space="0"/>
                    <w:right w:val="single" w:color="auto" w:sz="4" w:space="0"/>
                  </w:tcBorders>
                  <w:noWrap w:val="0"/>
                  <w:vAlign w:val="center"/>
                </w:tcPr>
                <w:p w14:paraId="204C9551">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olor w:val="auto"/>
                      <w:sz w:val="21"/>
                      <w:szCs w:val="21"/>
                      <w:highlight w:val="none"/>
                      <w:lang w:val="en-US" w:eastAsia="zh-CN"/>
                    </w:rPr>
                    <w:t>VOCs</w:t>
                  </w:r>
                </w:p>
              </w:tc>
              <w:tc>
                <w:tcPr>
                  <w:tcW w:w="2238" w:type="dxa"/>
                  <w:tcBorders>
                    <w:top w:val="single" w:color="auto" w:sz="4" w:space="0"/>
                    <w:left w:val="single" w:color="auto" w:sz="4" w:space="0"/>
                    <w:bottom w:val="single" w:color="auto" w:sz="4" w:space="0"/>
                    <w:right w:val="single" w:color="auto" w:sz="4" w:space="0"/>
                  </w:tcBorders>
                  <w:noWrap w:val="0"/>
                  <w:vAlign w:val="center"/>
                </w:tcPr>
                <w:p w14:paraId="0AE4AA9A">
                  <w:pPr>
                    <w:keepNext w:val="0"/>
                    <w:keepLines w:val="0"/>
                    <w:pageBreakBefore w:val="0"/>
                    <w:kinsoku/>
                    <w:wordWrap/>
                    <w:overflowPunct/>
                    <w:topLinePunct w:val="0"/>
                    <w:autoSpaceDE/>
                    <w:autoSpaceDN/>
                    <w:bidi w:val="0"/>
                    <w:adjustRightInd/>
                    <w:snapToGrid/>
                    <w:spacing w:line="300" w:lineRule="auto"/>
                    <w:ind w:left="0" w:leftChars="0" w:right="0" w:right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12.5</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15.4</w:t>
                  </w:r>
                </w:p>
              </w:tc>
              <w:tc>
                <w:tcPr>
                  <w:tcW w:w="1937" w:type="dxa"/>
                  <w:tcBorders>
                    <w:top w:val="single" w:color="auto" w:sz="4" w:space="0"/>
                    <w:left w:val="single" w:color="auto" w:sz="4" w:space="0"/>
                    <w:bottom w:val="single" w:color="auto" w:sz="4" w:space="0"/>
                    <w:right w:val="nil"/>
                  </w:tcBorders>
                  <w:noWrap w:val="0"/>
                  <w:vAlign w:val="center"/>
                </w:tcPr>
                <w:p w14:paraId="26ADF73F">
                  <w:pPr>
                    <w:keepNext w:val="0"/>
                    <w:keepLines w:val="0"/>
                    <w:pageBreakBefore w:val="0"/>
                    <w:kinsoku/>
                    <w:wordWrap/>
                    <w:overflowPunct/>
                    <w:topLinePunct w:val="0"/>
                    <w:autoSpaceDE/>
                    <w:autoSpaceDN/>
                    <w:bidi w:val="0"/>
                    <w:adjustRightInd/>
                    <w:snapToGrid/>
                    <w:spacing w:line="300" w:lineRule="auto"/>
                    <w:ind w:left="0" w:leftChars="0" w:right="0" w:right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60</w:t>
                  </w:r>
                </w:p>
              </w:tc>
            </w:tr>
            <w:tr w14:paraId="397C8E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34" w:type="dxa"/>
                  <w:vMerge w:val="continue"/>
                  <w:tcBorders>
                    <w:left w:val="nil"/>
                    <w:right w:val="single" w:color="auto" w:sz="4" w:space="0"/>
                  </w:tcBorders>
                  <w:noWrap w:val="0"/>
                  <w:vAlign w:val="center"/>
                </w:tcPr>
                <w:p w14:paraId="0952DF06">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eastAsia" w:ascii="Times New Roman" w:hAnsi="Times New Roman" w:eastAsia="宋体" w:cs="Times New Roman"/>
                      <w:color w:val="auto"/>
                      <w:sz w:val="21"/>
                      <w:szCs w:val="21"/>
                      <w:highlight w:val="yellow"/>
                      <w:lang w:val="en-US" w:eastAsia="zh-CN"/>
                    </w:rPr>
                  </w:pPr>
                </w:p>
              </w:tc>
              <w:tc>
                <w:tcPr>
                  <w:tcW w:w="1801" w:type="dxa"/>
                  <w:tcBorders>
                    <w:top w:val="single" w:color="auto" w:sz="4" w:space="0"/>
                    <w:left w:val="single" w:color="auto" w:sz="4" w:space="0"/>
                    <w:bottom w:val="single" w:color="auto" w:sz="4" w:space="0"/>
                    <w:right w:val="single" w:color="auto" w:sz="4" w:space="0"/>
                  </w:tcBorders>
                  <w:noWrap w:val="0"/>
                  <w:vAlign w:val="center"/>
                </w:tcPr>
                <w:p w14:paraId="4F8C1B3A">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DA00</w:t>
                  </w:r>
                  <w:r>
                    <w:rPr>
                      <w:rFonts w:hint="eastAsia" w:ascii="Times New Roman" w:hAnsi="Times New Roman" w:cs="Times New Roman"/>
                      <w:color w:val="auto"/>
                      <w:kern w:val="2"/>
                      <w:sz w:val="21"/>
                      <w:szCs w:val="21"/>
                      <w:highlight w:val="none"/>
                      <w:lang w:val="en-US" w:eastAsia="zh-CN" w:bidi="ar-SA"/>
                    </w:rPr>
                    <w:t>2</w:t>
                  </w:r>
                </w:p>
              </w:tc>
              <w:tc>
                <w:tcPr>
                  <w:tcW w:w="1577" w:type="dxa"/>
                  <w:tcBorders>
                    <w:top w:val="single" w:color="auto" w:sz="4" w:space="0"/>
                    <w:left w:val="single" w:color="auto" w:sz="4" w:space="0"/>
                    <w:bottom w:val="single" w:color="auto" w:sz="4" w:space="0"/>
                    <w:right w:val="single" w:color="auto" w:sz="4" w:space="0"/>
                  </w:tcBorders>
                  <w:noWrap w:val="0"/>
                  <w:vAlign w:val="center"/>
                </w:tcPr>
                <w:p w14:paraId="294E69B7">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VOCs</w:t>
                  </w:r>
                </w:p>
              </w:tc>
              <w:tc>
                <w:tcPr>
                  <w:tcW w:w="2238" w:type="dxa"/>
                  <w:tcBorders>
                    <w:top w:val="single" w:color="auto" w:sz="4" w:space="0"/>
                    <w:left w:val="single" w:color="auto" w:sz="4" w:space="0"/>
                    <w:bottom w:val="single" w:color="auto" w:sz="4" w:space="0"/>
                    <w:right w:val="single" w:color="auto" w:sz="4" w:space="0"/>
                  </w:tcBorders>
                  <w:noWrap w:val="0"/>
                  <w:vAlign w:val="center"/>
                </w:tcPr>
                <w:p w14:paraId="7829FA10">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6.92</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7.23</w:t>
                  </w:r>
                </w:p>
              </w:tc>
              <w:tc>
                <w:tcPr>
                  <w:tcW w:w="1937" w:type="dxa"/>
                  <w:tcBorders>
                    <w:top w:val="single" w:color="auto" w:sz="4" w:space="0"/>
                    <w:left w:val="single" w:color="auto" w:sz="4" w:space="0"/>
                    <w:bottom w:val="single" w:color="auto" w:sz="4" w:space="0"/>
                    <w:right w:val="nil"/>
                  </w:tcBorders>
                  <w:noWrap w:val="0"/>
                  <w:vAlign w:val="center"/>
                </w:tcPr>
                <w:p w14:paraId="648B2EBF">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60</w:t>
                  </w:r>
                </w:p>
              </w:tc>
            </w:tr>
            <w:tr w14:paraId="7A7FF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34" w:type="dxa"/>
                  <w:tcBorders>
                    <w:left w:val="nil"/>
                    <w:right w:val="single" w:color="auto" w:sz="4" w:space="0"/>
                  </w:tcBorders>
                  <w:noWrap w:val="0"/>
                  <w:vAlign w:val="center"/>
                </w:tcPr>
                <w:p w14:paraId="18C4F7B5">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c>
                <w:tcPr>
                  <w:tcW w:w="3378" w:type="dxa"/>
                  <w:gridSpan w:val="2"/>
                  <w:tcBorders>
                    <w:top w:val="single" w:color="auto" w:sz="4" w:space="0"/>
                    <w:left w:val="single" w:color="auto" w:sz="4" w:space="0"/>
                    <w:bottom w:val="single" w:color="auto" w:sz="4" w:space="0"/>
                    <w:right w:val="single" w:color="auto" w:sz="4" w:space="0"/>
                  </w:tcBorders>
                  <w:noWrap w:val="0"/>
                  <w:vAlign w:val="center"/>
                </w:tcPr>
                <w:p w14:paraId="1D9499E1">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VOCs</w:t>
                  </w:r>
                </w:p>
              </w:tc>
              <w:tc>
                <w:tcPr>
                  <w:tcW w:w="2238" w:type="dxa"/>
                  <w:tcBorders>
                    <w:top w:val="single" w:color="auto" w:sz="4" w:space="0"/>
                    <w:left w:val="single" w:color="auto" w:sz="4" w:space="0"/>
                    <w:bottom w:val="single" w:color="auto" w:sz="4" w:space="0"/>
                    <w:right w:val="single" w:color="auto" w:sz="4" w:space="0"/>
                  </w:tcBorders>
                  <w:noWrap w:val="0"/>
                  <w:vAlign w:val="center"/>
                </w:tcPr>
                <w:p w14:paraId="2FF7CD21">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0.68~1.66</w:t>
                  </w:r>
                </w:p>
              </w:tc>
              <w:tc>
                <w:tcPr>
                  <w:tcW w:w="1937" w:type="dxa"/>
                  <w:tcBorders>
                    <w:top w:val="single" w:color="auto" w:sz="4" w:space="0"/>
                    <w:left w:val="single" w:color="auto" w:sz="4" w:space="0"/>
                    <w:bottom w:val="single" w:color="auto" w:sz="4" w:space="0"/>
                    <w:right w:val="nil"/>
                  </w:tcBorders>
                  <w:noWrap w:val="0"/>
                  <w:vAlign w:val="center"/>
                </w:tcPr>
                <w:p w14:paraId="02C8A1DD">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jc w:val="center"/>
                    <w:textAlignment w:val="auto"/>
                    <w:rPr>
                      <w:rFonts w:hint="eastAsia" w:ascii="Times New Roman" w:hAnsi="Times New Roman" w:cs="Times New Roman"/>
                      <w:color w:val="auto"/>
                      <w:kern w:val="2"/>
                      <w:sz w:val="21"/>
                      <w:szCs w:val="21"/>
                      <w:highlight w:val="yellow"/>
                      <w:lang w:val="en-US" w:eastAsia="zh-CN" w:bidi="ar-SA"/>
                    </w:rPr>
                  </w:pPr>
                  <w:r>
                    <w:rPr>
                      <w:rFonts w:hint="eastAsia" w:ascii="Times New Roman" w:hAnsi="Times New Roman" w:cs="Times New Roman"/>
                      <w:color w:val="auto"/>
                      <w:kern w:val="2"/>
                      <w:sz w:val="21"/>
                      <w:szCs w:val="21"/>
                      <w:highlight w:val="none"/>
                      <w:lang w:val="en-US" w:eastAsia="zh-CN" w:bidi="ar-SA"/>
                    </w:rPr>
                    <w:t>2.0</w:t>
                  </w:r>
                </w:p>
              </w:tc>
            </w:tr>
          </w:tbl>
          <w:p w14:paraId="1B7CAB88">
            <w:pPr>
              <w:spacing w:line="360" w:lineRule="auto"/>
              <w:ind w:firstLine="482" w:firstLineChars="200"/>
              <w:rPr>
                <w:b/>
                <w:bCs/>
                <w:color w:val="auto"/>
                <w:sz w:val="24"/>
              </w:rPr>
            </w:pPr>
            <w:r>
              <w:rPr>
                <w:b/>
                <w:bCs/>
                <w:color w:val="auto"/>
                <w:sz w:val="24"/>
              </w:rPr>
              <w:t>7.3</w:t>
            </w:r>
            <w:r>
              <w:rPr>
                <w:rFonts w:hint="eastAsia"/>
                <w:b/>
                <w:bCs/>
                <w:color w:val="auto"/>
                <w:sz w:val="24"/>
              </w:rPr>
              <w:t>噪声</w:t>
            </w:r>
          </w:p>
          <w:p w14:paraId="051FC9A2">
            <w:pPr>
              <w:adjustRightInd w:val="0"/>
              <w:spacing w:line="360" w:lineRule="auto"/>
              <w:ind w:firstLine="480" w:firstLineChars="200"/>
              <w:rPr>
                <w:color w:val="auto"/>
                <w:sz w:val="24"/>
              </w:rPr>
            </w:pPr>
            <w:r>
              <w:rPr>
                <w:rFonts w:hint="eastAsia"/>
                <w:color w:val="auto"/>
                <w:sz w:val="24"/>
              </w:rPr>
              <w:t>现有工程噪声主要来源于生产过程中产生的噪声源主要是</w:t>
            </w:r>
            <w:r>
              <w:rPr>
                <w:rFonts w:hint="eastAsia"/>
                <w:color w:val="auto"/>
                <w:sz w:val="24"/>
                <w:lang w:val="en-US" w:eastAsia="zh-CN"/>
              </w:rPr>
              <w:t>注塑机</w:t>
            </w:r>
            <w:r>
              <w:rPr>
                <w:rFonts w:hint="eastAsia"/>
                <w:color w:val="auto"/>
                <w:sz w:val="24"/>
              </w:rPr>
              <w:t>等设备噪声。噪声值约为</w:t>
            </w:r>
            <w:r>
              <w:rPr>
                <w:color w:val="auto"/>
                <w:sz w:val="24"/>
              </w:rPr>
              <w:t>50</w:t>
            </w:r>
            <w:r>
              <w:rPr>
                <w:rFonts w:hint="eastAsia"/>
                <w:color w:val="auto"/>
                <w:sz w:val="24"/>
              </w:rPr>
              <w:t>-</w:t>
            </w:r>
            <w:r>
              <w:rPr>
                <w:color w:val="auto"/>
                <w:sz w:val="24"/>
              </w:rPr>
              <w:t>85</w:t>
            </w:r>
            <w:r>
              <w:rPr>
                <w:rFonts w:hint="eastAsia"/>
                <w:color w:val="auto"/>
                <w:sz w:val="24"/>
              </w:rPr>
              <w:t>dB（A）。主要采取的治理措施为选用低噪设备</w:t>
            </w:r>
            <w:r>
              <w:rPr>
                <w:color w:val="auto"/>
                <w:sz w:val="24"/>
              </w:rPr>
              <w:t>、</w:t>
            </w:r>
            <w:r>
              <w:rPr>
                <w:rFonts w:hint="eastAsia"/>
                <w:color w:val="auto"/>
                <w:sz w:val="24"/>
              </w:rPr>
              <w:t>合理布局、</w:t>
            </w:r>
            <w:r>
              <w:rPr>
                <w:color w:val="auto"/>
                <w:sz w:val="24"/>
              </w:rPr>
              <w:t>基础</w:t>
            </w:r>
            <w:r>
              <w:rPr>
                <w:rFonts w:hint="eastAsia"/>
                <w:color w:val="auto"/>
                <w:sz w:val="24"/>
              </w:rPr>
              <w:t>减振、厂房隔声等措施。</w:t>
            </w:r>
          </w:p>
          <w:p w14:paraId="6EFAC72F">
            <w:pPr>
              <w:spacing w:line="360" w:lineRule="auto"/>
              <w:ind w:firstLine="480" w:firstLineChars="200"/>
              <w:rPr>
                <w:color w:val="auto"/>
                <w:sz w:val="24"/>
              </w:rPr>
            </w:pPr>
            <w:r>
              <w:rPr>
                <w:rFonts w:hint="eastAsia"/>
                <w:color w:val="auto"/>
                <w:sz w:val="24"/>
              </w:rPr>
              <w:t>根据现有工程</w:t>
            </w:r>
            <w:r>
              <w:rPr>
                <w:rFonts w:hint="eastAsia"/>
                <w:color w:val="auto"/>
                <w:sz w:val="24"/>
                <w:lang w:val="en-US" w:eastAsia="zh-CN"/>
              </w:rPr>
              <w:t>例行检测</w:t>
            </w:r>
            <w:r>
              <w:rPr>
                <w:rFonts w:hint="eastAsia"/>
                <w:color w:val="auto"/>
                <w:sz w:val="24"/>
              </w:rPr>
              <w:t>报</w:t>
            </w:r>
            <w:r>
              <w:rPr>
                <w:rFonts w:hint="eastAsia"/>
                <w:color w:val="auto"/>
                <w:sz w:val="24"/>
                <w:highlight w:val="none"/>
              </w:rPr>
              <w:t>告可知（见附件</w:t>
            </w:r>
            <w:r>
              <w:rPr>
                <w:rFonts w:hint="eastAsia"/>
                <w:color w:val="auto"/>
                <w:sz w:val="24"/>
                <w:highlight w:val="none"/>
                <w:lang w:val="en-US" w:eastAsia="zh-CN"/>
              </w:rPr>
              <w:t>6</w:t>
            </w:r>
            <w:r>
              <w:rPr>
                <w:rFonts w:hint="eastAsia"/>
                <w:color w:val="auto"/>
                <w:sz w:val="24"/>
                <w:highlight w:val="none"/>
              </w:rPr>
              <w:t>）</w:t>
            </w:r>
            <w:r>
              <w:rPr>
                <w:rFonts w:hint="eastAsia" w:cs="Times New Roman"/>
                <w:color w:val="auto"/>
                <w:kern w:val="0"/>
                <w:sz w:val="24"/>
                <w:lang w:val="en-US" w:eastAsia="zh-CN"/>
              </w:rPr>
              <w:t>2024年11月20日监测期间</w:t>
            </w:r>
            <w:r>
              <w:rPr>
                <w:rFonts w:hint="eastAsia"/>
                <w:color w:val="auto"/>
                <w:sz w:val="24"/>
                <w:lang w:val="en-US" w:eastAsia="zh-CN"/>
              </w:rPr>
              <w:t>，该项目昼间噪声监测结果均满足《工业企业厂界环境噪声排放标准》（GB 12348-2008 ）表 1 中 3 类标准</w:t>
            </w:r>
            <w:r>
              <w:rPr>
                <w:rFonts w:hint="eastAsia"/>
                <w:color w:val="auto"/>
                <w:sz w:val="24"/>
              </w:rPr>
              <w:t>。</w:t>
            </w:r>
            <w:r>
              <w:rPr>
                <w:rFonts w:hint="eastAsia"/>
                <w:bCs/>
                <w:color w:val="auto"/>
                <w:sz w:val="24"/>
              </w:rPr>
              <w:t>因此，现有工程已采取的各项降噪措施有效，厂界噪声能够实现达标排放。</w:t>
            </w:r>
          </w:p>
          <w:p w14:paraId="40EB212F">
            <w:pPr>
              <w:spacing w:line="360" w:lineRule="auto"/>
              <w:ind w:firstLine="482" w:firstLineChars="200"/>
              <w:rPr>
                <w:b/>
                <w:bCs/>
                <w:color w:val="auto"/>
                <w:sz w:val="24"/>
              </w:rPr>
            </w:pPr>
            <w:r>
              <w:rPr>
                <w:b/>
                <w:bCs/>
                <w:color w:val="auto"/>
                <w:sz w:val="24"/>
              </w:rPr>
              <w:t>7.4</w:t>
            </w:r>
            <w:r>
              <w:rPr>
                <w:rFonts w:hint="eastAsia"/>
                <w:b/>
                <w:bCs/>
                <w:color w:val="auto"/>
                <w:sz w:val="24"/>
              </w:rPr>
              <w:t>固废</w:t>
            </w:r>
          </w:p>
          <w:p w14:paraId="7B3DC732">
            <w:pPr>
              <w:spacing w:line="360" w:lineRule="auto"/>
              <w:ind w:firstLine="480" w:firstLineChars="200"/>
              <w:rPr>
                <w:color w:val="auto"/>
                <w:sz w:val="24"/>
              </w:rPr>
            </w:pPr>
            <w:r>
              <w:rPr>
                <w:rFonts w:hint="eastAsia"/>
                <w:color w:val="auto"/>
                <w:sz w:val="24"/>
              </w:rPr>
              <w:t>根据现有工程环评、验收资料，现有工程固体废物污染物处置情况见下表：</w:t>
            </w:r>
          </w:p>
          <w:p w14:paraId="057C5D26">
            <w:pPr>
              <w:jc w:val="center"/>
              <w:rPr>
                <w:rFonts w:hint="eastAsia"/>
                <w:b/>
                <w:bCs/>
                <w:color w:val="auto"/>
                <w:szCs w:val="21"/>
              </w:rPr>
            </w:pPr>
            <w:r>
              <w:rPr>
                <w:rFonts w:hint="eastAsia"/>
                <w:b/>
                <w:bCs/>
                <w:color w:val="auto"/>
                <w:szCs w:val="21"/>
              </w:rPr>
              <w:t>表</w:t>
            </w:r>
            <w:r>
              <w:rPr>
                <w:b/>
                <w:bCs/>
                <w:color w:val="auto"/>
                <w:szCs w:val="21"/>
              </w:rPr>
              <w:t>2-</w:t>
            </w:r>
            <w:r>
              <w:rPr>
                <w:rFonts w:hint="eastAsia"/>
                <w:b/>
                <w:bCs/>
                <w:color w:val="auto"/>
                <w:szCs w:val="21"/>
                <w:lang w:val="en-US" w:eastAsia="zh-CN"/>
              </w:rPr>
              <w:t>21</w:t>
            </w:r>
            <w:r>
              <w:rPr>
                <w:b/>
                <w:bCs/>
                <w:color w:val="auto"/>
                <w:szCs w:val="21"/>
              </w:rPr>
              <w:t xml:space="preserve">   </w:t>
            </w:r>
            <w:r>
              <w:rPr>
                <w:rFonts w:hint="eastAsia"/>
                <w:b/>
                <w:bCs/>
                <w:color w:val="auto"/>
                <w:szCs w:val="21"/>
              </w:rPr>
              <w:t>现有工程固体污染物处置情况</w:t>
            </w:r>
          </w:p>
          <w:tbl>
            <w:tblPr>
              <w:tblStyle w:val="25"/>
              <w:tblW w:w="849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89"/>
              <w:gridCol w:w="1835"/>
              <w:gridCol w:w="1053"/>
              <w:gridCol w:w="1720"/>
              <w:gridCol w:w="3200"/>
            </w:tblGrid>
            <w:tr w14:paraId="1993F1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689" w:type="dxa"/>
                  <w:noWrap w:val="0"/>
                  <w:vAlign w:val="center"/>
                </w:tcPr>
                <w:p w14:paraId="4E93B276">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序号</w:t>
                  </w:r>
                </w:p>
              </w:tc>
              <w:tc>
                <w:tcPr>
                  <w:tcW w:w="1835" w:type="dxa"/>
                  <w:noWrap w:val="0"/>
                  <w:vAlign w:val="center"/>
                </w:tcPr>
                <w:p w14:paraId="75B17639">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固废名称</w:t>
                  </w:r>
                </w:p>
              </w:tc>
              <w:tc>
                <w:tcPr>
                  <w:tcW w:w="1053" w:type="dxa"/>
                  <w:noWrap w:val="0"/>
                  <w:vAlign w:val="center"/>
                </w:tcPr>
                <w:p w14:paraId="22DAFBC7">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产生量</w:t>
                  </w:r>
                </w:p>
              </w:tc>
              <w:tc>
                <w:tcPr>
                  <w:tcW w:w="1720" w:type="dxa"/>
                  <w:noWrap w:val="0"/>
                  <w:vAlign w:val="center"/>
                </w:tcPr>
                <w:p w14:paraId="743AA728">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性质</w:t>
                  </w:r>
                </w:p>
              </w:tc>
              <w:tc>
                <w:tcPr>
                  <w:tcW w:w="3200" w:type="dxa"/>
                  <w:noWrap w:val="0"/>
                  <w:vAlign w:val="center"/>
                </w:tcPr>
                <w:p w14:paraId="00F861D4">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处置方式</w:t>
                  </w:r>
                </w:p>
              </w:tc>
            </w:tr>
            <w:tr w14:paraId="652D75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689" w:type="dxa"/>
                  <w:vMerge w:val="restart"/>
                  <w:noWrap w:val="0"/>
                  <w:vAlign w:val="center"/>
                </w:tcPr>
                <w:p w14:paraId="0E41B072">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一般固废</w:t>
                  </w:r>
                </w:p>
              </w:tc>
              <w:tc>
                <w:tcPr>
                  <w:tcW w:w="1835" w:type="dxa"/>
                  <w:noWrap w:val="0"/>
                  <w:vAlign w:val="center"/>
                </w:tcPr>
                <w:p w14:paraId="388C4820">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生活垃圾</w:t>
                  </w:r>
                </w:p>
              </w:tc>
              <w:tc>
                <w:tcPr>
                  <w:tcW w:w="1053" w:type="dxa"/>
                  <w:noWrap w:val="0"/>
                  <w:vAlign w:val="center"/>
                </w:tcPr>
                <w:p w14:paraId="7612D141">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5.25</w:t>
                  </w:r>
                  <w:r>
                    <w:rPr>
                      <w:rFonts w:hint="default" w:ascii="Times New Roman" w:hAnsi="Times New Roman" w:eastAsia="宋体" w:cs="Times New Roman"/>
                      <w:bCs/>
                      <w:color w:val="auto"/>
                      <w:sz w:val="21"/>
                      <w:szCs w:val="21"/>
                    </w:rPr>
                    <w:t>t/a</w:t>
                  </w:r>
                </w:p>
              </w:tc>
              <w:tc>
                <w:tcPr>
                  <w:tcW w:w="1720" w:type="dxa"/>
                  <w:noWrap w:val="0"/>
                  <w:vAlign w:val="center"/>
                </w:tcPr>
                <w:p w14:paraId="7F9D7427">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一般固废</w:t>
                  </w:r>
                </w:p>
              </w:tc>
              <w:tc>
                <w:tcPr>
                  <w:tcW w:w="3200" w:type="dxa"/>
                  <w:noWrap w:val="0"/>
                  <w:vAlign w:val="center"/>
                </w:tcPr>
                <w:p w14:paraId="39B2B64C">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集中收集后交由环卫部门清运处理</w:t>
                  </w:r>
                </w:p>
              </w:tc>
            </w:tr>
            <w:tr w14:paraId="76D428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689" w:type="dxa"/>
                  <w:vMerge w:val="continue"/>
                  <w:noWrap w:val="0"/>
                  <w:vAlign w:val="center"/>
                </w:tcPr>
                <w:p w14:paraId="29E4D009">
                  <w:pPr>
                    <w:jc w:val="center"/>
                    <w:rPr>
                      <w:rFonts w:hint="default" w:ascii="Times New Roman" w:hAnsi="Times New Roman" w:eastAsia="宋体" w:cs="Times New Roman"/>
                      <w:bCs/>
                      <w:color w:val="auto"/>
                      <w:sz w:val="21"/>
                      <w:szCs w:val="21"/>
                      <w:lang w:val="en-US" w:eastAsia="zh-CN"/>
                    </w:rPr>
                  </w:pPr>
                </w:p>
              </w:tc>
              <w:tc>
                <w:tcPr>
                  <w:tcW w:w="1835" w:type="dxa"/>
                  <w:noWrap w:val="0"/>
                  <w:vAlign w:val="center"/>
                </w:tcPr>
                <w:p w14:paraId="3EBA53DE">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包装垃圾</w:t>
                  </w:r>
                </w:p>
              </w:tc>
              <w:tc>
                <w:tcPr>
                  <w:tcW w:w="1053" w:type="dxa"/>
                  <w:noWrap w:val="0"/>
                  <w:vAlign w:val="center"/>
                </w:tcPr>
                <w:p w14:paraId="3CFC3413">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1.0</w:t>
                  </w:r>
                  <w:r>
                    <w:rPr>
                      <w:rFonts w:hint="default" w:ascii="Times New Roman" w:hAnsi="Times New Roman" w:eastAsia="宋体" w:cs="Times New Roman"/>
                      <w:bCs/>
                      <w:color w:val="auto"/>
                      <w:sz w:val="21"/>
                      <w:szCs w:val="21"/>
                    </w:rPr>
                    <w:t>t/a</w:t>
                  </w:r>
                </w:p>
              </w:tc>
              <w:tc>
                <w:tcPr>
                  <w:tcW w:w="1720" w:type="dxa"/>
                  <w:noWrap w:val="0"/>
                  <w:vAlign w:val="center"/>
                </w:tcPr>
                <w:p w14:paraId="2900851D">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一般固废</w:t>
                  </w:r>
                </w:p>
              </w:tc>
              <w:tc>
                <w:tcPr>
                  <w:tcW w:w="3200" w:type="dxa"/>
                  <w:noWrap w:val="0"/>
                  <w:vAlign w:val="center"/>
                </w:tcPr>
                <w:p w14:paraId="55A63AB3">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集中收集后</w:t>
                  </w:r>
                  <w:r>
                    <w:rPr>
                      <w:rFonts w:hint="default" w:ascii="Times New Roman" w:hAnsi="Times New Roman" w:eastAsia="宋体" w:cs="Times New Roman"/>
                      <w:bCs/>
                      <w:color w:val="auto"/>
                      <w:sz w:val="21"/>
                      <w:szCs w:val="21"/>
                      <w:lang w:val="en-US" w:eastAsia="zh-CN"/>
                    </w:rPr>
                    <w:t>外售废品收购站</w:t>
                  </w:r>
                </w:p>
              </w:tc>
            </w:tr>
            <w:tr w14:paraId="64363D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689" w:type="dxa"/>
                  <w:vMerge w:val="continue"/>
                  <w:noWrap w:val="0"/>
                  <w:vAlign w:val="center"/>
                </w:tcPr>
                <w:p w14:paraId="754EDD90">
                  <w:pPr>
                    <w:jc w:val="center"/>
                    <w:rPr>
                      <w:rFonts w:hint="default" w:ascii="Times New Roman" w:hAnsi="Times New Roman" w:eastAsia="宋体" w:cs="Times New Roman"/>
                      <w:bCs/>
                      <w:color w:val="auto"/>
                      <w:sz w:val="21"/>
                      <w:szCs w:val="21"/>
                      <w:lang w:val="en-US" w:eastAsia="zh-CN"/>
                    </w:rPr>
                  </w:pPr>
                </w:p>
              </w:tc>
              <w:tc>
                <w:tcPr>
                  <w:tcW w:w="1835" w:type="dxa"/>
                  <w:noWrap w:val="0"/>
                  <w:vAlign w:val="center"/>
                </w:tcPr>
                <w:p w14:paraId="2B4BA43F">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废边角料</w:t>
                  </w:r>
                </w:p>
              </w:tc>
              <w:tc>
                <w:tcPr>
                  <w:tcW w:w="1053" w:type="dxa"/>
                  <w:noWrap w:val="0"/>
                  <w:vAlign w:val="center"/>
                </w:tcPr>
                <w:p w14:paraId="4522FA17">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w:t>
                  </w:r>
                  <w:r>
                    <w:rPr>
                      <w:rFonts w:hint="default" w:ascii="Times New Roman" w:hAnsi="Times New Roman" w:eastAsia="宋体" w:cs="Times New Roman"/>
                      <w:bCs/>
                      <w:color w:val="auto"/>
                      <w:sz w:val="21"/>
                      <w:szCs w:val="21"/>
                    </w:rPr>
                    <w:t>t/a</w:t>
                  </w:r>
                </w:p>
              </w:tc>
              <w:tc>
                <w:tcPr>
                  <w:tcW w:w="1720" w:type="dxa"/>
                  <w:noWrap w:val="0"/>
                  <w:vAlign w:val="center"/>
                </w:tcPr>
                <w:p w14:paraId="18A9D6FC">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一般固废</w:t>
                  </w:r>
                </w:p>
              </w:tc>
              <w:tc>
                <w:tcPr>
                  <w:tcW w:w="3200" w:type="dxa"/>
                  <w:noWrap w:val="0"/>
                  <w:vAlign w:val="center"/>
                </w:tcPr>
                <w:p w14:paraId="7F8D0EB3">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集中收集后</w:t>
                  </w:r>
                  <w:r>
                    <w:rPr>
                      <w:rFonts w:hint="default" w:ascii="Times New Roman" w:hAnsi="Times New Roman" w:eastAsia="宋体" w:cs="Times New Roman"/>
                      <w:bCs/>
                      <w:color w:val="auto"/>
                      <w:sz w:val="21"/>
                      <w:szCs w:val="21"/>
                      <w:lang w:val="en-US" w:eastAsia="zh-CN"/>
                    </w:rPr>
                    <w:t>外售废品收购站</w:t>
                  </w:r>
                </w:p>
              </w:tc>
            </w:tr>
            <w:tr w14:paraId="32278D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689" w:type="dxa"/>
                  <w:vMerge w:val="continue"/>
                  <w:noWrap w:val="0"/>
                  <w:vAlign w:val="center"/>
                </w:tcPr>
                <w:p w14:paraId="0B62F88C">
                  <w:pPr>
                    <w:jc w:val="center"/>
                    <w:rPr>
                      <w:rFonts w:hint="default" w:ascii="Times New Roman" w:hAnsi="Times New Roman" w:eastAsia="宋体" w:cs="Times New Roman"/>
                      <w:bCs/>
                      <w:color w:val="auto"/>
                      <w:sz w:val="21"/>
                      <w:szCs w:val="21"/>
                      <w:lang w:val="en-US" w:eastAsia="zh-CN"/>
                    </w:rPr>
                  </w:pPr>
                </w:p>
              </w:tc>
              <w:tc>
                <w:tcPr>
                  <w:tcW w:w="1835" w:type="dxa"/>
                  <w:noWrap w:val="0"/>
                  <w:vAlign w:val="center"/>
                </w:tcPr>
                <w:p w14:paraId="7CE677D3">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残次品</w:t>
                  </w:r>
                </w:p>
              </w:tc>
              <w:tc>
                <w:tcPr>
                  <w:tcW w:w="1053" w:type="dxa"/>
                  <w:noWrap w:val="0"/>
                  <w:vAlign w:val="center"/>
                </w:tcPr>
                <w:p w14:paraId="6F4B3444">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5.0</w:t>
                  </w:r>
                  <w:r>
                    <w:rPr>
                      <w:rFonts w:hint="default" w:ascii="Times New Roman" w:hAnsi="Times New Roman" w:eastAsia="宋体" w:cs="Times New Roman"/>
                      <w:bCs/>
                      <w:color w:val="auto"/>
                      <w:sz w:val="21"/>
                      <w:szCs w:val="21"/>
                    </w:rPr>
                    <w:t>t/a</w:t>
                  </w:r>
                </w:p>
              </w:tc>
              <w:tc>
                <w:tcPr>
                  <w:tcW w:w="1720" w:type="dxa"/>
                  <w:noWrap w:val="0"/>
                  <w:vAlign w:val="center"/>
                </w:tcPr>
                <w:p w14:paraId="05F8953E">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一般固废</w:t>
                  </w:r>
                </w:p>
              </w:tc>
              <w:tc>
                <w:tcPr>
                  <w:tcW w:w="3200" w:type="dxa"/>
                  <w:noWrap w:val="0"/>
                  <w:vAlign w:val="center"/>
                </w:tcPr>
                <w:p w14:paraId="5B1E7EB1">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集中收集后交由</w:t>
                  </w:r>
                  <w:r>
                    <w:rPr>
                      <w:rFonts w:hint="default" w:ascii="Times New Roman" w:hAnsi="Times New Roman" w:eastAsia="宋体" w:cs="Times New Roman"/>
                      <w:bCs/>
                      <w:color w:val="auto"/>
                      <w:sz w:val="21"/>
                      <w:szCs w:val="21"/>
                      <w:lang w:val="en-US" w:eastAsia="zh-CN"/>
                    </w:rPr>
                    <w:t>原料供货商回收</w:t>
                  </w:r>
                </w:p>
              </w:tc>
            </w:tr>
            <w:tr w14:paraId="4D2F63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689" w:type="dxa"/>
                  <w:vMerge w:val="restart"/>
                  <w:noWrap w:val="0"/>
                  <w:vAlign w:val="center"/>
                </w:tcPr>
                <w:p w14:paraId="5CA0BFFD">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危险废物</w:t>
                  </w:r>
                </w:p>
              </w:tc>
              <w:tc>
                <w:tcPr>
                  <w:tcW w:w="1835" w:type="dxa"/>
                  <w:noWrap w:val="0"/>
                  <w:vAlign w:val="center"/>
                </w:tcPr>
                <w:p w14:paraId="5558BCF0">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废油墨桶</w:t>
                  </w:r>
                </w:p>
              </w:tc>
              <w:tc>
                <w:tcPr>
                  <w:tcW w:w="1053" w:type="dxa"/>
                  <w:noWrap w:val="0"/>
                  <w:vAlign w:val="center"/>
                </w:tcPr>
                <w:p w14:paraId="63E79E88">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0.2</w:t>
                  </w:r>
                  <w:r>
                    <w:rPr>
                      <w:rFonts w:hint="default" w:ascii="Times New Roman" w:hAnsi="Times New Roman" w:eastAsia="宋体" w:cs="Times New Roman"/>
                      <w:bCs/>
                      <w:color w:val="auto"/>
                      <w:sz w:val="21"/>
                      <w:szCs w:val="21"/>
                    </w:rPr>
                    <w:t>t/a</w:t>
                  </w:r>
                </w:p>
              </w:tc>
              <w:tc>
                <w:tcPr>
                  <w:tcW w:w="1720" w:type="dxa"/>
                  <w:noWrap w:val="0"/>
                  <w:vAlign w:val="center"/>
                </w:tcPr>
                <w:p w14:paraId="28456F3A">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危险废物</w:t>
                  </w:r>
                  <w:r>
                    <w:rPr>
                      <w:rFonts w:hint="default" w:ascii="Times New Roman" w:hAnsi="Times New Roman" w:eastAsia="宋体" w:cs="Times New Roman"/>
                      <w:color w:val="auto"/>
                      <w:sz w:val="21"/>
                      <w:szCs w:val="21"/>
                    </w:rPr>
                    <w:t>HW</w:t>
                  </w:r>
                  <w:r>
                    <w:rPr>
                      <w:rFonts w:hint="default" w:ascii="Times New Roman" w:hAnsi="Times New Roman" w:eastAsia="宋体" w:cs="Times New Roman"/>
                      <w:color w:val="auto"/>
                      <w:sz w:val="21"/>
                      <w:szCs w:val="21"/>
                      <w:lang w:val="en-US" w:eastAsia="zh-CN"/>
                    </w:rPr>
                    <w:t>49</w:t>
                  </w:r>
                </w:p>
              </w:tc>
              <w:tc>
                <w:tcPr>
                  <w:tcW w:w="3200" w:type="dxa"/>
                  <w:noWrap w:val="0"/>
                  <w:vAlign w:val="center"/>
                </w:tcPr>
                <w:p w14:paraId="2B128711">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交由危废资质单位清运处置</w:t>
                  </w:r>
                </w:p>
              </w:tc>
            </w:tr>
            <w:tr w14:paraId="5C1BAE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89" w:type="dxa"/>
                  <w:vMerge w:val="continue"/>
                  <w:noWrap w:val="0"/>
                  <w:vAlign w:val="center"/>
                </w:tcPr>
                <w:p w14:paraId="3056679E">
                  <w:pPr>
                    <w:jc w:val="center"/>
                    <w:rPr>
                      <w:rFonts w:hint="default" w:ascii="Times New Roman" w:hAnsi="Times New Roman" w:eastAsia="宋体" w:cs="Times New Roman"/>
                      <w:bCs/>
                      <w:color w:val="auto"/>
                      <w:sz w:val="21"/>
                      <w:szCs w:val="21"/>
                      <w:lang w:val="en-US" w:eastAsia="zh-CN"/>
                    </w:rPr>
                  </w:pPr>
                </w:p>
              </w:tc>
              <w:tc>
                <w:tcPr>
                  <w:tcW w:w="1835" w:type="dxa"/>
                  <w:noWrap w:val="0"/>
                  <w:vAlign w:val="center"/>
                </w:tcPr>
                <w:p w14:paraId="55FD9568">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废胶黏剂罐</w:t>
                  </w:r>
                </w:p>
              </w:tc>
              <w:tc>
                <w:tcPr>
                  <w:tcW w:w="1053" w:type="dxa"/>
                  <w:noWrap w:val="0"/>
                  <w:vAlign w:val="center"/>
                </w:tcPr>
                <w:p w14:paraId="4FC796EC">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0.1t</w:t>
                  </w:r>
                  <w:r>
                    <w:rPr>
                      <w:rFonts w:hint="default" w:ascii="Times New Roman" w:hAnsi="Times New Roman" w:eastAsia="宋体" w:cs="Times New Roman"/>
                      <w:bCs/>
                      <w:color w:val="auto"/>
                      <w:sz w:val="21"/>
                      <w:szCs w:val="21"/>
                    </w:rPr>
                    <w:t>/a</w:t>
                  </w:r>
                </w:p>
              </w:tc>
              <w:tc>
                <w:tcPr>
                  <w:tcW w:w="1720" w:type="dxa"/>
                  <w:noWrap w:val="0"/>
                  <w:vAlign w:val="center"/>
                </w:tcPr>
                <w:p w14:paraId="32FBDE36">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危险废物</w:t>
                  </w:r>
                  <w:r>
                    <w:rPr>
                      <w:rFonts w:hint="default" w:ascii="Times New Roman" w:hAnsi="Times New Roman" w:eastAsia="宋体" w:cs="Times New Roman"/>
                      <w:color w:val="auto"/>
                      <w:sz w:val="21"/>
                      <w:szCs w:val="21"/>
                    </w:rPr>
                    <w:t>HW</w:t>
                  </w:r>
                  <w:r>
                    <w:rPr>
                      <w:rFonts w:hint="default" w:ascii="Times New Roman" w:hAnsi="Times New Roman" w:eastAsia="宋体" w:cs="Times New Roman"/>
                      <w:color w:val="auto"/>
                      <w:sz w:val="21"/>
                      <w:szCs w:val="21"/>
                      <w:lang w:val="en-US" w:eastAsia="zh-CN"/>
                    </w:rPr>
                    <w:t>49</w:t>
                  </w:r>
                </w:p>
              </w:tc>
              <w:tc>
                <w:tcPr>
                  <w:tcW w:w="3200" w:type="dxa"/>
                  <w:noWrap w:val="0"/>
                  <w:vAlign w:val="center"/>
                </w:tcPr>
                <w:p w14:paraId="0EC1F097">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交由危废资质单位清运处置</w:t>
                  </w:r>
                </w:p>
              </w:tc>
            </w:tr>
            <w:tr w14:paraId="304CF7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2" w:hRule="atLeast"/>
                <w:jc w:val="center"/>
              </w:trPr>
              <w:tc>
                <w:tcPr>
                  <w:tcW w:w="689" w:type="dxa"/>
                  <w:vMerge w:val="continue"/>
                  <w:noWrap w:val="0"/>
                  <w:vAlign w:val="center"/>
                </w:tcPr>
                <w:p w14:paraId="325750DE">
                  <w:pPr>
                    <w:jc w:val="center"/>
                    <w:rPr>
                      <w:rFonts w:hint="default" w:ascii="Times New Roman" w:hAnsi="Times New Roman" w:eastAsia="宋体" w:cs="Times New Roman"/>
                      <w:bCs/>
                      <w:color w:val="auto"/>
                      <w:sz w:val="21"/>
                      <w:szCs w:val="21"/>
                      <w:lang w:val="en-US" w:eastAsia="zh-CN"/>
                    </w:rPr>
                  </w:pPr>
                </w:p>
              </w:tc>
              <w:tc>
                <w:tcPr>
                  <w:tcW w:w="1835" w:type="dxa"/>
                  <w:noWrap w:val="0"/>
                  <w:vAlign w:val="center"/>
                </w:tcPr>
                <w:p w14:paraId="2FF491E0">
                  <w:pPr>
                    <w:topLinePunct/>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废活性炭</w:t>
                  </w:r>
                </w:p>
              </w:tc>
              <w:tc>
                <w:tcPr>
                  <w:tcW w:w="1053" w:type="dxa"/>
                  <w:noWrap w:val="0"/>
                  <w:vAlign w:val="center"/>
                </w:tcPr>
                <w:p w14:paraId="6F59B39D">
                  <w:pPr>
                    <w:topLinePunct/>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9.19</w:t>
                  </w:r>
                  <w:r>
                    <w:rPr>
                      <w:rFonts w:hint="default" w:ascii="Times New Roman" w:hAnsi="Times New Roman" w:eastAsia="宋体" w:cs="Times New Roman"/>
                      <w:bCs/>
                      <w:color w:val="auto"/>
                      <w:sz w:val="21"/>
                      <w:szCs w:val="21"/>
                    </w:rPr>
                    <w:t>t/a</w:t>
                  </w:r>
                </w:p>
              </w:tc>
              <w:tc>
                <w:tcPr>
                  <w:tcW w:w="1720" w:type="dxa"/>
                  <w:noWrap w:val="0"/>
                  <w:vAlign w:val="center"/>
                </w:tcPr>
                <w:p w14:paraId="5D5AF756">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eastAsia="zh-CN"/>
                    </w:rPr>
                    <w:t>危险废物</w:t>
                  </w:r>
                  <w:r>
                    <w:rPr>
                      <w:rFonts w:hint="default" w:ascii="Times New Roman" w:hAnsi="Times New Roman" w:eastAsia="宋体" w:cs="Times New Roman"/>
                      <w:color w:val="auto"/>
                      <w:sz w:val="21"/>
                      <w:szCs w:val="21"/>
                    </w:rPr>
                    <w:t>HW</w:t>
                  </w:r>
                  <w:r>
                    <w:rPr>
                      <w:rFonts w:hint="default" w:ascii="Times New Roman" w:hAnsi="Times New Roman" w:eastAsia="宋体" w:cs="Times New Roman"/>
                      <w:color w:val="auto"/>
                      <w:sz w:val="21"/>
                      <w:szCs w:val="21"/>
                      <w:lang w:val="en-US" w:eastAsia="zh-CN"/>
                    </w:rPr>
                    <w:t>49</w:t>
                  </w:r>
                </w:p>
              </w:tc>
              <w:tc>
                <w:tcPr>
                  <w:tcW w:w="3200" w:type="dxa"/>
                  <w:noWrap w:val="0"/>
                  <w:vAlign w:val="center"/>
                </w:tcPr>
                <w:p w14:paraId="194C0A86">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交由危废资质单位清运处置</w:t>
                  </w:r>
                </w:p>
              </w:tc>
            </w:tr>
            <w:tr w14:paraId="54E553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89" w:type="dxa"/>
                  <w:vMerge w:val="continue"/>
                  <w:noWrap w:val="0"/>
                  <w:vAlign w:val="center"/>
                </w:tcPr>
                <w:p w14:paraId="1AC7725E">
                  <w:pPr>
                    <w:jc w:val="center"/>
                    <w:rPr>
                      <w:rFonts w:hint="default" w:ascii="Times New Roman" w:hAnsi="Times New Roman" w:eastAsia="宋体" w:cs="Times New Roman"/>
                      <w:bCs/>
                      <w:color w:val="auto"/>
                      <w:sz w:val="21"/>
                      <w:szCs w:val="21"/>
                      <w:lang w:val="en-US" w:eastAsia="zh-CN"/>
                    </w:rPr>
                  </w:pPr>
                </w:p>
              </w:tc>
              <w:tc>
                <w:tcPr>
                  <w:tcW w:w="1835" w:type="dxa"/>
                  <w:noWrap w:val="0"/>
                  <w:vAlign w:val="center"/>
                </w:tcPr>
                <w:p w14:paraId="09FFC4CC">
                  <w:pPr>
                    <w:topLinePunct/>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废机械润滑油</w:t>
                  </w:r>
                </w:p>
              </w:tc>
              <w:tc>
                <w:tcPr>
                  <w:tcW w:w="1053" w:type="dxa"/>
                  <w:noWrap w:val="0"/>
                  <w:vAlign w:val="center"/>
                </w:tcPr>
                <w:p w14:paraId="3913506B">
                  <w:pPr>
                    <w:topLinePunct/>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0.1</w:t>
                  </w:r>
                  <w:r>
                    <w:rPr>
                      <w:rFonts w:hint="default" w:ascii="Times New Roman" w:hAnsi="Times New Roman" w:eastAsia="宋体" w:cs="Times New Roman"/>
                      <w:bCs/>
                      <w:color w:val="auto"/>
                      <w:sz w:val="21"/>
                      <w:szCs w:val="21"/>
                      <w:lang w:val="en-US" w:eastAsia="zh-CN"/>
                    </w:rPr>
                    <w:t>t</w:t>
                  </w:r>
                  <w:r>
                    <w:rPr>
                      <w:rFonts w:hint="default" w:ascii="Times New Roman" w:hAnsi="Times New Roman" w:eastAsia="宋体" w:cs="Times New Roman"/>
                      <w:bCs/>
                      <w:color w:val="auto"/>
                      <w:sz w:val="21"/>
                      <w:szCs w:val="21"/>
                    </w:rPr>
                    <w:t>/a</w:t>
                  </w:r>
                </w:p>
              </w:tc>
              <w:tc>
                <w:tcPr>
                  <w:tcW w:w="1720" w:type="dxa"/>
                  <w:noWrap w:val="0"/>
                  <w:vAlign w:val="center"/>
                </w:tcPr>
                <w:p w14:paraId="410C7791">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eastAsia="zh-CN"/>
                    </w:rPr>
                    <w:t>危险废物</w:t>
                  </w:r>
                  <w:r>
                    <w:rPr>
                      <w:rFonts w:hint="default" w:ascii="Times New Roman" w:hAnsi="Times New Roman" w:eastAsia="宋体" w:cs="Times New Roman"/>
                      <w:color w:val="auto"/>
                      <w:sz w:val="21"/>
                      <w:szCs w:val="21"/>
                    </w:rPr>
                    <w:t>HW</w:t>
                  </w:r>
                  <w:r>
                    <w:rPr>
                      <w:rFonts w:hint="default" w:ascii="Times New Roman" w:hAnsi="Times New Roman" w:eastAsia="宋体" w:cs="Times New Roman"/>
                      <w:color w:val="auto"/>
                      <w:sz w:val="21"/>
                      <w:szCs w:val="21"/>
                      <w:lang w:val="en-US" w:eastAsia="zh-CN"/>
                    </w:rPr>
                    <w:t>08</w:t>
                  </w:r>
                </w:p>
              </w:tc>
              <w:tc>
                <w:tcPr>
                  <w:tcW w:w="3200" w:type="dxa"/>
                  <w:noWrap w:val="0"/>
                  <w:vAlign w:val="center"/>
                </w:tcPr>
                <w:p w14:paraId="53D3F6BC">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交由危废资质单位清运处置</w:t>
                  </w:r>
                </w:p>
              </w:tc>
            </w:tr>
            <w:tr w14:paraId="63A019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689" w:type="dxa"/>
                  <w:vMerge w:val="continue"/>
                  <w:noWrap w:val="0"/>
                  <w:vAlign w:val="center"/>
                </w:tcPr>
                <w:p w14:paraId="6C51C87B">
                  <w:pPr>
                    <w:jc w:val="center"/>
                    <w:rPr>
                      <w:rFonts w:hint="default" w:ascii="Times New Roman" w:hAnsi="Times New Roman" w:eastAsia="宋体" w:cs="Times New Roman"/>
                      <w:bCs/>
                      <w:color w:val="auto"/>
                      <w:sz w:val="21"/>
                      <w:szCs w:val="21"/>
                      <w:lang w:val="en-US" w:eastAsia="zh-CN"/>
                    </w:rPr>
                  </w:pPr>
                </w:p>
              </w:tc>
              <w:tc>
                <w:tcPr>
                  <w:tcW w:w="1835" w:type="dxa"/>
                  <w:noWrap w:val="0"/>
                  <w:vAlign w:val="center"/>
                </w:tcPr>
                <w:p w14:paraId="4D221AF4">
                  <w:pPr>
                    <w:topLinePunct/>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废手套和棉布</w:t>
                  </w:r>
                </w:p>
              </w:tc>
              <w:tc>
                <w:tcPr>
                  <w:tcW w:w="1053" w:type="dxa"/>
                  <w:noWrap w:val="0"/>
                  <w:vAlign w:val="center"/>
                </w:tcPr>
                <w:p w14:paraId="3FD42B70">
                  <w:pPr>
                    <w:topLinePunct/>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0.02</w:t>
                  </w:r>
                  <w:r>
                    <w:rPr>
                      <w:rFonts w:hint="default" w:ascii="Times New Roman" w:hAnsi="Times New Roman" w:eastAsia="宋体" w:cs="Times New Roman"/>
                      <w:bCs/>
                      <w:color w:val="auto"/>
                      <w:sz w:val="21"/>
                      <w:szCs w:val="21"/>
                      <w:lang w:val="en-US" w:eastAsia="zh-CN"/>
                    </w:rPr>
                    <w:t>t</w:t>
                  </w:r>
                  <w:r>
                    <w:rPr>
                      <w:rFonts w:hint="default" w:ascii="Times New Roman" w:hAnsi="Times New Roman" w:eastAsia="宋体" w:cs="Times New Roman"/>
                      <w:bCs/>
                      <w:color w:val="auto"/>
                      <w:sz w:val="21"/>
                      <w:szCs w:val="21"/>
                    </w:rPr>
                    <w:t>/a</w:t>
                  </w:r>
                </w:p>
              </w:tc>
              <w:tc>
                <w:tcPr>
                  <w:tcW w:w="1720" w:type="dxa"/>
                  <w:noWrap w:val="0"/>
                  <w:vAlign w:val="center"/>
                </w:tcPr>
                <w:p w14:paraId="3057A0AF">
                  <w:pPr>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危险废物</w:t>
                  </w:r>
                  <w:r>
                    <w:rPr>
                      <w:rFonts w:hint="default" w:ascii="Times New Roman" w:hAnsi="Times New Roman" w:eastAsia="宋体" w:cs="Times New Roman"/>
                      <w:color w:val="auto"/>
                      <w:sz w:val="21"/>
                      <w:szCs w:val="21"/>
                    </w:rPr>
                    <w:t>HW</w:t>
                  </w:r>
                  <w:r>
                    <w:rPr>
                      <w:rFonts w:hint="default" w:ascii="Times New Roman" w:hAnsi="Times New Roman" w:eastAsia="宋体" w:cs="Times New Roman"/>
                      <w:color w:val="auto"/>
                      <w:sz w:val="21"/>
                      <w:szCs w:val="21"/>
                      <w:lang w:val="en-US" w:eastAsia="zh-CN"/>
                    </w:rPr>
                    <w:t>08</w:t>
                  </w:r>
                </w:p>
              </w:tc>
              <w:tc>
                <w:tcPr>
                  <w:tcW w:w="3200" w:type="dxa"/>
                  <w:noWrap w:val="0"/>
                  <w:vAlign w:val="center"/>
                </w:tcPr>
                <w:p w14:paraId="6DD36E9A">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交由危废资质单位清运处置</w:t>
                  </w:r>
                </w:p>
              </w:tc>
            </w:tr>
            <w:tr w14:paraId="4A2334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8" w:hRule="atLeast"/>
                <w:jc w:val="center"/>
              </w:trPr>
              <w:tc>
                <w:tcPr>
                  <w:tcW w:w="689" w:type="dxa"/>
                  <w:vMerge w:val="continue"/>
                  <w:noWrap w:val="0"/>
                  <w:vAlign w:val="center"/>
                </w:tcPr>
                <w:p w14:paraId="34448A5E">
                  <w:pPr>
                    <w:jc w:val="center"/>
                    <w:rPr>
                      <w:rFonts w:hint="default" w:ascii="Times New Roman" w:hAnsi="Times New Roman" w:eastAsia="宋体" w:cs="Times New Roman"/>
                      <w:bCs/>
                      <w:color w:val="auto"/>
                      <w:sz w:val="21"/>
                      <w:szCs w:val="21"/>
                      <w:lang w:val="en-US" w:eastAsia="zh-CN"/>
                    </w:rPr>
                  </w:pPr>
                </w:p>
              </w:tc>
              <w:tc>
                <w:tcPr>
                  <w:tcW w:w="1835" w:type="dxa"/>
                  <w:noWrap w:val="0"/>
                  <w:vAlign w:val="center"/>
                </w:tcPr>
                <w:p w14:paraId="07240112">
                  <w:pPr>
                    <w:topLinePunct/>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隔油池污泥</w:t>
                  </w:r>
                </w:p>
              </w:tc>
              <w:tc>
                <w:tcPr>
                  <w:tcW w:w="1053" w:type="dxa"/>
                  <w:noWrap w:val="0"/>
                  <w:vAlign w:val="center"/>
                </w:tcPr>
                <w:p w14:paraId="7BF1DF46">
                  <w:pPr>
                    <w:topLinePunct/>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0.05</w:t>
                  </w:r>
                  <w:r>
                    <w:rPr>
                      <w:rFonts w:hint="default" w:ascii="Times New Roman" w:hAnsi="Times New Roman" w:eastAsia="宋体" w:cs="Times New Roman"/>
                      <w:bCs/>
                      <w:color w:val="auto"/>
                      <w:sz w:val="21"/>
                      <w:szCs w:val="21"/>
                      <w:lang w:val="en-US" w:eastAsia="zh-CN"/>
                    </w:rPr>
                    <w:t>t</w:t>
                  </w:r>
                  <w:r>
                    <w:rPr>
                      <w:rFonts w:hint="default" w:ascii="Times New Roman" w:hAnsi="Times New Roman" w:eastAsia="宋体" w:cs="Times New Roman"/>
                      <w:bCs/>
                      <w:color w:val="auto"/>
                      <w:sz w:val="21"/>
                      <w:szCs w:val="21"/>
                    </w:rPr>
                    <w:t>/a</w:t>
                  </w:r>
                </w:p>
              </w:tc>
              <w:tc>
                <w:tcPr>
                  <w:tcW w:w="1720" w:type="dxa"/>
                  <w:noWrap w:val="0"/>
                  <w:vAlign w:val="center"/>
                </w:tcPr>
                <w:p w14:paraId="6E9B41F6">
                  <w:pPr>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危险废物</w:t>
                  </w:r>
                  <w:r>
                    <w:rPr>
                      <w:rFonts w:hint="default" w:ascii="Times New Roman" w:hAnsi="Times New Roman" w:eastAsia="宋体" w:cs="Times New Roman"/>
                      <w:color w:val="auto"/>
                      <w:sz w:val="21"/>
                      <w:szCs w:val="21"/>
                    </w:rPr>
                    <w:t>HW</w:t>
                  </w:r>
                  <w:r>
                    <w:rPr>
                      <w:rFonts w:hint="default" w:ascii="Times New Roman" w:hAnsi="Times New Roman" w:eastAsia="宋体" w:cs="Times New Roman"/>
                      <w:color w:val="auto"/>
                      <w:sz w:val="21"/>
                      <w:szCs w:val="21"/>
                      <w:lang w:val="en-US" w:eastAsia="zh-CN"/>
                    </w:rPr>
                    <w:t>08</w:t>
                  </w:r>
                </w:p>
              </w:tc>
              <w:tc>
                <w:tcPr>
                  <w:tcW w:w="3200" w:type="dxa"/>
                  <w:noWrap w:val="0"/>
                  <w:vAlign w:val="center"/>
                </w:tcPr>
                <w:p w14:paraId="2C545D6F">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交由危废资质单位清运处置</w:t>
                  </w:r>
                </w:p>
              </w:tc>
            </w:tr>
          </w:tbl>
          <w:p w14:paraId="28FFFA8B">
            <w:pPr>
              <w:spacing w:line="360" w:lineRule="auto"/>
              <w:ind w:firstLine="480" w:firstLineChars="200"/>
              <w:rPr>
                <w:color w:val="auto"/>
                <w:sz w:val="24"/>
                <w:highlight w:val="none"/>
              </w:rPr>
            </w:pPr>
            <w:r>
              <w:rPr>
                <w:rFonts w:hint="eastAsia"/>
                <w:color w:val="auto"/>
                <w:sz w:val="24"/>
                <w:highlight w:val="none"/>
              </w:rPr>
              <w:t>综上，根据现有工程环评及验收资料（见附件</w:t>
            </w:r>
            <w:r>
              <w:rPr>
                <w:rFonts w:hint="eastAsia"/>
                <w:color w:val="auto"/>
                <w:sz w:val="24"/>
                <w:highlight w:val="none"/>
                <w:lang w:val="en-US" w:eastAsia="zh-CN"/>
              </w:rPr>
              <w:t>5</w:t>
            </w:r>
            <w:r>
              <w:rPr>
                <w:rFonts w:hint="eastAsia"/>
                <w:color w:val="auto"/>
                <w:sz w:val="24"/>
                <w:highlight w:val="none"/>
              </w:rPr>
              <w:t>），现有工程固体废物均得到了合理</w:t>
            </w:r>
            <w:r>
              <w:rPr>
                <w:color w:val="auto"/>
                <w:kern w:val="0"/>
                <w:sz w:val="24"/>
                <w:highlight w:val="none"/>
              </w:rPr>
              <w:t>处置，不会造成二次污染</w:t>
            </w:r>
            <w:r>
              <w:rPr>
                <w:rFonts w:hint="eastAsia"/>
                <w:color w:val="auto"/>
                <w:sz w:val="24"/>
                <w:highlight w:val="none"/>
              </w:rPr>
              <w:t>。</w:t>
            </w:r>
          </w:p>
          <w:p w14:paraId="5D8FBD04">
            <w:pPr>
              <w:spacing w:line="360" w:lineRule="auto"/>
              <w:ind w:firstLine="482" w:firstLineChars="200"/>
              <w:rPr>
                <w:rFonts w:hint="eastAsia"/>
                <w:b/>
                <w:bCs/>
                <w:color w:val="auto"/>
                <w:sz w:val="24"/>
                <w:highlight w:val="none"/>
              </w:rPr>
            </w:pPr>
            <w:r>
              <w:rPr>
                <w:b/>
                <w:bCs/>
                <w:color w:val="auto"/>
                <w:sz w:val="24"/>
                <w:highlight w:val="none"/>
              </w:rPr>
              <w:t>8</w:t>
            </w:r>
            <w:r>
              <w:rPr>
                <w:rFonts w:hint="eastAsia"/>
                <w:b/>
                <w:bCs/>
                <w:color w:val="auto"/>
                <w:sz w:val="24"/>
                <w:highlight w:val="none"/>
              </w:rPr>
              <w:t>、现有工程环境污染问题及“以新带老”要求</w:t>
            </w:r>
          </w:p>
          <w:p w14:paraId="771C4D8B">
            <w:pPr>
              <w:spacing w:line="360" w:lineRule="auto"/>
              <w:ind w:firstLine="480" w:firstLineChars="200"/>
              <w:rPr>
                <w:rFonts w:hint="eastAsia" w:eastAsia="宋体"/>
                <w:b/>
                <w:bCs/>
                <w:color w:val="auto"/>
                <w:sz w:val="24"/>
                <w:szCs w:val="24"/>
                <w:lang w:val="en-US" w:eastAsia="zh-CN"/>
              </w:rPr>
            </w:pPr>
            <w:r>
              <w:rPr>
                <w:rFonts w:hint="eastAsia" w:cs="Times New Roman"/>
                <w:color w:val="auto"/>
                <w:sz w:val="24"/>
                <w:szCs w:val="24"/>
                <w:highlight w:val="none"/>
                <w:lang w:val="en-US" w:eastAsia="zh-CN"/>
              </w:rPr>
              <w:t>1、</w:t>
            </w:r>
            <w:r>
              <w:rPr>
                <w:rFonts w:hint="eastAsia"/>
                <w:bCs/>
                <w:color w:val="auto"/>
                <w:sz w:val="24"/>
                <w:szCs w:val="24"/>
                <w:highlight w:val="none"/>
                <w:lang w:val="en-US" w:eastAsia="zh-CN"/>
              </w:rPr>
              <w:t>本</w:t>
            </w:r>
            <w:r>
              <w:rPr>
                <w:rFonts w:hint="eastAsia"/>
                <w:bCs/>
                <w:color w:val="auto"/>
                <w:sz w:val="24"/>
                <w:szCs w:val="24"/>
              </w:rPr>
              <w:t>次评价对现有工程</w:t>
            </w:r>
            <w:r>
              <w:rPr>
                <w:rFonts w:hint="eastAsia"/>
                <w:bCs/>
                <w:color w:val="auto"/>
                <w:sz w:val="24"/>
                <w:szCs w:val="24"/>
                <w:lang w:val="en-US" w:eastAsia="zh-CN"/>
              </w:rPr>
              <w:t>1#车间烫金</w:t>
            </w:r>
            <w:r>
              <w:rPr>
                <w:rFonts w:hint="eastAsia"/>
                <w:bCs/>
                <w:color w:val="auto"/>
                <w:sz w:val="24"/>
                <w:szCs w:val="24"/>
              </w:rPr>
              <w:t>废气采取“以新带老”措施，要求对</w:t>
            </w:r>
            <w:r>
              <w:rPr>
                <w:rFonts w:hint="eastAsia"/>
                <w:bCs/>
                <w:color w:val="auto"/>
                <w:sz w:val="24"/>
                <w:szCs w:val="24"/>
                <w:lang w:val="en-US" w:eastAsia="zh-CN"/>
              </w:rPr>
              <w:t>烫金机</w:t>
            </w:r>
            <w:r>
              <w:rPr>
                <w:rFonts w:hint="eastAsia"/>
                <w:bCs/>
                <w:color w:val="auto"/>
                <w:sz w:val="24"/>
                <w:szCs w:val="24"/>
              </w:rPr>
              <w:t>增设集尘罩，</w:t>
            </w:r>
            <w:r>
              <w:rPr>
                <w:rFonts w:hint="eastAsia"/>
                <w:color w:val="auto"/>
                <w:sz w:val="24"/>
                <w:szCs w:val="24"/>
                <w:lang w:val="en-US" w:eastAsia="zh-CN"/>
              </w:rPr>
              <w:t>烫金有机废气经</w:t>
            </w:r>
            <w:r>
              <w:rPr>
                <w:rFonts w:hint="eastAsia"/>
                <w:color w:val="auto"/>
                <w:sz w:val="24"/>
                <w:szCs w:val="24"/>
              </w:rPr>
              <w:t>集气罩收集后与</w:t>
            </w:r>
            <w:r>
              <w:rPr>
                <w:rFonts w:hint="eastAsia"/>
                <w:color w:val="auto"/>
                <w:sz w:val="24"/>
                <w:szCs w:val="24"/>
                <w:lang w:val="en-US" w:eastAsia="zh-CN"/>
              </w:rPr>
              <w:t>现有工程废气（注塑、</w:t>
            </w:r>
            <w:r>
              <w:rPr>
                <w:rFonts w:hint="default" w:ascii="Times New Roman" w:hAnsi="Times New Roman" w:cs="Times New Roman"/>
                <w:color w:val="auto"/>
                <w:sz w:val="24"/>
                <w:szCs w:val="24"/>
                <w:lang w:val="en-US" w:eastAsia="zh-CN"/>
              </w:rPr>
              <w:t>丝印/热转印</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胶粘</w:t>
            </w:r>
            <w:r>
              <w:rPr>
                <w:rFonts w:hint="eastAsia"/>
                <w:color w:val="auto"/>
                <w:sz w:val="24"/>
                <w:szCs w:val="24"/>
                <w:lang w:val="en-US" w:eastAsia="zh-CN"/>
              </w:rPr>
              <w:t>）一起进入</w:t>
            </w:r>
            <w:r>
              <w:rPr>
                <w:rFonts w:hint="eastAsia"/>
                <w:color w:val="auto"/>
                <w:sz w:val="24"/>
                <w:szCs w:val="24"/>
              </w:rPr>
              <w:t>两级活性炭吸附装置（TA</w:t>
            </w:r>
            <w:r>
              <w:rPr>
                <w:color w:val="auto"/>
                <w:sz w:val="24"/>
                <w:szCs w:val="24"/>
              </w:rPr>
              <w:t>00</w:t>
            </w:r>
            <w:r>
              <w:rPr>
                <w:rFonts w:hint="eastAsia"/>
                <w:color w:val="auto"/>
                <w:sz w:val="24"/>
                <w:szCs w:val="24"/>
                <w:lang w:val="en-US" w:eastAsia="zh-CN"/>
              </w:rPr>
              <w:t>1</w:t>
            </w:r>
            <w:r>
              <w:rPr>
                <w:rFonts w:hint="eastAsia"/>
                <w:color w:val="auto"/>
                <w:sz w:val="24"/>
                <w:szCs w:val="24"/>
              </w:rPr>
              <w:t>）</w:t>
            </w:r>
            <w:r>
              <w:rPr>
                <w:rFonts w:hint="eastAsia"/>
                <w:color w:val="auto"/>
                <w:sz w:val="24"/>
                <w:szCs w:val="24"/>
                <w:lang w:eastAsia="zh-CN"/>
              </w:rPr>
              <w:t>（</w:t>
            </w:r>
            <w:r>
              <w:rPr>
                <w:rFonts w:hint="eastAsia"/>
                <w:color w:val="auto"/>
                <w:sz w:val="24"/>
                <w:szCs w:val="24"/>
                <w:lang w:val="en-US" w:eastAsia="zh-CN"/>
              </w:rPr>
              <w:t>含风冷装置</w:t>
            </w:r>
            <w:r>
              <w:rPr>
                <w:rFonts w:hint="eastAsia"/>
                <w:color w:val="auto"/>
                <w:sz w:val="24"/>
                <w:szCs w:val="24"/>
                <w:lang w:eastAsia="zh-CN"/>
              </w:rPr>
              <w:t>）</w:t>
            </w:r>
            <w:r>
              <w:rPr>
                <w:rFonts w:hint="eastAsia"/>
                <w:color w:val="auto"/>
                <w:sz w:val="24"/>
                <w:szCs w:val="24"/>
              </w:rPr>
              <w:t>处理后通过15</w:t>
            </w:r>
            <w:r>
              <w:rPr>
                <w:color w:val="auto"/>
                <w:sz w:val="24"/>
                <w:szCs w:val="24"/>
              </w:rPr>
              <w:t>m排气筒</w:t>
            </w:r>
            <w:r>
              <w:rPr>
                <w:rFonts w:hint="eastAsia"/>
                <w:color w:val="auto"/>
                <w:sz w:val="24"/>
                <w:szCs w:val="24"/>
              </w:rPr>
              <w:t>（</w:t>
            </w:r>
            <w:r>
              <w:rPr>
                <w:color w:val="auto"/>
                <w:sz w:val="24"/>
                <w:szCs w:val="24"/>
              </w:rPr>
              <w:t>DA0</w:t>
            </w:r>
            <w:r>
              <w:rPr>
                <w:rFonts w:hint="eastAsia"/>
                <w:color w:val="auto"/>
                <w:sz w:val="24"/>
                <w:szCs w:val="24"/>
              </w:rPr>
              <w:t>01）</w:t>
            </w:r>
            <w:r>
              <w:rPr>
                <w:color w:val="auto"/>
                <w:sz w:val="24"/>
                <w:szCs w:val="24"/>
              </w:rPr>
              <w:t>排放</w:t>
            </w:r>
            <w:r>
              <w:rPr>
                <w:rFonts w:hint="eastAsia"/>
                <w:color w:val="auto"/>
                <w:sz w:val="24"/>
                <w:szCs w:val="24"/>
              </w:rPr>
              <w:t>。</w:t>
            </w:r>
          </w:p>
          <w:p w14:paraId="0D353D85">
            <w:pPr>
              <w:adjustRightInd w:val="0"/>
              <w:snapToGrid w:val="0"/>
              <w:spacing w:line="360" w:lineRule="auto"/>
              <w:ind w:firstLine="480" w:firstLineChars="200"/>
              <w:rPr>
                <w:rFonts w:hint="default" w:eastAsia="宋体"/>
                <w:color w:val="auto"/>
                <w:sz w:val="24"/>
                <w:lang w:val="en-US" w:eastAsia="zh-CN"/>
              </w:rPr>
            </w:pPr>
            <w:r>
              <w:rPr>
                <w:rFonts w:hint="eastAsia" w:cs="Times New Roman"/>
                <w:color w:val="auto"/>
                <w:sz w:val="24"/>
                <w:szCs w:val="24"/>
                <w:highlight w:val="none"/>
                <w:lang w:val="en-US" w:eastAsia="zh-CN"/>
              </w:rPr>
              <w:t>2、</w:t>
            </w:r>
            <w:r>
              <w:rPr>
                <w:rFonts w:hint="eastAsia"/>
                <w:color w:val="auto"/>
                <w:sz w:val="24"/>
                <w:highlight w:val="none"/>
                <w:lang w:val="en-US" w:eastAsia="zh-CN"/>
              </w:rPr>
              <w:t xml:space="preserve">由于本项目扩建后1#车间新增1台注塑机废气、烫金废气，1#车间TA001活性炭填充量增加，因此本项目对现有的两级活性炭吸附装置采取“以新带老”措施，更换更大的活性炭吸附箱，可满足要求  </w:t>
            </w:r>
          </w:p>
        </w:tc>
      </w:tr>
    </w:tbl>
    <w:p w14:paraId="330012FA">
      <w:pPr>
        <w:pStyle w:val="21"/>
        <w:jc w:val="center"/>
        <w:rPr>
          <w:rFonts w:ascii="Times New Roman" w:hAnsi="Times New Roman"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277663C">
      <w:pPr>
        <w:pStyle w:val="21"/>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三、区域环境质量现状、环境保护目标及评价标准</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1EF232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800" w:type="dxa"/>
            <w:vAlign w:val="center"/>
          </w:tcPr>
          <w:p w14:paraId="2FB533B9">
            <w:pPr>
              <w:adjustRightInd w:val="0"/>
              <w:snapToGrid w:val="0"/>
              <w:spacing w:line="440" w:lineRule="exact"/>
              <w:jc w:val="center"/>
              <w:rPr>
                <w:color w:val="auto"/>
                <w:kern w:val="0"/>
                <w:sz w:val="24"/>
              </w:rPr>
            </w:pPr>
            <w:r>
              <w:rPr>
                <w:color w:val="auto"/>
                <w:kern w:val="0"/>
                <w:sz w:val="24"/>
              </w:rPr>
              <w:t>区域</w:t>
            </w:r>
          </w:p>
          <w:p w14:paraId="58954881">
            <w:pPr>
              <w:adjustRightInd w:val="0"/>
              <w:snapToGrid w:val="0"/>
              <w:spacing w:line="440" w:lineRule="exact"/>
              <w:jc w:val="center"/>
              <w:rPr>
                <w:color w:val="auto"/>
                <w:kern w:val="0"/>
                <w:sz w:val="24"/>
              </w:rPr>
            </w:pPr>
            <w:r>
              <w:rPr>
                <w:color w:val="auto"/>
                <w:kern w:val="0"/>
                <w:sz w:val="24"/>
              </w:rPr>
              <w:t>环境</w:t>
            </w:r>
          </w:p>
          <w:p w14:paraId="2E87AD42">
            <w:pPr>
              <w:adjustRightInd w:val="0"/>
              <w:snapToGrid w:val="0"/>
              <w:spacing w:line="440" w:lineRule="exact"/>
              <w:jc w:val="center"/>
              <w:rPr>
                <w:color w:val="auto"/>
                <w:kern w:val="0"/>
                <w:sz w:val="24"/>
              </w:rPr>
            </w:pPr>
            <w:r>
              <w:rPr>
                <w:color w:val="auto"/>
                <w:kern w:val="0"/>
                <w:sz w:val="24"/>
              </w:rPr>
              <w:t>质量</w:t>
            </w:r>
          </w:p>
          <w:p w14:paraId="4519FFA1">
            <w:pPr>
              <w:adjustRightInd w:val="0"/>
              <w:snapToGrid w:val="0"/>
              <w:spacing w:line="440" w:lineRule="exact"/>
              <w:jc w:val="center"/>
              <w:rPr>
                <w:color w:val="auto"/>
                <w:kern w:val="0"/>
                <w:sz w:val="24"/>
              </w:rPr>
            </w:pPr>
            <w:r>
              <w:rPr>
                <w:color w:val="auto"/>
                <w:kern w:val="0"/>
                <w:sz w:val="24"/>
              </w:rPr>
              <w:t>现状</w:t>
            </w:r>
          </w:p>
        </w:tc>
        <w:tc>
          <w:tcPr>
            <w:tcW w:w="8190" w:type="dxa"/>
            <w:vAlign w:val="center"/>
          </w:tcPr>
          <w:p w14:paraId="35C49CBC">
            <w:pPr>
              <w:spacing w:line="360" w:lineRule="auto"/>
              <w:ind w:firstLine="482" w:firstLineChars="200"/>
              <w:rPr>
                <w:b/>
                <w:bCs/>
                <w:color w:val="auto"/>
                <w:sz w:val="24"/>
              </w:rPr>
            </w:pPr>
            <w:r>
              <w:rPr>
                <w:rFonts w:hint="eastAsia"/>
                <w:b/>
                <w:bCs/>
                <w:color w:val="auto"/>
                <w:sz w:val="24"/>
              </w:rPr>
              <w:t>1、大气环境</w:t>
            </w:r>
          </w:p>
          <w:p w14:paraId="76B3E675">
            <w:pPr>
              <w:spacing w:line="360" w:lineRule="auto"/>
              <w:ind w:firstLine="482" w:firstLineChars="200"/>
              <w:rPr>
                <w:b/>
                <w:bCs/>
                <w:color w:val="auto"/>
                <w:sz w:val="24"/>
              </w:rPr>
            </w:pPr>
            <w:r>
              <w:rPr>
                <w:rFonts w:hint="eastAsia"/>
                <w:b/>
                <w:bCs/>
                <w:color w:val="auto"/>
                <w:sz w:val="24"/>
              </w:rPr>
              <w:t>（1）</w:t>
            </w:r>
            <w:r>
              <w:rPr>
                <w:b/>
                <w:bCs/>
                <w:color w:val="auto"/>
                <w:sz w:val="24"/>
              </w:rPr>
              <w:t>基本污染物环境质量现状</w:t>
            </w:r>
          </w:p>
          <w:p w14:paraId="4AD36E89">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根据《建设项目环境影响报告表编制技术指南（污染影响类）（试行）》中</w:t>
            </w:r>
            <w:r>
              <w:rPr>
                <w:rFonts w:hint="eastAsia" w:ascii="宋体" w:hAnsi="宋体" w:eastAsia="宋体" w:cs="宋体"/>
                <w:color w:val="auto"/>
                <w:sz w:val="24"/>
                <w:szCs w:val="24"/>
                <w:lang w:val="en-US" w:eastAsia="zh-CN"/>
              </w:rPr>
              <w:t>“大气</w:t>
            </w:r>
            <w:r>
              <w:rPr>
                <w:rFonts w:hint="default" w:ascii="Times New Roman" w:hAnsi="Times New Roman" w:eastAsia="宋体" w:cs="Times New Roman"/>
                <w:color w:val="auto"/>
                <w:sz w:val="24"/>
                <w:szCs w:val="24"/>
                <w:lang w:val="en-US" w:eastAsia="zh-CN"/>
              </w:rPr>
              <w:t>环境；常规污染物引用与建设项目距离近的有效数据</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包括近3年的规划环境影响评价的监测数据</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国家、地方环境空气质量监测网数据或生态环境主管部门公开发布的质量数据等。</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故本次环境空气质量现状评价采用《遂宁市污染防治攻坚战领导小组办公室关于2023年12月全市地表水和环境空气质量排名情况的通报》（遂污防攻坚办〔2024〕4号）的数据。</w:t>
            </w:r>
          </w:p>
          <w:p w14:paraId="753E6CFA">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default" w:ascii="Times New Roman" w:hAnsi="Times New Roman" w:eastAsia="宋体" w:cs="Times New Roman"/>
                <w:b/>
                <w:bCs/>
                <w:color w:val="auto"/>
                <w:sz w:val="24"/>
                <w:szCs w:val="24"/>
                <w:lang w:val="en-US" w:eastAsia="zh-CN"/>
              </w:rPr>
              <w:t>遂污防攻坚办〔2024〕4号</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大英县2023年度1</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12月环境空气质量优良天数率为91.5%，主要污染物PM</w:t>
            </w:r>
            <w:r>
              <w:rPr>
                <w:rFonts w:hint="default" w:ascii="Times New Roman" w:hAnsi="Times New Roman" w:eastAsia="宋体" w:cs="Times New Roman"/>
                <w:color w:val="auto"/>
                <w:sz w:val="24"/>
                <w:szCs w:val="24"/>
                <w:vertAlign w:val="subscript"/>
                <w:lang w:val="en-US" w:eastAsia="zh-CN"/>
              </w:rPr>
              <w:t>2.5</w:t>
            </w:r>
            <w:r>
              <w:rPr>
                <w:rFonts w:hint="default" w:ascii="Times New Roman" w:hAnsi="Times New Roman" w:eastAsia="宋体" w:cs="Times New Roman"/>
                <w:color w:val="auto"/>
                <w:sz w:val="24"/>
                <w:szCs w:val="24"/>
                <w:lang w:val="en-US" w:eastAsia="zh-CN"/>
              </w:rPr>
              <w:t>、PM</w:t>
            </w:r>
            <w:r>
              <w:rPr>
                <w:rFonts w:hint="default" w:ascii="Times New Roman" w:hAnsi="Times New Roman" w:eastAsia="宋体" w:cs="Times New Roman"/>
                <w:color w:val="auto"/>
                <w:sz w:val="24"/>
                <w:szCs w:val="24"/>
                <w:vertAlign w:val="subscript"/>
                <w:lang w:val="en-US" w:eastAsia="zh-CN"/>
              </w:rPr>
              <w:t>10</w:t>
            </w:r>
            <w:r>
              <w:rPr>
                <w:rFonts w:hint="default" w:ascii="Times New Roman" w:hAnsi="Times New Roman" w:eastAsia="宋体" w:cs="Times New Roman"/>
                <w:color w:val="auto"/>
                <w:sz w:val="24"/>
                <w:szCs w:val="24"/>
                <w:lang w:val="en-US" w:eastAsia="zh-CN"/>
              </w:rPr>
              <w:t>、SO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、NO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和CO的年均值分别为25.8微克/立方米、39.8微克/立方米、5.6微克/立方米、13.4微克/立方米、141.2毫克/立方米和1.0微克/立方米。同比PM</w:t>
            </w:r>
            <w:r>
              <w:rPr>
                <w:rFonts w:hint="default" w:ascii="Times New Roman" w:hAnsi="Times New Roman" w:eastAsia="宋体" w:cs="Times New Roman"/>
                <w:color w:val="auto"/>
                <w:sz w:val="24"/>
                <w:szCs w:val="24"/>
                <w:vertAlign w:val="subscript"/>
                <w:lang w:val="en-US" w:eastAsia="zh-CN"/>
              </w:rPr>
              <w:t>2.5</w:t>
            </w:r>
            <w:r>
              <w:rPr>
                <w:rFonts w:hint="default" w:ascii="Times New Roman" w:hAnsi="Times New Roman" w:eastAsia="宋体" w:cs="Times New Roman"/>
                <w:color w:val="auto"/>
                <w:sz w:val="24"/>
                <w:szCs w:val="24"/>
                <w:lang w:val="en-US" w:eastAsia="zh-CN"/>
              </w:rPr>
              <w:t>、PM</w:t>
            </w:r>
            <w:r>
              <w:rPr>
                <w:rFonts w:hint="default" w:ascii="Times New Roman" w:hAnsi="Times New Roman" w:eastAsia="宋体" w:cs="Times New Roman"/>
                <w:color w:val="auto"/>
                <w:sz w:val="24"/>
                <w:szCs w:val="24"/>
                <w:vertAlign w:val="subscript"/>
                <w:lang w:val="en-US" w:eastAsia="zh-CN"/>
              </w:rPr>
              <w:t>10</w:t>
            </w:r>
            <w:r>
              <w:rPr>
                <w:rFonts w:hint="default" w:ascii="Times New Roman" w:hAnsi="Times New Roman" w:eastAsia="宋体" w:cs="Times New Roman"/>
                <w:color w:val="auto"/>
                <w:sz w:val="24"/>
                <w:szCs w:val="24"/>
                <w:lang w:val="en-US" w:eastAsia="zh-CN"/>
              </w:rPr>
              <w:t>和SO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浓度分别下降了3.0%、0.5%和9.7%，NO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和CO浓度分别上升了20.7%、2.3%和0.0%。</w:t>
            </w:r>
          </w:p>
          <w:p w14:paraId="63F2BBC0">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w:t>
            </w:r>
            <w:r>
              <w:rPr>
                <w:rFonts w:hint="eastAsia"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年大英县环境空气质量详见下表3-1。</w:t>
            </w:r>
          </w:p>
          <w:p w14:paraId="2EEA33A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表3-1 </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2023年大英县城市环境空气质量</w:t>
            </w:r>
          </w:p>
          <w:tbl>
            <w:tblPr>
              <w:tblStyle w:val="26"/>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2"/>
              <w:gridCol w:w="2286"/>
              <w:gridCol w:w="1636"/>
              <w:gridCol w:w="1277"/>
              <w:gridCol w:w="1033"/>
              <w:gridCol w:w="769"/>
            </w:tblGrid>
            <w:tr w14:paraId="613376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609" w:type="pct"/>
                  <w:tcBorders>
                    <w:tl2br w:val="nil"/>
                    <w:tr2bl w:val="nil"/>
                  </w:tcBorders>
                  <w:vAlign w:val="center"/>
                </w:tcPr>
                <w:p w14:paraId="4E9A8EB7">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1433" w:type="pct"/>
                  <w:tcBorders>
                    <w:tl2br w:val="nil"/>
                    <w:tr2bl w:val="nil"/>
                  </w:tcBorders>
                  <w:vAlign w:val="center"/>
                </w:tcPr>
                <w:p w14:paraId="22B16B64">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年评价指标</w:t>
                  </w:r>
                </w:p>
              </w:tc>
              <w:tc>
                <w:tcPr>
                  <w:tcW w:w="1025" w:type="pct"/>
                  <w:tcBorders>
                    <w:tl2br w:val="nil"/>
                    <w:tr2bl w:val="nil"/>
                  </w:tcBorders>
                  <w:vAlign w:val="center"/>
                </w:tcPr>
                <w:p w14:paraId="5741086F">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现状浓度（</w:t>
                  </w:r>
                  <w:r>
                    <w:rPr>
                      <w:rFonts w:hint="default" w:ascii="Times New Roman" w:hAnsi="Times New Roman" w:eastAsia="宋体" w:cs="Times New Roman"/>
                      <w:b/>
                      <w:bCs/>
                      <w:color w:val="auto"/>
                      <w:sz w:val="21"/>
                      <w:szCs w:val="21"/>
                      <w:lang w:eastAsia="zh-CN"/>
                    </w:rPr>
                    <w:t>μg/m</w:t>
                  </w:r>
                  <w:r>
                    <w:rPr>
                      <w:rFonts w:hint="default" w:ascii="Times New Roman" w:hAnsi="Times New Roman" w:eastAsia="宋体" w:cs="Times New Roman"/>
                      <w:b/>
                      <w:bCs/>
                      <w:color w:val="auto"/>
                      <w:sz w:val="21"/>
                      <w:szCs w:val="21"/>
                      <w:vertAlign w:val="superscript"/>
                      <w:lang w:eastAsia="zh-CN"/>
                    </w:rPr>
                    <w:t>3</w:t>
                  </w:r>
                  <w:r>
                    <w:rPr>
                      <w:rFonts w:hint="default" w:ascii="Times New Roman" w:hAnsi="Times New Roman" w:eastAsia="宋体" w:cs="Times New Roman"/>
                      <w:b/>
                      <w:bCs/>
                      <w:color w:val="auto"/>
                      <w:sz w:val="21"/>
                      <w:szCs w:val="21"/>
                    </w:rPr>
                    <w:t>）</w:t>
                  </w:r>
                </w:p>
              </w:tc>
              <w:tc>
                <w:tcPr>
                  <w:tcW w:w="801" w:type="pct"/>
                  <w:tcBorders>
                    <w:tl2br w:val="nil"/>
                    <w:tr2bl w:val="nil"/>
                  </w:tcBorders>
                  <w:vAlign w:val="center"/>
                </w:tcPr>
                <w:p w14:paraId="425269A6">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p>
                <w:p w14:paraId="084B0FE1">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eastAsia="zh-CN"/>
                    </w:rPr>
                    <w:t>μg/m</w:t>
                  </w:r>
                  <w:r>
                    <w:rPr>
                      <w:rFonts w:hint="default" w:ascii="Times New Roman" w:hAnsi="Times New Roman" w:eastAsia="宋体" w:cs="Times New Roman"/>
                      <w:b/>
                      <w:bCs/>
                      <w:color w:val="auto"/>
                      <w:sz w:val="21"/>
                      <w:szCs w:val="21"/>
                      <w:vertAlign w:val="superscript"/>
                      <w:lang w:eastAsia="zh-CN"/>
                    </w:rPr>
                    <w:t>3</w:t>
                  </w:r>
                  <w:r>
                    <w:rPr>
                      <w:rFonts w:hint="default" w:ascii="Times New Roman" w:hAnsi="Times New Roman" w:eastAsia="宋体" w:cs="Times New Roman"/>
                      <w:b/>
                      <w:bCs/>
                      <w:color w:val="auto"/>
                      <w:sz w:val="21"/>
                      <w:szCs w:val="21"/>
                    </w:rPr>
                    <w:t>）</w:t>
                  </w:r>
                </w:p>
              </w:tc>
              <w:tc>
                <w:tcPr>
                  <w:tcW w:w="647" w:type="pct"/>
                  <w:tcBorders>
                    <w:tl2br w:val="nil"/>
                    <w:tr2bl w:val="nil"/>
                  </w:tcBorders>
                  <w:vAlign w:val="center"/>
                </w:tcPr>
                <w:p w14:paraId="3A3585E3">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占标率（%）</w:t>
                  </w:r>
                </w:p>
              </w:tc>
              <w:tc>
                <w:tcPr>
                  <w:tcW w:w="482" w:type="pct"/>
                  <w:tcBorders>
                    <w:tl2br w:val="nil"/>
                    <w:tr2bl w:val="nil"/>
                  </w:tcBorders>
                  <w:vAlign w:val="center"/>
                </w:tcPr>
                <w:p w14:paraId="4B6EFAF6">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r>
            <w:tr w14:paraId="750C5A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9" w:type="pct"/>
                  <w:tcBorders>
                    <w:tl2br w:val="nil"/>
                    <w:tr2bl w:val="nil"/>
                  </w:tcBorders>
                  <w:vAlign w:val="center"/>
                </w:tcPr>
                <w:p w14:paraId="6008CF15">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433" w:type="pct"/>
                  <w:tcBorders>
                    <w:tl2br w:val="nil"/>
                    <w:tr2bl w:val="nil"/>
                  </w:tcBorders>
                  <w:vAlign w:val="center"/>
                </w:tcPr>
                <w:p w14:paraId="3575D4B9">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025" w:type="pct"/>
                  <w:tcBorders>
                    <w:tl2br w:val="nil"/>
                    <w:tr2bl w:val="nil"/>
                  </w:tcBorders>
                  <w:vAlign w:val="center"/>
                </w:tcPr>
                <w:p w14:paraId="06D477A6">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w:t>
                  </w:r>
                </w:p>
              </w:tc>
              <w:tc>
                <w:tcPr>
                  <w:tcW w:w="801" w:type="pct"/>
                  <w:tcBorders>
                    <w:tl2br w:val="nil"/>
                    <w:tr2bl w:val="nil"/>
                  </w:tcBorders>
                  <w:vAlign w:val="center"/>
                </w:tcPr>
                <w:p w14:paraId="3DB54242">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47" w:type="pct"/>
                  <w:tcBorders>
                    <w:tl2br w:val="nil"/>
                    <w:tr2bl w:val="nil"/>
                  </w:tcBorders>
                  <w:vAlign w:val="center"/>
                </w:tcPr>
                <w:p w14:paraId="1A76A3F7">
                  <w:pPr>
                    <w:widowControl/>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9.3</w:t>
                  </w:r>
                </w:p>
              </w:tc>
              <w:tc>
                <w:tcPr>
                  <w:tcW w:w="482" w:type="pct"/>
                  <w:tcBorders>
                    <w:tl2br w:val="nil"/>
                    <w:tr2bl w:val="nil"/>
                  </w:tcBorders>
                  <w:vAlign w:val="center"/>
                </w:tcPr>
                <w:p w14:paraId="1E13F51E">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55BC9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9" w:type="pct"/>
                  <w:tcBorders>
                    <w:tl2br w:val="nil"/>
                    <w:tr2bl w:val="nil"/>
                  </w:tcBorders>
                  <w:vAlign w:val="center"/>
                </w:tcPr>
                <w:p w14:paraId="37A7E4AF">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433" w:type="pct"/>
                  <w:tcBorders>
                    <w:tl2br w:val="nil"/>
                    <w:tr2bl w:val="nil"/>
                  </w:tcBorders>
                  <w:vAlign w:val="center"/>
                </w:tcPr>
                <w:p w14:paraId="2BE5D371">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025" w:type="pct"/>
                  <w:tcBorders>
                    <w:tl2br w:val="nil"/>
                    <w:tr2bl w:val="nil"/>
                  </w:tcBorders>
                  <w:vAlign w:val="center"/>
                </w:tcPr>
                <w:p w14:paraId="497ECCD1">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13.4</w:t>
                  </w:r>
                </w:p>
              </w:tc>
              <w:tc>
                <w:tcPr>
                  <w:tcW w:w="801" w:type="pct"/>
                  <w:tcBorders>
                    <w:tl2br w:val="nil"/>
                    <w:tr2bl w:val="nil"/>
                  </w:tcBorders>
                  <w:vAlign w:val="center"/>
                </w:tcPr>
                <w:p w14:paraId="60AFAEE3">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647" w:type="pct"/>
                  <w:tcBorders>
                    <w:tl2br w:val="nil"/>
                    <w:tr2bl w:val="nil"/>
                  </w:tcBorders>
                  <w:vAlign w:val="center"/>
                </w:tcPr>
                <w:p w14:paraId="4BFA6B63">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33.5</w:t>
                  </w:r>
                </w:p>
              </w:tc>
              <w:tc>
                <w:tcPr>
                  <w:tcW w:w="482" w:type="pct"/>
                  <w:tcBorders>
                    <w:tl2br w:val="nil"/>
                    <w:tr2bl w:val="nil"/>
                  </w:tcBorders>
                  <w:vAlign w:val="center"/>
                </w:tcPr>
                <w:p w14:paraId="4F082FC3">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1A5EE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9" w:type="pct"/>
                  <w:tcBorders>
                    <w:tl2br w:val="nil"/>
                    <w:tr2bl w:val="nil"/>
                  </w:tcBorders>
                  <w:vAlign w:val="center"/>
                </w:tcPr>
                <w:p w14:paraId="2265AD7A">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433" w:type="pct"/>
                  <w:tcBorders>
                    <w:tl2br w:val="nil"/>
                    <w:tr2bl w:val="nil"/>
                  </w:tcBorders>
                  <w:vAlign w:val="center"/>
                </w:tcPr>
                <w:p w14:paraId="6C044D23">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025" w:type="pct"/>
                  <w:tcBorders>
                    <w:tl2br w:val="nil"/>
                    <w:tr2bl w:val="nil"/>
                  </w:tcBorders>
                  <w:vAlign w:val="center"/>
                </w:tcPr>
                <w:p w14:paraId="3ED6861E">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39.8</w:t>
                  </w:r>
                </w:p>
              </w:tc>
              <w:tc>
                <w:tcPr>
                  <w:tcW w:w="801" w:type="pct"/>
                  <w:tcBorders>
                    <w:tl2br w:val="nil"/>
                    <w:tr2bl w:val="nil"/>
                  </w:tcBorders>
                  <w:vAlign w:val="center"/>
                </w:tcPr>
                <w:p w14:paraId="33A9921F">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647" w:type="pct"/>
                  <w:tcBorders>
                    <w:tl2br w:val="nil"/>
                    <w:tr2bl w:val="nil"/>
                  </w:tcBorders>
                  <w:vAlign w:val="center"/>
                </w:tcPr>
                <w:p w14:paraId="56C29B35">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56.9</w:t>
                  </w:r>
                </w:p>
              </w:tc>
              <w:tc>
                <w:tcPr>
                  <w:tcW w:w="482" w:type="pct"/>
                  <w:tcBorders>
                    <w:tl2br w:val="nil"/>
                    <w:tr2bl w:val="nil"/>
                  </w:tcBorders>
                  <w:vAlign w:val="center"/>
                </w:tcPr>
                <w:p w14:paraId="2CA218CD">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D2E11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9" w:type="pct"/>
                  <w:tcBorders>
                    <w:tl2br w:val="nil"/>
                    <w:tr2bl w:val="nil"/>
                  </w:tcBorders>
                  <w:vAlign w:val="center"/>
                </w:tcPr>
                <w:p w14:paraId="50B071AA">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1433" w:type="pct"/>
                  <w:tcBorders>
                    <w:tl2br w:val="nil"/>
                    <w:tr2bl w:val="nil"/>
                  </w:tcBorders>
                  <w:vAlign w:val="center"/>
                </w:tcPr>
                <w:p w14:paraId="108F64DB">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025" w:type="pct"/>
                  <w:tcBorders>
                    <w:tl2br w:val="nil"/>
                    <w:tr2bl w:val="nil"/>
                  </w:tcBorders>
                  <w:vAlign w:val="center"/>
                </w:tcPr>
                <w:p w14:paraId="41A0A5D5">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25.8</w:t>
                  </w:r>
                </w:p>
              </w:tc>
              <w:tc>
                <w:tcPr>
                  <w:tcW w:w="801" w:type="pct"/>
                  <w:tcBorders>
                    <w:tl2br w:val="nil"/>
                    <w:tr2bl w:val="nil"/>
                  </w:tcBorders>
                  <w:vAlign w:val="center"/>
                </w:tcPr>
                <w:p w14:paraId="33309A93">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647" w:type="pct"/>
                  <w:tcBorders>
                    <w:tl2br w:val="nil"/>
                    <w:tr2bl w:val="nil"/>
                  </w:tcBorders>
                  <w:vAlign w:val="center"/>
                </w:tcPr>
                <w:p w14:paraId="680488E6">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73.7</w:t>
                  </w:r>
                </w:p>
              </w:tc>
              <w:tc>
                <w:tcPr>
                  <w:tcW w:w="482" w:type="pct"/>
                  <w:tcBorders>
                    <w:tl2br w:val="nil"/>
                    <w:tr2bl w:val="nil"/>
                  </w:tcBorders>
                  <w:vAlign w:val="center"/>
                </w:tcPr>
                <w:p w14:paraId="65F5C2D7">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71F9D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9" w:type="pct"/>
                  <w:tcBorders>
                    <w:tl2br w:val="nil"/>
                    <w:tr2bl w:val="nil"/>
                  </w:tcBorders>
                  <w:vAlign w:val="center"/>
                </w:tcPr>
                <w:p w14:paraId="76EEF56A">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1433" w:type="pct"/>
                  <w:tcBorders>
                    <w:tl2br w:val="nil"/>
                    <w:tr2bl w:val="nil"/>
                  </w:tcBorders>
                  <w:vAlign w:val="center"/>
                </w:tcPr>
                <w:p w14:paraId="572E05A7">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日均值第95百分位数</w:t>
                  </w:r>
                </w:p>
              </w:tc>
              <w:tc>
                <w:tcPr>
                  <w:tcW w:w="1025" w:type="pct"/>
                  <w:tcBorders>
                    <w:tl2br w:val="nil"/>
                    <w:tr2bl w:val="nil"/>
                  </w:tcBorders>
                  <w:vAlign w:val="center"/>
                </w:tcPr>
                <w:p w14:paraId="48CD70D7">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801" w:type="pct"/>
                  <w:tcBorders>
                    <w:tl2br w:val="nil"/>
                    <w:tr2bl w:val="nil"/>
                  </w:tcBorders>
                  <w:vAlign w:val="center"/>
                </w:tcPr>
                <w:p w14:paraId="4B74F8CB">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4000</w:t>
                  </w:r>
                </w:p>
              </w:tc>
              <w:tc>
                <w:tcPr>
                  <w:tcW w:w="647" w:type="pct"/>
                  <w:tcBorders>
                    <w:tl2br w:val="nil"/>
                    <w:tr2bl w:val="nil"/>
                  </w:tcBorders>
                  <w:vAlign w:val="center"/>
                </w:tcPr>
                <w:p w14:paraId="1B8FAA8B">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482" w:type="pct"/>
                  <w:tcBorders>
                    <w:tl2br w:val="nil"/>
                    <w:tr2bl w:val="nil"/>
                  </w:tcBorders>
                  <w:vAlign w:val="center"/>
                </w:tcPr>
                <w:p w14:paraId="57B6F185">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6AA1C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9" w:type="pct"/>
                  <w:tcBorders>
                    <w:tl2br w:val="nil"/>
                    <w:tr2bl w:val="nil"/>
                  </w:tcBorders>
                  <w:vAlign w:val="center"/>
                </w:tcPr>
                <w:p w14:paraId="22B496F5">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tc>
              <w:tc>
                <w:tcPr>
                  <w:tcW w:w="1433" w:type="pct"/>
                  <w:tcBorders>
                    <w:tl2br w:val="nil"/>
                    <w:tr2bl w:val="nil"/>
                  </w:tcBorders>
                  <w:vAlign w:val="center"/>
                </w:tcPr>
                <w:p w14:paraId="041A5F59">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日最大8小时平均第90百分位数</w:t>
                  </w:r>
                </w:p>
              </w:tc>
              <w:tc>
                <w:tcPr>
                  <w:tcW w:w="1025" w:type="pct"/>
                  <w:tcBorders>
                    <w:tl2br w:val="nil"/>
                    <w:tr2bl w:val="nil"/>
                  </w:tcBorders>
                  <w:vAlign w:val="center"/>
                </w:tcPr>
                <w:p w14:paraId="63AB9FBA">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141.2</w:t>
                  </w:r>
                </w:p>
              </w:tc>
              <w:tc>
                <w:tcPr>
                  <w:tcW w:w="801" w:type="pct"/>
                  <w:tcBorders>
                    <w:tl2br w:val="nil"/>
                    <w:tr2bl w:val="nil"/>
                  </w:tcBorders>
                  <w:vAlign w:val="center"/>
                </w:tcPr>
                <w:p w14:paraId="39369002">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647" w:type="pct"/>
                  <w:tcBorders>
                    <w:tl2br w:val="nil"/>
                    <w:tr2bl w:val="nil"/>
                  </w:tcBorders>
                  <w:vAlign w:val="center"/>
                </w:tcPr>
                <w:p w14:paraId="206F7FDF">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88.3</w:t>
                  </w:r>
                </w:p>
              </w:tc>
              <w:tc>
                <w:tcPr>
                  <w:tcW w:w="482" w:type="pct"/>
                  <w:tcBorders>
                    <w:tl2br w:val="nil"/>
                    <w:tr2bl w:val="nil"/>
                  </w:tcBorders>
                  <w:vAlign w:val="center"/>
                </w:tcPr>
                <w:p w14:paraId="12922BCF">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18EE68DD">
            <w:pPr>
              <w:numPr>
                <w:ilvl w:val="0"/>
                <w:numId w:val="0"/>
              </w:numPr>
              <w:bidi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根据上表3-</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分析</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项目所在区域大英县</w:t>
            </w:r>
            <w:r>
              <w:rPr>
                <w:rFonts w:hint="eastAsia" w:cs="Times New Roman"/>
                <w:color w:val="auto"/>
                <w:sz w:val="24"/>
                <w:szCs w:val="24"/>
                <w:lang w:val="en-US" w:eastAsia="zh-CN"/>
              </w:rPr>
              <w:t>2023年</w:t>
            </w:r>
            <w:r>
              <w:rPr>
                <w:rFonts w:hint="default" w:ascii="Times New Roman" w:hAnsi="Times New Roman" w:eastAsia="宋体" w:cs="Times New Roman"/>
                <w:color w:val="auto"/>
                <w:sz w:val="24"/>
                <w:szCs w:val="24"/>
                <w:lang w:val="en-US" w:eastAsia="zh-CN"/>
              </w:rPr>
              <w:t>空气质量现状各项指标均能达到《环境空气质量标准》（GB3095-2012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二级标准要求，属于环境空气质量达标区域</w:t>
            </w:r>
            <w:r>
              <w:rPr>
                <w:rFonts w:hint="default" w:ascii="Times New Roman" w:hAnsi="Times New Roman" w:eastAsia="宋体" w:cs="Times New Roman"/>
                <w:b w:val="0"/>
                <w:bCs w:val="0"/>
                <w:color w:val="auto"/>
                <w:sz w:val="24"/>
                <w:szCs w:val="24"/>
                <w:lang w:val="en-US" w:eastAsia="zh-CN"/>
              </w:rPr>
              <w:t>。</w:t>
            </w:r>
          </w:p>
          <w:p w14:paraId="46F3BAE4">
            <w:pPr>
              <w:spacing w:before="120" w:beforeLines="50" w:line="360" w:lineRule="auto"/>
              <w:ind w:firstLine="482" w:firstLineChars="200"/>
              <w:rPr>
                <w:b/>
                <w:color w:val="auto"/>
                <w:sz w:val="24"/>
                <w:highlight w:val="none"/>
              </w:rPr>
            </w:pPr>
            <w:r>
              <w:rPr>
                <w:rFonts w:hint="eastAsia"/>
                <w:b/>
                <w:color w:val="auto"/>
                <w:sz w:val="24"/>
                <w:highlight w:val="none"/>
              </w:rPr>
              <w:t>（2）</w:t>
            </w:r>
            <w:r>
              <w:rPr>
                <w:b/>
                <w:color w:val="auto"/>
                <w:sz w:val="24"/>
                <w:highlight w:val="none"/>
              </w:rPr>
              <w:t>其他</w:t>
            </w:r>
            <w:r>
              <w:rPr>
                <w:b/>
                <w:bCs/>
                <w:color w:val="auto"/>
                <w:sz w:val="24"/>
                <w:highlight w:val="none"/>
              </w:rPr>
              <w:t>污染物</w:t>
            </w:r>
            <w:r>
              <w:rPr>
                <w:b/>
                <w:color w:val="auto"/>
                <w:sz w:val="24"/>
                <w:highlight w:val="none"/>
              </w:rPr>
              <w:t>环境质量现状</w:t>
            </w:r>
          </w:p>
          <w:p w14:paraId="23CE69F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根据本项目产污特点，本次评价采取收集资料的方式对项目所在地特征污染物</w:t>
            </w:r>
            <w:r>
              <w:rPr>
                <w:rFonts w:hint="eastAsia" w:cs="Times New Roman"/>
                <w:color w:val="auto"/>
                <w:sz w:val="24"/>
                <w:highlight w:val="none"/>
                <w:lang w:val="en-US" w:eastAsia="zh-CN"/>
              </w:rPr>
              <w:t>非甲烷总烃</w:t>
            </w:r>
            <w:r>
              <w:rPr>
                <w:rFonts w:hint="default" w:ascii="Times New Roman" w:hAnsi="Times New Roman" w:eastAsia="宋体" w:cs="Times New Roman"/>
                <w:color w:val="auto"/>
                <w:sz w:val="24"/>
                <w:highlight w:val="none"/>
              </w:rPr>
              <w:t>环境质量现状进行评价。</w:t>
            </w:r>
          </w:p>
          <w:p w14:paraId="16FDE7B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yellow"/>
              </w:rPr>
            </w:pPr>
            <w:r>
              <w:rPr>
                <w:rFonts w:hint="default" w:ascii="Times New Roman" w:hAnsi="Times New Roman" w:eastAsia="宋体" w:cs="Times New Roman"/>
                <w:color w:val="auto"/>
                <w:sz w:val="24"/>
                <w:highlight w:val="none"/>
              </w:rPr>
              <w:t>本次评价引用四川省天晟源环保股份有限公司对四川之江高新材料股份有限公司先进材料项目的大气环境监测数据进行分析。监测时间为202</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年0</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val="en-US" w:eastAsia="zh-CN"/>
              </w:rPr>
              <w:t>22</w:t>
            </w:r>
            <w:r>
              <w:rPr>
                <w:rFonts w:hint="default" w:ascii="Times New Roman" w:hAnsi="Times New Roman" w:eastAsia="宋体" w:cs="Times New Roman"/>
                <w:color w:val="auto"/>
                <w:sz w:val="24"/>
                <w:highlight w:val="none"/>
              </w:rPr>
              <w:t>日~0</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val="en-US" w:eastAsia="zh-CN"/>
              </w:rPr>
              <w:t>28</w:t>
            </w:r>
            <w:r>
              <w:rPr>
                <w:rFonts w:hint="default" w:ascii="Times New Roman" w:hAnsi="Times New Roman" w:eastAsia="宋体" w:cs="Times New Roman"/>
                <w:color w:val="auto"/>
                <w:sz w:val="24"/>
                <w:highlight w:val="none"/>
              </w:rPr>
              <w:t>日，监测点位于</w:t>
            </w:r>
            <w:r>
              <w:rPr>
                <w:rFonts w:hint="eastAsia" w:cs="Times New Roman"/>
                <w:color w:val="auto"/>
                <w:sz w:val="24"/>
                <w:highlight w:val="none"/>
                <w:lang w:val="en-US" w:eastAsia="zh-CN"/>
              </w:rPr>
              <w:t>分别为1#</w:t>
            </w:r>
            <w:r>
              <w:rPr>
                <w:rFonts w:hint="default" w:ascii="Times New Roman" w:hAnsi="Times New Roman" w:eastAsia="宋体" w:cs="Times New Roman"/>
                <w:color w:val="auto"/>
                <w:sz w:val="24"/>
                <w:highlight w:val="none"/>
              </w:rPr>
              <w:t>项目所在</w:t>
            </w:r>
            <w:r>
              <w:rPr>
                <w:rFonts w:hint="eastAsia" w:cs="Times New Roman"/>
                <w:color w:val="auto"/>
                <w:sz w:val="24"/>
                <w:highlight w:val="none"/>
                <w:lang w:val="en-US" w:eastAsia="zh-CN"/>
              </w:rPr>
              <w:t>地</w:t>
            </w:r>
            <w:r>
              <w:rPr>
                <w:rFonts w:hint="eastAsia" w:cs="Times New Roman"/>
                <w:color w:val="auto"/>
                <w:sz w:val="24"/>
                <w:highlight w:val="none"/>
                <w:lang w:eastAsia="zh-CN"/>
              </w:rPr>
              <w:t>，</w:t>
            </w:r>
            <w:r>
              <w:rPr>
                <w:rFonts w:hint="eastAsia" w:cs="Times New Roman"/>
                <w:color w:val="auto"/>
                <w:sz w:val="24"/>
                <w:highlight w:val="none"/>
                <w:lang w:val="en-US" w:eastAsia="zh-CN"/>
              </w:rPr>
              <w:t>和2#厂区下风500米处（红旗村）</w:t>
            </w:r>
            <w:r>
              <w:rPr>
                <w:rFonts w:hint="default" w:ascii="Times New Roman" w:hAnsi="Times New Roman" w:eastAsia="宋体" w:cs="Times New Roman"/>
                <w:color w:val="auto"/>
                <w:sz w:val="24"/>
                <w:highlight w:val="none"/>
              </w:rPr>
              <w:t>，距离本项目直线距离</w:t>
            </w:r>
            <w:r>
              <w:rPr>
                <w:rFonts w:hint="eastAsia" w:cs="Times New Roman"/>
                <w:color w:val="auto"/>
                <w:sz w:val="24"/>
                <w:highlight w:val="none"/>
                <w:lang w:val="en-US" w:eastAsia="zh-CN"/>
              </w:rPr>
              <w:t>分别</w:t>
            </w:r>
            <w:r>
              <w:rPr>
                <w:rFonts w:hint="default" w:ascii="Times New Roman" w:hAnsi="Times New Roman" w:eastAsia="宋体" w:cs="Times New Roman"/>
                <w:color w:val="auto"/>
                <w:sz w:val="24"/>
                <w:highlight w:val="none"/>
              </w:rPr>
              <w:t>约</w:t>
            </w:r>
            <w:r>
              <w:rPr>
                <w:rFonts w:hint="eastAsia" w:cs="Times New Roman"/>
                <w:color w:val="auto"/>
                <w:sz w:val="24"/>
                <w:highlight w:val="none"/>
                <w:lang w:val="en-US" w:eastAsia="zh-CN"/>
              </w:rPr>
              <w:t>2.45</w:t>
            </w:r>
            <w:r>
              <w:rPr>
                <w:rFonts w:hint="default" w:ascii="Times New Roman" w:hAnsi="Times New Roman" w:eastAsia="宋体" w:cs="Times New Roman"/>
                <w:color w:val="auto"/>
                <w:sz w:val="24"/>
                <w:highlight w:val="none"/>
              </w:rPr>
              <w:t>km</w:t>
            </w:r>
            <w:r>
              <w:rPr>
                <w:rFonts w:hint="eastAsia" w:cs="Times New Roman"/>
                <w:color w:val="auto"/>
                <w:sz w:val="24"/>
                <w:highlight w:val="none"/>
                <w:lang w:eastAsia="zh-CN"/>
              </w:rPr>
              <w:t>、</w:t>
            </w:r>
            <w:r>
              <w:rPr>
                <w:rFonts w:hint="eastAsia" w:cs="Times New Roman"/>
                <w:color w:val="auto"/>
                <w:sz w:val="24"/>
                <w:highlight w:val="none"/>
                <w:lang w:val="en-US" w:eastAsia="zh-CN"/>
              </w:rPr>
              <w:t>2.6km</w:t>
            </w:r>
            <w:r>
              <w:rPr>
                <w:rFonts w:hint="default" w:ascii="Times New Roman" w:hAnsi="Times New Roman" w:eastAsia="宋体" w:cs="Times New Roman"/>
                <w:color w:val="auto"/>
                <w:sz w:val="24"/>
                <w:highlight w:val="none"/>
              </w:rPr>
              <w:t>，监测点位置及</w:t>
            </w:r>
            <w:r>
              <w:rPr>
                <w:rFonts w:hint="eastAsia" w:cs="Times New Roman"/>
                <w:color w:val="auto"/>
                <w:sz w:val="24"/>
                <w:highlight w:val="none"/>
                <w:lang w:eastAsia="zh-CN"/>
              </w:rPr>
              <w:t>监测</w:t>
            </w:r>
            <w:r>
              <w:rPr>
                <w:rFonts w:hint="default" w:ascii="Times New Roman" w:hAnsi="Times New Roman" w:eastAsia="宋体" w:cs="Times New Roman"/>
                <w:color w:val="auto"/>
                <w:sz w:val="24"/>
                <w:highlight w:val="none"/>
              </w:rPr>
              <w:t>时效均满足《建设项目环境影响报告表编制技术指南</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污染影响类</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试行</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》中数据引用要求。TVOC环境质量现状监测结果如下表所示。</w:t>
            </w:r>
          </w:p>
          <w:p w14:paraId="0D512FEC">
            <w:pPr>
              <w:keepNext w:val="0"/>
              <w:keepLines w:val="0"/>
              <w:suppressLineNumbers w:val="0"/>
              <w:tabs>
                <w:tab w:val="left" w:pos="1350"/>
              </w:tabs>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宋体" w:cs="Times New Roman"/>
                <w:b/>
                <w:color w:val="auto"/>
                <w:sz w:val="21"/>
                <w:szCs w:val="21"/>
                <w:highlight w:val="none"/>
                <w:shd w:val="clear" w:color="auto" w:fill="FFFFFF"/>
              </w:rPr>
            </w:pPr>
            <w:r>
              <w:rPr>
                <w:rFonts w:hint="default" w:ascii="Times New Roman" w:hAnsi="Times New Roman" w:eastAsia="宋体" w:cs="Times New Roman"/>
                <w:b/>
                <w:bCs w:val="0"/>
                <w:color w:val="auto"/>
                <w:sz w:val="21"/>
                <w:szCs w:val="21"/>
                <w:highlight w:val="none"/>
                <w:shd w:val="clear" w:color="auto" w:fill="FFFFFF"/>
              </w:rPr>
              <w:t>表</w:t>
            </w:r>
            <w:r>
              <w:rPr>
                <w:rFonts w:hint="default" w:ascii="Times New Roman" w:hAnsi="Times New Roman" w:eastAsia="宋体" w:cs="Times New Roman"/>
                <w:b/>
                <w:bCs w:val="0"/>
                <w:color w:val="auto"/>
                <w:sz w:val="21"/>
                <w:szCs w:val="21"/>
                <w:highlight w:val="none"/>
                <w:shd w:val="clear" w:color="auto" w:fill="FFFFFF"/>
                <w:lang w:val="en-US" w:eastAsia="zh-CN"/>
              </w:rPr>
              <w:t>3</w:t>
            </w:r>
            <w:r>
              <w:rPr>
                <w:rFonts w:hint="default" w:ascii="Times New Roman" w:hAnsi="Times New Roman" w:eastAsia="宋体" w:cs="Times New Roman"/>
                <w:b/>
                <w:bCs w:val="0"/>
                <w:color w:val="auto"/>
                <w:sz w:val="21"/>
                <w:szCs w:val="21"/>
                <w:highlight w:val="none"/>
                <w:shd w:val="clear" w:color="auto" w:fill="FFFFFF"/>
              </w:rPr>
              <w:t>-</w:t>
            </w:r>
            <w:r>
              <w:rPr>
                <w:rFonts w:hint="default" w:ascii="Times New Roman" w:hAnsi="Times New Roman" w:eastAsia="宋体" w:cs="Times New Roman"/>
                <w:b/>
                <w:bCs w:val="0"/>
                <w:color w:val="auto"/>
                <w:sz w:val="21"/>
                <w:szCs w:val="21"/>
                <w:highlight w:val="none"/>
                <w:shd w:val="clear" w:color="auto" w:fill="FFFFFF"/>
                <w:lang w:val="en-US" w:eastAsia="zh-CN"/>
              </w:rPr>
              <w:t xml:space="preserve">2 </w:t>
            </w:r>
            <w:r>
              <w:rPr>
                <w:rFonts w:hint="eastAsia" w:ascii="Times New Roman" w:hAnsi="Times New Roman" w:cs="Times New Roman"/>
                <w:b/>
                <w:bCs w:val="0"/>
                <w:color w:val="auto"/>
                <w:sz w:val="21"/>
                <w:szCs w:val="21"/>
                <w:highlight w:val="none"/>
                <w:shd w:val="clear" w:color="auto" w:fill="FFFFFF"/>
                <w:lang w:val="en-US" w:eastAsia="zh-CN"/>
              </w:rPr>
              <w:t xml:space="preserve"> TVOC</w:t>
            </w:r>
            <w:r>
              <w:rPr>
                <w:rFonts w:hint="default" w:ascii="Times New Roman" w:hAnsi="Times New Roman" w:eastAsia="宋体" w:cs="Times New Roman"/>
                <w:b/>
                <w:bCs w:val="0"/>
                <w:color w:val="auto"/>
                <w:sz w:val="21"/>
                <w:szCs w:val="21"/>
                <w:highlight w:val="none"/>
                <w:shd w:val="clear" w:color="auto" w:fill="FFFFFF"/>
                <w:lang w:val="en-US" w:eastAsia="zh-CN"/>
              </w:rPr>
              <w:t>引用</w:t>
            </w:r>
            <w:r>
              <w:rPr>
                <w:rFonts w:hint="default" w:ascii="Times New Roman" w:hAnsi="Times New Roman" w:eastAsia="宋体" w:cs="Times New Roman"/>
                <w:b/>
                <w:bCs w:val="0"/>
                <w:color w:val="auto"/>
                <w:sz w:val="21"/>
                <w:szCs w:val="21"/>
                <w:highlight w:val="none"/>
                <w:shd w:val="clear" w:color="auto" w:fill="FFFFFF"/>
              </w:rPr>
              <w:t>监测点位基本信息</w:t>
            </w:r>
          </w:p>
          <w:tbl>
            <w:tblPr>
              <w:tblStyle w:val="25"/>
              <w:tblW w:w="497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90"/>
              <w:gridCol w:w="1183"/>
              <w:gridCol w:w="1177"/>
              <w:gridCol w:w="1287"/>
              <w:gridCol w:w="1694"/>
            </w:tblGrid>
            <w:tr w14:paraId="2374C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2590" w:type="dxa"/>
                  <w:vMerge w:val="restart"/>
                  <w:noWrap w:val="0"/>
                  <w:vAlign w:val="center"/>
                </w:tcPr>
                <w:p w14:paraId="5926C3D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监测点位名称</w:t>
                  </w:r>
                </w:p>
              </w:tc>
              <w:tc>
                <w:tcPr>
                  <w:tcW w:w="2360" w:type="dxa"/>
                  <w:gridSpan w:val="2"/>
                  <w:noWrap w:val="0"/>
                  <w:vAlign w:val="center"/>
                </w:tcPr>
                <w:p w14:paraId="7745EB88">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监测点坐标</w:t>
                  </w:r>
                </w:p>
              </w:tc>
              <w:tc>
                <w:tcPr>
                  <w:tcW w:w="1287" w:type="dxa"/>
                  <w:vMerge w:val="restart"/>
                  <w:noWrap w:val="0"/>
                  <w:vAlign w:val="center"/>
                </w:tcPr>
                <w:p w14:paraId="790733EB">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监测因子</w:t>
                  </w:r>
                </w:p>
              </w:tc>
              <w:tc>
                <w:tcPr>
                  <w:tcW w:w="1694" w:type="dxa"/>
                  <w:vMerge w:val="restart"/>
                  <w:noWrap w:val="0"/>
                  <w:vAlign w:val="center"/>
                </w:tcPr>
                <w:p w14:paraId="7F97F0F9">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监测时段</w:t>
                  </w:r>
                </w:p>
              </w:tc>
            </w:tr>
            <w:tr w14:paraId="196B5F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590" w:type="dxa"/>
                  <w:vMerge w:val="continue"/>
                  <w:noWrap w:val="0"/>
                  <w:vAlign w:val="center"/>
                </w:tcPr>
                <w:p w14:paraId="345720A0">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kern w:val="0"/>
                      <w:sz w:val="21"/>
                      <w:szCs w:val="21"/>
                      <w:highlight w:val="none"/>
                    </w:rPr>
                  </w:pPr>
                </w:p>
              </w:tc>
              <w:tc>
                <w:tcPr>
                  <w:tcW w:w="1183" w:type="dxa"/>
                  <w:noWrap w:val="0"/>
                  <w:vAlign w:val="center"/>
                </w:tcPr>
                <w:p w14:paraId="29719075">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X（经度）</w:t>
                  </w:r>
                </w:p>
              </w:tc>
              <w:tc>
                <w:tcPr>
                  <w:tcW w:w="1177" w:type="dxa"/>
                  <w:noWrap w:val="0"/>
                  <w:vAlign w:val="center"/>
                </w:tcPr>
                <w:p w14:paraId="74576E73">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Y（纬度）</w:t>
                  </w:r>
                </w:p>
              </w:tc>
              <w:tc>
                <w:tcPr>
                  <w:tcW w:w="1287" w:type="dxa"/>
                  <w:vMerge w:val="continue"/>
                  <w:noWrap w:val="0"/>
                  <w:vAlign w:val="center"/>
                </w:tcPr>
                <w:p w14:paraId="6F094C07">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rPr>
                  </w:pPr>
                </w:p>
              </w:tc>
              <w:tc>
                <w:tcPr>
                  <w:tcW w:w="1694" w:type="dxa"/>
                  <w:vMerge w:val="continue"/>
                  <w:noWrap w:val="0"/>
                  <w:vAlign w:val="center"/>
                </w:tcPr>
                <w:p w14:paraId="5F2C0735">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rPr>
                  </w:pPr>
                </w:p>
              </w:tc>
            </w:tr>
            <w:tr w14:paraId="371157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90" w:type="dxa"/>
                  <w:noWrap w:val="0"/>
                  <w:vAlign w:val="center"/>
                </w:tcPr>
                <w:p w14:paraId="111B3C00">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项目所在</w:t>
                  </w:r>
                  <w:r>
                    <w:rPr>
                      <w:rFonts w:hint="eastAsia" w:cs="Times New Roman"/>
                      <w:color w:val="auto"/>
                      <w:sz w:val="21"/>
                      <w:szCs w:val="21"/>
                      <w:highlight w:val="none"/>
                      <w:lang w:val="en-US" w:eastAsia="zh-CN"/>
                    </w:rPr>
                    <w:t>地</w:t>
                  </w:r>
                </w:p>
              </w:tc>
              <w:tc>
                <w:tcPr>
                  <w:tcW w:w="1183" w:type="dxa"/>
                  <w:noWrap w:val="0"/>
                  <w:vAlign w:val="center"/>
                </w:tcPr>
                <w:p w14:paraId="3D6C6AB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1177" w:type="dxa"/>
                  <w:noWrap w:val="0"/>
                  <w:vAlign w:val="center"/>
                </w:tcPr>
                <w:p w14:paraId="10FE3CC0">
                  <w:pPr>
                    <w:keepNext w:val="0"/>
                    <w:keepLines w:val="0"/>
                    <w:suppressLineNumbers w:val="0"/>
                    <w:adjustRightInd w:val="0"/>
                    <w:snapToGrid w:val="0"/>
                    <w:spacing w:before="0" w:beforeAutospacing="0" w:after="0" w:afterAutospacing="0"/>
                    <w:ind w:left="0" w:right="-105" w:rightChars="-5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1287" w:type="dxa"/>
                  <w:noWrap w:val="0"/>
                  <w:vAlign w:val="center"/>
                </w:tcPr>
                <w:p w14:paraId="017F9016">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TVOC</w:t>
                  </w:r>
                </w:p>
              </w:tc>
              <w:tc>
                <w:tcPr>
                  <w:tcW w:w="1694" w:type="dxa"/>
                  <w:vMerge w:val="restart"/>
                  <w:noWrap w:val="0"/>
                  <w:vAlign w:val="center"/>
                </w:tcPr>
                <w:p w14:paraId="71035F31">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连续</w:t>
                  </w:r>
                  <w:r>
                    <w:rPr>
                      <w:rFonts w:hint="eastAsia" w:cs="Times New Roman"/>
                      <w:bCs/>
                      <w:color w:val="auto"/>
                      <w:kern w:val="0"/>
                      <w:sz w:val="21"/>
                      <w:szCs w:val="21"/>
                      <w:highlight w:val="none"/>
                      <w:lang w:val="en-US" w:eastAsia="zh-CN"/>
                    </w:rPr>
                    <w:t>7</w:t>
                  </w:r>
                  <w:r>
                    <w:rPr>
                      <w:rFonts w:hint="default" w:ascii="Times New Roman" w:hAnsi="Times New Roman" w:eastAsia="宋体" w:cs="Times New Roman"/>
                      <w:bCs/>
                      <w:color w:val="auto"/>
                      <w:kern w:val="0"/>
                      <w:sz w:val="21"/>
                      <w:szCs w:val="21"/>
                      <w:highlight w:val="none"/>
                    </w:rPr>
                    <w:t>d，每天</w:t>
                  </w:r>
                  <w:r>
                    <w:rPr>
                      <w:rFonts w:hint="eastAsia" w:cs="Times New Roman"/>
                      <w:bCs/>
                      <w:color w:val="auto"/>
                      <w:kern w:val="0"/>
                      <w:sz w:val="21"/>
                      <w:szCs w:val="21"/>
                      <w:highlight w:val="none"/>
                      <w:lang w:val="en-US" w:eastAsia="zh-CN"/>
                    </w:rPr>
                    <w:t>8</w:t>
                  </w:r>
                  <w:r>
                    <w:rPr>
                      <w:rFonts w:hint="default" w:ascii="Times New Roman" w:hAnsi="Times New Roman" w:eastAsia="宋体" w:cs="Times New Roman"/>
                      <w:bCs/>
                      <w:color w:val="auto"/>
                      <w:kern w:val="0"/>
                      <w:sz w:val="21"/>
                      <w:szCs w:val="21"/>
                      <w:highlight w:val="none"/>
                    </w:rPr>
                    <w:t>次</w:t>
                  </w:r>
                </w:p>
              </w:tc>
            </w:tr>
            <w:tr w14:paraId="38328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590" w:type="dxa"/>
                  <w:noWrap w:val="0"/>
                  <w:vAlign w:val="center"/>
                </w:tcPr>
                <w:p w14:paraId="705DC0F7">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2#厂区下风500米处（红旗村）</w:t>
                  </w:r>
                </w:p>
              </w:tc>
              <w:tc>
                <w:tcPr>
                  <w:tcW w:w="1183" w:type="dxa"/>
                  <w:noWrap w:val="0"/>
                  <w:vAlign w:val="center"/>
                </w:tcPr>
                <w:p w14:paraId="1DB4C43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1177" w:type="dxa"/>
                  <w:noWrap w:val="0"/>
                  <w:vAlign w:val="center"/>
                </w:tcPr>
                <w:p w14:paraId="27B092FE">
                  <w:pPr>
                    <w:keepNext w:val="0"/>
                    <w:keepLines w:val="0"/>
                    <w:suppressLineNumbers w:val="0"/>
                    <w:adjustRightInd w:val="0"/>
                    <w:snapToGrid w:val="0"/>
                    <w:spacing w:before="0" w:beforeAutospacing="0" w:after="0" w:afterAutospacing="0"/>
                    <w:ind w:left="0" w:leftChars="0" w:right="-105" w:rightChars="-5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1287" w:type="dxa"/>
                  <w:noWrap w:val="0"/>
                  <w:vAlign w:val="center"/>
                </w:tcPr>
                <w:p w14:paraId="1D5B7484">
                  <w:pPr>
                    <w:keepNext w:val="0"/>
                    <w:keepLines w:val="0"/>
                    <w:suppressLineNumbers w:val="0"/>
                    <w:adjustRightInd w:val="0"/>
                    <w:snapToGrid w:val="0"/>
                    <w:spacing w:before="0" w:beforeAutospacing="0" w:after="0" w:afterAutospacing="0"/>
                    <w:ind w:left="-105" w:leftChars="-50" w:right="-105" w:rightChars="-50"/>
                    <w:jc w:val="center"/>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TVOC</w:t>
                  </w:r>
                </w:p>
              </w:tc>
              <w:tc>
                <w:tcPr>
                  <w:tcW w:w="1694" w:type="dxa"/>
                  <w:vMerge w:val="continue"/>
                  <w:noWrap w:val="0"/>
                  <w:vAlign w:val="center"/>
                </w:tcPr>
                <w:p w14:paraId="065CC745">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rPr>
                  </w:pPr>
                </w:p>
              </w:tc>
            </w:tr>
          </w:tbl>
          <w:p w14:paraId="4648CF61">
            <w:pPr>
              <w:keepNext w:val="0"/>
              <w:keepLines w:val="0"/>
              <w:suppressLineNumbers w:val="0"/>
              <w:tabs>
                <w:tab w:val="left" w:pos="1350"/>
              </w:tabs>
              <w:autoSpaceDE w:val="0"/>
              <w:autoSpaceDN w:val="0"/>
              <w:adjustRightInd w:val="0"/>
              <w:snapToGrid w:val="0"/>
              <w:spacing w:before="0" w:beforeAutospacing="0" w:after="0" w:afterAutospacing="0" w:line="320" w:lineRule="exact"/>
              <w:ind w:left="0" w:right="0"/>
              <w:jc w:val="center"/>
              <w:rPr>
                <w:rFonts w:hint="eastAsia" w:ascii="Times New Roman" w:hAnsi="Times New Roman" w:cs="Times New Roman"/>
                <w:b/>
                <w:bCs w:val="0"/>
                <w:color w:val="auto"/>
                <w:spacing w:val="-2"/>
                <w:sz w:val="21"/>
                <w:szCs w:val="21"/>
                <w:highlight w:val="none"/>
              </w:rPr>
            </w:pPr>
            <w:r>
              <w:rPr>
                <w:rFonts w:hint="eastAsia" w:ascii="Times New Roman" w:hAnsi="Times New Roman" w:cs="Times New Roman"/>
                <w:b/>
                <w:bCs w:val="0"/>
                <w:color w:val="auto"/>
                <w:spacing w:val="-2"/>
                <w:sz w:val="21"/>
                <w:szCs w:val="21"/>
                <w:highlight w:val="none"/>
              </w:rPr>
              <w:t>表3-</w:t>
            </w:r>
            <w:r>
              <w:rPr>
                <w:rFonts w:hint="eastAsia" w:ascii="Times New Roman" w:hAnsi="Times New Roman" w:cs="Times New Roman"/>
                <w:b/>
                <w:bCs w:val="0"/>
                <w:color w:val="auto"/>
                <w:spacing w:val="-2"/>
                <w:sz w:val="21"/>
                <w:szCs w:val="21"/>
                <w:highlight w:val="none"/>
                <w:lang w:val="en-US" w:eastAsia="zh-CN"/>
              </w:rPr>
              <w:t xml:space="preserve">3 </w:t>
            </w:r>
            <w:r>
              <w:rPr>
                <w:rFonts w:hint="eastAsia" w:ascii="Times New Roman" w:hAnsi="Times New Roman" w:cs="Times New Roman"/>
                <w:b/>
                <w:bCs w:val="0"/>
                <w:color w:val="auto"/>
                <w:sz w:val="21"/>
                <w:szCs w:val="21"/>
                <w:highlight w:val="none"/>
                <w:shd w:val="clear" w:color="auto" w:fill="FFFFFF"/>
                <w:lang w:val="en-US" w:eastAsia="zh-CN"/>
              </w:rPr>
              <w:t>TVOC</w:t>
            </w:r>
            <w:r>
              <w:rPr>
                <w:rFonts w:hint="eastAsia" w:ascii="Times New Roman" w:hAnsi="Times New Roman" w:cs="Times New Roman"/>
                <w:b/>
                <w:bCs w:val="0"/>
                <w:color w:val="auto"/>
                <w:spacing w:val="-2"/>
                <w:sz w:val="21"/>
                <w:szCs w:val="21"/>
                <w:highlight w:val="none"/>
              </w:rPr>
              <w:t>环境质量现状监测结果表</w:t>
            </w:r>
          </w:p>
          <w:tbl>
            <w:tblPr>
              <w:tblStyle w:val="25"/>
              <w:tblW w:w="498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1"/>
              <w:gridCol w:w="831"/>
              <w:gridCol w:w="710"/>
              <w:gridCol w:w="930"/>
              <w:gridCol w:w="860"/>
              <w:gridCol w:w="900"/>
              <w:gridCol w:w="1161"/>
              <w:gridCol w:w="904"/>
              <w:gridCol w:w="646"/>
              <w:gridCol w:w="499"/>
            </w:tblGrid>
            <w:tr w14:paraId="703B11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11" w:type="dxa"/>
                  <w:vMerge w:val="restart"/>
                  <w:noWrap w:val="0"/>
                  <w:vAlign w:val="center"/>
                </w:tcPr>
                <w:p w14:paraId="164B7415">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监测点位</w:t>
                  </w:r>
                </w:p>
              </w:tc>
              <w:tc>
                <w:tcPr>
                  <w:tcW w:w="1541" w:type="dxa"/>
                  <w:gridSpan w:val="2"/>
                  <w:noWrap w:val="0"/>
                  <w:vAlign w:val="center"/>
                </w:tcPr>
                <w:p w14:paraId="049A97FE">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监测点坐标</w:t>
                  </w:r>
                </w:p>
              </w:tc>
              <w:tc>
                <w:tcPr>
                  <w:tcW w:w="930" w:type="dxa"/>
                  <w:vMerge w:val="restart"/>
                  <w:noWrap w:val="0"/>
                  <w:vAlign w:val="center"/>
                </w:tcPr>
                <w:p w14:paraId="5D71F9B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污染物</w:t>
                  </w:r>
                </w:p>
              </w:tc>
              <w:tc>
                <w:tcPr>
                  <w:tcW w:w="860" w:type="dxa"/>
                  <w:vMerge w:val="restart"/>
                  <w:noWrap w:val="0"/>
                  <w:vAlign w:val="center"/>
                </w:tcPr>
                <w:p w14:paraId="58B6DF95">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平均时间</w:t>
                  </w:r>
                </w:p>
              </w:tc>
              <w:tc>
                <w:tcPr>
                  <w:tcW w:w="900" w:type="dxa"/>
                  <w:vMerge w:val="restart"/>
                  <w:noWrap w:val="0"/>
                  <w:vAlign w:val="center"/>
                </w:tcPr>
                <w:p w14:paraId="264B49E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评价标准（</w:t>
                  </w:r>
                  <w:r>
                    <w:rPr>
                      <w:rFonts w:hint="default" w:ascii="Times New Roman" w:hAnsi="Times New Roman" w:cs="Times New Roman"/>
                      <w:b/>
                      <w:color w:val="auto"/>
                      <w:kern w:val="0"/>
                      <w:sz w:val="21"/>
                      <w:szCs w:val="21"/>
                      <w:highlight w:val="none"/>
                      <w:lang w:val="en-US" w:eastAsia="zh-CN"/>
                    </w:rPr>
                    <w:t>m</w:t>
                  </w:r>
                  <w:r>
                    <w:rPr>
                      <w:rFonts w:hint="default" w:ascii="Times New Roman" w:hAnsi="Times New Roman" w:eastAsia="宋体" w:cs="Times New Roman"/>
                      <w:b/>
                      <w:color w:val="auto"/>
                      <w:kern w:val="0"/>
                      <w:sz w:val="21"/>
                      <w:szCs w:val="21"/>
                      <w:highlight w:val="none"/>
                    </w:rPr>
                    <w:t>g/m</w:t>
                  </w:r>
                  <w:r>
                    <w:rPr>
                      <w:rFonts w:hint="default" w:ascii="Times New Roman" w:hAnsi="Times New Roman" w:eastAsia="宋体" w:cs="Times New Roman"/>
                      <w:b/>
                      <w:color w:val="auto"/>
                      <w:kern w:val="0"/>
                      <w:sz w:val="21"/>
                      <w:szCs w:val="21"/>
                      <w:highlight w:val="none"/>
                      <w:vertAlign w:val="superscript"/>
                    </w:rPr>
                    <w:t>3</w:t>
                  </w:r>
                  <w:r>
                    <w:rPr>
                      <w:rFonts w:hint="default" w:ascii="Times New Roman" w:hAnsi="Times New Roman" w:eastAsia="宋体" w:cs="Times New Roman"/>
                      <w:b/>
                      <w:color w:val="auto"/>
                      <w:kern w:val="0"/>
                      <w:sz w:val="21"/>
                      <w:szCs w:val="21"/>
                      <w:highlight w:val="none"/>
                    </w:rPr>
                    <w:t>）</w:t>
                  </w:r>
                </w:p>
              </w:tc>
              <w:tc>
                <w:tcPr>
                  <w:tcW w:w="1161" w:type="dxa"/>
                  <w:vMerge w:val="restart"/>
                  <w:noWrap w:val="0"/>
                  <w:vAlign w:val="center"/>
                </w:tcPr>
                <w:p w14:paraId="33F0114C">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浓度范围（</w:t>
                  </w:r>
                  <w:r>
                    <w:rPr>
                      <w:rFonts w:hint="default" w:ascii="Times New Roman" w:hAnsi="Times New Roman" w:cs="Times New Roman"/>
                      <w:b/>
                      <w:color w:val="auto"/>
                      <w:kern w:val="0"/>
                      <w:sz w:val="21"/>
                      <w:szCs w:val="21"/>
                      <w:highlight w:val="none"/>
                      <w:lang w:val="en-US" w:eastAsia="zh-CN"/>
                    </w:rPr>
                    <w:t>m</w:t>
                  </w:r>
                  <w:r>
                    <w:rPr>
                      <w:rFonts w:hint="default" w:ascii="Times New Roman" w:hAnsi="Times New Roman" w:eastAsia="宋体" w:cs="Times New Roman"/>
                      <w:b/>
                      <w:color w:val="auto"/>
                      <w:kern w:val="0"/>
                      <w:sz w:val="21"/>
                      <w:szCs w:val="21"/>
                      <w:highlight w:val="none"/>
                    </w:rPr>
                    <w:t>g/m</w:t>
                  </w:r>
                  <w:r>
                    <w:rPr>
                      <w:rFonts w:hint="default" w:ascii="Times New Roman" w:hAnsi="Times New Roman" w:eastAsia="宋体" w:cs="Times New Roman"/>
                      <w:b/>
                      <w:color w:val="auto"/>
                      <w:kern w:val="0"/>
                      <w:sz w:val="21"/>
                      <w:szCs w:val="21"/>
                      <w:highlight w:val="none"/>
                      <w:vertAlign w:val="superscript"/>
                    </w:rPr>
                    <w:t>3</w:t>
                  </w:r>
                  <w:r>
                    <w:rPr>
                      <w:rFonts w:hint="default" w:ascii="Times New Roman" w:hAnsi="Times New Roman" w:eastAsia="宋体" w:cs="Times New Roman"/>
                      <w:b/>
                      <w:color w:val="auto"/>
                      <w:kern w:val="0"/>
                      <w:sz w:val="21"/>
                      <w:szCs w:val="21"/>
                      <w:highlight w:val="none"/>
                    </w:rPr>
                    <w:t>）</w:t>
                  </w:r>
                </w:p>
              </w:tc>
              <w:tc>
                <w:tcPr>
                  <w:tcW w:w="904" w:type="dxa"/>
                  <w:vMerge w:val="restart"/>
                  <w:noWrap w:val="0"/>
                  <w:vAlign w:val="center"/>
                </w:tcPr>
                <w:p w14:paraId="20F3455C">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最大浓度占标率（%）</w:t>
                  </w:r>
                </w:p>
              </w:tc>
              <w:tc>
                <w:tcPr>
                  <w:tcW w:w="646" w:type="dxa"/>
                  <w:vMerge w:val="restart"/>
                  <w:noWrap w:val="0"/>
                  <w:vAlign w:val="center"/>
                </w:tcPr>
                <w:p w14:paraId="53806AA0">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超标率（%）</w:t>
                  </w:r>
                </w:p>
              </w:tc>
              <w:tc>
                <w:tcPr>
                  <w:tcW w:w="499" w:type="dxa"/>
                  <w:vMerge w:val="restart"/>
                  <w:noWrap w:val="0"/>
                  <w:vAlign w:val="center"/>
                </w:tcPr>
                <w:p w14:paraId="572FD0C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达标情况</w:t>
                  </w:r>
                </w:p>
              </w:tc>
            </w:tr>
            <w:tr w14:paraId="2712B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11" w:type="dxa"/>
                  <w:vMerge w:val="continue"/>
                  <w:noWrap w:val="0"/>
                  <w:vAlign w:val="center"/>
                </w:tcPr>
                <w:p w14:paraId="3E0578AE">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rPr>
                  </w:pPr>
                </w:p>
              </w:tc>
              <w:tc>
                <w:tcPr>
                  <w:tcW w:w="831" w:type="dxa"/>
                  <w:noWrap w:val="0"/>
                  <w:vAlign w:val="center"/>
                </w:tcPr>
                <w:p w14:paraId="7FCDA095">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经度</w:t>
                  </w:r>
                </w:p>
              </w:tc>
              <w:tc>
                <w:tcPr>
                  <w:tcW w:w="710" w:type="dxa"/>
                  <w:noWrap w:val="0"/>
                  <w:vAlign w:val="center"/>
                </w:tcPr>
                <w:p w14:paraId="52DEC329">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纬度</w:t>
                  </w:r>
                </w:p>
              </w:tc>
              <w:tc>
                <w:tcPr>
                  <w:tcW w:w="930" w:type="dxa"/>
                  <w:vMerge w:val="continue"/>
                  <w:noWrap w:val="0"/>
                  <w:vAlign w:val="center"/>
                </w:tcPr>
                <w:p w14:paraId="3E4CF8B7">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rPr>
                  </w:pPr>
                </w:p>
              </w:tc>
              <w:tc>
                <w:tcPr>
                  <w:tcW w:w="860" w:type="dxa"/>
                  <w:vMerge w:val="continue"/>
                  <w:noWrap w:val="0"/>
                  <w:vAlign w:val="center"/>
                </w:tcPr>
                <w:p w14:paraId="516AFD9A">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rPr>
                  </w:pPr>
                </w:p>
              </w:tc>
              <w:tc>
                <w:tcPr>
                  <w:tcW w:w="900" w:type="dxa"/>
                  <w:vMerge w:val="continue"/>
                  <w:noWrap w:val="0"/>
                  <w:vAlign w:val="center"/>
                </w:tcPr>
                <w:p w14:paraId="30D8677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rPr>
                  </w:pPr>
                </w:p>
              </w:tc>
              <w:tc>
                <w:tcPr>
                  <w:tcW w:w="1161" w:type="dxa"/>
                  <w:vMerge w:val="continue"/>
                  <w:noWrap w:val="0"/>
                  <w:vAlign w:val="center"/>
                </w:tcPr>
                <w:p w14:paraId="147348FA">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rPr>
                  </w:pPr>
                </w:p>
              </w:tc>
              <w:tc>
                <w:tcPr>
                  <w:tcW w:w="904" w:type="dxa"/>
                  <w:vMerge w:val="continue"/>
                  <w:noWrap w:val="0"/>
                  <w:vAlign w:val="center"/>
                </w:tcPr>
                <w:p w14:paraId="128239F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rPr>
                  </w:pPr>
                </w:p>
              </w:tc>
              <w:tc>
                <w:tcPr>
                  <w:tcW w:w="646" w:type="dxa"/>
                  <w:vMerge w:val="continue"/>
                  <w:noWrap w:val="0"/>
                  <w:vAlign w:val="center"/>
                </w:tcPr>
                <w:p w14:paraId="2BADAB6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rPr>
                  </w:pPr>
                </w:p>
              </w:tc>
              <w:tc>
                <w:tcPr>
                  <w:tcW w:w="499" w:type="dxa"/>
                  <w:vMerge w:val="continue"/>
                  <w:noWrap w:val="0"/>
                  <w:vAlign w:val="top"/>
                </w:tcPr>
                <w:p w14:paraId="5948FF40">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rPr>
                  </w:pPr>
                </w:p>
              </w:tc>
            </w:tr>
            <w:tr w14:paraId="721E24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11" w:type="dxa"/>
                  <w:noWrap w:val="0"/>
                  <w:vAlign w:val="center"/>
                </w:tcPr>
                <w:p w14:paraId="0D9B4527">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1</w:t>
                  </w:r>
                  <w:r>
                    <w:rPr>
                      <w:rFonts w:hint="default" w:ascii="Times New Roman" w:hAnsi="Times New Roman" w:eastAsia="宋体" w:cs="Times New Roman"/>
                      <w:bCs/>
                      <w:color w:val="auto"/>
                      <w:kern w:val="0"/>
                      <w:sz w:val="21"/>
                      <w:szCs w:val="21"/>
                      <w:highlight w:val="none"/>
                      <w:lang w:val="en-US" w:eastAsia="zh-CN"/>
                    </w:rPr>
                    <w:t>#</w:t>
                  </w:r>
                </w:p>
              </w:tc>
              <w:tc>
                <w:tcPr>
                  <w:tcW w:w="831" w:type="dxa"/>
                  <w:noWrap w:val="0"/>
                  <w:vAlign w:val="center"/>
                </w:tcPr>
                <w:p w14:paraId="1E391A9E">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w:t>
                  </w:r>
                </w:p>
              </w:tc>
              <w:tc>
                <w:tcPr>
                  <w:tcW w:w="710" w:type="dxa"/>
                  <w:noWrap w:val="0"/>
                  <w:vAlign w:val="center"/>
                </w:tcPr>
                <w:p w14:paraId="203C5251">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w:t>
                  </w:r>
                </w:p>
              </w:tc>
              <w:tc>
                <w:tcPr>
                  <w:tcW w:w="930" w:type="dxa"/>
                  <w:noWrap w:val="0"/>
                  <w:vAlign w:val="center"/>
                </w:tcPr>
                <w:p w14:paraId="634669BC">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rPr>
                  </w:pPr>
                  <w:r>
                    <w:rPr>
                      <w:rFonts w:hint="eastAsia" w:cs="Times New Roman"/>
                      <w:bCs/>
                      <w:color w:val="auto"/>
                      <w:kern w:val="0"/>
                      <w:sz w:val="21"/>
                      <w:szCs w:val="21"/>
                      <w:highlight w:val="none"/>
                      <w:lang w:val="en-US" w:eastAsia="zh-CN"/>
                    </w:rPr>
                    <w:t>TVOC</w:t>
                  </w:r>
                </w:p>
              </w:tc>
              <w:tc>
                <w:tcPr>
                  <w:tcW w:w="860" w:type="dxa"/>
                  <w:noWrap w:val="0"/>
                  <w:vAlign w:val="center"/>
                </w:tcPr>
                <w:p w14:paraId="125839F5">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8h</w:t>
                  </w:r>
                  <w:r>
                    <w:rPr>
                      <w:rFonts w:hint="default" w:ascii="Times New Roman" w:hAnsi="Times New Roman" w:eastAsia="宋体" w:cs="Times New Roman"/>
                      <w:bCs/>
                      <w:color w:val="auto"/>
                      <w:kern w:val="0"/>
                      <w:sz w:val="21"/>
                      <w:szCs w:val="21"/>
                      <w:highlight w:val="none"/>
                    </w:rPr>
                    <w:t>平均</w:t>
                  </w:r>
                </w:p>
              </w:tc>
              <w:tc>
                <w:tcPr>
                  <w:tcW w:w="900" w:type="dxa"/>
                  <w:noWrap w:val="0"/>
                  <w:vAlign w:val="center"/>
                </w:tcPr>
                <w:p w14:paraId="07F3F960">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0.6</w:t>
                  </w:r>
                </w:p>
              </w:tc>
              <w:tc>
                <w:tcPr>
                  <w:tcW w:w="1161" w:type="dxa"/>
                  <w:noWrap w:val="0"/>
                  <w:vAlign w:val="center"/>
                </w:tcPr>
                <w:p w14:paraId="707EAC36">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0.0277</w:t>
                  </w:r>
                  <w:r>
                    <w:rPr>
                      <w:rFonts w:hint="default" w:ascii="Times New Roman" w:hAnsi="Times New Roman" w:eastAsia="宋体" w:cs="Times New Roman"/>
                      <w:bCs/>
                      <w:color w:val="auto"/>
                      <w:kern w:val="0"/>
                      <w:sz w:val="21"/>
                      <w:szCs w:val="21"/>
                      <w:highlight w:val="none"/>
                      <w:lang w:val="en-US" w:eastAsia="zh-CN"/>
                    </w:rPr>
                    <w:t>～0.</w:t>
                  </w:r>
                  <w:r>
                    <w:rPr>
                      <w:rFonts w:hint="eastAsia" w:cs="Times New Roman"/>
                      <w:bCs/>
                      <w:color w:val="auto"/>
                      <w:kern w:val="0"/>
                      <w:sz w:val="21"/>
                      <w:szCs w:val="21"/>
                      <w:highlight w:val="none"/>
                      <w:lang w:val="en-US" w:eastAsia="zh-CN"/>
                    </w:rPr>
                    <w:t>0403</w:t>
                  </w:r>
                </w:p>
              </w:tc>
              <w:tc>
                <w:tcPr>
                  <w:tcW w:w="904" w:type="dxa"/>
                  <w:noWrap w:val="0"/>
                  <w:vAlign w:val="center"/>
                </w:tcPr>
                <w:p w14:paraId="40543C4A">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6</w:t>
                  </w:r>
                </w:p>
              </w:tc>
              <w:tc>
                <w:tcPr>
                  <w:tcW w:w="646" w:type="dxa"/>
                  <w:noWrap w:val="0"/>
                  <w:vAlign w:val="center"/>
                </w:tcPr>
                <w:p w14:paraId="18A7EC25">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color w:val="auto"/>
                      <w:sz w:val="21"/>
                      <w:szCs w:val="21"/>
                      <w:highlight w:val="none"/>
                    </w:rPr>
                    <w:t>0</w:t>
                  </w:r>
                </w:p>
              </w:tc>
              <w:tc>
                <w:tcPr>
                  <w:tcW w:w="499" w:type="dxa"/>
                  <w:noWrap w:val="0"/>
                  <w:vAlign w:val="center"/>
                </w:tcPr>
                <w:p w14:paraId="7AA1768B">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达标</w:t>
                  </w:r>
                </w:p>
              </w:tc>
            </w:tr>
            <w:tr w14:paraId="50079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11" w:type="dxa"/>
                  <w:noWrap w:val="0"/>
                  <w:vAlign w:val="center"/>
                </w:tcPr>
                <w:p w14:paraId="6FAB698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2#</w:t>
                  </w:r>
                </w:p>
              </w:tc>
              <w:tc>
                <w:tcPr>
                  <w:tcW w:w="831" w:type="dxa"/>
                  <w:noWrap w:val="0"/>
                  <w:vAlign w:val="center"/>
                </w:tcPr>
                <w:p w14:paraId="481DAA8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710" w:type="dxa"/>
                  <w:noWrap w:val="0"/>
                  <w:vAlign w:val="center"/>
                </w:tcPr>
                <w:p w14:paraId="3E5C9F7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930" w:type="dxa"/>
                  <w:noWrap w:val="0"/>
                  <w:vAlign w:val="center"/>
                </w:tcPr>
                <w:p w14:paraId="12FF9689">
                  <w:pPr>
                    <w:keepNext w:val="0"/>
                    <w:keepLines w:val="0"/>
                    <w:suppressLineNumbers w:val="0"/>
                    <w:adjustRightInd w:val="0"/>
                    <w:snapToGrid w:val="0"/>
                    <w:spacing w:before="0" w:beforeAutospacing="0" w:after="0" w:afterAutospacing="0"/>
                    <w:ind w:left="-105" w:leftChars="-50" w:right="-105" w:rightChars="-50"/>
                    <w:jc w:val="center"/>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TVOC</w:t>
                  </w:r>
                </w:p>
              </w:tc>
              <w:tc>
                <w:tcPr>
                  <w:tcW w:w="860" w:type="dxa"/>
                  <w:noWrap w:val="0"/>
                  <w:vAlign w:val="center"/>
                </w:tcPr>
                <w:p w14:paraId="0E7C32E6">
                  <w:pPr>
                    <w:keepNext w:val="0"/>
                    <w:keepLines w:val="0"/>
                    <w:suppressLineNumbers w:val="0"/>
                    <w:adjustRightInd w:val="0"/>
                    <w:snapToGrid w:val="0"/>
                    <w:spacing w:before="0" w:beforeAutospacing="0" w:after="0" w:afterAutospacing="0"/>
                    <w:ind w:left="-105" w:leftChars="-50" w:right="-105" w:rightChars="-5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8h</w:t>
                  </w:r>
                  <w:r>
                    <w:rPr>
                      <w:rFonts w:hint="default" w:ascii="Times New Roman" w:hAnsi="Times New Roman" w:eastAsia="宋体" w:cs="Times New Roman"/>
                      <w:bCs/>
                      <w:color w:val="auto"/>
                      <w:kern w:val="0"/>
                      <w:sz w:val="21"/>
                      <w:szCs w:val="21"/>
                      <w:highlight w:val="none"/>
                    </w:rPr>
                    <w:t>平均</w:t>
                  </w:r>
                </w:p>
              </w:tc>
              <w:tc>
                <w:tcPr>
                  <w:tcW w:w="900" w:type="dxa"/>
                  <w:noWrap w:val="0"/>
                  <w:vAlign w:val="center"/>
                </w:tcPr>
                <w:p w14:paraId="101820DD">
                  <w:pPr>
                    <w:keepNext w:val="0"/>
                    <w:keepLines w:val="0"/>
                    <w:suppressLineNumbers w:val="0"/>
                    <w:adjustRightInd w:val="0"/>
                    <w:snapToGrid w:val="0"/>
                    <w:spacing w:before="0" w:beforeAutospacing="0" w:after="0" w:afterAutospacing="0"/>
                    <w:ind w:left="-105" w:leftChars="-50" w:right="-105" w:rightChars="-5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0.6</w:t>
                  </w:r>
                </w:p>
              </w:tc>
              <w:tc>
                <w:tcPr>
                  <w:tcW w:w="1161" w:type="dxa"/>
                  <w:noWrap w:val="0"/>
                  <w:vAlign w:val="center"/>
                </w:tcPr>
                <w:p w14:paraId="040E1E70">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0.0094~0.0653</w:t>
                  </w:r>
                </w:p>
              </w:tc>
              <w:tc>
                <w:tcPr>
                  <w:tcW w:w="904" w:type="dxa"/>
                  <w:noWrap w:val="0"/>
                  <w:vAlign w:val="center"/>
                </w:tcPr>
                <w:p w14:paraId="200734F7">
                  <w:pPr>
                    <w:keepNext w:val="0"/>
                    <w:keepLines w:val="0"/>
                    <w:suppressLineNumbers w:val="0"/>
                    <w:adjustRightInd w:val="0"/>
                    <w:snapToGrid w:val="0"/>
                    <w:spacing w:before="0" w:beforeAutospacing="0" w:after="0" w:afterAutospacing="0"/>
                    <w:ind w:left="-105" w:leftChars="-50" w:right="-105" w:rightChars="-5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11</w:t>
                  </w:r>
                </w:p>
              </w:tc>
              <w:tc>
                <w:tcPr>
                  <w:tcW w:w="646" w:type="dxa"/>
                  <w:noWrap w:val="0"/>
                  <w:vAlign w:val="center"/>
                </w:tcPr>
                <w:p w14:paraId="2423E5E9">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499" w:type="dxa"/>
                  <w:noWrap w:val="0"/>
                  <w:vAlign w:val="center"/>
                </w:tcPr>
                <w:p w14:paraId="24B584F8">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达标</w:t>
                  </w:r>
                </w:p>
              </w:tc>
            </w:tr>
          </w:tbl>
          <w:p w14:paraId="770D145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由上表可知，引用监测项目TVOC在监测期间监测数据满足《环境影响评价技术导则大气环境》（HJ2.2-2018）中表D.1其他污染物空气质量浓度参考限值，无超标情况，说明项目区域TVOC环境质量良好</w:t>
            </w:r>
          </w:p>
          <w:p w14:paraId="0FCFD273">
            <w:pPr>
              <w:spacing w:line="360" w:lineRule="auto"/>
              <w:ind w:right="105" w:rightChars="50" w:firstLine="482" w:firstLineChars="200"/>
              <w:jc w:val="left"/>
              <w:rPr>
                <w:rFonts w:hint="eastAsia"/>
                <w:b/>
                <w:color w:val="auto"/>
                <w:sz w:val="24"/>
              </w:rPr>
            </w:pPr>
            <w:r>
              <w:rPr>
                <w:rFonts w:hint="eastAsia"/>
                <w:b/>
                <w:color w:val="auto"/>
                <w:sz w:val="24"/>
              </w:rPr>
              <w:t>2</w:t>
            </w:r>
            <w:r>
              <w:rPr>
                <w:b/>
                <w:color w:val="auto"/>
                <w:sz w:val="24"/>
              </w:rPr>
              <w:t>、地表水环境质量现状</w:t>
            </w:r>
          </w:p>
          <w:p w14:paraId="0E18CF5D">
            <w:pPr>
              <w:pStyle w:val="99"/>
              <w:rPr>
                <w:rFonts w:hint="eastAsia" w:ascii="Times New Roman" w:hAnsi="Times New Roman" w:eastAsia="宋体" w:cs="Times New Roman"/>
                <w:bCs w:val="0"/>
                <w:color w:val="auto"/>
                <w:kern w:val="2"/>
                <w:sz w:val="24"/>
                <w:szCs w:val="21"/>
                <w:lang w:val="en-US" w:eastAsia="zh-CN" w:bidi="ar-SA"/>
              </w:rPr>
            </w:pPr>
            <w:r>
              <w:rPr>
                <w:rFonts w:hint="eastAsia" w:ascii="Times New Roman" w:hAnsi="Times New Roman"/>
                <w:bCs/>
                <w:color w:val="auto"/>
                <w:sz w:val="24"/>
                <w:szCs w:val="24"/>
                <w:lang w:val="en-US"/>
              </w:rPr>
              <w:t>根据</w:t>
            </w:r>
            <w:r>
              <w:rPr>
                <w:rFonts w:hint="eastAsia"/>
                <w:bCs/>
                <w:color w:val="auto"/>
                <w:sz w:val="24"/>
                <w:szCs w:val="24"/>
                <w:lang w:val="en-US" w:eastAsia="zh-CN"/>
              </w:rPr>
              <w:t>遂宁市</w:t>
            </w:r>
            <w:r>
              <w:rPr>
                <w:rFonts w:hint="eastAsia" w:ascii="Times New Roman" w:hAnsi="Times New Roman"/>
                <w:bCs/>
                <w:color w:val="auto"/>
                <w:sz w:val="24"/>
                <w:szCs w:val="24"/>
                <w:lang w:val="en-US"/>
              </w:rPr>
              <w:t>生态环境局官网发布的</w:t>
            </w:r>
            <w:r>
              <w:rPr>
                <w:rFonts w:hint="eastAsia" w:ascii="Times New Roman" w:hAnsi="Times New Roman" w:eastAsia="宋体" w:cs="Times New Roman"/>
                <w:bCs w:val="0"/>
                <w:color w:val="auto"/>
                <w:kern w:val="2"/>
                <w:sz w:val="24"/>
                <w:szCs w:val="21"/>
                <w:lang w:val="en-US" w:eastAsia="zh-CN" w:bidi="ar-SA"/>
              </w:rPr>
              <w:t>遂宁市生态环境局公布的《2023年遂宁市环境质量公告》的监测数据，相关数据见下表：</w:t>
            </w:r>
            <w:bookmarkStart w:id="29" w:name="本项目位于味江河左岸街子镇忙城村9组，距离味江河13m，味江河在本项目下游约4k"/>
            <w:bookmarkEnd w:id="29"/>
            <w:bookmarkStart w:id="30" w:name="味江河街子镇段长约10km，自街子镇北部汇入崇州市，由北至南穿街子镇镇区而过，于"/>
            <w:bookmarkEnd w:id="30"/>
          </w:p>
          <w:p w14:paraId="5DEB5545">
            <w:pPr>
              <w:pStyle w:val="99"/>
              <w:keepNext w:val="0"/>
              <w:keepLines w:val="0"/>
              <w:pageBreakBefore w:val="0"/>
              <w:widowControl w:val="0"/>
              <w:kinsoku/>
              <w:wordWrap/>
              <w:overflowPunct/>
              <w:topLinePunct w:val="0"/>
              <w:autoSpaceDE/>
              <w:autoSpaceDN/>
              <w:bidi w:val="0"/>
              <w:adjustRightInd w:val="0"/>
              <w:snapToGrid w:val="0"/>
              <w:spacing w:line="240" w:lineRule="auto"/>
              <w:ind w:firstLine="422"/>
              <w:jc w:val="center"/>
              <w:textAlignment w:val="auto"/>
              <w:rPr>
                <w:b/>
                <w:bCs w:val="0"/>
                <w:color w:val="auto"/>
                <w:sz w:val="21"/>
                <w:szCs w:val="24"/>
              </w:rPr>
            </w:pPr>
            <w:r>
              <w:rPr>
                <w:rFonts w:hint="eastAsia"/>
                <w:b/>
                <w:bCs w:val="0"/>
                <w:color w:val="auto"/>
                <w:sz w:val="21"/>
                <w:szCs w:val="24"/>
              </w:rPr>
              <w:t>表</w:t>
            </w:r>
            <w:r>
              <w:rPr>
                <w:b/>
                <w:bCs w:val="0"/>
                <w:color w:val="auto"/>
                <w:sz w:val="21"/>
                <w:szCs w:val="24"/>
              </w:rPr>
              <w:t>3-</w:t>
            </w:r>
            <w:r>
              <w:rPr>
                <w:rFonts w:hint="eastAsia"/>
                <w:b/>
                <w:bCs w:val="0"/>
                <w:color w:val="auto"/>
                <w:sz w:val="21"/>
                <w:szCs w:val="24"/>
                <w:lang w:val="en-US" w:eastAsia="zh-CN"/>
              </w:rPr>
              <w:t>4</w:t>
            </w:r>
            <w:r>
              <w:rPr>
                <w:b/>
                <w:bCs w:val="0"/>
                <w:color w:val="auto"/>
                <w:sz w:val="21"/>
                <w:szCs w:val="24"/>
              </w:rPr>
              <w:t xml:space="preserve">  202</w:t>
            </w:r>
            <w:r>
              <w:rPr>
                <w:rFonts w:hint="eastAsia"/>
                <w:b/>
                <w:bCs w:val="0"/>
                <w:color w:val="auto"/>
                <w:sz w:val="21"/>
                <w:szCs w:val="24"/>
                <w:lang w:val="en-US" w:eastAsia="zh-CN"/>
              </w:rPr>
              <w:t>3</w:t>
            </w:r>
            <w:r>
              <w:rPr>
                <w:rFonts w:hint="eastAsia"/>
                <w:b/>
                <w:bCs w:val="0"/>
                <w:color w:val="auto"/>
                <w:sz w:val="21"/>
                <w:szCs w:val="24"/>
              </w:rPr>
              <w:t>年遂宁市河流水质评价结果表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469"/>
              <w:gridCol w:w="1191"/>
              <w:gridCol w:w="1987"/>
              <w:gridCol w:w="531"/>
              <w:gridCol w:w="795"/>
              <w:gridCol w:w="796"/>
              <w:gridCol w:w="1206"/>
            </w:tblGrid>
            <w:tr w14:paraId="0B31BD2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624" w:hRule="atLeast"/>
                <w:jc w:val="center"/>
              </w:trPr>
              <w:tc>
                <w:tcPr>
                  <w:tcW w:w="921" w:type="pct"/>
                  <w:tcBorders>
                    <w:tl2br w:val="nil"/>
                    <w:tr2bl w:val="nil"/>
                  </w:tcBorders>
                  <w:noWrap w:val="0"/>
                  <w:vAlign w:val="center"/>
                </w:tcPr>
                <w:p w14:paraId="6FD5031D">
                  <w:pPr>
                    <w:pStyle w:val="10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断面名称</w:t>
                  </w:r>
                </w:p>
              </w:tc>
              <w:tc>
                <w:tcPr>
                  <w:tcW w:w="747" w:type="pct"/>
                  <w:tcBorders>
                    <w:tl2br w:val="nil"/>
                    <w:tr2bl w:val="nil"/>
                  </w:tcBorders>
                  <w:noWrap w:val="0"/>
                  <w:vAlign w:val="center"/>
                </w:tcPr>
                <w:p w14:paraId="582B4867">
                  <w:pPr>
                    <w:pStyle w:val="10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所在地</w:t>
                  </w:r>
                </w:p>
              </w:tc>
              <w:tc>
                <w:tcPr>
                  <w:tcW w:w="1246" w:type="pct"/>
                  <w:tcBorders>
                    <w:tl2br w:val="nil"/>
                    <w:tr2bl w:val="nil"/>
                  </w:tcBorders>
                  <w:noWrap w:val="0"/>
                  <w:vAlign w:val="center"/>
                </w:tcPr>
                <w:p w14:paraId="185F75FF">
                  <w:pPr>
                    <w:pStyle w:val="10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断面类别</w:t>
                  </w:r>
                </w:p>
              </w:tc>
              <w:tc>
                <w:tcPr>
                  <w:tcW w:w="333" w:type="pct"/>
                  <w:tcBorders>
                    <w:tl2br w:val="nil"/>
                    <w:tr2bl w:val="nil"/>
                  </w:tcBorders>
                  <w:noWrap w:val="0"/>
                  <w:vAlign w:val="center"/>
                </w:tcPr>
                <w:p w14:paraId="7892C798">
                  <w:pPr>
                    <w:pStyle w:val="10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规定类别</w:t>
                  </w:r>
                </w:p>
              </w:tc>
              <w:tc>
                <w:tcPr>
                  <w:tcW w:w="498" w:type="pct"/>
                  <w:tcBorders>
                    <w:tl2br w:val="nil"/>
                    <w:tr2bl w:val="nil"/>
                  </w:tcBorders>
                  <w:noWrap w:val="0"/>
                  <w:vAlign w:val="center"/>
                </w:tcPr>
                <w:p w14:paraId="7187DF22">
                  <w:pPr>
                    <w:pStyle w:val="10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上年度类别</w:t>
                  </w:r>
                </w:p>
              </w:tc>
              <w:tc>
                <w:tcPr>
                  <w:tcW w:w="499" w:type="pct"/>
                  <w:tcBorders>
                    <w:tl2br w:val="nil"/>
                    <w:tr2bl w:val="nil"/>
                  </w:tcBorders>
                  <w:noWrap w:val="0"/>
                  <w:vAlign w:val="center"/>
                </w:tcPr>
                <w:p w14:paraId="3329FFD4">
                  <w:pPr>
                    <w:pStyle w:val="10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本年度类别</w:t>
                  </w:r>
                </w:p>
              </w:tc>
              <w:tc>
                <w:tcPr>
                  <w:tcW w:w="756" w:type="pct"/>
                  <w:tcBorders>
                    <w:tl2br w:val="nil"/>
                    <w:tr2bl w:val="nil"/>
                  </w:tcBorders>
                  <w:noWrap w:val="0"/>
                  <w:vAlign w:val="center"/>
                </w:tcPr>
                <w:p w14:paraId="2CFDA385">
                  <w:pPr>
                    <w:pStyle w:val="10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主要污染指标/超标倍数</w:t>
                  </w:r>
                </w:p>
              </w:tc>
            </w:tr>
            <w:tr w14:paraId="6296F4C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1" w:type="pct"/>
                  <w:tcBorders>
                    <w:tl2br w:val="nil"/>
                    <w:tr2bl w:val="nil"/>
                  </w:tcBorders>
                  <w:noWrap w:val="0"/>
                  <w:vAlign w:val="center"/>
                </w:tcPr>
                <w:p w14:paraId="60BEA2F7">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红江渡口</w:t>
                  </w:r>
                </w:p>
              </w:tc>
              <w:tc>
                <w:tcPr>
                  <w:tcW w:w="747" w:type="pct"/>
                  <w:tcBorders>
                    <w:tl2br w:val="nil"/>
                    <w:tr2bl w:val="nil"/>
                  </w:tcBorders>
                  <w:noWrap w:val="0"/>
                  <w:vAlign w:val="center"/>
                </w:tcPr>
                <w:p w14:paraId="5C5BE114">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蓬溪县</w:t>
                  </w:r>
                </w:p>
              </w:tc>
              <w:tc>
                <w:tcPr>
                  <w:tcW w:w="1246" w:type="pct"/>
                  <w:tcBorders>
                    <w:tl2br w:val="nil"/>
                    <w:tr2bl w:val="nil"/>
                  </w:tcBorders>
                  <w:noWrap w:val="0"/>
                  <w:vAlign w:val="center"/>
                </w:tcPr>
                <w:p w14:paraId="49CF10A6">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国控</w:t>
                  </w:r>
                </w:p>
              </w:tc>
              <w:tc>
                <w:tcPr>
                  <w:tcW w:w="333" w:type="pct"/>
                  <w:tcBorders>
                    <w:tl2br w:val="nil"/>
                    <w:tr2bl w:val="nil"/>
                  </w:tcBorders>
                  <w:noWrap w:val="0"/>
                  <w:vAlign w:val="center"/>
                </w:tcPr>
                <w:p w14:paraId="22C2BF79">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498" w:type="pct"/>
                  <w:tcBorders>
                    <w:tl2br w:val="nil"/>
                    <w:tr2bl w:val="nil"/>
                  </w:tcBorders>
                  <w:noWrap w:val="0"/>
                  <w:vAlign w:val="center"/>
                </w:tcPr>
                <w:p w14:paraId="19F4C7CF">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499" w:type="pct"/>
                  <w:tcBorders>
                    <w:tl2br w:val="nil"/>
                    <w:tr2bl w:val="nil"/>
                  </w:tcBorders>
                  <w:noWrap w:val="0"/>
                  <w:vAlign w:val="center"/>
                </w:tcPr>
                <w:p w14:paraId="21D74DA3">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756" w:type="pct"/>
                  <w:tcBorders>
                    <w:tl2br w:val="nil"/>
                    <w:tr2bl w:val="nil"/>
                  </w:tcBorders>
                  <w:noWrap w:val="0"/>
                  <w:vAlign w:val="center"/>
                </w:tcPr>
                <w:p w14:paraId="30501631">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215CD3C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1" w:type="pct"/>
                  <w:tcBorders>
                    <w:tl2br w:val="nil"/>
                    <w:tr2bl w:val="nil"/>
                  </w:tcBorders>
                  <w:noWrap w:val="0"/>
                  <w:vAlign w:val="center"/>
                </w:tcPr>
                <w:p w14:paraId="1223881F">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玉溪</w:t>
                  </w:r>
                </w:p>
              </w:tc>
              <w:tc>
                <w:tcPr>
                  <w:tcW w:w="747" w:type="pct"/>
                  <w:tcBorders>
                    <w:tl2br w:val="nil"/>
                    <w:tr2bl w:val="nil"/>
                  </w:tcBorders>
                  <w:noWrap w:val="0"/>
                  <w:vAlign w:val="center"/>
                </w:tcPr>
                <w:p w14:paraId="3DB4EFE4">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重庆潼南</w:t>
                  </w:r>
                </w:p>
              </w:tc>
              <w:tc>
                <w:tcPr>
                  <w:tcW w:w="1246" w:type="pct"/>
                  <w:tcBorders>
                    <w:tl2br w:val="nil"/>
                    <w:tr2bl w:val="nil"/>
                  </w:tcBorders>
                  <w:noWrap w:val="0"/>
                  <w:vAlign w:val="center"/>
                </w:tcPr>
                <w:p w14:paraId="7440737C">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国控</w:t>
                  </w:r>
                </w:p>
              </w:tc>
              <w:tc>
                <w:tcPr>
                  <w:tcW w:w="333" w:type="pct"/>
                  <w:tcBorders>
                    <w:tl2br w:val="nil"/>
                    <w:tr2bl w:val="nil"/>
                  </w:tcBorders>
                  <w:noWrap w:val="0"/>
                  <w:vAlign w:val="center"/>
                </w:tcPr>
                <w:p w14:paraId="028D2EC4">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498" w:type="pct"/>
                  <w:tcBorders>
                    <w:tl2br w:val="nil"/>
                    <w:tr2bl w:val="nil"/>
                  </w:tcBorders>
                  <w:noWrap w:val="0"/>
                  <w:vAlign w:val="center"/>
                </w:tcPr>
                <w:p w14:paraId="5B61EAC8">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499" w:type="pct"/>
                  <w:tcBorders>
                    <w:tl2br w:val="nil"/>
                    <w:tr2bl w:val="nil"/>
                  </w:tcBorders>
                  <w:noWrap w:val="0"/>
                  <w:vAlign w:val="center"/>
                </w:tcPr>
                <w:p w14:paraId="7F7A895E">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756" w:type="pct"/>
                  <w:tcBorders>
                    <w:tl2br w:val="nil"/>
                    <w:tr2bl w:val="nil"/>
                  </w:tcBorders>
                  <w:noWrap w:val="0"/>
                  <w:vAlign w:val="center"/>
                </w:tcPr>
                <w:p w14:paraId="046D355C">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48D83F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1" w:type="pct"/>
                  <w:tcBorders>
                    <w:tl2br w:val="nil"/>
                    <w:tr2bl w:val="nil"/>
                  </w:tcBorders>
                  <w:noWrap w:val="0"/>
                  <w:vAlign w:val="center"/>
                </w:tcPr>
                <w:p w14:paraId="185C6E14">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跑马滩</w:t>
                  </w:r>
                </w:p>
              </w:tc>
              <w:tc>
                <w:tcPr>
                  <w:tcW w:w="747" w:type="pct"/>
                  <w:tcBorders>
                    <w:tl2br w:val="nil"/>
                    <w:tr2bl w:val="nil"/>
                  </w:tcBorders>
                  <w:noWrap w:val="0"/>
                  <w:vAlign w:val="center"/>
                </w:tcPr>
                <w:p w14:paraId="3D258615">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安居区</w:t>
                  </w:r>
                </w:p>
              </w:tc>
              <w:tc>
                <w:tcPr>
                  <w:tcW w:w="1246" w:type="pct"/>
                  <w:tcBorders>
                    <w:tl2br w:val="nil"/>
                    <w:tr2bl w:val="nil"/>
                  </w:tcBorders>
                  <w:noWrap w:val="0"/>
                  <w:vAlign w:val="center"/>
                </w:tcPr>
                <w:p w14:paraId="2D307CAC">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国控</w:t>
                  </w:r>
                </w:p>
              </w:tc>
              <w:tc>
                <w:tcPr>
                  <w:tcW w:w="333" w:type="pct"/>
                  <w:tcBorders>
                    <w:tl2br w:val="nil"/>
                    <w:tr2bl w:val="nil"/>
                  </w:tcBorders>
                  <w:noWrap w:val="0"/>
                  <w:vAlign w:val="center"/>
                </w:tcPr>
                <w:p w14:paraId="6D3D3439">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498" w:type="pct"/>
                  <w:tcBorders>
                    <w:tl2br w:val="nil"/>
                    <w:tr2bl w:val="nil"/>
                  </w:tcBorders>
                  <w:noWrap w:val="0"/>
                  <w:vAlign w:val="center"/>
                </w:tcPr>
                <w:p w14:paraId="05DE7772">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499" w:type="pct"/>
                  <w:tcBorders>
                    <w:tl2br w:val="nil"/>
                    <w:tr2bl w:val="nil"/>
                  </w:tcBorders>
                  <w:noWrap w:val="0"/>
                  <w:vAlign w:val="center"/>
                </w:tcPr>
                <w:p w14:paraId="2ECD3486">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756" w:type="pct"/>
                  <w:tcBorders>
                    <w:tl2br w:val="nil"/>
                    <w:tr2bl w:val="nil"/>
                  </w:tcBorders>
                  <w:noWrap w:val="0"/>
                  <w:vAlign w:val="center"/>
                </w:tcPr>
                <w:p w14:paraId="246990FF">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7913FB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1" w:type="pct"/>
                  <w:tcBorders>
                    <w:tl2br w:val="nil"/>
                    <w:tr2bl w:val="nil"/>
                  </w:tcBorders>
                  <w:noWrap w:val="0"/>
                  <w:vAlign w:val="center"/>
                </w:tcPr>
                <w:p w14:paraId="244922F4">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大安</w:t>
                  </w:r>
                </w:p>
              </w:tc>
              <w:tc>
                <w:tcPr>
                  <w:tcW w:w="747" w:type="pct"/>
                  <w:tcBorders>
                    <w:tl2br w:val="nil"/>
                    <w:tr2bl w:val="nil"/>
                  </w:tcBorders>
                  <w:noWrap w:val="0"/>
                  <w:vAlign w:val="center"/>
                </w:tcPr>
                <w:p w14:paraId="1841057A">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安居区</w:t>
                  </w:r>
                </w:p>
              </w:tc>
              <w:tc>
                <w:tcPr>
                  <w:tcW w:w="1246" w:type="pct"/>
                  <w:tcBorders>
                    <w:tl2br w:val="nil"/>
                    <w:tr2bl w:val="nil"/>
                  </w:tcBorders>
                  <w:noWrap w:val="0"/>
                  <w:vAlign w:val="center"/>
                </w:tcPr>
                <w:p w14:paraId="30A4243D">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国控</w:t>
                  </w:r>
                </w:p>
              </w:tc>
              <w:tc>
                <w:tcPr>
                  <w:tcW w:w="333" w:type="pct"/>
                  <w:tcBorders>
                    <w:tl2br w:val="nil"/>
                    <w:tr2bl w:val="nil"/>
                  </w:tcBorders>
                  <w:noWrap w:val="0"/>
                  <w:vAlign w:val="center"/>
                </w:tcPr>
                <w:p w14:paraId="7A615B90">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498" w:type="pct"/>
                  <w:tcBorders>
                    <w:tl2br w:val="nil"/>
                    <w:tr2bl w:val="nil"/>
                  </w:tcBorders>
                  <w:noWrap w:val="0"/>
                  <w:vAlign w:val="center"/>
                </w:tcPr>
                <w:p w14:paraId="158FB85E">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499" w:type="pct"/>
                  <w:tcBorders>
                    <w:tl2br w:val="nil"/>
                    <w:tr2bl w:val="nil"/>
                  </w:tcBorders>
                  <w:noWrap w:val="0"/>
                  <w:vAlign w:val="center"/>
                </w:tcPr>
                <w:p w14:paraId="2D74277E">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756" w:type="pct"/>
                  <w:tcBorders>
                    <w:tl2br w:val="nil"/>
                    <w:tr2bl w:val="nil"/>
                  </w:tcBorders>
                  <w:noWrap w:val="0"/>
                  <w:vAlign w:val="center"/>
                </w:tcPr>
                <w:p w14:paraId="731BA71C">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064B820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1" w:type="pct"/>
                  <w:tcBorders>
                    <w:tl2br w:val="nil"/>
                    <w:tr2bl w:val="nil"/>
                  </w:tcBorders>
                  <w:noWrap w:val="0"/>
                  <w:vAlign w:val="center"/>
                </w:tcPr>
                <w:p w14:paraId="1BEE5BA3">
                  <w:pPr>
                    <w:pStyle w:val="10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郪江口</w:t>
                  </w:r>
                </w:p>
              </w:tc>
              <w:tc>
                <w:tcPr>
                  <w:tcW w:w="747" w:type="pct"/>
                  <w:tcBorders>
                    <w:tl2br w:val="nil"/>
                    <w:tr2bl w:val="nil"/>
                  </w:tcBorders>
                  <w:noWrap w:val="0"/>
                  <w:vAlign w:val="center"/>
                </w:tcPr>
                <w:p w14:paraId="63E602B0">
                  <w:pPr>
                    <w:pStyle w:val="10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大英县</w:t>
                  </w:r>
                </w:p>
              </w:tc>
              <w:tc>
                <w:tcPr>
                  <w:tcW w:w="1246" w:type="pct"/>
                  <w:tcBorders>
                    <w:tl2br w:val="nil"/>
                    <w:tr2bl w:val="nil"/>
                  </w:tcBorders>
                  <w:noWrap w:val="0"/>
                  <w:vAlign w:val="center"/>
                </w:tcPr>
                <w:p w14:paraId="78528D98">
                  <w:pPr>
                    <w:pStyle w:val="10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国控</w:t>
                  </w:r>
                </w:p>
              </w:tc>
              <w:tc>
                <w:tcPr>
                  <w:tcW w:w="333" w:type="pct"/>
                  <w:tcBorders>
                    <w:tl2br w:val="nil"/>
                    <w:tr2bl w:val="nil"/>
                  </w:tcBorders>
                  <w:noWrap w:val="0"/>
                  <w:vAlign w:val="center"/>
                </w:tcPr>
                <w:p w14:paraId="6D05B794">
                  <w:pPr>
                    <w:pStyle w:val="10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Ⅲ</w:t>
                  </w:r>
                </w:p>
              </w:tc>
              <w:tc>
                <w:tcPr>
                  <w:tcW w:w="498" w:type="pct"/>
                  <w:tcBorders>
                    <w:tl2br w:val="nil"/>
                    <w:tr2bl w:val="nil"/>
                  </w:tcBorders>
                  <w:noWrap w:val="0"/>
                  <w:vAlign w:val="center"/>
                </w:tcPr>
                <w:p w14:paraId="172EDE0D">
                  <w:pPr>
                    <w:pStyle w:val="10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Ⅲ</w:t>
                  </w:r>
                </w:p>
              </w:tc>
              <w:tc>
                <w:tcPr>
                  <w:tcW w:w="499" w:type="pct"/>
                  <w:tcBorders>
                    <w:tl2br w:val="nil"/>
                    <w:tr2bl w:val="nil"/>
                  </w:tcBorders>
                  <w:noWrap w:val="0"/>
                  <w:vAlign w:val="center"/>
                </w:tcPr>
                <w:p w14:paraId="589D304A">
                  <w:pPr>
                    <w:pStyle w:val="10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Ⅲ</w:t>
                  </w:r>
                </w:p>
              </w:tc>
              <w:tc>
                <w:tcPr>
                  <w:tcW w:w="756" w:type="pct"/>
                  <w:tcBorders>
                    <w:tl2br w:val="nil"/>
                    <w:tr2bl w:val="nil"/>
                  </w:tcBorders>
                  <w:noWrap w:val="0"/>
                  <w:vAlign w:val="center"/>
                </w:tcPr>
                <w:p w14:paraId="373846CE">
                  <w:pPr>
                    <w:pStyle w:val="10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w:t>
                  </w:r>
                </w:p>
              </w:tc>
            </w:tr>
            <w:tr w14:paraId="25DFFEC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1" w:type="pct"/>
                  <w:tcBorders>
                    <w:tl2br w:val="nil"/>
                    <w:tr2bl w:val="nil"/>
                  </w:tcBorders>
                  <w:noWrap w:val="0"/>
                  <w:vAlign w:val="center"/>
                </w:tcPr>
                <w:p w14:paraId="7400A913">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梓江大桥</w:t>
                  </w:r>
                </w:p>
              </w:tc>
              <w:tc>
                <w:tcPr>
                  <w:tcW w:w="747" w:type="pct"/>
                  <w:tcBorders>
                    <w:tl2br w:val="nil"/>
                    <w:tr2bl w:val="nil"/>
                  </w:tcBorders>
                  <w:noWrap w:val="0"/>
                  <w:vAlign w:val="center"/>
                </w:tcPr>
                <w:p w14:paraId="29BEA3AE">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射洪市</w:t>
                  </w:r>
                </w:p>
              </w:tc>
              <w:tc>
                <w:tcPr>
                  <w:tcW w:w="1246" w:type="pct"/>
                  <w:tcBorders>
                    <w:tl2br w:val="nil"/>
                    <w:tr2bl w:val="nil"/>
                  </w:tcBorders>
                  <w:noWrap w:val="0"/>
                  <w:vAlign w:val="center"/>
                </w:tcPr>
                <w:p w14:paraId="2D337668">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国控</w:t>
                  </w:r>
                </w:p>
              </w:tc>
              <w:tc>
                <w:tcPr>
                  <w:tcW w:w="333" w:type="pct"/>
                  <w:tcBorders>
                    <w:tl2br w:val="nil"/>
                    <w:tr2bl w:val="nil"/>
                  </w:tcBorders>
                  <w:noWrap w:val="0"/>
                  <w:vAlign w:val="center"/>
                </w:tcPr>
                <w:p w14:paraId="69BC5298">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498" w:type="pct"/>
                  <w:tcBorders>
                    <w:tl2br w:val="nil"/>
                    <w:tr2bl w:val="nil"/>
                  </w:tcBorders>
                  <w:noWrap w:val="0"/>
                  <w:vAlign w:val="center"/>
                </w:tcPr>
                <w:p w14:paraId="452EBA71">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499" w:type="pct"/>
                  <w:tcBorders>
                    <w:tl2br w:val="nil"/>
                    <w:tr2bl w:val="nil"/>
                  </w:tcBorders>
                  <w:noWrap w:val="0"/>
                  <w:vAlign w:val="center"/>
                </w:tcPr>
                <w:p w14:paraId="25FD9803">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756" w:type="pct"/>
                  <w:tcBorders>
                    <w:tl2br w:val="nil"/>
                    <w:tr2bl w:val="nil"/>
                  </w:tcBorders>
                  <w:noWrap w:val="0"/>
                  <w:vAlign w:val="center"/>
                </w:tcPr>
                <w:p w14:paraId="00AC96E1">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5BA5226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1" w:type="pct"/>
                  <w:tcBorders>
                    <w:tl2br w:val="nil"/>
                    <w:tr2bl w:val="nil"/>
                  </w:tcBorders>
                  <w:noWrap w:val="0"/>
                  <w:vAlign w:val="center"/>
                </w:tcPr>
                <w:p w14:paraId="77BFC23E">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白鹤桥</w:t>
                  </w:r>
                </w:p>
              </w:tc>
              <w:tc>
                <w:tcPr>
                  <w:tcW w:w="747" w:type="pct"/>
                  <w:tcBorders>
                    <w:tl2br w:val="nil"/>
                    <w:tr2bl w:val="nil"/>
                  </w:tcBorders>
                  <w:noWrap w:val="0"/>
                  <w:vAlign w:val="center"/>
                </w:tcPr>
                <w:p w14:paraId="5C4463A5">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安居区</w:t>
                  </w:r>
                </w:p>
              </w:tc>
              <w:tc>
                <w:tcPr>
                  <w:tcW w:w="1246" w:type="pct"/>
                  <w:tcBorders>
                    <w:tl2br w:val="nil"/>
                    <w:tr2bl w:val="nil"/>
                  </w:tcBorders>
                  <w:noWrap w:val="0"/>
                  <w:vAlign w:val="center"/>
                </w:tcPr>
                <w:p w14:paraId="6A69F9FB">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省控（长江经济带）</w:t>
                  </w:r>
                </w:p>
              </w:tc>
              <w:tc>
                <w:tcPr>
                  <w:tcW w:w="333" w:type="pct"/>
                  <w:tcBorders>
                    <w:tl2br w:val="nil"/>
                    <w:tr2bl w:val="nil"/>
                  </w:tcBorders>
                  <w:noWrap w:val="0"/>
                  <w:vAlign w:val="center"/>
                </w:tcPr>
                <w:p w14:paraId="1A34F4C5">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498" w:type="pct"/>
                  <w:tcBorders>
                    <w:tl2br w:val="nil"/>
                    <w:tr2bl w:val="nil"/>
                  </w:tcBorders>
                  <w:noWrap w:val="0"/>
                  <w:vAlign w:val="center"/>
                </w:tcPr>
                <w:p w14:paraId="40D310AB">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Ⅳ</w:t>
                  </w:r>
                </w:p>
              </w:tc>
              <w:tc>
                <w:tcPr>
                  <w:tcW w:w="499" w:type="pct"/>
                  <w:tcBorders>
                    <w:tl2br w:val="nil"/>
                    <w:tr2bl w:val="nil"/>
                  </w:tcBorders>
                  <w:noWrap w:val="0"/>
                  <w:vAlign w:val="center"/>
                </w:tcPr>
                <w:p w14:paraId="2CE9E041">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756" w:type="pct"/>
                  <w:tcBorders>
                    <w:tl2br w:val="nil"/>
                    <w:tr2bl w:val="nil"/>
                  </w:tcBorders>
                  <w:noWrap w:val="0"/>
                  <w:vAlign w:val="center"/>
                </w:tcPr>
                <w:p w14:paraId="367A4F61">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6B801DA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1" w:type="pct"/>
                  <w:tcBorders>
                    <w:tl2br w:val="nil"/>
                    <w:tr2bl w:val="nil"/>
                  </w:tcBorders>
                  <w:noWrap w:val="0"/>
                  <w:vAlign w:val="center"/>
                </w:tcPr>
                <w:p w14:paraId="7DAC0846">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涪山坝</w:t>
                  </w:r>
                </w:p>
              </w:tc>
              <w:tc>
                <w:tcPr>
                  <w:tcW w:w="747" w:type="pct"/>
                  <w:tcBorders>
                    <w:tl2br w:val="nil"/>
                    <w:tr2bl w:val="nil"/>
                  </w:tcBorders>
                  <w:noWrap w:val="0"/>
                  <w:vAlign w:val="center"/>
                </w:tcPr>
                <w:p w14:paraId="7F6B79F6">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蓬溪县</w:t>
                  </w:r>
                </w:p>
              </w:tc>
              <w:tc>
                <w:tcPr>
                  <w:tcW w:w="1246" w:type="pct"/>
                  <w:tcBorders>
                    <w:tl2br w:val="nil"/>
                    <w:tr2bl w:val="nil"/>
                  </w:tcBorders>
                  <w:noWrap w:val="0"/>
                  <w:vAlign w:val="center"/>
                </w:tcPr>
                <w:p w14:paraId="51953E8A">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省控（长江经济带）</w:t>
                  </w:r>
                </w:p>
              </w:tc>
              <w:tc>
                <w:tcPr>
                  <w:tcW w:w="333" w:type="pct"/>
                  <w:tcBorders>
                    <w:tl2br w:val="nil"/>
                    <w:tr2bl w:val="nil"/>
                  </w:tcBorders>
                  <w:noWrap w:val="0"/>
                  <w:vAlign w:val="center"/>
                </w:tcPr>
                <w:p w14:paraId="42EFD549">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498" w:type="pct"/>
                  <w:tcBorders>
                    <w:tl2br w:val="nil"/>
                    <w:tr2bl w:val="nil"/>
                  </w:tcBorders>
                  <w:noWrap w:val="0"/>
                  <w:vAlign w:val="center"/>
                </w:tcPr>
                <w:p w14:paraId="6FBD0887">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499" w:type="pct"/>
                  <w:tcBorders>
                    <w:tl2br w:val="nil"/>
                    <w:tr2bl w:val="nil"/>
                  </w:tcBorders>
                  <w:noWrap w:val="0"/>
                  <w:vAlign w:val="center"/>
                </w:tcPr>
                <w:p w14:paraId="407D64CF">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756" w:type="pct"/>
                  <w:tcBorders>
                    <w:tl2br w:val="nil"/>
                    <w:tr2bl w:val="nil"/>
                  </w:tcBorders>
                  <w:noWrap w:val="0"/>
                  <w:vAlign w:val="center"/>
                </w:tcPr>
                <w:p w14:paraId="75772451">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31C4F15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1" w:type="pct"/>
                  <w:tcBorders>
                    <w:tl2br w:val="nil"/>
                    <w:tr2bl w:val="nil"/>
                  </w:tcBorders>
                  <w:noWrap w:val="0"/>
                  <w:vAlign w:val="center"/>
                </w:tcPr>
                <w:p w14:paraId="1F495D32">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米家桥</w:t>
                  </w:r>
                </w:p>
              </w:tc>
              <w:tc>
                <w:tcPr>
                  <w:tcW w:w="747" w:type="pct"/>
                  <w:tcBorders>
                    <w:tl2br w:val="nil"/>
                    <w:tr2bl w:val="nil"/>
                  </w:tcBorders>
                  <w:noWrap w:val="0"/>
                  <w:vAlign w:val="center"/>
                </w:tcPr>
                <w:p w14:paraId="6517BB36">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船山区</w:t>
                  </w:r>
                </w:p>
              </w:tc>
              <w:tc>
                <w:tcPr>
                  <w:tcW w:w="1246" w:type="pct"/>
                  <w:tcBorders>
                    <w:tl2br w:val="nil"/>
                    <w:tr2bl w:val="nil"/>
                  </w:tcBorders>
                  <w:noWrap w:val="0"/>
                  <w:vAlign w:val="center"/>
                </w:tcPr>
                <w:p w14:paraId="72A4FFA6">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省控（长江经济带）</w:t>
                  </w:r>
                </w:p>
              </w:tc>
              <w:tc>
                <w:tcPr>
                  <w:tcW w:w="333" w:type="pct"/>
                  <w:tcBorders>
                    <w:tl2br w:val="nil"/>
                    <w:tr2bl w:val="nil"/>
                  </w:tcBorders>
                  <w:noWrap w:val="0"/>
                  <w:vAlign w:val="center"/>
                </w:tcPr>
                <w:p w14:paraId="013B4F5F">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498" w:type="pct"/>
                  <w:tcBorders>
                    <w:tl2br w:val="nil"/>
                    <w:tr2bl w:val="nil"/>
                  </w:tcBorders>
                  <w:noWrap w:val="0"/>
                  <w:vAlign w:val="center"/>
                </w:tcPr>
                <w:p w14:paraId="753F877D">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499" w:type="pct"/>
                  <w:tcBorders>
                    <w:tl2br w:val="nil"/>
                    <w:tr2bl w:val="nil"/>
                  </w:tcBorders>
                  <w:noWrap w:val="0"/>
                  <w:vAlign w:val="center"/>
                </w:tcPr>
                <w:p w14:paraId="72389901">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756" w:type="pct"/>
                  <w:tcBorders>
                    <w:tl2br w:val="nil"/>
                    <w:tr2bl w:val="nil"/>
                  </w:tcBorders>
                  <w:noWrap w:val="0"/>
                  <w:vAlign w:val="center"/>
                </w:tcPr>
                <w:p w14:paraId="3AD2CB64">
                  <w:pPr>
                    <w:pStyle w:val="1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273E0D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000" w:type="pct"/>
                  <w:gridSpan w:val="7"/>
                  <w:tcBorders>
                    <w:tl2br w:val="nil"/>
                    <w:tr2bl w:val="nil"/>
                  </w:tcBorders>
                  <w:noWrap w:val="0"/>
                  <w:vAlign w:val="center"/>
                </w:tcPr>
                <w:p w14:paraId="0B2F13B1">
                  <w:pPr>
                    <w:pStyle w:val="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注：1.地表水环境评价执行《地表水环境质量标准》（GB3838-2002）和《地表水环境质量评价办法（试行）》（环办〔2011〕22号）。</w:t>
                  </w:r>
                </w:p>
                <w:p w14:paraId="34C03F58">
                  <w:pPr>
                    <w:pStyle w:val="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 21项评价指标为：pH、溶解氧、高锰酸盐指数、五日生化需氧量、氨氮、石油类、酚、汞、铅、镉、阴离子表面活性剂、铬（六价）、氟化物、总磷、氰化物、硫化物、砷、化学需氧量、铜、锌、硒。</w:t>
                  </w:r>
                </w:p>
                <w:p w14:paraId="41739F25">
                  <w:pPr>
                    <w:pStyle w:val="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3.超过Ⅲ类水质标准的指标为断面污染指标，取超标倍数最大的前三项为主要污染指标。</w:t>
                  </w:r>
                </w:p>
                <w:p w14:paraId="52DCE2B0">
                  <w:pPr>
                    <w:pStyle w:val="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4.红江渡口、玉溪、跑马滩、大安、郪江口和梓江大桥6个国控断面采用国家反馈的采测分离数据（含部分市级监测数据）进行评价。</w:t>
                  </w:r>
                </w:p>
              </w:tc>
            </w:tr>
          </w:tbl>
          <w:p w14:paraId="1DFEF0D1">
            <w:pPr>
              <w:spacing w:line="360" w:lineRule="auto"/>
              <w:ind w:firstLine="480" w:firstLineChars="200"/>
              <w:jc w:val="both"/>
              <w:rPr>
                <w:rFonts w:hint="eastAsia" w:ascii="Times New Roman" w:hAnsi="Times New Roman"/>
                <w:bCs/>
                <w:color w:val="auto"/>
                <w:sz w:val="24"/>
                <w:szCs w:val="24"/>
                <w:lang w:val="en-US"/>
              </w:rPr>
            </w:pPr>
            <w:r>
              <w:rPr>
                <w:rFonts w:hint="eastAsia" w:ascii="Times New Roman" w:hAnsi="Times New Roman"/>
                <w:bCs/>
                <w:color w:val="auto"/>
                <w:sz w:val="24"/>
                <w:szCs w:val="24"/>
                <w:lang w:val="en-US"/>
              </w:rPr>
              <w:t>本项目位于四川省</w:t>
            </w:r>
            <w:r>
              <w:rPr>
                <w:rFonts w:hint="eastAsia" w:ascii="Times New Roman" w:hAnsi="Times New Roman"/>
                <w:bCs/>
                <w:color w:val="auto"/>
                <w:sz w:val="24"/>
                <w:szCs w:val="24"/>
                <w:lang w:val="en-US" w:eastAsia="zh-CN"/>
              </w:rPr>
              <w:t>遂宁</w:t>
            </w:r>
            <w:r>
              <w:rPr>
                <w:rFonts w:hint="eastAsia" w:ascii="Times New Roman" w:hAnsi="Times New Roman"/>
                <w:bCs/>
                <w:color w:val="auto"/>
                <w:sz w:val="24"/>
                <w:szCs w:val="24"/>
                <w:lang w:val="en-US"/>
              </w:rPr>
              <w:t>市</w:t>
            </w:r>
            <w:r>
              <w:rPr>
                <w:rFonts w:hint="eastAsia"/>
                <w:bCs/>
                <w:color w:val="auto"/>
                <w:sz w:val="24"/>
                <w:szCs w:val="24"/>
                <w:lang w:val="en-US" w:eastAsia="zh-CN"/>
              </w:rPr>
              <w:t>四川大英经济开发区</w:t>
            </w:r>
            <w:r>
              <w:rPr>
                <w:rFonts w:hint="eastAsia" w:ascii="Times New Roman" w:hAnsi="Times New Roman"/>
                <w:bCs/>
                <w:color w:val="auto"/>
                <w:sz w:val="24"/>
                <w:szCs w:val="24"/>
                <w:lang w:val="en-US"/>
              </w:rPr>
              <w:t>，项目所在区域最近地表水为郪江，郪江属于地表水Ⅲ类水域区域，20</w:t>
            </w:r>
            <w:r>
              <w:rPr>
                <w:rFonts w:hint="eastAsia" w:ascii="Times New Roman" w:hAnsi="Times New Roman"/>
                <w:bCs/>
                <w:color w:val="auto"/>
                <w:sz w:val="24"/>
                <w:szCs w:val="24"/>
                <w:lang w:val="en-US" w:eastAsia="zh-CN"/>
              </w:rPr>
              <w:t>23</w:t>
            </w:r>
            <w:r>
              <w:rPr>
                <w:rFonts w:hint="eastAsia" w:ascii="Times New Roman" w:hAnsi="Times New Roman"/>
                <w:bCs/>
                <w:color w:val="auto"/>
                <w:sz w:val="24"/>
                <w:szCs w:val="24"/>
                <w:lang w:val="en-US"/>
              </w:rPr>
              <w:t>年年度平均水质类别达到Ⅲ类水质标</w:t>
            </w:r>
            <w:r>
              <w:rPr>
                <w:rFonts w:hint="eastAsia"/>
                <w:bCs/>
                <w:color w:val="auto"/>
                <w:sz w:val="24"/>
                <w:szCs w:val="24"/>
                <w:lang w:val="en-US" w:eastAsia="zh-CN"/>
              </w:rPr>
              <w:t>准</w:t>
            </w:r>
            <w:r>
              <w:rPr>
                <w:rFonts w:hint="eastAsia" w:ascii="Times New Roman" w:hAnsi="Times New Roman"/>
                <w:bCs/>
                <w:color w:val="auto"/>
                <w:sz w:val="24"/>
                <w:szCs w:val="24"/>
                <w:lang w:val="en-US"/>
              </w:rPr>
              <w:t>，水环境质量</w:t>
            </w:r>
            <w:r>
              <w:rPr>
                <w:rFonts w:hint="eastAsia" w:ascii="Times New Roman" w:hAnsi="Times New Roman"/>
                <w:bCs/>
                <w:color w:val="auto"/>
                <w:sz w:val="24"/>
                <w:szCs w:val="24"/>
                <w:lang w:val="en-US" w:eastAsia="zh-CN"/>
              </w:rPr>
              <w:t>达标</w:t>
            </w:r>
            <w:r>
              <w:rPr>
                <w:rFonts w:hint="eastAsia" w:ascii="Times New Roman" w:hAnsi="Times New Roman"/>
                <w:bCs/>
                <w:color w:val="auto"/>
                <w:sz w:val="24"/>
                <w:szCs w:val="24"/>
                <w:lang w:val="en-US"/>
              </w:rPr>
              <w:t>。</w:t>
            </w:r>
          </w:p>
          <w:p w14:paraId="4216F10F">
            <w:pPr>
              <w:spacing w:line="360" w:lineRule="auto"/>
              <w:ind w:right="105" w:rightChars="50" w:firstLine="482" w:firstLineChars="200"/>
              <w:jc w:val="left"/>
              <w:rPr>
                <w:b/>
                <w:color w:val="auto"/>
                <w:sz w:val="24"/>
              </w:rPr>
            </w:pPr>
            <w:r>
              <w:rPr>
                <w:rFonts w:hint="eastAsia"/>
                <w:b/>
                <w:color w:val="auto"/>
                <w:sz w:val="24"/>
              </w:rPr>
              <w:t>3</w:t>
            </w:r>
            <w:r>
              <w:rPr>
                <w:b/>
                <w:color w:val="auto"/>
                <w:sz w:val="24"/>
              </w:rPr>
              <w:t>、声环境质量现状</w:t>
            </w:r>
          </w:p>
          <w:p w14:paraId="0A9043DF">
            <w:pPr>
              <w:keepNext w:val="0"/>
              <w:keepLines w:val="0"/>
              <w:suppressLineNumbers w:val="0"/>
              <w:spacing w:before="0" w:beforeAutospacing="0" w:after="0" w:afterAutospacing="0" w:line="360" w:lineRule="auto"/>
              <w:ind w:left="0" w:right="105" w:rightChars="50" w:firstLine="480" w:firstLineChars="200"/>
              <w:jc w:val="left"/>
              <w:rPr>
                <w:color w:val="auto"/>
                <w:sz w:val="24"/>
              </w:rPr>
            </w:pPr>
            <w:r>
              <w:rPr>
                <w:rFonts w:hint="default" w:ascii="Times New Roman" w:hAnsi="Times New Roman" w:eastAsia="宋体" w:cs="Times New Roman"/>
                <w:color w:val="auto"/>
                <w:sz w:val="24"/>
              </w:rPr>
              <w:t>根据《建设项目环境影响报告表编制技术指南（污染影响类）试行》厂界外周边50</w:t>
            </w:r>
            <w:r>
              <w:rPr>
                <w:rFonts w:hint="default" w:ascii="Times New Roman" w:hAnsi="Times New Roman" w:cs="Times New Roman"/>
                <w:color w:val="auto"/>
                <w:sz w:val="24"/>
                <w:lang w:val="en-US" w:eastAsia="zh-CN"/>
              </w:rPr>
              <w:t>m</w:t>
            </w:r>
            <w:r>
              <w:rPr>
                <w:rFonts w:hint="default" w:ascii="Times New Roman" w:hAnsi="Times New Roman" w:eastAsia="宋体" w:cs="Times New Roman"/>
                <w:color w:val="auto"/>
                <w:sz w:val="24"/>
              </w:rPr>
              <w:t>范围内存在声环境保护目标的建设项目，应监测保护目标声环境质量现状并评价达标情况。根据本项目外环境关系图，本项目厂界周边50m无声环境保护目标</w:t>
            </w:r>
            <w:r>
              <w:rPr>
                <w:rFonts w:hint="default" w:ascii="Times New Roman" w:hAnsi="Times New Roman" w:eastAsia="宋体" w:cs="Times New Roman"/>
                <w:color w:val="auto"/>
                <w:spacing w:val="-2"/>
                <w:sz w:val="24"/>
              </w:rPr>
              <w:t>。</w:t>
            </w:r>
          </w:p>
          <w:p w14:paraId="4DC6C2AB">
            <w:pPr>
              <w:spacing w:line="360" w:lineRule="auto"/>
              <w:ind w:right="105" w:rightChars="50" w:firstLine="482" w:firstLineChars="200"/>
              <w:jc w:val="left"/>
              <w:rPr>
                <w:b/>
                <w:color w:val="auto"/>
                <w:sz w:val="24"/>
              </w:rPr>
            </w:pPr>
            <w:r>
              <w:rPr>
                <w:rFonts w:hint="eastAsia"/>
                <w:b/>
                <w:color w:val="auto"/>
                <w:sz w:val="24"/>
              </w:rPr>
              <w:t>4、</w:t>
            </w:r>
            <w:r>
              <w:rPr>
                <w:b/>
                <w:color w:val="auto"/>
                <w:sz w:val="24"/>
              </w:rPr>
              <w:t>生态环境质量现状</w:t>
            </w:r>
          </w:p>
          <w:p w14:paraId="332D56D7">
            <w:pPr>
              <w:adjustRightInd w:val="0"/>
              <w:snapToGrid w:val="0"/>
              <w:spacing w:line="360" w:lineRule="auto"/>
              <w:ind w:firstLine="480" w:firstLineChars="200"/>
              <w:rPr>
                <w:color w:val="auto"/>
                <w:sz w:val="24"/>
              </w:rPr>
            </w:pPr>
            <w:r>
              <w:rPr>
                <w:rFonts w:hint="default" w:ascii="Times New Roman" w:hAnsi="Times New Roman" w:eastAsia="宋体" w:cs="Times New Roman"/>
                <w:color w:val="auto"/>
                <w:sz w:val="24"/>
              </w:rPr>
              <w:t>本项目位于</w:t>
            </w:r>
            <w:r>
              <w:rPr>
                <w:rFonts w:hint="default" w:ascii="Times New Roman" w:hAnsi="Times New Roman" w:eastAsia="宋体" w:cs="Times New Roman"/>
                <w:color w:val="auto"/>
                <w:sz w:val="24"/>
                <w:lang w:val="en-US"/>
              </w:rPr>
              <w:t>大英县蓬莱镇工业集中发展区采和大道1楼</w:t>
            </w:r>
            <w:r>
              <w:rPr>
                <w:rFonts w:hint="default" w:ascii="Times New Roman" w:hAnsi="Times New Roman" w:eastAsia="宋体" w:cs="Times New Roman"/>
                <w:color w:val="auto"/>
                <w:sz w:val="24"/>
              </w:rPr>
              <w:t>，该区域开发强度大，自然生态环境受人类活动干扰很大，自然植被早已被人工植被所替代，目前区域生态系统为城市生态系统与农田生态系统并存的状态，无大面积的林木植被生态系统，亦无需要特殊保护的珍稀、野生动植物资源。</w:t>
            </w:r>
          </w:p>
        </w:tc>
      </w:tr>
      <w:tr w14:paraId="626E6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800" w:type="dxa"/>
            <w:vAlign w:val="center"/>
          </w:tcPr>
          <w:p w14:paraId="462793B5">
            <w:pPr>
              <w:adjustRightInd w:val="0"/>
              <w:snapToGrid w:val="0"/>
              <w:jc w:val="center"/>
              <w:rPr>
                <w:color w:val="auto"/>
                <w:kern w:val="0"/>
                <w:szCs w:val="21"/>
              </w:rPr>
            </w:pPr>
            <w:r>
              <w:rPr>
                <w:color w:val="auto"/>
                <w:kern w:val="0"/>
                <w:szCs w:val="21"/>
              </w:rPr>
              <w:t>环境</w:t>
            </w:r>
          </w:p>
          <w:p w14:paraId="6F74A096">
            <w:pPr>
              <w:adjustRightInd w:val="0"/>
              <w:snapToGrid w:val="0"/>
              <w:jc w:val="center"/>
              <w:rPr>
                <w:color w:val="auto"/>
                <w:kern w:val="0"/>
                <w:szCs w:val="21"/>
              </w:rPr>
            </w:pPr>
            <w:r>
              <w:rPr>
                <w:color w:val="auto"/>
                <w:kern w:val="0"/>
                <w:szCs w:val="21"/>
              </w:rPr>
              <w:t>保护</w:t>
            </w:r>
          </w:p>
          <w:p w14:paraId="4E79D279">
            <w:pPr>
              <w:adjustRightInd w:val="0"/>
              <w:snapToGrid w:val="0"/>
              <w:jc w:val="center"/>
              <w:rPr>
                <w:color w:val="auto"/>
                <w:kern w:val="0"/>
                <w:szCs w:val="21"/>
              </w:rPr>
            </w:pPr>
            <w:r>
              <w:rPr>
                <w:color w:val="auto"/>
                <w:kern w:val="0"/>
                <w:szCs w:val="21"/>
              </w:rPr>
              <w:t>目标</w:t>
            </w:r>
          </w:p>
        </w:tc>
        <w:tc>
          <w:tcPr>
            <w:tcW w:w="8190" w:type="dxa"/>
            <w:vAlign w:val="center"/>
          </w:tcPr>
          <w:p w14:paraId="0CA2F46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eastAsia" w:ascii="宋体" w:hAnsi="宋体" w:eastAsia="宋体" w:cs="宋体"/>
                <w:color w:val="auto"/>
                <w:sz w:val="24"/>
              </w:rPr>
              <w:t>按照大气、声、地下水、生态各环境要素，本项目建设主要的环境保护目</w:t>
            </w:r>
            <w:r>
              <w:rPr>
                <w:rFonts w:hint="default" w:ascii="Times New Roman" w:hAnsi="Times New Roman" w:eastAsia="宋体" w:cs="Times New Roman"/>
                <w:color w:val="auto"/>
                <w:sz w:val="24"/>
              </w:rPr>
              <w:t>标如下：</w:t>
            </w:r>
          </w:p>
          <w:p w14:paraId="40E67A0D">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（1）大气环境保护目标及级别</w:t>
            </w:r>
          </w:p>
          <w:p w14:paraId="74BA4B3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大气环境保护目标为项目厂界外500m范围内的环境敏感区。环境空气质量满足国家《环境空气质量标准》（GB3095-2012）中的二级标准限值。</w:t>
            </w:r>
          </w:p>
          <w:p w14:paraId="254A1A3E">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rPr>
            </w:pPr>
            <w:r>
              <w:rPr>
                <w:rFonts w:hint="default" w:ascii="Times New Roman" w:hAnsi="Times New Roman" w:eastAsia="宋体" w:cs="Times New Roman"/>
                <w:b/>
                <w:color w:val="auto"/>
                <w:sz w:val="24"/>
              </w:rPr>
              <w:t>（2）声环境保护目标及级别</w:t>
            </w:r>
          </w:p>
          <w:p w14:paraId="6C7BD7E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声环境保护目标为项目厂界外50m范围内的噪声敏感区。项目所在地声学环境质量应符合《声环境质量标准》(GB3096-2008)规定的</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类标准要求。</w:t>
            </w:r>
          </w:p>
          <w:p w14:paraId="28F11185">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color w:val="auto"/>
                <w:sz w:val="24"/>
              </w:rPr>
              <w:t>（3）</w:t>
            </w:r>
            <w:r>
              <w:rPr>
                <w:rFonts w:hint="default" w:ascii="Times New Roman" w:hAnsi="Times New Roman" w:eastAsia="宋体" w:cs="Times New Roman"/>
                <w:b/>
                <w:bCs/>
                <w:color w:val="auto"/>
                <w:sz w:val="24"/>
              </w:rPr>
              <w:t>地下水保护目标</w:t>
            </w:r>
          </w:p>
          <w:p w14:paraId="36BDF1F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本项目所在区域地下水水质和水体功能不因本项目的建设而发生变化。本项目地下水执行《地下水质量标准》（GB/T14848-2017）中的Ⅲ类标准要求。</w:t>
            </w:r>
          </w:p>
          <w:p w14:paraId="4645057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本项目主要环境保护目标见</w:t>
            </w:r>
            <w:r>
              <w:rPr>
                <w:rFonts w:hint="default" w:ascii="Times New Roman" w:hAnsi="Times New Roman" w:eastAsia="宋体" w:cs="Times New Roman"/>
                <w:color w:val="auto"/>
                <w:sz w:val="24"/>
                <w:lang w:eastAsia="zh-CN"/>
              </w:rPr>
              <w:t>下</w:t>
            </w:r>
            <w:r>
              <w:rPr>
                <w:rFonts w:hint="default" w:ascii="Times New Roman" w:hAnsi="Times New Roman" w:eastAsia="宋体" w:cs="Times New Roman"/>
                <w:color w:val="auto"/>
                <w:sz w:val="24"/>
              </w:rPr>
              <w:t>表。</w:t>
            </w:r>
          </w:p>
          <w:p w14:paraId="208FEBB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表3-</w:t>
            </w:r>
            <w:r>
              <w:rPr>
                <w:rFonts w:hint="eastAsia" w:cs="Times New Roman"/>
                <w:b/>
                <w:color w:val="auto"/>
                <w:sz w:val="21"/>
                <w:szCs w:val="21"/>
                <w:highlight w:val="none"/>
                <w:lang w:val="en-US" w:eastAsia="zh-CN"/>
              </w:rPr>
              <w:t>5</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本项目主要环境保护</w:t>
            </w:r>
            <w:r>
              <w:rPr>
                <w:rFonts w:hint="default" w:ascii="Times New Roman" w:hAnsi="Times New Roman" w:eastAsia="宋体" w:cs="Times New Roman"/>
                <w:b/>
                <w:bCs/>
                <w:color w:val="auto"/>
                <w:sz w:val="21"/>
                <w:szCs w:val="21"/>
                <w:highlight w:val="none"/>
              </w:rPr>
              <w:t>目标</w:t>
            </w:r>
          </w:p>
          <w:tbl>
            <w:tblPr>
              <w:tblStyle w:val="25"/>
              <w:tblW w:w="78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280"/>
              <w:gridCol w:w="1469"/>
              <w:gridCol w:w="991"/>
              <w:gridCol w:w="2924"/>
            </w:tblGrid>
            <w:tr w14:paraId="767F3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216" w:type="dxa"/>
                  <w:tcBorders>
                    <w:tl2br w:val="nil"/>
                    <w:tr2bl w:val="nil"/>
                  </w:tcBorders>
                  <w:noWrap w:val="0"/>
                  <w:vAlign w:val="center"/>
                </w:tcPr>
                <w:p w14:paraId="4CA3B460">
                  <w:pPr>
                    <w:pStyle w:val="50"/>
                    <w:spacing w:line="240" w:lineRule="auto"/>
                    <w:ind w:left="420" w:hanging="42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环境要素</w:t>
                  </w:r>
                </w:p>
              </w:tc>
              <w:tc>
                <w:tcPr>
                  <w:tcW w:w="1280" w:type="dxa"/>
                  <w:tcBorders>
                    <w:tl2br w:val="nil"/>
                    <w:tr2bl w:val="nil"/>
                  </w:tcBorders>
                  <w:noWrap w:val="0"/>
                  <w:vAlign w:val="center"/>
                </w:tcPr>
                <w:p w14:paraId="3E799B72">
                  <w:pPr>
                    <w:pStyle w:val="50"/>
                    <w:spacing w:line="240" w:lineRule="auto"/>
                    <w:ind w:left="420" w:hanging="42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敏感目标</w:t>
                  </w:r>
                </w:p>
              </w:tc>
              <w:tc>
                <w:tcPr>
                  <w:tcW w:w="1469" w:type="dxa"/>
                  <w:tcBorders>
                    <w:tl2br w:val="nil"/>
                    <w:tr2bl w:val="nil"/>
                  </w:tcBorders>
                  <w:noWrap w:val="0"/>
                  <w:vAlign w:val="center"/>
                </w:tcPr>
                <w:p w14:paraId="329EE7D1">
                  <w:pPr>
                    <w:pStyle w:val="50"/>
                    <w:spacing w:line="240" w:lineRule="auto"/>
                    <w:ind w:left="420" w:hanging="420"/>
                    <w:rPr>
                      <w:rFonts w:hint="default" w:ascii="Times New Roman" w:hAnsi="Times New Roman" w:eastAsia="黑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方位</w:t>
                  </w:r>
                  <w:r>
                    <w:rPr>
                      <w:rFonts w:hint="default" w:ascii="Times New Roman" w:hAnsi="Times New Roman" w:cs="Times New Roman"/>
                      <w:b/>
                      <w:bCs/>
                      <w:color w:val="auto"/>
                      <w:sz w:val="21"/>
                      <w:szCs w:val="21"/>
                      <w:highlight w:val="none"/>
                      <w:lang w:val="en-US" w:eastAsia="zh-CN"/>
                    </w:rPr>
                    <w:t>及距离</w:t>
                  </w:r>
                </w:p>
              </w:tc>
              <w:tc>
                <w:tcPr>
                  <w:tcW w:w="991" w:type="dxa"/>
                  <w:tcBorders>
                    <w:tl2br w:val="nil"/>
                    <w:tr2bl w:val="nil"/>
                  </w:tcBorders>
                  <w:noWrap w:val="0"/>
                  <w:vAlign w:val="center"/>
                </w:tcPr>
                <w:p w14:paraId="4D8FA63D">
                  <w:pPr>
                    <w:pStyle w:val="50"/>
                    <w:spacing w:line="240" w:lineRule="auto"/>
                    <w:ind w:left="420" w:hanging="420"/>
                    <w:rPr>
                      <w:rFonts w:hint="default" w:ascii="Times New Roman" w:hAnsi="Times New Roman" w:eastAsia="黑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规模</w:t>
                  </w:r>
                </w:p>
              </w:tc>
              <w:tc>
                <w:tcPr>
                  <w:tcW w:w="2924" w:type="dxa"/>
                  <w:tcBorders>
                    <w:tl2br w:val="nil"/>
                    <w:tr2bl w:val="nil"/>
                  </w:tcBorders>
                  <w:noWrap w:val="0"/>
                  <w:vAlign w:val="center"/>
                </w:tcPr>
                <w:p w14:paraId="02120599">
                  <w:pPr>
                    <w:pStyle w:val="50"/>
                    <w:spacing w:line="240" w:lineRule="auto"/>
                    <w:ind w:left="420" w:hanging="42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保护级别</w:t>
                  </w:r>
                </w:p>
              </w:tc>
            </w:tr>
            <w:tr w14:paraId="1495D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6" w:type="dxa"/>
                  <w:tcBorders>
                    <w:tl2br w:val="nil"/>
                    <w:tr2bl w:val="nil"/>
                  </w:tcBorders>
                  <w:noWrap w:val="0"/>
                  <w:vAlign w:val="center"/>
                </w:tcPr>
                <w:p w14:paraId="07A63CE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rPr>
                    <w:t>大气环境</w:t>
                  </w:r>
                  <w:r>
                    <w:rPr>
                      <w:rFonts w:hint="default" w:ascii="Times New Roman" w:hAnsi="Times New Roman" w:cs="Times New Roman"/>
                      <w:b w:val="0"/>
                      <w:bCs w:val="0"/>
                      <w:color w:val="auto"/>
                      <w:sz w:val="21"/>
                      <w:szCs w:val="21"/>
                      <w:highlight w:val="none"/>
                      <w:lang w:val="en-US" w:eastAsia="zh-CN"/>
                    </w:rPr>
                    <w:t>声环境</w:t>
                  </w:r>
                </w:p>
              </w:tc>
              <w:tc>
                <w:tcPr>
                  <w:tcW w:w="1280" w:type="dxa"/>
                  <w:tcBorders>
                    <w:tl2br w:val="nil"/>
                    <w:tr2bl w:val="nil"/>
                  </w:tcBorders>
                  <w:noWrap w:val="0"/>
                  <w:vAlign w:val="center"/>
                </w:tcPr>
                <w:p w14:paraId="4FF5A440">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散户居民</w:t>
                  </w:r>
                </w:p>
              </w:tc>
              <w:tc>
                <w:tcPr>
                  <w:tcW w:w="1469" w:type="dxa"/>
                  <w:tcBorders>
                    <w:tl2br w:val="nil"/>
                    <w:tr2bl w:val="nil"/>
                  </w:tcBorders>
                  <w:noWrap w:val="0"/>
                  <w:vAlign w:val="center"/>
                </w:tcPr>
                <w:p w14:paraId="0AA840B0">
                  <w:pPr>
                    <w:spacing w:line="240" w:lineRule="auto"/>
                    <w:jc w:val="center"/>
                    <w:rPr>
                      <w:rFonts w:hint="default" w:ascii="Times New Roman" w:hAnsi="Times New Roman" w:cs="Times New Roman"/>
                      <w:b w:val="0"/>
                      <w:bCs w:val="0"/>
                      <w:color w:val="auto"/>
                      <w:sz w:val="21"/>
                      <w:szCs w:val="21"/>
                      <w:highlight w:val="none"/>
                    </w:rPr>
                  </w:pPr>
                  <w:r>
                    <w:rPr>
                      <w:rFonts w:hint="eastAsia" w:cs="Times New Roman"/>
                      <w:b w:val="0"/>
                      <w:bCs w:val="0"/>
                      <w:color w:val="auto"/>
                      <w:sz w:val="21"/>
                      <w:szCs w:val="21"/>
                      <w:highlight w:val="none"/>
                      <w:lang w:val="en-US" w:eastAsia="zh-CN"/>
                    </w:rPr>
                    <w:t>西北</w:t>
                  </w:r>
                  <w:r>
                    <w:rPr>
                      <w:rFonts w:hint="default" w:ascii="Times New Roman" w:hAnsi="Times New Roman" w:eastAsia="宋体" w:cs="Times New Roman"/>
                      <w:b w:val="0"/>
                      <w:bCs w:val="0"/>
                      <w:color w:val="auto"/>
                      <w:sz w:val="21"/>
                      <w:szCs w:val="21"/>
                      <w:highlight w:val="none"/>
                    </w:rPr>
                    <w:t>侧</w:t>
                  </w:r>
                  <w:r>
                    <w:rPr>
                      <w:rFonts w:hint="eastAsia" w:cs="Times New Roman"/>
                      <w:b w:val="0"/>
                      <w:bCs w:val="0"/>
                      <w:color w:val="auto"/>
                      <w:sz w:val="21"/>
                      <w:szCs w:val="21"/>
                      <w:highlight w:val="none"/>
                      <w:lang w:val="en-US" w:eastAsia="zh-CN"/>
                    </w:rPr>
                    <w:t>260</w:t>
                  </w:r>
                  <w:r>
                    <w:rPr>
                      <w:rFonts w:hint="default" w:ascii="Times New Roman" w:hAnsi="Times New Roman" w:cs="Times New Roman"/>
                      <w:b w:val="0"/>
                      <w:bCs w:val="0"/>
                      <w:color w:val="auto"/>
                      <w:sz w:val="21"/>
                      <w:szCs w:val="21"/>
                      <w:highlight w:val="none"/>
                    </w:rPr>
                    <w:t>m</w:t>
                  </w:r>
                </w:p>
              </w:tc>
              <w:tc>
                <w:tcPr>
                  <w:tcW w:w="991" w:type="dxa"/>
                  <w:tcBorders>
                    <w:tl2br w:val="nil"/>
                    <w:tr2bl w:val="nil"/>
                  </w:tcBorders>
                  <w:noWrap w:val="0"/>
                  <w:vAlign w:val="center"/>
                </w:tcPr>
                <w:p w14:paraId="7289EC4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2户，5人</w:t>
                  </w:r>
                </w:p>
              </w:tc>
              <w:tc>
                <w:tcPr>
                  <w:tcW w:w="2924" w:type="dxa"/>
                  <w:tcBorders>
                    <w:tl2br w:val="nil"/>
                    <w:tr2bl w:val="nil"/>
                  </w:tcBorders>
                  <w:noWrap w:val="0"/>
                  <w:vAlign w:val="center"/>
                </w:tcPr>
                <w:p w14:paraId="5858535F">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《环境空气质量标准》（GB3095-2012）中二级标准</w:t>
                  </w:r>
                </w:p>
              </w:tc>
            </w:tr>
            <w:tr w14:paraId="77E9E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216" w:type="dxa"/>
                  <w:tcBorders>
                    <w:tl2br w:val="nil"/>
                    <w:tr2bl w:val="nil"/>
                  </w:tcBorders>
                  <w:noWrap w:val="0"/>
                  <w:vAlign w:val="center"/>
                </w:tcPr>
                <w:p w14:paraId="2A12F77C">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地表水</w:t>
                  </w:r>
                </w:p>
              </w:tc>
              <w:tc>
                <w:tcPr>
                  <w:tcW w:w="1280" w:type="dxa"/>
                  <w:tcBorders>
                    <w:tl2br w:val="nil"/>
                    <w:tr2bl w:val="nil"/>
                  </w:tcBorders>
                  <w:noWrap w:val="0"/>
                  <w:vAlign w:val="center"/>
                </w:tcPr>
                <w:p w14:paraId="5C8BBB9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郪江</w:t>
                  </w:r>
                </w:p>
              </w:tc>
              <w:tc>
                <w:tcPr>
                  <w:tcW w:w="1469" w:type="dxa"/>
                  <w:tcBorders>
                    <w:tl2br w:val="nil"/>
                    <w:tr2bl w:val="nil"/>
                  </w:tcBorders>
                  <w:noWrap w:val="0"/>
                  <w:vAlign w:val="center"/>
                </w:tcPr>
                <w:p w14:paraId="31FB8DFF">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color w:val="auto"/>
                      <w:sz w:val="21"/>
                      <w:szCs w:val="21"/>
                      <w:highlight w:val="none"/>
                    </w:rPr>
                    <w:t>西侧</w:t>
                  </w:r>
                  <w:r>
                    <w:rPr>
                      <w:rFonts w:hint="eastAsia" w:cs="Times New Roman"/>
                      <w:b w:val="0"/>
                      <w:bCs/>
                      <w:color w:val="auto"/>
                      <w:sz w:val="21"/>
                      <w:szCs w:val="21"/>
                      <w:highlight w:val="none"/>
                      <w:lang w:val="en-US" w:eastAsia="zh-CN"/>
                    </w:rPr>
                    <w:t>268</w:t>
                  </w:r>
                  <w:r>
                    <w:rPr>
                      <w:rFonts w:hint="default" w:ascii="Times New Roman" w:hAnsi="Times New Roman" w:eastAsia="宋体" w:cs="Times New Roman"/>
                      <w:b w:val="0"/>
                      <w:bCs/>
                      <w:color w:val="auto"/>
                      <w:sz w:val="21"/>
                      <w:szCs w:val="21"/>
                      <w:highlight w:val="none"/>
                    </w:rPr>
                    <w:t>m</w:t>
                  </w:r>
                </w:p>
              </w:tc>
              <w:tc>
                <w:tcPr>
                  <w:tcW w:w="991" w:type="dxa"/>
                  <w:tcBorders>
                    <w:tl2br w:val="nil"/>
                    <w:tr2bl w:val="nil"/>
                  </w:tcBorders>
                  <w:noWrap w:val="0"/>
                  <w:vAlign w:val="center"/>
                </w:tcPr>
                <w:p w14:paraId="6BAECE1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924" w:type="dxa"/>
                  <w:tcBorders>
                    <w:tl2br w:val="nil"/>
                    <w:tr2bl w:val="nil"/>
                  </w:tcBorders>
                  <w:noWrap w:val="0"/>
                  <w:vAlign w:val="center"/>
                </w:tcPr>
                <w:p w14:paraId="603B4F5D">
                  <w:pPr>
                    <w:overflowPunct w:val="0"/>
                    <w:spacing w:line="240" w:lineRule="auto"/>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《地表水环境质量标准》</w:t>
                  </w:r>
                </w:p>
                <w:p w14:paraId="7C66DE86">
                  <w:pPr>
                    <w:overflowPunct w:val="0"/>
                    <w:spacing w:line="240" w:lineRule="auto"/>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（GB3838-2002）中III </w:t>
                  </w:r>
                </w:p>
                <w:p w14:paraId="7091569C">
                  <w:pPr>
                    <w:overflowPunct w:val="0"/>
                    <w:spacing w:line="240" w:lineRule="auto"/>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类水域标准</w:t>
                  </w:r>
                </w:p>
              </w:tc>
            </w:tr>
            <w:tr w14:paraId="2388C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216" w:type="dxa"/>
                  <w:tcBorders>
                    <w:tl2br w:val="nil"/>
                    <w:tr2bl w:val="nil"/>
                  </w:tcBorders>
                  <w:noWrap w:val="0"/>
                  <w:vAlign w:val="center"/>
                </w:tcPr>
                <w:p w14:paraId="0F0BC6A5">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地下水</w:t>
                  </w:r>
                </w:p>
              </w:tc>
              <w:tc>
                <w:tcPr>
                  <w:tcW w:w="1280" w:type="dxa"/>
                  <w:tcBorders>
                    <w:tl2br w:val="nil"/>
                    <w:tr2bl w:val="nil"/>
                  </w:tcBorders>
                  <w:noWrap w:val="0"/>
                  <w:vAlign w:val="center"/>
                </w:tcPr>
                <w:p w14:paraId="4EB49431">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469" w:type="dxa"/>
                  <w:tcBorders>
                    <w:tl2br w:val="nil"/>
                    <w:tr2bl w:val="nil"/>
                  </w:tcBorders>
                  <w:noWrap w:val="0"/>
                  <w:vAlign w:val="center"/>
                </w:tcPr>
                <w:p w14:paraId="41B0CA88">
                  <w:pPr>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991" w:type="dxa"/>
                  <w:tcBorders>
                    <w:tl2br w:val="nil"/>
                    <w:tr2bl w:val="nil"/>
                  </w:tcBorders>
                  <w:noWrap w:val="0"/>
                  <w:vAlign w:val="center"/>
                </w:tcPr>
                <w:p w14:paraId="2540D126">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924" w:type="dxa"/>
                  <w:tcBorders>
                    <w:tl2br w:val="nil"/>
                    <w:tr2bl w:val="nil"/>
                  </w:tcBorders>
                  <w:noWrap w:val="0"/>
                  <w:vAlign w:val="center"/>
                </w:tcPr>
                <w:p w14:paraId="4AB220E8">
                  <w:pPr>
                    <w:pStyle w:val="22"/>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地下水环境质量标准（GB/T14848-2017）Ⅲ类水域标准</w:t>
                  </w:r>
                </w:p>
              </w:tc>
            </w:tr>
            <w:tr w14:paraId="3C6AA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216" w:type="dxa"/>
                  <w:tcBorders>
                    <w:tl2br w:val="nil"/>
                    <w:tr2bl w:val="nil"/>
                  </w:tcBorders>
                  <w:noWrap w:val="0"/>
                  <w:vAlign w:val="center"/>
                </w:tcPr>
                <w:p w14:paraId="451A333A">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土壤</w:t>
                  </w:r>
                </w:p>
              </w:tc>
              <w:tc>
                <w:tcPr>
                  <w:tcW w:w="1280" w:type="dxa"/>
                  <w:tcBorders>
                    <w:tl2br w:val="nil"/>
                    <w:tr2bl w:val="nil"/>
                  </w:tcBorders>
                  <w:noWrap w:val="0"/>
                  <w:vAlign w:val="center"/>
                </w:tcPr>
                <w:p w14:paraId="32D21FBC">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469" w:type="dxa"/>
                  <w:tcBorders>
                    <w:tl2br w:val="nil"/>
                    <w:tr2bl w:val="nil"/>
                  </w:tcBorders>
                  <w:noWrap w:val="0"/>
                  <w:vAlign w:val="center"/>
                </w:tcPr>
                <w:p w14:paraId="6973F3F3">
                  <w:pPr>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991" w:type="dxa"/>
                  <w:tcBorders>
                    <w:tl2br w:val="nil"/>
                    <w:tr2bl w:val="nil"/>
                  </w:tcBorders>
                  <w:noWrap w:val="0"/>
                  <w:vAlign w:val="center"/>
                </w:tcPr>
                <w:p w14:paraId="2F8C6B9A">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924" w:type="dxa"/>
                  <w:tcBorders>
                    <w:tl2br w:val="nil"/>
                    <w:tr2bl w:val="nil"/>
                  </w:tcBorders>
                  <w:noWrap w:val="0"/>
                  <w:vAlign w:val="center"/>
                </w:tcPr>
                <w:p w14:paraId="7C50E021">
                  <w:pPr>
                    <w:pStyle w:val="22"/>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《土壤环境质量 建设用地土壤污染风险管控标准（试行）》（GB36600-2018）</w:t>
                  </w:r>
                </w:p>
                <w:p w14:paraId="605D8434">
                  <w:pPr>
                    <w:pStyle w:val="22"/>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表1中第二类用地标准</w:t>
                  </w:r>
                </w:p>
              </w:tc>
            </w:tr>
            <w:tr w14:paraId="4D70B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216" w:type="dxa"/>
                  <w:tcBorders>
                    <w:tl2br w:val="nil"/>
                    <w:tr2bl w:val="nil"/>
                  </w:tcBorders>
                  <w:noWrap w:val="0"/>
                  <w:vAlign w:val="center"/>
                </w:tcPr>
                <w:p w14:paraId="69AC38A7">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生态环境</w:t>
                  </w:r>
                </w:p>
              </w:tc>
              <w:tc>
                <w:tcPr>
                  <w:tcW w:w="1280" w:type="dxa"/>
                  <w:tcBorders>
                    <w:tl2br w:val="nil"/>
                    <w:tr2bl w:val="nil"/>
                  </w:tcBorders>
                  <w:noWrap w:val="0"/>
                  <w:vAlign w:val="center"/>
                </w:tcPr>
                <w:p w14:paraId="7018EF1A">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生态</w:t>
                  </w:r>
                </w:p>
              </w:tc>
              <w:tc>
                <w:tcPr>
                  <w:tcW w:w="1469" w:type="dxa"/>
                  <w:tcBorders>
                    <w:tl2br w:val="nil"/>
                    <w:tr2bl w:val="nil"/>
                  </w:tcBorders>
                  <w:noWrap w:val="0"/>
                  <w:vAlign w:val="center"/>
                </w:tcPr>
                <w:p w14:paraId="4204AE72">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991" w:type="dxa"/>
                  <w:tcBorders>
                    <w:tl2br w:val="nil"/>
                    <w:tr2bl w:val="nil"/>
                  </w:tcBorders>
                  <w:noWrap w:val="0"/>
                  <w:vAlign w:val="center"/>
                </w:tcPr>
                <w:p w14:paraId="7EA747C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924" w:type="dxa"/>
                  <w:tcBorders>
                    <w:tl2br w:val="nil"/>
                    <w:tr2bl w:val="nil"/>
                  </w:tcBorders>
                  <w:noWrap w:val="0"/>
                  <w:vAlign w:val="center"/>
                </w:tcPr>
                <w:p w14:paraId="1542407B">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保护项目所在地边坡及其它生态环境不受破坏</w:t>
                  </w:r>
                </w:p>
              </w:tc>
            </w:tr>
          </w:tbl>
          <w:p w14:paraId="7A345D99">
            <w:pPr>
              <w:adjustRightInd w:val="0"/>
              <w:snapToGrid w:val="0"/>
              <w:rPr>
                <w:color w:val="auto"/>
                <w:kern w:val="0"/>
                <w:szCs w:val="21"/>
              </w:rPr>
            </w:pPr>
          </w:p>
        </w:tc>
      </w:tr>
      <w:tr w14:paraId="2DBA78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00" w:type="dxa"/>
            <w:tcMar>
              <w:left w:w="28" w:type="dxa"/>
              <w:right w:w="28" w:type="dxa"/>
            </w:tcMar>
            <w:vAlign w:val="center"/>
          </w:tcPr>
          <w:p w14:paraId="77CC1420">
            <w:pPr>
              <w:adjustRightInd w:val="0"/>
              <w:snapToGrid w:val="0"/>
              <w:jc w:val="center"/>
              <w:rPr>
                <w:color w:val="auto"/>
                <w:kern w:val="0"/>
                <w:szCs w:val="21"/>
              </w:rPr>
            </w:pPr>
            <w:r>
              <w:rPr>
                <w:color w:val="auto"/>
                <w:kern w:val="0"/>
                <w:szCs w:val="21"/>
              </w:rPr>
              <w:t>污染</w:t>
            </w:r>
          </w:p>
          <w:p w14:paraId="5B886B8B">
            <w:pPr>
              <w:adjustRightInd w:val="0"/>
              <w:snapToGrid w:val="0"/>
              <w:jc w:val="center"/>
              <w:rPr>
                <w:color w:val="auto"/>
                <w:kern w:val="0"/>
                <w:szCs w:val="21"/>
              </w:rPr>
            </w:pPr>
            <w:r>
              <w:rPr>
                <w:color w:val="auto"/>
                <w:kern w:val="0"/>
                <w:szCs w:val="21"/>
              </w:rPr>
              <w:t>物排</w:t>
            </w:r>
          </w:p>
          <w:p w14:paraId="196F9FCB">
            <w:pPr>
              <w:adjustRightInd w:val="0"/>
              <w:snapToGrid w:val="0"/>
              <w:jc w:val="center"/>
              <w:rPr>
                <w:color w:val="auto"/>
                <w:kern w:val="0"/>
                <w:szCs w:val="21"/>
              </w:rPr>
            </w:pPr>
            <w:r>
              <w:rPr>
                <w:color w:val="auto"/>
                <w:kern w:val="0"/>
                <w:szCs w:val="21"/>
              </w:rPr>
              <w:t>放控</w:t>
            </w:r>
          </w:p>
          <w:p w14:paraId="27180CD4">
            <w:pPr>
              <w:adjustRightInd w:val="0"/>
              <w:snapToGrid w:val="0"/>
              <w:jc w:val="center"/>
              <w:rPr>
                <w:color w:val="auto"/>
                <w:kern w:val="0"/>
                <w:szCs w:val="21"/>
              </w:rPr>
            </w:pPr>
            <w:r>
              <w:rPr>
                <w:color w:val="auto"/>
                <w:kern w:val="0"/>
                <w:szCs w:val="21"/>
              </w:rPr>
              <w:t>制标</w:t>
            </w:r>
          </w:p>
          <w:p w14:paraId="1D5DB7D2">
            <w:pPr>
              <w:adjustRightInd w:val="0"/>
              <w:snapToGrid w:val="0"/>
              <w:jc w:val="center"/>
              <w:rPr>
                <w:color w:val="auto"/>
                <w:kern w:val="0"/>
                <w:szCs w:val="21"/>
              </w:rPr>
            </w:pPr>
            <w:r>
              <w:rPr>
                <w:color w:val="auto"/>
                <w:kern w:val="0"/>
                <w:szCs w:val="21"/>
              </w:rPr>
              <w:t>准</w:t>
            </w:r>
          </w:p>
        </w:tc>
        <w:tc>
          <w:tcPr>
            <w:tcW w:w="8190" w:type="dxa"/>
            <w:vAlign w:val="center"/>
          </w:tcPr>
          <w:p w14:paraId="075E748D">
            <w:pPr>
              <w:pStyle w:val="7"/>
              <w:keepNext w:val="0"/>
              <w:keepLines w:val="0"/>
              <w:suppressLineNumbers w:val="0"/>
              <w:spacing w:before="120" w:beforeLines="50" w:beforeAutospacing="0" w:after="0" w:afterAutospacing="0" w:line="360" w:lineRule="auto"/>
              <w:ind w:left="0" w:leftChars="0" w:right="0" w:firstLine="0" w:firstLineChars="0"/>
              <w:rPr>
                <w:rFonts w:hint="eastAsia" w:ascii="宋体" w:hAnsi="宋体" w:eastAsia="宋体" w:cs="宋体"/>
                <w:b/>
                <w:color w:val="auto"/>
                <w:sz w:val="24"/>
              </w:rPr>
            </w:pPr>
            <w:r>
              <w:rPr>
                <w:rFonts w:hint="eastAsia" w:ascii="宋体" w:hAnsi="宋体" w:eastAsia="宋体" w:cs="宋体"/>
                <w:b/>
                <w:color w:val="auto"/>
                <w:sz w:val="24"/>
              </w:rPr>
              <w:t>1.废气</w:t>
            </w:r>
          </w:p>
          <w:p w14:paraId="6828F8AD">
            <w:pPr>
              <w:keepNext w:val="0"/>
              <w:keepLines w:val="0"/>
              <w:suppressLineNumbers w:val="0"/>
              <w:spacing w:before="0" w:beforeAutospacing="0" w:after="0" w:afterAutospacing="0" w:line="360" w:lineRule="auto"/>
              <w:ind w:left="0" w:right="0" w:firstLine="395" w:firstLineChars="175"/>
              <w:jc w:val="left"/>
              <w:rPr>
                <w:rFonts w:hint="eastAsia"/>
                <w:color w:val="auto"/>
                <w:kern w:val="0"/>
                <w:sz w:val="24"/>
              </w:rPr>
            </w:pPr>
            <w:r>
              <w:rPr>
                <w:rFonts w:ascii="宋体" w:hAnsi="宋体" w:eastAsia="宋体" w:cs="宋体"/>
                <w:color w:val="auto"/>
                <w:spacing w:val="-7"/>
                <w:sz w:val="24"/>
                <w:szCs w:val="24"/>
              </w:rPr>
              <w:t>施工期</w:t>
            </w:r>
            <w:r>
              <w:rPr>
                <w:rFonts w:hint="eastAsia" w:ascii="宋体" w:hAnsi="宋体" w:eastAsia="宋体" w:cs="宋体"/>
                <w:color w:val="auto"/>
                <w:spacing w:val="-7"/>
                <w:sz w:val="24"/>
                <w:szCs w:val="24"/>
                <w:lang w:eastAsia="zh-CN"/>
              </w:rPr>
              <w:t>：</w:t>
            </w:r>
            <w:r>
              <w:rPr>
                <w:rFonts w:ascii="宋体" w:hAnsi="宋体" w:eastAsia="宋体" w:cs="宋体"/>
                <w:color w:val="auto"/>
                <w:spacing w:val="-7"/>
                <w:sz w:val="24"/>
                <w:szCs w:val="24"/>
              </w:rPr>
              <w:t>扬尘排放执行《四川省施工场地扬尘排放标准》</w:t>
            </w:r>
            <w:r>
              <w:rPr>
                <w:rFonts w:ascii="宋体" w:hAnsi="宋体" w:eastAsia="宋体" w:cs="宋体"/>
                <w:color w:val="auto"/>
                <w:spacing w:val="-8"/>
                <w:sz w:val="24"/>
                <w:szCs w:val="24"/>
              </w:rPr>
              <w:t>（</w:t>
            </w:r>
            <w:r>
              <w:rPr>
                <w:rFonts w:ascii="Times New Roman" w:hAnsi="Times New Roman" w:eastAsia="Times New Roman" w:cs="Times New Roman"/>
                <w:color w:val="auto"/>
                <w:spacing w:val="-8"/>
                <w:sz w:val="24"/>
                <w:szCs w:val="24"/>
              </w:rPr>
              <w:t>DB51/2682-2020</w:t>
            </w:r>
            <w:r>
              <w:rPr>
                <w:rFonts w:ascii="宋体" w:hAnsi="宋体" w:eastAsia="宋体" w:cs="宋体"/>
                <w:color w:val="auto"/>
                <w:spacing w:val="-8"/>
                <w:sz w:val="24"/>
                <w:szCs w:val="24"/>
              </w:rPr>
              <w:t>）</w:t>
            </w:r>
            <w:r>
              <w:rPr>
                <w:rFonts w:hint="eastAsia" w:ascii="宋体" w:hAnsi="宋体" w:eastAsia="宋体" w:cs="宋体"/>
                <w:color w:val="auto"/>
                <w:spacing w:val="-8"/>
                <w:sz w:val="24"/>
                <w:szCs w:val="24"/>
                <w:lang w:eastAsia="zh-CN"/>
              </w:rPr>
              <w:t>，</w:t>
            </w:r>
            <w:r>
              <w:rPr>
                <w:color w:val="auto"/>
                <w:kern w:val="0"/>
                <w:sz w:val="24"/>
              </w:rPr>
              <w:t>具体见</w:t>
            </w:r>
            <w:r>
              <w:rPr>
                <w:rFonts w:hint="eastAsia"/>
                <w:color w:val="auto"/>
                <w:kern w:val="0"/>
                <w:sz w:val="24"/>
              </w:rPr>
              <w:t>下</w:t>
            </w:r>
            <w:r>
              <w:rPr>
                <w:color w:val="auto"/>
                <w:kern w:val="0"/>
                <w:sz w:val="24"/>
              </w:rPr>
              <w:t>表</w:t>
            </w:r>
            <w:r>
              <w:rPr>
                <w:rFonts w:hint="eastAsia"/>
                <w:color w:val="auto"/>
                <w:kern w:val="0"/>
                <w:sz w:val="24"/>
              </w:rPr>
              <w:t>。</w:t>
            </w:r>
          </w:p>
          <w:p w14:paraId="0065DD77">
            <w:pPr>
              <w:keepNext w:val="0"/>
              <w:keepLines w:val="0"/>
              <w:suppressLineNumbers w:val="0"/>
              <w:spacing w:before="0" w:beforeAutospacing="0" w:after="0" w:afterAutospacing="0"/>
              <w:ind w:left="0" w:right="0"/>
              <w:jc w:val="center"/>
              <w:rPr>
                <w:color w:val="auto"/>
                <w:kern w:val="0"/>
                <w:sz w:val="21"/>
                <w:szCs w:val="21"/>
              </w:rPr>
            </w:pPr>
            <w:r>
              <w:rPr>
                <w:b/>
                <w:color w:val="auto"/>
                <w:kern w:val="0"/>
                <w:sz w:val="21"/>
                <w:szCs w:val="21"/>
              </w:rPr>
              <w:t>表</w:t>
            </w:r>
            <w:r>
              <w:rPr>
                <w:rFonts w:hint="eastAsia"/>
                <w:b/>
                <w:color w:val="auto"/>
                <w:kern w:val="0"/>
                <w:sz w:val="21"/>
                <w:szCs w:val="21"/>
              </w:rPr>
              <w:t>3-</w:t>
            </w:r>
            <w:r>
              <w:rPr>
                <w:rFonts w:hint="eastAsia"/>
                <w:b/>
                <w:color w:val="auto"/>
                <w:kern w:val="0"/>
                <w:sz w:val="21"/>
                <w:szCs w:val="21"/>
                <w:lang w:val="en-US" w:eastAsia="zh-CN"/>
              </w:rPr>
              <w:t>6</w:t>
            </w:r>
            <w:r>
              <w:rPr>
                <w:rFonts w:hint="eastAsia"/>
                <w:b/>
                <w:color w:val="auto"/>
                <w:kern w:val="0"/>
                <w:sz w:val="21"/>
                <w:szCs w:val="21"/>
              </w:rPr>
              <w:t xml:space="preserve">  四川省施工场地</w:t>
            </w:r>
            <w:r>
              <w:rPr>
                <w:rFonts w:hint="eastAsia"/>
                <w:b/>
                <w:color w:val="auto"/>
                <w:kern w:val="0"/>
                <w:sz w:val="21"/>
                <w:szCs w:val="21"/>
                <w:lang w:eastAsia="zh-CN"/>
              </w:rPr>
              <w:t>扬尘</w:t>
            </w:r>
            <w:r>
              <w:rPr>
                <w:b/>
                <w:color w:val="auto"/>
                <w:kern w:val="0"/>
                <w:sz w:val="21"/>
                <w:szCs w:val="21"/>
              </w:rPr>
              <w:t>排放标准</w:t>
            </w:r>
          </w:p>
          <w:tbl>
            <w:tblPr>
              <w:tblStyle w:val="25"/>
              <w:tblW w:w="797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3423"/>
              <w:gridCol w:w="1726"/>
              <w:gridCol w:w="1612"/>
            </w:tblGrid>
            <w:tr w14:paraId="51600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216" w:type="dxa"/>
                  <w:noWrap w:val="0"/>
                  <w:vAlign w:val="center"/>
                </w:tcPr>
                <w:p w14:paraId="5A0A9D11">
                  <w:pPr>
                    <w:keepNext w:val="0"/>
                    <w:keepLines w:val="0"/>
                    <w:suppressLineNumbers w:val="0"/>
                    <w:spacing w:before="0" w:beforeAutospacing="0" w:after="0" w:afterAutospacing="0"/>
                    <w:ind w:left="0" w:right="0"/>
                    <w:jc w:val="center"/>
                    <w:rPr>
                      <w:b/>
                      <w:bCs/>
                      <w:color w:val="auto"/>
                      <w:kern w:val="0"/>
                      <w:sz w:val="21"/>
                      <w:szCs w:val="21"/>
                    </w:rPr>
                  </w:pPr>
                  <w:r>
                    <w:rPr>
                      <w:b/>
                      <w:bCs/>
                      <w:color w:val="auto"/>
                      <w:kern w:val="0"/>
                      <w:sz w:val="21"/>
                      <w:szCs w:val="21"/>
                    </w:rPr>
                    <w:t>监测项目</w:t>
                  </w:r>
                </w:p>
              </w:tc>
              <w:tc>
                <w:tcPr>
                  <w:tcW w:w="3423" w:type="dxa"/>
                  <w:noWrap w:val="0"/>
                  <w:vAlign w:val="center"/>
                </w:tcPr>
                <w:p w14:paraId="054BBD90">
                  <w:pPr>
                    <w:keepNext w:val="0"/>
                    <w:keepLines w:val="0"/>
                    <w:suppressLineNumbers w:val="0"/>
                    <w:spacing w:before="0" w:beforeAutospacing="0" w:after="0" w:afterAutospacing="0"/>
                    <w:ind w:left="0" w:right="0"/>
                    <w:jc w:val="center"/>
                    <w:rPr>
                      <w:b/>
                      <w:bCs/>
                      <w:color w:val="auto"/>
                      <w:kern w:val="0"/>
                      <w:sz w:val="21"/>
                      <w:szCs w:val="21"/>
                    </w:rPr>
                  </w:pPr>
                  <w:r>
                    <w:rPr>
                      <w:b/>
                      <w:bCs/>
                      <w:color w:val="auto"/>
                      <w:kern w:val="0"/>
                      <w:sz w:val="21"/>
                      <w:szCs w:val="21"/>
                    </w:rPr>
                    <w:t>施工阶段</w:t>
                  </w:r>
                </w:p>
              </w:tc>
              <w:tc>
                <w:tcPr>
                  <w:tcW w:w="1726" w:type="dxa"/>
                  <w:noWrap w:val="0"/>
                  <w:vAlign w:val="center"/>
                </w:tcPr>
                <w:p w14:paraId="2940536B">
                  <w:pPr>
                    <w:keepNext w:val="0"/>
                    <w:keepLines w:val="0"/>
                    <w:suppressLineNumbers w:val="0"/>
                    <w:spacing w:before="0" w:beforeAutospacing="0" w:after="0" w:afterAutospacing="0"/>
                    <w:ind w:left="0" w:right="0"/>
                    <w:jc w:val="center"/>
                    <w:rPr>
                      <w:b/>
                      <w:bCs/>
                      <w:color w:val="auto"/>
                      <w:kern w:val="0"/>
                      <w:sz w:val="21"/>
                      <w:szCs w:val="21"/>
                    </w:rPr>
                  </w:pPr>
                  <w:r>
                    <w:rPr>
                      <w:b/>
                      <w:bCs/>
                      <w:color w:val="auto"/>
                      <w:kern w:val="0"/>
                      <w:sz w:val="21"/>
                      <w:szCs w:val="21"/>
                    </w:rPr>
                    <w:t>监测点排放限值</w:t>
                  </w:r>
                </w:p>
                <w:p w14:paraId="432BF9AF">
                  <w:pPr>
                    <w:keepNext w:val="0"/>
                    <w:keepLines w:val="0"/>
                    <w:suppressLineNumbers w:val="0"/>
                    <w:spacing w:before="0" w:beforeAutospacing="0" w:after="0" w:afterAutospacing="0"/>
                    <w:ind w:left="0" w:right="0"/>
                    <w:jc w:val="center"/>
                    <w:rPr>
                      <w:b/>
                      <w:bCs/>
                      <w:color w:val="auto"/>
                      <w:kern w:val="0"/>
                      <w:sz w:val="21"/>
                      <w:szCs w:val="21"/>
                    </w:rPr>
                  </w:pPr>
                  <w:r>
                    <w:rPr>
                      <w:b/>
                      <w:bCs/>
                      <w:color w:val="auto"/>
                      <w:kern w:val="0"/>
                      <w:sz w:val="21"/>
                      <w:szCs w:val="21"/>
                    </w:rPr>
                    <w:t>（μg/m</w:t>
                  </w:r>
                  <w:r>
                    <w:rPr>
                      <w:b/>
                      <w:bCs/>
                      <w:color w:val="auto"/>
                      <w:kern w:val="0"/>
                      <w:sz w:val="21"/>
                      <w:szCs w:val="21"/>
                      <w:vertAlign w:val="superscript"/>
                    </w:rPr>
                    <w:t>3</w:t>
                  </w:r>
                  <w:r>
                    <w:rPr>
                      <w:b/>
                      <w:bCs/>
                      <w:color w:val="auto"/>
                      <w:kern w:val="0"/>
                      <w:sz w:val="21"/>
                      <w:szCs w:val="21"/>
                    </w:rPr>
                    <w:t>）</w:t>
                  </w:r>
                </w:p>
              </w:tc>
              <w:tc>
                <w:tcPr>
                  <w:tcW w:w="1612" w:type="dxa"/>
                  <w:noWrap w:val="0"/>
                  <w:vAlign w:val="center"/>
                </w:tcPr>
                <w:p w14:paraId="5D2D40D7">
                  <w:pPr>
                    <w:keepNext w:val="0"/>
                    <w:keepLines w:val="0"/>
                    <w:suppressLineNumbers w:val="0"/>
                    <w:spacing w:before="0" w:beforeAutospacing="0" w:after="0" w:afterAutospacing="0"/>
                    <w:ind w:left="0" w:right="0"/>
                    <w:jc w:val="center"/>
                    <w:rPr>
                      <w:b/>
                      <w:bCs/>
                      <w:color w:val="auto"/>
                      <w:kern w:val="0"/>
                      <w:sz w:val="21"/>
                      <w:szCs w:val="21"/>
                    </w:rPr>
                  </w:pPr>
                  <w:r>
                    <w:rPr>
                      <w:b/>
                      <w:bCs/>
                      <w:color w:val="auto"/>
                      <w:kern w:val="0"/>
                      <w:sz w:val="21"/>
                      <w:szCs w:val="21"/>
                    </w:rPr>
                    <w:t>监测时间</w:t>
                  </w:r>
                </w:p>
              </w:tc>
            </w:tr>
            <w:tr w14:paraId="14D78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216" w:type="dxa"/>
                  <w:vMerge w:val="restart"/>
                  <w:noWrap w:val="0"/>
                  <w:vAlign w:val="center"/>
                </w:tcPr>
                <w:p w14:paraId="30F11622">
                  <w:pPr>
                    <w:keepNext w:val="0"/>
                    <w:keepLines w:val="0"/>
                    <w:suppressLineNumbers w:val="0"/>
                    <w:spacing w:before="0" w:beforeAutospacing="0" w:after="0" w:afterAutospacing="0"/>
                    <w:ind w:left="0" w:right="0"/>
                    <w:jc w:val="center"/>
                    <w:rPr>
                      <w:color w:val="auto"/>
                      <w:kern w:val="0"/>
                      <w:sz w:val="21"/>
                      <w:szCs w:val="21"/>
                    </w:rPr>
                  </w:pPr>
                  <w:r>
                    <w:rPr>
                      <w:color w:val="auto"/>
                      <w:kern w:val="0"/>
                      <w:sz w:val="21"/>
                      <w:szCs w:val="21"/>
                    </w:rPr>
                    <w:t>TSP</w:t>
                  </w:r>
                </w:p>
              </w:tc>
              <w:tc>
                <w:tcPr>
                  <w:tcW w:w="3423" w:type="dxa"/>
                  <w:noWrap w:val="0"/>
                  <w:vAlign w:val="center"/>
                </w:tcPr>
                <w:p w14:paraId="26378D67">
                  <w:pPr>
                    <w:keepNext w:val="0"/>
                    <w:keepLines w:val="0"/>
                    <w:suppressLineNumbers w:val="0"/>
                    <w:spacing w:before="0" w:beforeAutospacing="0" w:after="0" w:afterAutospacing="0"/>
                    <w:ind w:left="0" w:right="0"/>
                    <w:jc w:val="center"/>
                    <w:rPr>
                      <w:color w:val="auto"/>
                      <w:kern w:val="0"/>
                      <w:sz w:val="21"/>
                      <w:szCs w:val="21"/>
                    </w:rPr>
                  </w:pPr>
                  <w:r>
                    <w:rPr>
                      <w:color w:val="auto"/>
                      <w:kern w:val="0"/>
                      <w:sz w:val="21"/>
                      <w:szCs w:val="21"/>
                    </w:rPr>
                    <w:t>拆除工程</w:t>
                  </w:r>
                  <w:r>
                    <w:rPr>
                      <w:rFonts w:hint="eastAsia"/>
                      <w:color w:val="auto"/>
                      <w:kern w:val="0"/>
                      <w:sz w:val="21"/>
                      <w:szCs w:val="21"/>
                    </w:rPr>
                    <w:t>、</w:t>
                  </w:r>
                  <w:r>
                    <w:rPr>
                      <w:color w:val="auto"/>
                      <w:kern w:val="0"/>
                      <w:sz w:val="21"/>
                      <w:szCs w:val="21"/>
                    </w:rPr>
                    <w:t>土方开挖/土方回填阶段</w:t>
                  </w:r>
                </w:p>
              </w:tc>
              <w:tc>
                <w:tcPr>
                  <w:tcW w:w="1726" w:type="dxa"/>
                  <w:noWrap w:val="0"/>
                  <w:vAlign w:val="center"/>
                </w:tcPr>
                <w:p w14:paraId="4BD2FD81">
                  <w:pPr>
                    <w:keepNext w:val="0"/>
                    <w:keepLines w:val="0"/>
                    <w:suppressLineNumbers w:val="0"/>
                    <w:spacing w:before="0" w:beforeAutospacing="0" w:after="0" w:afterAutospacing="0"/>
                    <w:ind w:left="0" w:right="0"/>
                    <w:jc w:val="center"/>
                    <w:rPr>
                      <w:color w:val="auto"/>
                      <w:kern w:val="0"/>
                      <w:sz w:val="21"/>
                      <w:szCs w:val="21"/>
                    </w:rPr>
                  </w:pPr>
                  <w:r>
                    <w:rPr>
                      <w:color w:val="auto"/>
                      <w:kern w:val="0"/>
                      <w:sz w:val="21"/>
                      <w:szCs w:val="21"/>
                    </w:rPr>
                    <w:t>600</w:t>
                  </w:r>
                </w:p>
              </w:tc>
              <w:tc>
                <w:tcPr>
                  <w:tcW w:w="1612" w:type="dxa"/>
                  <w:vMerge w:val="restart"/>
                  <w:noWrap w:val="0"/>
                  <w:vAlign w:val="center"/>
                </w:tcPr>
                <w:p w14:paraId="57FC1A0B">
                  <w:pPr>
                    <w:keepNext w:val="0"/>
                    <w:keepLines w:val="0"/>
                    <w:suppressLineNumbers w:val="0"/>
                    <w:spacing w:before="0" w:beforeAutospacing="0" w:after="0" w:afterAutospacing="0"/>
                    <w:ind w:left="0" w:right="0"/>
                    <w:jc w:val="center"/>
                    <w:rPr>
                      <w:color w:val="auto"/>
                      <w:kern w:val="0"/>
                      <w:sz w:val="21"/>
                      <w:szCs w:val="21"/>
                    </w:rPr>
                  </w:pPr>
                  <w:r>
                    <w:rPr>
                      <w:color w:val="auto"/>
                      <w:kern w:val="0"/>
                      <w:sz w:val="21"/>
                      <w:szCs w:val="21"/>
                    </w:rPr>
                    <w:t>自监测起持续</w:t>
                  </w:r>
                </w:p>
                <w:p w14:paraId="5CB3916B">
                  <w:pPr>
                    <w:keepNext w:val="0"/>
                    <w:keepLines w:val="0"/>
                    <w:suppressLineNumbers w:val="0"/>
                    <w:spacing w:before="0" w:beforeAutospacing="0" w:after="0" w:afterAutospacing="0"/>
                    <w:ind w:left="0" w:right="0"/>
                    <w:jc w:val="center"/>
                    <w:rPr>
                      <w:color w:val="auto"/>
                      <w:kern w:val="0"/>
                      <w:sz w:val="21"/>
                      <w:szCs w:val="21"/>
                    </w:rPr>
                  </w:pPr>
                  <w:r>
                    <w:rPr>
                      <w:color w:val="auto"/>
                      <w:kern w:val="0"/>
                      <w:sz w:val="21"/>
                      <w:szCs w:val="21"/>
                    </w:rPr>
                    <w:t>15分钟</w:t>
                  </w:r>
                </w:p>
              </w:tc>
            </w:tr>
            <w:tr w14:paraId="41139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216" w:type="dxa"/>
                  <w:vMerge w:val="continue"/>
                  <w:noWrap w:val="0"/>
                  <w:vAlign w:val="center"/>
                </w:tcPr>
                <w:p w14:paraId="0A4103FF">
                  <w:pPr>
                    <w:keepNext w:val="0"/>
                    <w:keepLines w:val="0"/>
                    <w:suppressLineNumbers w:val="0"/>
                    <w:spacing w:before="0" w:beforeAutospacing="0" w:after="0" w:afterAutospacing="0"/>
                    <w:ind w:left="0" w:right="0"/>
                    <w:jc w:val="center"/>
                    <w:rPr>
                      <w:color w:val="auto"/>
                      <w:kern w:val="0"/>
                      <w:sz w:val="21"/>
                      <w:szCs w:val="21"/>
                    </w:rPr>
                  </w:pPr>
                </w:p>
              </w:tc>
              <w:tc>
                <w:tcPr>
                  <w:tcW w:w="3423" w:type="dxa"/>
                  <w:noWrap w:val="0"/>
                  <w:vAlign w:val="center"/>
                </w:tcPr>
                <w:p w14:paraId="3431453B">
                  <w:pPr>
                    <w:keepNext w:val="0"/>
                    <w:keepLines w:val="0"/>
                    <w:suppressLineNumbers w:val="0"/>
                    <w:spacing w:before="0" w:beforeAutospacing="0" w:after="0" w:afterAutospacing="0"/>
                    <w:ind w:left="0" w:right="0"/>
                    <w:jc w:val="center"/>
                    <w:rPr>
                      <w:color w:val="auto"/>
                      <w:kern w:val="0"/>
                      <w:sz w:val="21"/>
                      <w:szCs w:val="21"/>
                    </w:rPr>
                  </w:pPr>
                  <w:r>
                    <w:rPr>
                      <w:color w:val="auto"/>
                      <w:kern w:val="0"/>
                      <w:sz w:val="21"/>
                      <w:szCs w:val="21"/>
                    </w:rPr>
                    <w:t>其他工程阶段</w:t>
                  </w:r>
                </w:p>
              </w:tc>
              <w:tc>
                <w:tcPr>
                  <w:tcW w:w="1726" w:type="dxa"/>
                  <w:noWrap w:val="0"/>
                  <w:vAlign w:val="center"/>
                </w:tcPr>
                <w:p w14:paraId="2DB280DE">
                  <w:pPr>
                    <w:keepNext w:val="0"/>
                    <w:keepLines w:val="0"/>
                    <w:suppressLineNumbers w:val="0"/>
                    <w:spacing w:before="0" w:beforeAutospacing="0" w:after="0" w:afterAutospacing="0"/>
                    <w:ind w:left="0" w:right="0"/>
                    <w:jc w:val="center"/>
                    <w:rPr>
                      <w:color w:val="auto"/>
                      <w:kern w:val="0"/>
                      <w:sz w:val="21"/>
                      <w:szCs w:val="21"/>
                    </w:rPr>
                  </w:pPr>
                  <w:r>
                    <w:rPr>
                      <w:color w:val="auto"/>
                      <w:kern w:val="0"/>
                      <w:sz w:val="21"/>
                      <w:szCs w:val="21"/>
                    </w:rPr>
                    <w:t>250</w:t>
                  </w:r>
                </w:p>
              </w:tc>
              <w:tc>
                <w:tcPr>
                  <w:tcW w:w="1612" w:type="dxa"/>
                  <w:vMerge w:val="continue"/>
                  <w:noWrap w:val="0"/>
                  <w:vAlign w:val="center"/>
                </w:tcPr>
                <w:p w14:paraId="017A4B9A">
                  <w:pPr>
                    <w:keepNext w:val="0"/>
                    <w:keepLines w:val="0"/>
                    <w:suppressLineNumbers w:val="0"/>
                    <w:spacing w:before="0" w:beforeAutospacing="0" w:after="0" w:afterAutospacing="0"/>
                    <w:ind w:left="0" w:right="0"/>
                    <w:jc w:val="center"/>
                    <w:rPr>
                      <w:color w:val="auto"/>
                      <w:kern w:val="0"/>
                      <w:sz w:val="21"/>
                      <w:szCs w:val="21"/>
                    </w:rPr>
                  </w:pPr>
                </w:p>
              </w:tc>
            </w:tr>
          </w:tbl>
          <w:p w14:paraId="3343B252">
            <w:pPr>
              <w:keepNext w:val="0"/>
              <w:keepLines w:val="0"/>
              <w:suppressLineNumbers w:val="0"/>
              <w:spacing w:before="184" w:beforeAutospacing="0" w:after="0" w:afterAutospacing="0" w:line="360" w:lineRule="auto"/>
              <w:ind w:left="0" w:right="0" w:firstLine="480" w:firstLineChars="200"/>
              <w:jc w:val="left"/>
              <w:rPr>
                <w:rFonts w:hint="eastAsia" w:ascii="宋体" w:hAnsi="宋体" w:eastAsia="宋体" w:cs="宋体"/>
                <w:color w:val="auto"/>
                <w:kern w:val="0"/>
                <w:sz w:val="24"/>
              </w:rPr>
            </w:pPr>
            <w:r>
              <w:rPr>
                <w:rFonts w:hint="eastAsia" w:cs="Times New Roman"/>
                <w:color w:val="auto"/>
                <w:kern w:val="0"/>
                <w:sz w:val="24"/>
                <w:lang w:val="en-US" w:eastAsia="zh-CN"/>
              </w:rPr>
              <w:t>运营期：</w:t>
            </w:r>
            <w:r>
              <w:rPr>
                <w:rFonts w:hint="eastAsia"/>
                <w:color w:val="auto"/>
                <w:kern w:val="0"/>
                <w:sz w:val="24"/>
              </w:rPr>
              <w:t>注塑工序的有机废气参照执行《合成树脂工业污染物排放标准》（GB31572-2015</w:t>
            </w:r>
            <w:r>
              <w:rPr>
                <w:rFonts w:hint="eastAsia"/>
                <w:color w:val="auto"/>
                <w:kern w:val="0"/>
                <w:sz w:val="24"/>
                <w:lang w:eastAsia="zh-CN"/>
              </w:rPr>
              <w:t>，</w:t>
            </w:r>
            <w:r>
              <w:rPr>
                <w:rFonts w:hint="eastAsia"/>
                <w:color w:val="auto"/>
                <w:kern w:val="0"/>
                <w:sz w:val="24"/>
                <w:lang w:val="en-US" w:eastAsia="zh-CN"/>
              </w:rPr>
              <w:t>含2024年修改单</w:t>
            </w:r>
            <w:r>
              <w:rPr>
                <w:rFonts w:hint="eastAsia"/>
                <w:color w:val="auto"/>
                <w:kern w:val="0"/>
                <w:sz w:val="24"/>
              </w:rPr>
              <w:t>）表5大气污染物特别排放限值要求；由于项目</w:t>
            </w:r>
            <w:r>
              <w:rPr>
                <w:rFonts w:hint="eastAsia"/>
                <w:color w:val="auto"/>
                <w:kern w:val="0"/>
                <w:sz w:val="24"/>
                <w:lang w:val="en-US" w:eastAsia="zh-CN"/>
              </w:rPr>
              <w:t>注塑废气</w:t>
            </w:r>
            <w:r>
              <w:rPr>
                <w:rFonts w:hint="eastAsia"/>
                <w:color w:val="auto"/>
                <w:kern w:val="0"/>
                <w:sz w:val="24"/>
              </w:rPr>
              <w:t>VOCs</w:t>
            </w:r>
            <w:r>
              <w:rPr>
                <w:rFonts w:hint="eastAsia"/>
                <w:color w:val="auto"/>
                <w:kern w:val="0"/>
                <w:sz w:val="24"/>
                <w:lang w:eastAsia="zh-CN"/>
              </w:rPr>
              <w:t>、</w:t>
            </w:r>
            <w:r>
              <w:rPr>
                <w:rFonts w:hint="eastAsia"/>
                <w:color w:val="auto"/>
                <w:kern w:val="0"/>
                <w:sz w:val="24"/>
                <w:lang w:val="en-US" w:eastAsia="zh-CN"/>
              </w:rPr>
              <w:t>与现有工程印刷、热转印、胶粘VOC</w:t>
            </w:r>
            <w:r>
              <w:rPr>
                <w:rFonts w:hint="eastAsia"/>
                <w:color w:val="auto"/>
                <w:kern w:val="0"/>
                <w:sz w:val="24"/>
                <w:vertAlign w:val="subscript"/>
                <w:lang w:val="en-US" w:eastAsia="zh-CN"/>
              </w:rPr>
              <w:t>S</w:t>
            </w:r>
            <w:r>
              <w:rPr>
                <w:rFonts w:hint="eastAsia"/>
                <w:color w:val="auto"/>
                <w:kern w:val="0"/>
                <w:sz w:val="24"/>
              </w:rPr>
              <w:t>通过一根排气筒排放，因此，本项目</w:t>
            </w:r>
            <w:r>
              <w:rPr>
                <w:rFonts w:hint="eastAsia"/>
                <w:color w:val="auto"/>
                <w:kern w:val="0"/>
                <w:sz w:val="24"/>
                <w:lang w:val="en-US" w:eastAsia="zh-CN"/>
              </w:rPr>
              <w:t>有组织废气</w:t>
            </w:r>
            <w:r>
              <w:rPr>
                <w:rFonts w:hint="eastAsia"/>
                <w:color w:val="auto"/>
                <w:kern w:val="0"/>
                <w:sz w:val="24"/>
              </w:rPr>
              <w:t>VOCs从严执行四川省地方标准《四川省固定污染源大气挥发性有机物排放标准》（DB51/2377-2017）表3排放限值</w:t>
            </w:r>
            <w:r>
              <w:rPr>
                <w:rFonts w:hint="eastAsia"/>
                <w:color w:val="auto"/>
                <w:kern w:val="0"/>
                <w:sz w:val="24"/>
                <w:lang w:eastAsia="zh-CN"/>
              </w:rPr>
              <w:t>；</w:t>
            </w:r>
            <w:r>
              <w:rPr>
                <w:rFonts w:hint="default" w:ascii="Times New Roman" w:hAnsi="Times New Roman" w:eastAsia="宋体" w:cs="Times New Roman"/>
                <w:color w:val="auto"/>
                <w:kern w:val="0"/>
                <w:sz w:val="24"/>
                <w:lang w:val="en-US" w:eastAsia="zh-CN"/>
              </w:rPr>
              <w:t>项目VOC</w:t>
            </w:r>
            <w:r>
              <w:rPr>
                <w:rFonts w:hint="default" w:ascii="Times New Roman" w:hAnsi="Times New Roman" w:eastAsia="宋体" w:cs="Times New Roman"/>
                <w:color w:val="auto"/>
                <w:kern w:val="0"/>
                <w:sz w:val="24"/>
                <w:vertAlign w:val="subscript"/>
                <w:lang w:val="en-US" w:eastAsia="zh-CN"/>
              </w:rPr>
              <w:t>S</w:t>
            </w:r>
            <w:r>
              <w:rPr>
                <w:rFonts w:hint="eastAsia" w:cs="Times New Roman"/>
                <w:color w:val="auto"/>
                <w:kern w:val="0"/>
                <w:sz w:val="24"/>
                <w:lang w:eastAsia="zh-CN"/>
              </w:rPr>
              <w:t>有组织</w:t>
            </w:r>
            <w:r>
              <w:rPr>
                <w:rFonts w:hint="default" w:ascii="Times New Roman" w:hAnsi="Times New Roman" w:eastAsia="宋体" w:cs="Times New Roman"/>
                <w:color w:val="auto"/>
                <w:kern w:val="0"/>
                <w:sz w:val="24"/>
                <w:vertAlign w:val="baseline"/>
                <w:lang w:val="en-US" w:eastAsia="zh-CN"/>
              </w:rPr>
              <w:t>排放</w:t>
            </w:r>
            <w:r>
              <w:rPr>
                <w:rFonts w:hint="eastAsia" w:cs="Times New Roman"/>
                <w:color w:val="auto"/>
                <w:kern w:val="0"/>
                <w:sz w:val="24"/>
                <w:vertAlign w:val="baseline"/>
                <w:lang w:val="en-US" w:eastAsia="zh-CN"/>
              </w:rPr>
              <w:t>分别</w:t>
            </w:r>
            <w:r>
              <w:rPr>
                <w:rFonts w:hint="default" w:ascii="Times New Roman" w:hAnsi="Times New Roman" w:eastAsia="宋体" w:cs="Times New Roman"/>
                <w:color w:val="auto"/>
                <w:kern w:val="0"/>
                <w:sz w:val="24"/>
              </w:rPr>
              <w:t>执行四川省地方标准《四川省固定污染源大气挥发性有机物排放标准》（DB51/2377-2017）表3排放限值</w:t>
            </w:r>
            <w:r>
              <w:rPr>
                <w:rFonts w:hint="eastAsia" w:cs="Times New Roman"/>
                <w:color w:val="auto"/>
                <w:kern w:val="0"/>
                <w:sz w:val="24"/>
                <w:lang w:eastAsia="zh-CN"/>
              </w:rPr>
              <w:t>，无组织</w:t>
            </w:r>
            <w:r>
              <w:rPr>
                <w:rFonts w:hint="default" w:ascii="Times New Roman" w:hAnsi="Times New Roman" w:eastAsia="宋体" w:cs="Times New Roman"/>
                <w:color w:val="auto"/>
                <w:kern w:val="0"/>
                <w:sz w:val="24"/>
                <w:vertAlign w:val="baseline"/>
                <w:lang w:val="en-US" w:eastAsia="zh-CN"/>
              </w:rPr>
              <w:t>排放</w:t>
            </w:r>
            <w:r>
              <w:rPr>
                <w:rFonts w:hint="eastAsia" w:cs="Times New Roman"/>
                <w:color w:val="auto"/>
                <w:kern w:val="0"/>
                <w:sz w:val="24"/>
                <w:vertAlign w:val="baseline"/>
                <w:lang w:val="en-US" w:eastAsia="zh-CN"/>
              </w:rPr>
              <w:t>分别</w:t>
            </w:r>
            <w:r>
              <w:rPr>
                <w:rFonts w:hint="default" w:ascii="Times New Roman" w:hAnsi="Times New Roman" w:eastAsia="宋体" w:cs="Times New Roman"/>
                <w:color w:val="auto"/>
                <w:kern w:val="0"/>
                <w:sz w:val="24"/>
              </w:rPr>
              <w:t>执行四川省地方标准《四川省固定污染源大气挥发性有机物排放标准》（DB51/2377-</w:t>
            </w:r>
            <w:r>
              <w:rPr>
                <w:rFonts w:hint="eastAsia" w:cs="Times New Roman"/>
                <w:color w:val="auto"/>
                <w:kern w:val="0"/>
                <w:sz w:val="24"/>
                <w:lang w:val="en-US" w:eastAsia="zh-CN"/>
              </w:rPr>
              <w:t xml:space="preserve"> </w:t>
            </w:r>
            <w:r>
              <w:rPr>
                <w:rFonts w:hint="default" w:ascii="Times New Roman" w:hAnsi="Times New Roman" w:eastAsia="宋体" w:cs="Times New Roman"/>
                <w:color w:val="auto"/>
                <w:kern w:val="0"/>
                <w:sz w:val="24"/>
              </w:rPr>
              <w:t>2017）表</w:t>
            </w:r>
            <w:r>
              <w:rPr>
                <w:rFonts w:hint="eastAsia" w:cs="Times New Roman"/>
                <w:color w:val="auto"/>
                <w:kern w:val="0"/>
                <w:sz w:val="24"/>
                <w:lang w:val="en-US" w:eastAsia="zh-CN"/>
              </w:rPr>
              <w:t>5</w:t>
            </w:r>
            <w:r>
              <w:rPr>
                <w:rFonts w:hint="default" w:ascii="Times New Roman" w:hAnsi="Times New Roman" w:eastAsia="宋体" w:cs="Times New Roman"/>
                <w:color w:val="auto"/>
                <w:kern w:val="0"/>
                <w:sz w:val="24"/>
              </w:rPr>
              <w:t>排放限值。</w:t>
            </w:r>
            <w:r>
              <w:rPr>
                <w:rFonts w:hint="default" w:ascii="Times New Roman" w:hAnsi="Times New Roman" w:eastAsia="宋体" w:cs="Times New Roman"/>
                <w:color w:val="auto"/>
                <w:sz w:val="24"/>
              </w:rPr>
              <w:t>具体标准见下表。</w:t>
            </w:r>
          </w:p>
          <w:p w14:paraId="1B473DD7">
            <w:pPr>
              <w:pStyle w:val="9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rPr>
            </w:pP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zh-CN"/>
              </w:rPr>
              <w:t>表</w:t>
            </w:r>
            <w:r>
              <w:rPr>
                <w:rFonts w:hint="default" w:ascii="Times New Roman" w:hAnsi="Times New Roman" w:eastAsia="宋体" w:cs="Times New Roman"/>
                <w:b/>
                <w:bCs/>
                <w:color w:val="auto"/>
                <w:sz w:val="21"/>
                <w:szCs w:val="21"/>
                <w:highlight w:val="none"/>
              </w:rPr>
              <w:t>3</w:t>
            </w:r>
            <w:r>
              <w:rPr>
                <w:rFonts w:hint="default" w:ascii="Times New Roman" w:hAnsi="Times New Roman" w:eastAsia="宋体" w:cs="Times New Roman"/>
                <w:b/>
                <w:bCs/>
                <w:color w:val="auto"/>
                <w:sz w:val="21"/>
                <w:szCs w:val="21"/>
                <w:highlight w:val="none"/>
                <w:lang w:val="zh-CN"/>
              </w:rPr>
              <w:t>-</w:t>
            </w:r>
            <w:r>
              <w:rPr>
                <w:rFonts w:hint="eastAsia" w:cs="Times New Roman"/>
                <w:b/>
                <w:bCs/>
                <w:color w:val="auto"/>
                <w:sz w:val="21"/>
                <w:szCs w:val="21"/>
                <w:highlight w:val="none"/>
                <w:lang w:val="en-US" w:eastAsia="zh-CN"/>
              </w:rPr>
              <w:t xml:space="preserve">7  </w:t>
            </w:r>
            <w:r>
              <w:rPr>
                <w:rFonts w:hint="default" w:ascii="Times New Roman" w:hAnsi="Times New Roman" w:eastAsia="宋体" w:cs="Times New Roman"/>
                <w:color w:val="auto"/>
                <w:kern w:val="0"/>
                <w:sz w:val="21"/>
                <w:szCs w:val="21"/>
                <w:highlight w:val="none"/>
              </w:rPr>
              <w:t>大气挥发性有机物</w:t>
            </w:r>
            <w:r>
              <w:rPr>
                <w:rFonts w:hint="default" w:ascii="Times New Roman" w:hAnsi="Times New Roman" w:eastAsia="宋体" w:cs="Times New Roman"/>
                <w:b/>
                <w:bCs/>
                <w:color w:val="auto"/>
                <w:sz w:val="21"/>
                <w:szCs w:val="21"/>
                <w:highlight w:val="none"/>
                <w:lang w:val="zh-CN"/>
              </w:rPr>
              <w:t>排放标准</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单</w:t>
            </w:r>
            <w:r>
              <w:rPr>
                <w:rFonts w:hint="default" w:ascii="Times New Roman" w:hAnsi="Times New Roman" w:eastAsia="宋体" w:cs="Times New Roman"/>
                <w:b/>
                <w:bCs/>
                <w:color w:val="auto"/>
                <w:sz w:val="21"/>
                <w:szCs w:val="21"/>
                <w:highlight w:val="none"/>
                <w:lang w:val="zh-CN"/>
              </w:rPr>
              <w:t>位：</w:t>
            </w: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lang w:val="zh-CN"/>
              </w:rPr>
              <w:t>g/m</w:t>
            </w:r>
            <w:r>
              <w:rPr>
                <w:rFonts w:hint="default" w:ascii="Times New Roman" w:hAnsi="Times New Roman" w:eastAsia="宋体" w:cs="Times New Roman"/>
                <w:b/>
                <w:bCs/>
                <w:color w:val="auto"/>
                <w:sz w:val="21"/>
                <w:szCs w:val="21"/>
                <w:highlight w:val="none"/>
                <w:vertAlign w:val="superscript"/>
                <w:lang w:val="zh-CN"/>
              </w:rPr>
              <w:t>3</w:t>
            </w:r>
          </w:p>
          <w:tbl>
            <w:tblPr>
              <w:tblStyle w:val="25"/>
              <w:tblW w:w="4997"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091"/>
              <w:gridCol w:w="2171"/>
              <w:gridCol w:w="2171"/>
              <w:gridCol w:w="2536"/>
            </w:tblGrid>
            <w:tr w14:paraId="4989D16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685" w:type="pct"/>
                  <w:noWrap w:val="0"/>
                  <w:vAlign w:val="center"/>
                </w:tcPr>
                <w:p w14:paraId="5C8F386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污染物</w:t>
                  </w:r>
                </w:p>
              </w:tc>
              <w:tc>
                <w:tcPr>
                  <w:tcW w:w="1361" w:type="pct"/>
                  <w:noWrap w:val="0"/>
                  <w:vAlign w:val="center"/>
                </w:tcPr>
                <w:p w14:paraId="491FF23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最高允许排放浓度（mg/m</w:t>
                  </w:r>
                  <w:r>
                    <w:rPr>
                      <w:rFonts w:hint="default" w:ascii="Times New Roman" w:hAnsi="Times New Roman" w:eastAsia="宋体" w:cs="Times New Roman"/>
                      <w:b/>
                      <w:color w:val="auto"/>
                      <w:kern w:val="2"/>
                      <w:sz w:val="21"/>
                      <w:szCs w:val="21"/>
                      <w:highlight w:val="none"/>
                      <w:vertAlign w:val="superscript"/>
                    </w:rPr>
                    <w:t>3</w:t>
                  </w:r>
                  <w:r>
                    <w:rPr>
                      <w:rFonts w:hint="default" w:ascii="Times New Roman" w:hAnsi="Times New Roman" w:eastAsia="宋体" w:cs="Times New Roman"/>
                      <w:b/>
                      <w:color w:val="auto"/>
                      <w:kern w:val="2"/>
                      <w:sz w:val="21"/>
                      <w:szCs w:val="21"/>
                      <w:highlight w:val="none"/>
                    </w:rPr>
                    <w:t>）</w:t>
                  </w:r>
                </w:p>
              </w:tc>
              <w:tc>
                <w:tcPr>
                  <w:tcW w:w="1361" w:type="pct"/>
                  <w:noWrap w:val="0"/>
                  <w:vAlign w:val="center"/>
                </w:tcPr>
                <w:p w14:paraId="25C0B35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最大允许排放速率（kg/h）</w:t>
                  </w:r>
                </w:p>
              </w:tc>
              <w:tc>
                <w:tcPr>
                  <w:tcW w:w="1590" w:type="pct"/>
                  <w:noWrap w:val="0"/>
                  <w:vAlign w:val="center"/>
                </w:tcPr>
                <w:p w14:paraId="725F406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无组织排放监控浓度限值（mg/m</w:t>
                  </w:r>
                  <w:r>
                    <w:rPr>
                      <w:rFonts w:hint="default" w:ascii="Times New Roman" w:hAnsi="Times New Roman" w:eastAsia="宋体" w:cs="Times New Roman"/>
                      <w:b/>
                      <w:color w:val="auto"/>
                      <w:kern w:val="2"/>
                      <w:sz w:val="21"/>
                      <w:szCs w:val="21"/>
                      <w:highlight w:val="none"/>
                      <w:vertAlign w:val="superscript"/>
                    </w:rPr>
                    <w:t>3</w:t>
                  </w:r>
                  <w:r>
                    <w:rPr>
                      <w:rFonts w:hint="default" w:ascii="Times New Roman" w:hAnsi="Times New Roman" w:eastAsia="宋体" w:cs="Times New Roman"/>
                      <w:b/>
                      <w:color w:val="auto"/>
                      <w:kern w:val="2"/>
                      <w:sz w:val="21"/>
                      <w:szCs w:val="21"/>
                      <w:highlight w:val="none"/>
                    </w:rPr>
                    <w:t>）</w:t>
                  </w:r>
                </w:p>
              </w:tc>
            </w:tr>
            <w:tr w14:paraId="1393216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685" w:type="pct"/>
                  <w:noWrap w:val="0"/>
                  <w:vAlign w:val="center"/>
                </w:tcPr>
                <w:p w14:paraId="7B2EA0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VOC</w:t>
                  </w:r>
                  <w:r>
                    <w:rPr>
                      <w:rFonts w:hint="default" w:ascii="Times New Roman" w:hAnsi="Times New Roman" w:eastAsia="宋体" w:cs="Times New Roman"/>
                      <w:color w:val="auto"/>
                      <w:kern w:val="2"/>
                      <w:sz w:val="21"/>
                      <w:szCs w:val="21"/>
                      <w:highlight w:val="none"/>
                      <w:vertAlign w:val="subscript"/>
                    </w:rPr>
                    <w:t>s</w:t>
                  </w:r>
                </w:p>
              </w:tc>
              <w:tc>
                <w:tcPr>
                  <w:tcW w:w="1361" w:type="pct"/>
                  <w:noWrap w:val="0"/>
                  <w:vAlign w:val="center"/>
                </w:tcPr>
                <w:p w14:paraId="0075A2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60</w:t>
                  </w:r>
                </w:p>
              </w:tc>
              <w:tc>
                <w:tcPr>
                  <w:tcW w:w="1361" w:type="pct"/>
                  <w:noWrap w:val="0"/>
                  <w:vAlign w:val="center"/>
                </w:tcPr>
                <w:p w14:paraId="0AC500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3.4</w:t>
                  </w:r>
                </w:p>
              </w:tc>
              <w:tc>
                <w:tcPr>
                  <w:tcW w:w="1590" w:type="pct"/>
                  <w:noWrap w:val="0"/>
                  <w:vAlign w:val="center"/>
                </w:tcPr>
                <w:p w14:paraId="37B411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2.0</w:t>
                  </w:r>
                </w:p>
              </w:tc>
            </w:tr>
          </w:tbl>
          <w:p w14:paraId="46577229">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厂区内</w:t>
            </w:r>
            <w:r>
              <w:rPr>
                <w:rFonts w:hint="default" w:ascii="Times New Roman" w:hAnsi="Times New Roman" w:eastAsia="宋体" w:cs="Times New Roman"/>
                <w:color w:val="auto"/>
                <w:sz w:val="24"/>
                <w:lang w:val="en-US" w:eastAsia="zh-CN"/>
              </w:rPr>
              <w:t>有机废气（NMHC）无</w:t>
            </w:r>
            <w:r>
              <w:rPr>
                <w:rFonts w:hint="default" w:ascii="Times New Roman" w:hAnsi="Times New Roman" w:eastAsia="宋体" w:cs="Times New Roman"/>
                <w:color w:val="auto"/>
                <w:sz w:val="24"/>
              </w:rPr>
              <w:t>组织排放</w:t>
            </w:r>
            <w:r>
              <w:rPr>
                <w:rFonts w:hint="default" w:ascii="Times New Roman" w:hAnsi="Times New Roman" w:eastAsia="宋体" w:cs="Times New Roman"/>
                <w:color w:val="auto"/>
                <w:kern w:val="0"/>
                <w:sz w:val="24"/>
                <w:szCs w:val="22"/>
              </w:rPr>
              <w:t>监控点</w:t>
            </w:r>
            <w:r>
              <w:rPr>
                <w:rFonts w:hint="default" w:ascii="Times New Roman" w:hAnsi="Times New Roman" w:eastAsia="宋体" w:cs="Times New Roman"/>
                <w:color w:val="auto"/>
                <w:sz w:val="24"/>
              </w:rPr>
              <w:t>执行</w:t>
            </w:r>
            <w:r>
              <w:rPr>
                <w:rFonts w:hint="default" w:ascii="Times New Roman" w:hAnsi="Times New Roman" w:eastAsia="宋体" w:cs="Times New Roman"/>
                <w:bCs/>
                <w:color w:val="auto"/>
                <w:sz w:val="24"/>
                <w:szCs w:val="24"/>
                <w:lang w:val="en-US" w:eastAsia="zh-CN"/>
              </w:rPr>
              <w:t>《印刷工业大气污染物排放标准》(GB 41616-2022)中附录A表A.1</w:t>
            </w:r>
            <w:r>
              <w:rPr>
                <w:rFonts w:hint="default" w:ascii="Times New Roman" w:hAnsi="Times New Roman" w:eastAsia="宋体" w:cs="Times New Roman"/>
                <w:color w:val="auto"/>
                <w:sz w:val="24"/>
              </w:rPr>
              <w:t>，</w:t>
            </w:r>
            <w:r>
              <w:rPr>
                <w:rFonts w:hint="default" w:ascii="Times New Roman" w:hAnsi="Times New Roman" w:cs="Times New Roman"/>
                <w:color w:val="auto"/>
                <w:sz w:val="24"/>
                <w:lang w:eastAsia="zh-CN"/>
              </w:rPr>
              <w:t>同时参考</w:t>
            </w:r>
            <w:r>
              <w:rPr>
                <w:rFonts w:hint="default" w:ascii="Times New Roman" w:hAnsi="Times New Roman" w:cs="Times New Roman"/>
                <w:color w:val="auto"/>
                <w:kern w:val="0"/>
                <w:sz w:val="24"/>
              </w:rPr>
              <w:t>《挥发性有机物无组织排放控制标准》（GB37822-2019）附录A表A.1特别排放限值</w:t>
            </w:r>
            <w:r>
              <w:rPr>
                <w:rFonts w:hint="default" w:ascii="Times New Roman" w:hAnsi="Times New Roman" w:cs="Times New Roman"/>
                <w:color w:val="auto"/>
                <w:kern w:val="0"/>
                <w:sz w:val="24"/>
                <w:lang w:eastAsia="zh-CN"/>
              </w:rPr>
              <w:t>，故项目</w:t>
            </w:r>
            <w:r>
              <w:rPr>
                <w:rFonts w:hint="default" w:ascii="Times New Roman" w:hAnsi="Times New Roman" w:cs="Times New Roman"/>
                <w:color w:val="auto"/>
                <w:kern w:val="0"/>
                <w:sz w:val="24"/>
              </w:rPr>
              <w:t>厂区无组织排放监控浓度限值</w:t>
            </w:r>
            <w:r>
              <w:rPr>
                <w:rFonts w:hint="default" w:ascii="Times New Roman" w:hAnsi="Times New Roman" w:cs="Times New Roman"/>
                <w:color w:val="auto"/>
                <w:kern w:val="0"/>
                <w:sz w:val="24"/>
                <w:lang w:eastAsia="zh-CN"/>
              </w:rPr>
              <w:t>从严</w:t>
            </w:r>
            <w:r>
              <w:rPr>
                <w:rFonts w:hint="default" w:ascii="Times New Roman" w:hAnsi="Times New Roman" w:cs="Times New Roman"/>
                <w:color w:val="auto"/>
                <w:kern w:val="0"/>
                <w:sz w:val="24"/>
              </w:rPr>
              <w:t>执行《挥发性有机物无组织排放控制标准》（GB37822-2019）附录A表A.1特别排放限值，</w:t>
            </w:r>
            <w:r>
              <w:rPr>
                <w:rFonts w:hint="default" w:ascii="Times New Roman" w:hAnsi="Times New Roman" w:eastAsia="宋体" w:cs="Times New Roman"/>
                <w:color w:val="auto"/>
                <w:sz w:val="24"/>
              </w:rPr>
              <w:t>具体标准见</w:t>
            </w:r>
            <w:r>
              <w:rPr>
                <w:rFonts w:hint="default" w:ascii="Times New Roman" w:hAnsi="Times New Roman" w:eastAsia="宋体" w:cs="Times New Roman"/>
                <w:color w:val="auto"/>
                <w:sz w:val="24"/>
                <w:lang w:eastAsia="zh-CN"/>
              </w:rPr>
              <w:t>下</w:t>
            </w:r>
            <w:r>
              <w:rPr>
                <w:rFonts w:hint="default" w:ascii="Times New Roman" w:hAnsi="Times New Roman" w:eastAsia="宋体" w:cs="Times New Roman"/>
                <w:color w:val="auto"/>
                <w:sz w:val="24"/>
              </w:rPr>
              <w:t>表。</w:t>
            </w:r>
          </w:p>
          <w:p w14:paraId="7550B6F2">
            <w:pPr>
              <w:pStyle w:val="93"/>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宋体" w:hAnsi="宋体" w:eastAsia="宋体" w:cs="宋体"/>
                <w:color w:val="auto"/>
                <w:sz w:val="24"/>
                <w:szCs w:val="24"/>
                <w:lang w:val="en-US" w:eastAsia="zh-CN"/>
              </w:rPr>
              <w:t xml:space="preserve">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表3-</w:t>
            </w:r>
            <w:r>
              <w:rPr>
                <w:rFonts w:hint="eastAsia"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厂区内VOC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无组织排放限值</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b/>
                <w:bCs/>
                <w:color w:val="auto"/>
                <w:sz w:val="21"/>
                <w:szCs w:val="21"/>
              </w:rPr>
              <w:t>单</w:t>
            </w:r>
            <w:r>
              <w:rPr>
                <w:rFonts w:hint="default" w:ascii="Times New Roman" w:hAnsi="Times New Roman" w:eastAsia="宋体" w:cs="Times New Roman"/>
                <w:b/>
                <w:bCs/>
                <w:color w:val="auto"/>
                <w:sz w:val="21"/>
                <w:szCs w:val="21"/>
                <w:lang w:val="zh-CN"/>
              </w:rPr>
              <w:t>位：</w:t>
            </w: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lang w:val="zh-CN"/>
              </w:rPr>
              <w:t>g/m</w:t>
            </w:r>
            <w:r>
              <w:rPr>
                <w:rFonts w:hint="default" w:ascii="Times New Roman" w:hAnsi="Times New Roman" w:eastAsia="宋体" w:cs="Times New Roman"/>
                <w:b/>
                <w:bCs/>
                <w:color w:val="auto"/>
                <w:sz w:val="21"/>
                <w:szCs w:val="21"/>
                <w:vertAlign w:val="superscript"/>
                <w:lang w:val="zh-CN"/>
              </w:rPr>
              <w:t>3</w:t>
            </w:r>
          </w:p>
          <w:tbl>
            <w:tblPr>
              <w:tblStyle w:val="25"/>
              <w:tblW w:w="4882"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846"/>
              <w:gridCol w:w="514"/>
              <w:gridCol w:w="2676"/>
              <w:gridCol w:w="1184"/>
              <w:gridCol w:w="2566"/>
            </w:tblGrid>
            <w:tr w14:paraId="397F843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57" w:hRule="atLeast"/>
                <w:jc w:val="center"/>
              </w:trPr>
              <w:tc>
                <w:tcPr>
                  <w:tcW w:w="543" w:type="pct"/>
                  <w:noWrap w:val="0"/>
                  <w:vAlign w:val="center"/>
                </w:tcPr>
                <w:p w14:paraId="2336FF2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330" w:type="pct"/>
                  <w:noWrap w:val="0"/>
                  <w:vAlign w:val="center"/>
                </w:tcPr>
                <w:p w14:paraId="2F13B78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排放限值</w:t>
                  </w:r>
                </w:p>
              </w:tc>
              <w:tc>
                <w:tcPr>
                  <w:tcW w:w="1718" w:type="pct"/>
                  <w:tcBorders>
                    <w:right w:val="single" w:color="auto" w:sz="4" w:space="0"/>
                  </w:tcBorders>
                  <w:noWrap w:val="0"/>
                  <w:vAlign w:val="center"/>
                </w:tcPr>
                <w:p w14:paraId="68A5F94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限值含义</w:t>
                  </w:r>
                </w:p>
              </w:tc>
              <w:tc>
                <w:tcPr>
                  <w:tcW w:w="760" w:type="pct"/>
                  <w:tcBorders>
                    <w:left w:val="single" w:color="auto" w:sz="4" w:space="0"/>
                  </w:tcBorders>
                  <w:noWrap w:val="0"/>
                  <w:vAlign w:val="center"/>
                </w:tcPr>
                <w:p w14:paraId="288B8E5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无组织排放</w:t>
                  </w:r>
                </w:p>
                <w:p w14:paraId="7764D45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监控位置</w:t>
                  </w:r>
                </w:p>
              </w:tc>
              <w:tc>
                <w:tcPr>
                  <w:tcW w:w="1647" w:type="pct"/>
                  <w:tcBorders>
                    <w:left w:val="single" w:color="auto" w:sz="4" w:space="0"/>
                  </w:tcBorders>
                  <w:noWrap w:val="0"/>
                  <w:vAlign w:val="center"/>
                </w:tcPr>
                <w:p w14:paraId="70795C5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标准来源</w:t>
                  </w:r>
                </w:p>
              </w:tc>
            </w:tr>
            <w:tr w14:paraId="0B55BF8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543" w:type="pct"/>
                  <w:vMerge w:val="restart"/>
                  <w:noWrap w:val="0"/>
                  <w:vAlign w:val="center"/>
                </w:tcPr>
                <w:p w14:paraId="7D0E86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NMHC</w:t>
                  </w:r>
                </w:p>
              </w:tc>
              <w:tc>
                <w:tcPr>
                  <w:tcW w:w="330" w:type="pct"/>
                  <w:noWrap w:val="0"/>
                  <w:vAlign w:val="center"/>
                </w:tcPr>
                <w:p w14:paraId="0210A6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718" w:type="pct"/>
                  <w:tcBorders>
                    <w:right w:val="single" w:color="auto" w:sz="4" w:space="0"/>
                  </w:tcBorders>
                  <w:noWrap w:val="0"/>
                  <w:vAlign w:val="center"/>
                </w:tcPr>
                <w:p w14:paraId="2B11C6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监控点处1h平均浓度值</w:t>
                  </w:r>
                </w:p>
              </w:tc>
              <w:tc>
                <w:tcPr>
                  <w:tcW w:w="760" w:type="pct"/>
                  <w:vMerge w:val="restart"/>
                  <w:tcBorders>
                    <w:left w:val="single" w:color="auto" w:sz="4" w:space="0"/>
                  </w:tcBorders>
                  <w:noWrap w:val="0"/>
                  <w:vAlign w:val="center"/>
                </w:tcPr>
                <w:p w14:paraId="43E1AC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在厂房外设备监控点</w:t>
                  </w:r>
                </w:p>
              </w:tc>
              <w:tc>
                <w:tcPr>
                  <w:tcW w:w="1647" w:type="pct"/>
                  <w:vMerge w:val="restart"/>
                  <w:tcBorders>
                    <w:left w:val="single" w:color="auto" w:sz="4" w:space="0"/>
                  </w:tcBorders>
                  <w:noWrap w:val="0"/>
                  <w:vAlign w:val="center"/>
                </w:tcPr>
                <w:p w14:paraId="436554D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挥发性有机物无组织排放控制标准》（GB37822-2019）附录A表A.1特别排放限值</w:t>
                  </w:r>
                </w:p>
              </w:tc>
            </w:tr>
            <w:tr w14:paraId="33E3BA3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543" w:type="pct"/>
                  <w:vMerge w:val="continue"/>
                  <w:noWrap w:val="0"/>
                  <w:vAlign w:val="center"/>
                </w:tcPr>
                <w:p w14:paraId="701A4D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330" w:type="pct"/>
                  <w:noWrap w:val="0"/>
                  <w:vAlign w:val="center"/>
                </w:tcPr>
                <w:p w14:paraId="112E4A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718" w:type="pct"/>
                  <w:tcBorders>
                    <w:right w:val="single" w:color="auto" w:sz="4" w:space="0"/>
                  </w:tcBorders>
                  <w:noWrap w:val="0"/>
                  <w:vAlign w:val="center"/>
                </w:tcPr>
                <w:p w14:paraId="3ABAA1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监控点处任意一次浓度值</w:t>
                  </w:r>
                </w:p>
              </w:tc>
              <w:tc>
                <w:tcPr>
                  <w:tcW w:w="760" w:type="pct"/>
                  <w:vMerge w:val="continue"/>
                  <w:tcBorders>
                    <w:left w:val="single" w:color="auto" w:sz="4" w:space="0"/>
                  </w:tcBorders>
                  <w:noWrap w:val="0"/>
                  <w:vAlign w:val="center"/>
                </w:tcPr>
                <w:p w14:paraId="6E7629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647" w:type="pct"/>
                  <w:vMerge w:val="continue"/>
                  <w:tcBorders>
                    <w:left w:val="single" w:color="auto" w:sz="4" w:space="0"/>
                  </w:tcBorders>
                  <w:noWrap w:val="0"/>
                  <w:vAlign w:val="center"/>
                </w:tcPr>
                <w:p w14:paraId="7CE5110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rPr>
                  </w:pPr>
                </w:p>
              </w:tc>
            </w:tr>
          </w:tbl>
          <w:p w14:paraId="2A7F56B8">
            <w:pPr>
              <w:pStyle w:val="7"/>
              <w:keepNext w:val="0"/>
              <w:keepLines w:val="0"/>
              <w:suppressLineNumbers w:val="0"/>
              <w:spacing w:before="120" w:beforeLines="50" w:beforeAutospacing="0" w:after="0" w:afterAutospacing="0" w:line="360" w:lineRule="auto"/>
              <w:ind w:left="0" w:leftChars="0" w:right="0" w:firstLine="0" w:firstLineChars="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2.废水</w:t>
            </w:r>
          </w:p>
          <w:p w14:paraId="24E1462C">
            <w:pPr>
              <w:keepNext w:val="0"/>
              <w:keepLines w:val="0"/>
              <w:suppressLineNumbers w:val="0"/>
              <w:spacing w:before="184"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执行《污水综合排放标准》（GB8978-1996）三级标准</w:t>
            </w:r>
          </w:p>
          <w:p w14:paraId="3A345A1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w:t>
            </w:r>
            <w:r>
              <w:rPr>
                <w:rFonts w:hint="eastAsia" w:cs="Times New Roman"/>
                <w:b/>
                <w:color w:val="auto"/>
                <w:kern w:val="0"/>
                <w:sz w:val="21"/>
                <w:szCs w:val="21"/>
                <w:lang w:val="en-US" w:eastAsia="zh-CN"/>
              </w:rPr>
              <w:t>3</w:t>
            </w:r>
            <w:r>
              <w:rPr>
                <w:rFonts w:hint="default" w:ascii="Times New Roman" w:hAnsi="Times New Roman" w:eastAsia="宋体" w:cs="Times New Roman"/>
                <w:b/>
                <w:color w:val="auto"/>
                <w:kern w:val="0"/>
                <w:sz w:val="21"/>
                <w:szCs w:val="21"/>
              </w:rPr>
              <w:t>-</w:t>
            </w:r>
            <w:r>
              <w:rPr>
                <w:rFonts w:hint="eastAsia" w:cs="Times New Roman"/>
                <w:b/>
                <w:color w:val="auto"/>
                <w:kern w:val="0"/>
                <w:sz w:val="21"/>
                <w:szCs w:val="21"/>
                <w:lang w:val="en-US" w:eastAsia="zh-CN"/>
              </w:rPr>
              <w:t>9</w:t>
            </w:r>
            <w:r>
              <w:rPr>
                <w:rFonts w:hint="default" w:ascii="Times New Roman" w:hAnsi="Times New Roman" w:eastAsia="宋体" w:cs="Times New Roman"/>
                <w:b/>
                <w:color w:val="auto"/>
                <w:kern w:val="0"/>
                <w:sz w:val="21"/>
                <w:szCs w:val="21"/>
              </w:rPr>
              <w:t xml:space="preserve">  污水综合排放标准（GB8978-1996）三级  单位：[mg/L]</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941"/>
              <w:gridCol w:w="942"/>
              <w:gridCol w:w="941"/>
              <w:gridCol w:w="942"/>
              <w:gridCol w:w="872"/>
              <w:gridCol w:w="1162"/>
            </w:tblGrid>
            <w:tr w14:paraId="55028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7" w:type="dxa"/>
                  <w:noWrap w:val="0"/>
                  <w:vAlign w:val="center"/>
                </w:tcPr>
                <w:p w14:paraId="5B042C8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  目</w:t>
                  </w:r>
                </w:p>
              </w:tc>
              <w:tc>
                <w:tcPr>
                  <w:tcW w:w="941" w:type="dxa"/>
                  <w:noWrap w:val="0"/>
                  <w:vAlign w:val="center"/>
                </w:tcPr>
                <w:p w14:paraId="129844C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942" w:type="dxa"/>
                  <w:noWrap w:val="0"/>
                  <w:vAlign w:val="center"/>
                </w:tcPr>
                <w:p w14:paraId="70C833E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941" w:type="dxa"/>
                  <w:noWrap w:val="0"/>
                  <w:vAlign w:val="center"/>
                </w:tcPr>
                <w:p w14:paraId="3424042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942" w:type="dxa"/>
                  <w:noWrap w:val="0"/>
                  <w:vAlign w:val="center"/>
                </w:tcPr>
                <w:p w14:paraId="6A7E75F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r>
                    <w:rPr>
                      <w:rFonts w:hint="default" w:ascii="Times New Roman" w:hAnsi="Times New Roman" w:cs="Times New Roman"/>
                      <w:color w:val="auto"/>
                      <w:sz w:val="21"/>
                      <w:szCs w:val="21"/>
                      <w:vertAlign w:val="subscript"/>
                    </w:rPr>
                    <w:t>Cr</w:t>
                  </w:r>
                </w:p>
              </w:tc>
              <w:tc>
                <w:tcPr>
                  <w:tcW w:w="872" w:type="dxa"/>
                  <w:noWrap w:val="0"/>
                  <w:vAlign w:val="center"/>
                </w:tcPr>
                <w:p w14:paraId="14C442F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1162" w:type="dxa"/>
                  <w:noWrap w:val="0"/>
                  <w:vAlign w:val="center"/>
                </w:tcPr>
                <w:p w14:paraId="7C5251C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动植物油</w:t>
                  </w:r>
                </w:p>
              </w:tc>
            </w:tr>
            <w:tr w14:paraId="6F6B1F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7" w:type="dxa"/>
                  <w:noWrap w:val="0"/>
                  <w:vAlign w:val="center"/>
                </w:tcPr>
                <w:p w14:paraId="11307C9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三级排放标准</w:t>
                  </w:r>
                </w:p>
              </w:tc>
              <w:tc>
                <w:tcPr>
                  <w:tcW w:w="941" w:type="dxa"/>
                  <w:noWrap w:val="0"/>
                  <w:vAlign w:val="center"/>
                </w:tcPr>
                <w:p w14:paraId="18301DD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942" w:type="dxa"/>
                  <w:noWrap w:val="0"/>
                  <w:vAlign w:val="center"/>
                </w:tcPr>
                <w:p w14:paraId="651327E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941" w:type="dxa"/>
                  <w:noWrap w:val="0"/>
                  <w:vAlign w:val="center"/>
                </w:tcPr>
                <w:p w14:paraId="5760730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w:t>
                  </w:r>
                </w:p>
              </w:tc>
              <w:tc>
                <w:tcPr>
                  <w:tcW w:w="942" w:type="dxa"/>
                  <w:noWrap w:val="0"/>
                  <w:vAlign w:val="center"/>
                </w:tcPr>
                <w:p w14:paraId="4B29A74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c>
                <w:tcPr>
                  <w:tcW w:w="872" w:type="dxa"/>
                  <w:noWrap w:val="0"/>
                  <w:vAlign w:val="center"/>
                </w:tcPr>
                <w:p w14:paraId="0CC83B0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45</w:t>
                  </w:r>
                </w:p>
              </w:tc>
              <w:tc>
                <w:tcPr>
                  <w:tcW w:w="1162" w:type="dxa"/>
                  <w:noWrap w:val="0"/>
                  <w:vAlign w:val="center"/>
                </w:tcPr>
                <w:p w14:paraId="0384563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r>
            <w:tr w14:paraId="71195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7" w:type="dxa"/>
                  <w:gridSpan w:val="7"/>
                  <w:noWrap w:val="0"/>
                  <w:vAlign w:val="center"/>
                </w:tcPr>
                <w:p w14:paraId="1374D816">
                  <w:pPr>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注：氨氮参照执行《污水排入城镇下水道水质标准》（GB/T31962-2015）B级标准</w:t>
                  </w:r>
                </w:p>
              </w:tc>
            </w:tr>
          </w:tbl>
          <w:p w14:paraId="0967BA8C">
            <w:pPr>
              <w:pStyle w:val="7"/>
              <w:keepNext w:val="0"/>
              <w:keepLines w:val="0"/>
              <w:suppressLineNumbers w:val="0"/>
              <w:spacing w:before="120" w:beforeLines="50" w:beforeAutospacing="0" w:after="0" w:afterAutospacing="0" w:line="360" w:lineRule="auto"/>
              <w:ind w:left="0" w:leftChars="0" w:right="0" w:firstLine="0" w:firstLineChars="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3.噪声</w:t>
            </w:r>
          </w:p>
          <w:p w14:paraId="2A40F008">
            <w:pPr>
              <w:keepNext w:val="0"/>
              <w:keepLines w:val="0"/>
              <w:suppressLineNumbers w:val="0"/>
              <w:spacing w:before="120" w:beforeLines="50" w:beforeAutospacing="0" w:after="0" w:afterAutospacing="0" w:line="360" w:lineRule="auto"/>
              <w:ind w:left="0" w:right="0"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施工期执行《建筑施工厂界环境噪声排放标准》（GB12523-2011）标准，运营期执行《工业企业厂界环境噪声排放标准》（GB12348-2008）中的3类标准，标准值见</w:t>
            </w:r>
            <w:r>
              <w:rPr>
                <w:rFonts w:hint="default" w:ascii="Times New Roman" w:hAnsi="Times New Roman" w:eastAsia="宋体" w:cs="Times New Roman"/>
                <w:color w:val="auto"/>
                <w:sz w:val="24"/>
                <w:lang w:eastAsia="zh-CN"/>
              </w:rPr>
              <w:t>下</w:t>
            </w:r>
            <w:r>
              <w:rPr>
                <w:rFonts w:hint="default" w:ascii="Times New Roman" w:hAnsi="Times New Roman" w:eastAsia="宋体" w:cs="Times New Roman"/>
                <w:color w:val="auto"/>
                <w:sz w:val="24"/>
              </w:rPr>
              <w:t>表</w:t>
            </w:r>
            <w:r>
              <w:rPr>
                <w:rFonts w:hint="default" w:ascii="Times New Roman" w:hAnsi="Times New Roman" w:eastAsia="宋体" w:cs="Times New Roman"/>
                <w:color w:val="auto"/>
                <w:sz w:val="24"/>
                <w:lang w:eastAsia="zh-CN"/>
              </w:rPr>
              <w:t>。</w:t>
            </w:r>
          </w:p>
          <w:p w14:paraId="6E208DC0">
            <w:pPr>
              <w:pStyle w:val="93"/>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宋体" w:hAnsi="宋体" w:eastAsia="宋体" w:cs="宋体"/>
                <w:color w:val="auto"/>
                <w:sz w:val="24"/>
                <w:szCs w:val="24"/>
                <w:lang w:val="en-US" w:eastAsia="zh-CN"/>
              </w:rPr>
              <w:t xml:space="preserve">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表3-</w:t>
            </w:r>
            <w:r>
              <w:rPr>
                <w:rFonts w:hint="default" w:ascii="Times New Roman" w:hAnsi="Times New Roman" w:cs="Times New Roman"/>
                <w:color w:val="auto"/>
                <w:sz w:val="21"/>
                <w:szCs w:val="21"/>
                <w:lang w:val="en-US" w:eastAsia="zh-CN"/>
              </w:rPr>
              <w:t xml:space="preserve">10  </w:t>
            </w:r>
            <w:r>
              <w:rPr>
                <w:rFonts w:hint="default" w:ascii="Times New Roman" w:hAnsi="Times New Roman" w:eastAsia="宋体" w:cs="Times New Roman"/>
                <w:color w:val="auto"/>
                <w:sz w:val="21"/>
                <w:szCs w:val="21"/>
              </w:rPr>
              <w:t>建筑施工厂界环境噪声排放标准</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单位：Leq[dB(A)]</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300"/>
              <w:gridCol w:w="3006"/>
              <w:gridCol w:w="1665"/>
            </w:tblGrid>
            <w:tr w14:paraId="1B7686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2070" w:type="pct"/>
                  <w:vMerge w:val="restart"/>
                  <w:noWrap w:val="0"/>
                  <w:vAlign w:val="center"/>
                </w:tcPr>
                <w:p w14:paraId="5A09565A">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环境噪声</w:t>
                  </w:r>
                </w:p>
              </w:tc>
              <w:tc>
                <w:tcPr>
                  <w:tcW w:w="1885" w:type="pct"/>
                  <w:noWrap w:val="0"/>
                  <w:vAlign w:val="center"/>
                </w:tcPr>
                <w:p w14:paraId="597378FA">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1044" w:type="pct"/>
                  <w:noWrap w:val="0"/>
                  <w:vAlign w:val="center"/>
                </w:tcPr>
                <w:p w14:paraId="0F0E3AAE">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r>
            <w:tr w14:paraId="376418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2070" w:type="pct"/>
                  <w:vMerge w:val="continue"/>
                  <w:noWrap w:val="0"/>
                  <w:vAlign w:val="center"/>
                </w:tcPr>
                <w:p w14:paraId="183482AD">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p>
              </w:tc>
              <w:tc>
                <w:tcPr>
                  <w:tcW w:w="1885" w:type="pct"/>
                  <w:noWrap w:val="0"/>
                  <w:vAlign w:val="center"/>
                </w:tcPr>
                <w:p w14:paraId="3BEE7BBE">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c>
                <w:tcPr>
                  <w:tcW w:w="1044" w:type="pct"/>
                  <w:noWrap w:val="0"/>
                  <w:vAlign w:val="center"/>
                </w:tcPr>
                <w:p w14:paraId="6C756D0E">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bl>
          <w:p w14:paraId="5579A7E7">
            <w:pPr>
              <w:pStyle w:val="93"/>
              <w:keepNext w:val="0"/>
              <w:keepLines w:val="0"/>
              <w:suppressLineNumbers w:val="0"/>
              <w:spacing w:before="120" w:beforeLines="5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表3-</w:t>
            </w:r>
            <w:r>
              <w:rPr>
                <w:rFonts w:hint="default" w:ascii="Times New Roman" w:hAnsi="Times New Roman" w:cs="Times New Roman"/>
                <w:color w:val="auto"/>
                <w:sz w:val="21"/>
                <w:szCs w:val="21"/>
                <w:lang w:val="en-US" w:eastAsia="zh-CN"/>
              </w:rPr>
              <w:t xml:space="preserve">11 </w:t>
            </w:r>
            <w:r>
              <w:rPr>
                <w:rFonts w:hint="default" w:ascii="Times New Roman" w:hAnsi="Times New Roman" w:eastAsia="宋体" w:cs="Times New Roman"/>
                <w:color w:val="auto"/>
                <w:sz w:val="21"/>
                <w:szCs w:val="21"/>
              </w:rPr>
              <w:t>工业企业厂界环境噪声排放标准</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单位：Leq[dB(A)]</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01"/>
              <w:gridCol w:w="1582"/>
              <w:gridCol w:w="2523"/>
              <w:gridCol w:w="1665"/>
            </w:tblGrid>
            <w:tr w14:paraId="2A904D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380" w:type="pct"/>
                  <w:vMerge w:val="restart"/>
                  <w:noWrap w:val="0"/>
                  <w:vAlign w:val="center"/>
                </w:tcPr>
                <w:p w14:paraId="48C51BED">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厂界环境噪声</w:t>
                  </w:r>
                </w:p>
              </w:tc>
              <w:tc>
                <w:tcPr>
                  <w:tcW w:w="992" w:type="pct"/>
                  <w:tcBorders>
                    <w:bottom w:val="single" w:color="auto" w:sz="4" w:space="0"/>
                  </w:tcBorders>
                  <w:noWrap w:val="0"/>
                  <w:vAlign w:val="center"/>
                </w:tcPr>
                <w:p w14:paraId="571B0CA6">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582" w:type="pct"/>
                  <w:tcBorders>
                    <w:bottom w:val="single" w:color="auto" w:sz="4" w:space="0"/>
                  </w:tcBorders>
                  <w:noWrap w:val="0"/>
                  <w:vAlign w:val="center"/>
                </w:tcPr>
                <w:p w14:paraId="4EC9529F">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1044" w:type="pct"/>
                  <w:noWrap w:val="0"/>
                  <w:vAlign w:val="center"/>
                </w:tcPr>
                <w:p w14:paraId="28605E79">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14:paraId="6BACF1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380" w:type="pct"/>
                  <w:vMerge w:val="continue"/>
                  <w:noWrap w:val="0"/>
                  <w:vAlign w:val="center"/>
                </w:tcPr>
                <w:p w14:paraId="2C73BEEB">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p>
              </w:tc>
              <w:tc>
                <w:tcPr>
                  <w:tcW w:w="992" w:type="pct"/>
                  <w:tcBorders>
                    <w:top w:val="single" w:color="auto" w:sz="4" w:space="0"/>
                  </w:tcBorders>
                  <w:noWrap w:val="0"/>
                  <w:vAlign w:val="center"/>
                </w:tcPr>
                <w:p w14:paraId="7D232688">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3类</w:t>
                  </w:r>
                </w:p>
              </w:tc>
              <w:tc>
                <w:tcPr>
                  <w:tcW w:w="1582" w:type="pct"/>
                  <w:tcBorders>
                    <w:top w:val="single" w:color="auto" w:sz="4" w:space="0"/>
                  </w:tcBorders>
                  <w:noWrap w:val="0"/>
                  <w:vAlign w:val="center"/>
                </w:tcPr>
                <w:p w14:paraId="40F4624B">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044" w:type="pct"/>
                  <w:noWrap w:val="0"/>
                  <w:vAlign w:val="center"/>
                </w:tcPr>
                <w:p w14:paraId="6066C531">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bl>
          <w:p w14:paraId="723BA142">
            <w:pPr>
              <w:pStyle w:val="7"/>
              <w:keepNext w:val="0"/>
              <w:keepLines w:val="0"/>
              <w:suppressLineNumbers w:val="0"/>
              <w:spacing w:before="120" w:beforeLines="50" w:beforeAutospacing="0" w:after="0" w:afterAutospacing="0" w:line="360" w:lineRule="auto"/>
              <w:ind w:left="0" w:leftChars="0" w:right="0" w:firstLine="0" w:firstLineChars="0"/>
              <w:rPr>
                <w:rFonts w:hint="eastAsia" w:ascii="宋体" w:hAnsi="宋体" w:eastAsia="宋体" w:cs="宋体"/>
                <w:b/>
                <w:color w:val="auto"/>
                <w:sz w:val="24"/>
              </w:rPr>
            </w:pPr>
            <w:r>
              <w:rPr>
                <w:rFonts w:hint="eastAsia" w:ascii="宋体" w:hAnsi="宋体" w:eastAsia="宋体" w:cs="宋体"/>
                <w:b/>
                <w:color w:val="auto"/>
                <w:sz w:val="24"/>
              </w:rPr>
              <w:t>4.固体废弃物</w:t>
            </w:r>
          </w:p>
          <w:p w14:paraId="791E5386">
            <w:pPr>
              <w:autoSpaceDE w:val="0"/>
              <w:autoSpaceDN w:val="0"/>
              <w:spacing w:line="360" w:lineRule="auto"/>
              <w:ind w:firstLine="480" w:firstLineChars="200"/>
              <w:rPr>
                <w:color w:val="auto"/>
                <w:sz w:val="24"/>
                <w:lang w:val="zh-CN"/>
              </w:rPr>
            </w:pPr>
            <w:r>
              <w:rPr>
                <w:rFonts w:hint="default" w:ascii="Times New Roman" w:hAnsi="Times New Roman" w:eastAsia="宋体" w:cs="Times New Roman"/>
                <w:color w:val="auto"/>
                <w:sz w:val="24"/>
              </w:rPr>
              <w:t>一般工业固体废物暂存按照“防风、防雨、防晒、防渗漏”</w:t>
            </w:r>
            <w:r>
              <w:rPr>
                <w:rFonts w:hint="default" w:ascii="Times New Roman" w:hAnsi="Times New Roman" w:eastAsia="宋体" w:cs="Times New Roman"/>
                <w:color w:val="auto"/>
                <w:sz w:val="24"/>
                <w:lang w:eastAsia="zh-CN"/>
              </w:rPr>
              <w:t>的“</w:t>
            </w:r>
            <w:r>
              <w:rPr>
                <w:rFonts w:hint="default" w:ascii="Times New Roman" w:hAnsi="Times New Roman" w:eastAsia="宋体" w:cs="Times New Roman"/>
                <w:color w:val="auto"/>
                <w:sz w:val="24"/>
              </w:rPr>
              <w:t>四防</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措施实施</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color w:val="auto"/>
                <w:sz w:val="24"/>
                <w:lang w:val="zh-CN"/>
              </w:rPr>
              <w:t>危险废物贮存执行《危险废物贮存污染物控制标准》（GB18597-2023）、《危险废物转移管理办法》和《四川固体废物环境管理工作规则（试行）》。</w:t>
            </w:r>
          </w:p>
        </w:tc>
      </w:tr>
      <w:tr w14:paraId="4F35D9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00" w:type="dxa"/>
            <w:vAlign w:val="center"/>
          </w:tcPr>
          <w:p w14:paraId="379D579B">
            <w:pPr>
              <w:adjustRightInd w:val="0"/>
              <w:snapToGrid w:val="0"/>
              <w:jc w:val="center"/>
              <w:rPr>
                <w:color w:val="auto"/>
                <w:kern w:val="0"/>
                <w:szCs w:val="21"/>
              </w:rPr>
            </w:pPr>
            <w:r>
              <w:rPr>
                <w:color w:val="auto"/>
                <w:kern w:val="0"/>
                <w:szCs w:val="21"/>
              </w:rPr>
              <w:t>总量</w:t>
            </w:r>
          </w:p>
          <w:p w14:paraId="181882D0">
            <w:pPr>
              <w:adjustRightInd w:val="0"/>
              <w:snapToGrid w:val="0"/>
              <w:jc w:val="center"/>
              <w:rPr>
                <w:color w:val="auto"/>
                <w:kern w:val="0"/>
                <w:szCs w:val="21"/>
              </w:rPr>
            </w:pPr>
            <w:r>
              <w:rPr>
                <w:color w:val="auto"/>
                <w:kern w:val="0"/>
                <w:szCs w:val="21"/>
              </w:rPr>
              <w:t>控制</w:t>
            </w:r>
          </w:p>
          <w:p w14:paraId="58C6F901">
            <w:pPr>
              <w:adjustRightInd w:val="0"/>
              <w:snapToGrid w:val="0"/>
              <w:jc w:val="center"/>
              <w:rPr>
                <w:color w:val="auto"/>
                <w:kern w:val="0"/>
                <w:szCs w:val="21"/>
              </w:rPr>
            </w:pPr>
            <w:r>
              <w:rPr>
                <w:color w:val="auto"/>
                <w:kern w:val="0"/>
                <w:szCs w:val="21"/>
              </w:rPr>
              <w:t>指标</w:t>
            </w:r>
          </w:p>
        </w:tc>
        <w:tc>
          <w:tcPr>
            <w:tcW w:w="8190" w:type="dxa"/>
            <w:vAlign w:val="center"/>
          </w:tcPr>
          <w:p w14:paraId="34E65C29">
            <w:pPr>
              <w:spacing w:line="360" w:lineRule="auto"/>
              <w:ind w:firstLine="480" w:firstLineChars="200"/>
              <w:rPr>
                <w:color w:val="auto"/>
                <w:kern w:val="0"/>
                <w:sz w:val="24"/>
                <w:highlight w:val="none"/>
              </w:rPr>
            </w:pPr>
            <w:r>
              <w:rPr>
                <w:color w:val="auto"/>
                <w:kern w:val="0"/>
                <w:sz w:val="24"/>
                <w:highlight w:val="none"/>
              </w:rPr>
              <w:t>根据</w:t>
            </w:r>
            <w:r>
              <w:rPr>
                <w:rFonts w:hint="eastAsia"/>
                <w:color w:val="auto"/>
                <w:kern w:val="0"/>
                <w:sz w:val="24"/>
                <w:highlight w:val="none"/>
              </w:rPr>
              <w:t>本</w:t>
            </w:r>
            <w:r>
              <w:rPr>
                <w:color w:val="auto"/>
                <w:kern w:val="0"/>
                <w:sz w:val="24"/>
                <w:highlight w:val="none"/>
              </w:rPr>
              <w:t>项目污染物排放特点，本评价确定的污染物排放总量控制因子为：废水污染物指标：COD、NH</w:t>
            </w:r>
            <w:r>
              <w:rPr>
                <w:color w:val="auto"/>
                <w:kern w:val="0"/>
                <w:sz w:val="24"/>
                <w:highlight w:val="none"/>
                <w:vertAlign w:val="subscript"/>
              </w:rPr>
              <w:t>3</w:t>
            </w:r>
            <w:r>
              <w:rPr>
                <w:color w:val="auto"/>
                <w:kern w:val="0"/>
                <w:sz w:val="24"/>
                <w:highlight w:val="none"/>
              </w:rPr>
              <w:t>-N；废气污染物：VOCs。</w:t>
            </w:r>
          </w:p>
          <w:p w14:paraId="287BB9F0">
            <w:pPr>
              <w:spacing w:line="360" w:lineRule="auto"/>
              <w:ind w:firstLine="480" w:firstLineChars="200"/>
              <w:rPr>
                <w:color w:val="auto"/>
                <w:kern w:val="0"/>
                <w:sz w:val="24"/>
                <w:highlight w:val="none"/>
              </w:rPr>
            </w:pPr>
            <w:r>
              <w:rPr>
                <w:color w:val="auto"/>
                <w:kern w:val="0"/>
                <w:sz w:val="24"/>
                <w:highlight w:val="none"/>
              </w:rPr>
              <w:t>根据工程分析，本环评建议的污染物排放总量控制指标如下：</w:t>
            </w:r>
          </w:p>
          <w:p w14:paraId="7A2C5CC2">
            <w:pPr>
              <w:pStyle w:val="71"/>
              <w:numPr>
                <w:ilvl w:val="0"/>
                <w:numId w:val="4"/>
              </w:numPr>
              <w:spacing w:line="360" w:lineRule="auto"/>
              <w:ind w:firstLineChars="0"/>
              <w:rPr>
                <w:b/>
                <w:bCs/>
                <w:color w:val="auto"/>
                <w:kern w:val="0"/>
                <w:sz w:val="24"/>
                <w:highlight w:val="none"/>
              </w:rPr>
            </w:pPr>
            <w:r>
              <w:rPr>
                <w:b/>
                <w:bCs/>
                <w:color w:val="auto"/>
                <w:kern w:val="0"/>
                <w:sz w:val="24"/>
                <w:highlight w:val="none"/>
              </w:rPr>
              <w:t>废水污染物</w:t>
            </w:r>
          </w:p>
          <w:p w14:paraId="4ACCC7F3">
            <w:pPr>
              <w:spacing w:line="360" w:lineRule="auto"/>
              <w:ind w:left="422"/>
              <w:rPr>
                <w:b/>
                <w:bCs/>
                <w:color w:val="auto"/>
                <w:sz w:val="24"/>
                <w:highlight w:val="none"/>
              </w:rPr>
            </w:pPr>
            <w:r>
              <w:rPr>
                <w:rFonts w:hint="eastAsia"/>
                <w:b/>
                <w:bCs/>
                <w:color w:val="auto"/>
                <w:sz w:val="24"/>
                <w:highlight w:val="none"/>
                <w:lang w:eastAsia="zh-CN"/>
              </w:rPr>
              <w:t>（</w:t>
            </w:r>
            <w:r>
              <w:rPr>
                <w:rFonts w:hint="eastAsia"/>
                <w:b/>
                <w:bCs/>
                <w:color w:val="auto"/>
                <w:sz w:val="24"/>
                <w:highlight w:val="none"/>
                <w:lang w:val="en-US" w:eastAsia="zh-CN"/>
              </w:rPr>
              <w:t>1</w:t>
            </w:r>
            <w:r>
              <w:rPr>
                <w:rFonts w:hint="eastAsia"/>
                <w:b/>
                <w:bCs/>
                <w:color w:val="auto"/>
                <w:sz w:val="24"/>
                <w:highlight w:val="none"/>
                <w:lang w:eastAsia="zh-CN"/>
              </w:rPr>
              <w:t>）</w:t>
            </w:r>
            <w:r>
              <w:rPr>
                <w:rFonts w:hint="eastAsia"/>
                <w:b/>
                <w:bCs/>
                <w:color w:val="auto"/>
                <w:sz w:val="24"/>
                <w:highlight w:val="none"/>
              </w:rPr>
              <w:t>现有工程：</w:t>
            </w:r>
          </w:p>
          <w:p w14:paraId="02E73B77">
            <w:pPr>
              <w:spacing w:line="360" w:lineRule="auto"/>
              <w:ind w:firstLine="482" w:firstLineChars="200"/>
              <w:rPr>
                <w:b/>
                <w:bCs/>
                <w:color w:val="auto"/>
                <w:sz w:val="24"/>
                <w:highlight w:val="none"/>
              </w:rPr>
            </w:pPr>
            <w:r>
              <w:rPr>
                <w:rFonts w:hint="eastAsia"/>
                <w:b/>
                <w:bCs/>
                <w:color w:val="auto"/>
                <w:sz w:val="24"/>
                <w:highlight w:val="none"/>
              </w:rPr>
              <w:t>现有工程废水污染物总量控制指标为：</w:t>
            </w:r>
          </w:p>
          <w:p w14:paraId="22A6B490">
            <w:pPr>
              <w:spacing w:line="360" w:lineRule="auto"/>
              <w:ind w:left="422"/>
              <w:rPr>
                <w:color w:val="auto"/>
                <w:sz w:val="24"/>
                <w:highlight w:val="none"/>
              </w:rPr>
            </w:pPr>
            <w:r>
              <w:rPr>
                <w:rFonts w:hint="eastAsia"/>
                <w:color w:val="auto"/>
                <w:sz w:val="24"/>
                <w:highlight w:val="none"/>
              </w:rPr>
              <w:t>厂区排口：COD</w:t>
            </w:r>
            <w:r>
              <w:rPr>
                <w:rFonts w:hint="eastAsia"/>
                <w:color w:val="auto"/>
                <w:sz w:val="24"/>
                <w:highlight w:val="none"/>
                <w:lang w:val="en-US" w:eastAsia="zh-CN"/>
              </w:rPr>
              <w:t xml:space="preserve"> </w:t>
            </w:r>
            <w:r>
              <w:rPr>
                <w:color w:val="auto"/>
                <w:sz w:val="24"/>
                <w:highlight w:val="none"/>
              </w:rPr>
              <w:t xml:space="preserve"> </w:t>
            </w:r>
            <w:r>
              <w:rPr>
                <w:rFonts w:hint="eastAsia"/>
                <w:color w:val="auto"/>
                <w:sz w:val="24"/>
                <w:highlight w:val="none"/>
                <w:lang w:val="en-US" w:eastAsia="zh-CN"/>
              </w:rPr>
              <w:t>0.294</w:t>
            </w:r>
            <w:r>
              <w:rPr>
                <w:rFonts w:hint="default"/>
                <w:color w:val="auto"/>
                <w:sz w:val="24"/>
                <w:highlight w:val="none"/>
              </w:rPr>
              <w:t>t/a</w:t>
            </w:r>
            <w:r>
              <w:rPr>
                <w:rFonts w:hint="eastAsia"/>
                <w:color w:val="auto"/>
                <w:sz w:val="24"/>
                <w:highlight w:val="none"/>
              </w:rPr>
              <w:t xml:space="preserve">；氨氮 </w:t>
            </w:r>
            <w:r>
              <w:rPr>
                <w:rFonts w:hint="eastAsia"/>
                <w:color w:val="auto"/>
                <w:sz w:val="24"/>
                <w:highlight w:val="none"/>
                <w:lang w:val="en-US" w:eastAsia="zh-CN"/>
              </w:rPr>
              <w:t>0.026</w:t>
            </w:r>
            <w:r>
              <w:rPr>
                <w:rFonts w:hint="eastAsia"/>
                <w:color w:val="auto"/>
                <w:sz w:val="24"/>
                <w:highlight w:val="none"/>
              </w:rPr>
              <w:t>t/a；</w:t>
            </w:r>
          </w:p>
          <w:p w14:paraId="45734AAF">
            <w:pPr>
              <w:spacing w:line="360" w:lineRule="auto"/>
              <w:ind w:left="422"/>
              <w:rPr>
                <w:color w:val="auto"/>
                <w:sz w:val="24"/>
                <w:highlight w:val="none"/>
              </w:rPr>
            </w:pPr>
            <w:r>
              <w:rPr>
                <w:rFonts w:hint="eastAsia"/>
                <w:color w:val="auto"/>
                <w:sz w:val="24"/>
                <w:highlight w:val="none"/>
              </w:rPr>
              <w:t>污水处理厂排污口：COD</w:t>
            </w:r>
            <w:r>
              <w:rPr>
                <w:color w:val="auto"/>
                <w:sz w:val="24"/>
                <w:highlight w:val="none"/>
              </w:rPr>
              <w:t xml:space="preserve">  </w:t>
            </w:r>
            <w:r>
              <w:rPr>
                <w:rFonts w:hint="eastAsia" w:cs="Times New Roman"/>
                <w:color w:val="auto"/>
                <w:sz w:val="24"/>
                <w:szCs w:val="24"/>
                <w:highlight w:val="none"/>
                <w:lang w:val="en-US" w:eastAsia="zh-CN"/>
              </w:rPr>
              <w:t>0.012</w:t>
            </w:r>
            <w:r>
              <w:rPr>
                <w:rFonts w:hint="default" w:ascii="Times New Roman" w:hAnsi="Times New Roman" w:cs="Times New Roman"/>
                <w:color w:val="auto"/>
                <w:sz w:val="24"/>
                <w:szCs w:val="24"/>
                <w:highlight w:val="none"/>
              </w:rPr>
              <w:t>t/a</w:t>
            </w:r>
            <w:r>
              <w:rPr>
                <w:rFonts w:hint="eastAsia"/>
                <w:color w:val="auto"/>
                <w:sz w:val="24"/>
                <w:highlight w:val="none"/>
              </w:rPr>
              <w:t xml:space="preserve">；氨氮 </w:t>
            </w:r>
            <w:r>
              <w:rPr>
                <w:rFonts w:hint="eastAsia" w:cs="Times New Roman"/>
                <w:color w:val="auto"/>
                <w:sz w:val="24"/>
                <w:szCs w:val="24"/>
                <w:highlight w:val="none"/>
                <w:vertAlign w:val="baseline"/>
                <w:lang w:val="en-US" w:eastAsia="zh-CN"/>
              </w:rPr>
              <w:t>0.0006</w:t>
            </w:r>
            <w:r>
              <w:rPr>
                <w:rFonts w:hint="default" w:ascii="Times New Roman" w:hAnsi="Times New Roman" w:cs="Times New Roman"/>
                <w:color w:val="auto"/>
                <w:sz w:val="24"/>
                <w:szCs w:val="24"/>
                <w:highlight w:val="none"/>
              </w:rPr>
              <w:t>t/a</w:t>
            </w:r>
            <w:r>
              <w:rPr>
                <w:rFonts w:hint="eastAsia"/>
                <w:color w:val="auto"/>
                <w:sz w:val="24"/>
                <w:highlight w:val="none"/>
              </w:rPr>
              <w:t>；</w:t>
            </w:r>
          </w:p>
          <w:p w14:paraId="73825200">
            <w:pPr>
              <w:spacing w:line="360" w:lineRule="auto"/>
              <w:ind w:firstLine="482" w:firstLineChars="200"/>
              <w:rPr>
                <w:b/>
                <w:bCs/>
                <w:color w:val="auto"/>
                <w:sz w:val="24"/>
                <w:highlight w:val="none"/>
              </w:rPr>
            </w:pPr>
            <w:r>
              <w:rPr>
                <w:rFonts w:hint="eastAsia"/>
                <w:b/>
                <w:bCs/>
                <w:color w:val="auto"/>
                <w:sz w:val="24"/>
                <w:highlight w:val="none"/>
                <w:lang w:eastAsia="zh-CN"/>
              </w:rPr>
              <w:t>（</w:t>
            </w:r>
            <w:r>
              <w:rPr>
                <w:rFonts w:hint="eastAsia"/>
                <w:b/>
                <w:bCs/>
                <w:color w:val="auto"/>
                <w:sz w:val="24"/>
                <w:highlight w:val="none"/>
                <w:lang w:val="en-US" w:eastAsia="zh-CN"/>
              </w:rPr>
              <w:t>2</w:t>
            </w:r>
            <w:r>
              <w:rPr>
                <w:rFonts w:hint="eastAsia"/>
                <w:b/>
                <w:bCs/>
                <w:color w:val="auto"/>
                <w:sz w:val="24"/>
                <w:highlight w:val="none"/>
                <w:lang w:eastAsia="zh-CN"/>
              </w:rPr>
              <w:t>）</w:t>
            </w:r>
            <w:r>
              <w:rPr>
                <w:rFonts w:hint="eastAsia"/>
                <w:b/>
                <w:bCs/>
                <w:color w:val="auto"/>
                <w:sz w:val="24"/>
                <w:highlight w:val="none"/>
              </w:rPr>
              <w:t>本项目：</w:t>
            </w:r>
          </w:p>
          <w:p w14:paraId="0352B93D">
            <w:pPr>
              <w:keepNext w:val="0"/>
              <w:keepLines w:val="0"/>
              <w:suppressLineNumbers w:val="0"/>
              <w:spacing w:before="0" w:beforeAutospacing="0" w:after="0" w:afterAutospacing="0" w:line="360" w:lineRule="auto"/>
              <w:ind w:left="0" w:right="0" w:firstLine="480"/>
              <w:rPr>
                <w:color w:val="auto"/>
                <w:sz w:val="24"/>
                <w:highlight w:val="none"/>
              </w:rPr>
            </w:pPr>
            <w:r>
              <w:rPr>
                <w:rFonts w:hint="eastAsia"/>
                <w:color w:val="auto"/>
                <w:sz w:val="24"/>
                <w:highlight w:val="none"/>
              </w:rPr>
              <w:t>食堂废水新建1个油水分离器，本项目</w:t>
            </w:r>
            <w:r>
              <w:rPr>
                <w:color w:val="auto"/>
                <w:sz w:val="24"/>
                <w:highlight w:val="none"/>
              </w:rPr>
              <w:t>食堂产生的餐饮废水</w:t>
            </w:r>
            <w:r>
              <w:rPr>
                <w:rFonts w:hint="eastAsia"/>
                <w:color w:val="auto"/>
                <w:sz w:val="24"/>
                <w:highlight w:val="none"/>
              </w:rPr>
              <w:t>经新建的油水分离器</w:t>
            </w:r>
            <w:r>
              <w:rPr>
                <w:color w:val="auto"/>
                <w:sz w:val="24"/>
                <w:highlight w:val="none"/>
              </w:rPr>
              <w:t>分离油污后</w:t>
            </w:r>
            <w:r>
              <w:rPr>
                <w:rFonts w:hint="eastAsia"/>
                <w:color w:val="auto"/>
                <w:sz w:val="24"/>
                <w:highlight w:val="none"/>
              </w:rPr>
              <w:t>，与生活污水一起排入</w:t>
            </w:r>
            <w:r>
              <w:rPr>
                <w:color w:val="auto"/>
                <w:sz w:val="24"/>
                <w:highlight w:val="none"/>
              </w:rPr>
              <w:t>厂区</w:t>
            </w:r>
            <w:r>
              <w:rPr>
                <w:rFonts w:hint="eastAsia"/>
                <w:color w:val="auto"/>
                <w:sz w:val="24"/>
                <w:highlight w:val="none"/>
              </w:rPr>
              <w:t>已建的预处理池（</w:t>
            </w:r>
            <w:r>
              <w:rPr>
                <w:rFonts w:hint="eastAsia"/>
                <w:color w:val="auto"/>
                <w:sz w:val="24"/>
                <w:highlight w:val="none"/>
                <w:lang w:val="en-US" w:eastAsia="zh-CN"/>
              </w:rPr>
              <w:t>40</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），处理达《污水综合排放标准》（GB8978-1996）三级标准后，排入《污水综合排放标准》（GB8978-1996）三级标准后，排入大英县生活污水处理厂，达标后排入郪江</w:t>
            </w:r>
            <w:r>
              <w:rPr>
                <w:rFonts w:hint="eastAsia"/>
                <w:color w:val="auto"/>
                <w:sz w:val="24"/>
                <w:highlight w:val="none"/>
                <w:lang w:eastAsia="zh-CN"/>
              </w:rPr>
              <w:t>。</w:t>
            </w:r>
          </w:p>
          <w:p w14:paraId="64D9711E">
            <w:pPr>
              <w:spacing w:line="360" w:lineRule="auto"/>
              <w:ind w:firstLine="480" w:firstLineChars="200"/>
              <w:rPr>
                <w:rFonts w:hint="default" w:ascii="Times New Roman" w:hAnsi="Times New Roman" w:cs="Times New Roman"/>
                <w:color w:val="auto"/>
                <w:sz w:val="24"/>
                <w:szCs w:val="24"/>
                <w:highlight w:val="none"/>
              </w:rPr>
            </w:pPr>
            <w:r>
              <w:rPr>
                <w:color w:val="auto"/>
                <w:sz w:val="24"/>
                <w:highlight w:val="none"/>
              </w:rPr>
              <w:t>结合国家污染物排放总量控制原则，本项目总量控制建议指标为：COD、NH</w:t>
            </w:r>
            <w:r>
              <w:rPr>
                <w:color w:val="auto"/>
                <w:sz w:val="24"/>
                <w:highlight w:val="none"/>
                <w:vertAlign w:val="subscript"/>
              </w:rPr>
              <w:t>3</w:t>
            </w:r>
            <w:r>
              <w:rPr>
                <w:color w:val="auto"/>
                <w:sz w:val="24"/>
                <w:highlight w:val="none"/>
              </w:rPr>
              <w:t>-N；废水经厂区处理设施处理后COD 按照《污水综合排放标准（GB8978-1996）表2 三级标准500mg/L；NH</w:t>
            </w:r>
            <w:r>
              <w:rPr>
                <w:color w:val="auto"/>
                <w:sz w:val="24"/>
                <w:highlight w:val="none"/>
                <w:vertAlign w:val="subscript"/>
              </w:rPr>
              <w:t>3</w:t>
            </w:r>
            <w:r>
              <w:rPr>
                <w:color w:val="auto"/>
                <w:sz w:val="24"/>
                <w:highlight w:val="none"/>
              </w:rPr>
              <w:t>-N</w:t>
            </w:r>
            <w:r>
              <w:rPr>
                <w:rFonts w:hint="eastAsia"/>
                <w:color w:val="auto"/>
                <w:sz w:val="24"/>
                <w:highlight w:val="none"/>
              </w:rPr>
              <w:t>参照</w:t>
            </w:r>
            <w:r>
              <w:rPr>
                <w:color w:val="auto"/>
                <w:sz w:val="24"/>
                <w:highlight w:val="none"/>
              </w:rPr>
              <w:t>《污水排入城镇下水道水质标准》（GB/T31962-2015）表1 中B级标准45mg/L。经</w:t>
            </w:r>
            <w:r>
              <w:rPr>
                <w:rFonts w:hint="eastAsia"/>
                <w:color w:val="auto"/>
                <w:sz w:val="24"/>
                <w:highlight w:val="none"/>
                <w:lang w:eastAsia="zh-CN"/>
              </w:rPr>
              <w:t>大英县工业污水处理厂</w:t>
            </w:r>
            <w:r>
              <w:rPr>
                <w:color w:val="auto"/>
                <w:sz w:val="24"/>
                <w:highlight w:val="none"/>
              </w:rPr>
              <w:t>处理后可达</w:t>
            </w:r>
            <w:r>
              <w:rPr>
                <w:rFonts w:hint="eastAsia" w:ascii="Times New Roman" w:hAnsi="Times New Roman" w:cs="Times New Roman"/>
                <w:b w:val="0"/>
                <w:bCs w:val="0"/>
                <w:color w:val="auto"/>
                <w:sz w:val="24"/>
                <w:szCs w:val="24"/>
                <w:highlight w:val="none"/>
                <w:lang w:val="en-US" w:eastAsia="zh-CN"/>
              </w:rPr>
              <w:t>《地表水环境质量标准》（GB3838-2002）中Ⅲ类水域功能标准值（</w:t>
            </w:r>
            <w:r>
              <w:rPr>
                <w:rFonts w:hint="eastAsia" w:ascii="Times New Roman" w:hAnsi="Times New Roman" w:cs="Times New Roman"/>
                <w:color w:val="auto"/>
                <w:sz w:val="24"/>
                <w:szCs w:val="24"/>
                <w:highlight w:val="none"/>
                <w:lang w:val="en-US" w:eastAsia="zh-CN"/>
              </w:rPr>
              <w:t>COD≤</w:t>
            </w:r>
            <w:r>
              <w:rPr>
                <w:rFonts w:hint="eastAsia" w:cs="Times New Roman"/>
                <w:color w:val="auto"/>
                <w:sz w:val="24"/>
                <w:szCs w:val="24"/>
                <w:highlight w:val="none"/>
                <w:lang w:val="en-US" w:eastAsia="zh-CN"/>
              </w:rPr>
              <w:t>20</w:t>
            </w:r>
            <w:r>
              <w:rPr>
                <w:rFonts w:hint="eastAsia" w:ascii="Times New Roman" w:hAnsi="Times New Roman" w:cs="Times New Roman"/>
                <w:color w:val="auto"/>
                <w:sz w:val="24"/>
                <w:szCs w:val="24"/>
                <w:highlight w:val="none"/>
                <w:lang w:val="en-US" w:eastAsia="zh-CN"/>
              </w:rPr>
              <w:t>mg/L，NH</w:t>
            </w:r>
            <w:r>
              <w:rPr>
                <w:rFonts w:hint="eastAsia" w:ascii="Times New Roman" w:hAnsi="Times New Roman" w:cs="Times New Roman"/>
                <w:color w:val="auto"/>
                <w:sz w:val="24"/>
                <w:szCs w:val="24"/>
                <w:highlight w:val="none"/>
                <w:vertAlign w:val="subscript"/>
                <w:lang w:val="en-US" w:eastAsia="zh-CN"/>
              </w:rPr>
              <w:t>3</w:t>
            </w:r>
            <w:r>
              <w:rPr>
                <w:rFonts w:hint="eastAsia" w:ascii="Times New Roman" w:hAnsi="Times New Roman" w:cs="Times New Roman"/>
                <w:color w:val="auto"/>
                <w:sz w:val="24"/>
                <w:szCs w:val="24"/>
                <w:highlight w:val="none"/>
                <w:lang w:val="en-US" w:eastAsia="zh-CN"/>
              </w:rPr>
              <w:t>-N≤</w:t>
            </w:r>
            <w:r>
              <w:rPr>
                <w:rFonts w:hint="eastAsia" w:cs="Times New Roman"/>
                <w:color w:val="auto"/>
                <w:sz w:val="24"/>
                <w:szCs w:val="24"/>
                <w:highlight w:val="none"/>
                <w:lang w:val="en-US" w:eastAsia="zh-CN"/>
              </w:rPr>
              <w:t>1.0</w:t>
            </w:r>
            <w:r>
              <w:rPr>
                <w:rFonts w:hint="eastAsia" w:ascii="Times New Roman" w:hAnsi="Times New Roman" w:cs="Times New Roman"/>
                <w:color w:val="auto"/>
                <w:sz w:val="24"/>
                <w:szCs w:val="24"/>
                <w:highlight w:val="none"/>
                <w:lang w:val="en-US" w:eastAsia="zh-CN"/>
              </w:rPr>
              <w:t>mg/L</w:t>
            </w:r>
            <w:r>
              <w:rPr>
                <w:rFonts w:hint="eastAsia" w:ascii="Times New Roman" w:hAnsi="Times New Roman" w:cs="Times New Roman"/>
                <w:b w:val="0"/>
                <w:bCs w:val="0"/>
                <w:color w:val="auto"/>
                <w:sz w:val="24"/>
                <w:szCs w:val="24"/>
                <w:highlight w:val="none"/>
                <w:lang w:val="en-US" w:eastAsia="zh-CN"/>
              </w:rPr>
              <w:t>）。</w:t>
            </w:r>
          </w:p>
          <w:p w14:paraId="77052B25">
            <w:pPr>
              <w:spacing w:line="360" w:lineRule="auto"/>
              <w:ind w:firstLine="480" w:firstLineChars="200"/>
              <w:jc w:val="left"/>
              <w:rPr>
                <w:color w:val="auto"/>
                <w:sz w:val="24"/>
                <w:highlight w:val="none"/>
              </w:rPr>
            </w:pPr>
            <w:r>
              <w:rPr>
                <w:color w:val="auto"/>
                <w:sz w:val="24"/>
                <w:highlight w:val="none"/>
              </w:rPr>
              <w:t>厂区排口</w:t>
            </w:r>
            <w:r>
              <w:rPr>
                <w:rFonts w:hint="eastAsia"/>
                <w:color w:val="auto"/>
                <w:sz w:val="24"/>
                <w:highlight w:val="none"/>
              </w:rPr>
              <w:t>：</w:t>
            </w:r>
          </w:p>
          <w:p w14:paraId="5B230E28">
            <w:pPr>
              <w:spacing w:line="360" w:lineRule="auto"/>
              <w:ind w:firstLine="480" w:firstLineChars="200"/>
              <w:jc w:val="left"/>
              <w:rPr>
                <w:color w:val="auto"/>
                <w:sz w:val="24"/>
                <w:highlight w:val="yellow"/>
              </w:rPr>
            </w:pPr>
            <w:r>
              <w:rPr>
                <w:rFonts w:hint="eastAsia"/>
                <w:color w:val="auto"/>
                <w:sz w:val="24"/>
                <w:highlight w:val="none"/>
              </w:rPr>
              <w:t>COD：</w:t>
            </w:r>
            <w:r>
              <w:rPr>
                <w:rFonts w:hint="eastAsia"/>
                <w:color w:val="auto"/>
                <w:sz w:val="24"/>
                <w:highlight w:val="none"/>
                <w:lang w:val="en-US" w:eastAsia="zh-CN"/>
              </w:rPr>
              <w:t>4164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eastAsia"/>
                <w:color w:val="auto"/>
                <w:sz w:val="24"/>
                <w:highlight w:val="none"/>
                <w:lang w:val="en-US" w:eastAsia="zh-CN"/>
              </w:rPr>
              <w:t>a</w:t>
            </w:r>
            <w:r>
              <w:rPr>
                <w:rFonts w:hint="eastAsia"/>
                <w:color w:val="auto"/>
                <w:sz w:val="24"/>
                <w:highlight w:val="none"/>
              </w:rPr>
              <w:t>×500mg/L×10</w:t>
            </w:r>
            <w:r>
              <w:rPr>
                <w:rFonts w:hint="eastAsia"/>
                <w:color w:val="auto"/>
                <w:sz w:val="24"/>
                <w:highlight w:val="none"/>
                <w:vertAlign w:val="superscript"/>
              </w:rPr>
              <w:t>-6</w:t>
            </w:r>
            <w:r>
              <w:rPr>
                <w:rFonts w:hint="eastAsia"/>
                <w:color w:val="auto"/>
                <w:sz w:val="24"/>
                <w:highlight w:val="none"/>
              </w:rPr>
              <w:t xml:space="preserve"> =</w:t>
            </w:r>
            <w:r>
              <w:rPr>
                <w:rFonts w:hint="eastAsia"/>
                <w:color w:val="auto"/>
                <w:sz w:val="24"/>
                <w:highlight w:val="none"/>
                <w:lang w:val="en-US" w:eastAsia="zh-CN"/>
              </w:rPr>
              <w:t>2.082</w:t>
            </w:r>
            <w:r>
              <w:rPr>
                <w:rFonts w:hint="eastAsia"/>
                <w:color w:val="auto"/>
                <w:sz w:val="24"/>
                <w:highlight w:val="none"/>
              </w:rPr>
              <w:t>（t/a）</w:t>
            </w:r>
          </w:p>
          <w:p w14:paraId="3D6D1F61">
            <w:pPr>
              <w:spacing w:line="360" w:lineRule="auto"/>
              <w:ind w:firstLine="480" w:firstLineChars="200"/>
              <w:jc w:val="left"/>
              <w:rPr>
                <w:color w:val="auto"/>
                <w:sz w:val="24"/>
                <w:highlight w:val="none"/>
              </w:rPr>
            </w:pPr>
            <w:r>
              <w:rPr>
                <w:rFonts w:hint="eastAsia"/>
                <w:color w:val="auto"/>
                <w:sz w:val="24"/>
                <w:highlight w:val="none"/>
              </w:rPr>
              <w:t>NH</w:t>
            </w:r>
            <w:r>
              <w:rPr>
                <w:rFonts w:hint="eastAsia"/>
                <w:color w:val="auto"/>
                <w:sz w:val="24"/>
                <w:highlight w:val="none"/>
                <w:vertAlign w:val="subscript"/>
              </w:rPr>
              <w:t>3</w:t>
            </w:r>
            <w:r>
              <w:rPr>
                <w:rFonts w:hint="eastAsia"/>
                <w:color w:val="auto"/>
                <w:sz w:val="24"/>
                <w:highlight w:val="none"/>
              </w:rPr>
              <w:t>-N：</w:t>
            </w:r>
            <w:r>
              <w:rPr>
                <w:rFonts w:hint="eastAsia"/>
                <w:color w:val="auto"/>
                <w:sz w:val="24"/>
                <w:highlight w:val="none"/>
                <w:lang w:val="en-US" w:eastAsia="zh-CN"/>
              </w:rPr>
              <w:t>4164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eastAsia"/>
                <w:color w:val="auto"/>
                <w:sz w:val="24"/>
                <w:highlight w:val="none"/>
                <w:lang w:val="en-US" w:eastAsia="zh-CN"/>
              </w:rPr>
              <w:t>a</w:t>
            </w:r>
            <w:r>
              <w:rPr>
                <w:rFonts w:hint="eastAsia"/>
                <w:color w:val="auto"/>
                <w:sz w:val="24"/>
                <w:highlight w:val="none"/>
              </w:rPr>
              <w:t>×45mg/L×10</w:t>
            </w:r>
            <w:r>
              <w:rPr>
                <w:rFonts w:hint="eastAsia"/>
                <w:color w:val="auto"/>
                <w:sz w:val="24"/>
                <w:highlight w:val="none"/>
                <w:vertAlign w:val="superscript"/>
              </w:rPr>
              <w:t>-6</w:t>
            </w:r>
            <w:r>
              <w:rPr>
                <w:rFonts w:hint="eastAsia"/>
                <w:color w:val="auto"/>
                <w:sz w:val="24"/>
                <w:highlight w:val="none"/>
              </w:rPr>
              <w:t xml:space="preserve"> = </w:t>
            </w:r>
            <w:r>
              <w:rPr>
                <w:rFonts w:hint="eastAsia"/>
                <w:color w:val="auto"/>
                <w:sz w:val="24"/>
                <w:highlight w:val="none"/>
                <w:lang w:val="en-US" w:eastAsia="zh-CN"/>
              </w:rPr>
              <w:t>0.1873</w:t>
            </w:r>
            <w:r>
              <w:rPr>
                <w:rFonts w:hint="eastAsia"/>
                <w:color w:val="auto"/>
                <w:sz w:val="24"/>
                <w:highlight w:val="none"/>
              </w:rPr>
              <w:t>（t/a）</w:t>
            </w:r>
          </w:p>
          <w:p w14:paraId="0A53EDE7">
            <w:pPr>
              <w:spacing w:line="360" w:lineRule="auto"/>
              <w:ind w:firstLine="480" w:firstLineChars="200"/>
              <w:jc w:val="left"/>
              <w:rPr>
                <w:color w:val="auto"/>
                <w:sz w:val="24"/>
                <w:highlight w:val="none"/>
              </w:rPr>
            </w:pPr>
            <w:r>
              <w:rPr>
                <w:rFonts w:hint="eastAsia"/>
                <w:color w:val="auto"/>
                <w:sz w:val="24"/>
                <w:highlight w:val="none"/>
                <w:lang w:eastAsia="zh-CN"/>
              </w:rPr>
              <w:t>大英县工业污水处理厂</w:t>
            </w:r>
            <w:r>
              <w:rPr>
                <w:color w:val="auto"/>
                <w:sz w:val="24"/>
                <w:highlight w:val="none"/>
              </w:rPr>
              <w:t>排污口</w:t>
            </w:r>
            <w:r>
              <w:rPr>
                <w:rFonts w:hint="eastAsia"/>
                <w:color w:val="auto"/>
                <w:sz w:val="24"/>
                <w:highlight w:val="none"/>
              </w:rPr>
              <w:t>：</w:t>
            </w:r>
          </w:p>
          <w:p w14:paraId="7E6EC3A0">
            <w:pPr>
              <w:spacing w:line="360" w:lineRule="auto"/>
              <w:ind w:firstLine="480" w:firstLineChars="200"/>
              <w:jc w:val="left"/>
              <w:rPr>
                <w:color w:val="auto"/>
                <w:sz w:val="24"/>
                <w:highlight w:val="none"/>
              </w:rPr>
            </w:pPr>
            <w:r>
              <w:rPr>
                <w:rFonts w:hint="eastAsia"/>
                <w:color w:val="auto"/>
                <w:sz w:val="24"/>
                <w:highlight w:val="none"/>
              </w:rPr>
              <w:t>COD：</w:t>
            </w:r>
            <w:r>
              <w:rPr>
                <w:rFonts w:hint="eastAsia"/>
                <w:color w:val="auto"/>
                <w:sz w:val="24"/>
                <w:highlight w:val="none"/>
                <w:lang w:val="en-US" w:eastAsia="zh-CN"/>
              </w:rPr>
              <w:t>4164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eastAsia"/>
                <w:color w:val="auto"/>
                <w:sz w:val="24"/>
                <w:highlight w:val="none"/>
                <w:lang w:val="en-US" w:eastAsia="zh-CN"/>
              </w:rPr>
              <w:t>a</w:t>
            </w:r>
            <w:r>
              <w:rPr>
                <w:rFonts w:hint="eastAsia"/>
                <w:color w:val="auto"/>
                <w:sz w:val="24"/>
                <w:highlight w:val="none"/>
              </w:rPr>
              <w:t>×</w:t>
            </w:r>
            <w:r>
              <w:rPr>
                <w:rFonts w:hint="eastAsia"/>
                <w:color w:val="auto"/>
                <w:sz w:val="24"/>
                <w:highlight w:val="none"/>
                <w:lang w:val="en-US" w:eastAsia="zh-CN"/>
              </w:rPr>
              <w:t>20</w:t>
            </w:r>
            <w:r>
              <w:rPr>
                <w:rFonts w:hint="eastAsia"/>
                <w:color w:val="auto"/>
                <w:sz w:val="24"/>
                <w:highlight w:val="none"/>
              </w:rPr>
              <w:t>mg/L×10</w:t>
            </w:r>
            <w:r>
              <w:rPr>
                <w:rFonts w:hint="eastAsia"/>
                <w:color w:val="auto"/>
                <w:sz w:val="24"/>
                <w:highlight w:val="none"/>
                <w:vertAlign w:val="superscript"/>
              </w:rPr>
              <w:t>-6</w:t>
            </w:r>
            <w:r>
              <w:rPr>
                <w:rFonts w:hint="eastAsia"/>
                <w:color w:val="auto"/>
                <w:sz w:val="24"/>
                <w:highlight w:val="none"/>
              </w:rPr>
              <w:t xml:space="preserve"> = </w:t>
            </w:r>
            <w:r>
              <w:rPr>
                <w:rFonts w:hint="eastAsia"/>
                <w:color w:val="auto"/>
                <w:sz w:val="24"/>
                <w:highlight w:val="none"/>
                <w:lang w:val="en-US" w:eastAsia="zh-CN"/>
              </w:rPr>
              <w:t>0.0833</w:t>
            </w:r>
            <w:r>
              <w:rPr>
                <w:rFonts w:hint="eastAsia"/>
                <w:color w:val="auto"/>
                <w:sz w:val="24"/>
                <w:highlight w:val="none"/>
              </w:rPr>
              <w:t>（t/a）</w:t>
            </w:r>
          </w:p>
          <w:p w14:paraId="41853D4D">
            <w:pPr>
              <w:spacing w:line="360" w:lineRule="auto"/>
              <w:ind w:firstLine="480" w:firstLineChars="200"/>
              <w:jc w:val="left"/>
              <w:rPr>
                <w:color w:val="auto"/>
                <w:sz w:val="24"/>
                <w:highlight w:val="none"/>
              </w:rPr>
            </w:pPr>
            <w:r>
              <w:rPr>
                <w:rFonts w:hint="eastAsia"/>
                <w:color w:val="auto"/>
                <w:sz w:val="24"/>
                <w:highlight w:val="none"/>
              </w:rPr>
              <w:t>NH</w:t>
            </w:r>
            <w:r>
              <w:rPr>
                <w:rFonts w:hint="eastAsia"/>
                <w:color w:val="auto"/>
                <w:sz w:val="24"/>
                <w:highlight w:val="none"/>
                <w:vertAlign w:val="subscript"/>
              </w:rPr>
              <w:t>3</w:t>
            </w:r>
            <w:r>
              <w:rPr>
                <w:rFonts w:hint="eastAsia"/>
                <w:color w:val="auto"/>
                <w:sz w:val="24"/>
                <w:highlight w:val="none"/>
              </w:rPr>
              <w:t>-N：</w:t>
            </w:r>
            <w:r>
              <w:rPr>
                <w:rFonts w:hint="eastAsia"/>
                <w:color w:val="auto"/>
                <w:sz w:val="24"/>
                <w:highlight w:val="none"/>
                <w:lang w:val="en-US" w:eastAsia="zh-CN"/>
              </w:rPr>
              <w:t>4164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w:t>
            </w:r>
            <w:r>
              <w:rPr>
                <w:rFonts w:hint="eastAsia"/>
                <w:color w:val="auto"/>
                <w:sz w:val="24"/>
                <w:highlight w:val="none"/>
                <w:lang w:val="en-US" w:eastAsia="zh-CN"/>
              </w:rPr>
              <w:t>a</w:t>
            </w:r>
            <w:r>
              <w:rPr>
                <w:rFonts w:hint="eastAsia"/>
                <w:color w:val="auto"/>
                <w:sz w:val="24"/>
                <w:highlight w:val="none"/>
              </w:rPr>
              <w:t>×</w:t>
            </w:r>
            <w:r>
              <w:rPr>
                <w:rFonts w:hint="eastAsia"/>
                <w:color w:val="auto"/>
                <w:sz w:val="24"/>
                <w:highlight w:val="none"/>
                <w:lang w:val="en-US" w:eastAsia="zh-CN"/>
              </w:rPr>
              <w:t>1</w:t>
            </w:r>
            <w:r>
              <w:rPr>
                <w:rFonts w:hint="eastAsia"/>
                <w:color w:val="auto"/>
                <w:sz w:val="24"/>
                <w:highlight w:val="none"/>
              </w:rPr>
              <w:t>mg/L×10</w:t>
            </w:r>
            <w:r>
              <w:rPr>
                <w:rFonts w:hint="eastAsia"/>
                <w:color w:val="auto"/>
                <w:sz w:val="24"/>
                <w:highlight w:val="none"/>
                <w:vertAlign w:val="superscript"/>
              </w:rPr>
              <w:t>-6</w:t>
            </w:r>
            <w:r>
              <w:rPr>
                <w:rFonts w:hint="eastAsia"/>
                <w:color w:val="auto"/>
                <w:sz w:val="24"/>
                <w:highlight w:val="none"/>
              </w:rPr>
              <w:t xml:space="preserve"> =</w:t>
            </w:r>
            <w:r>
              <w:rPr>
                <w:rFonts w:hint="eastAsia"/>
                <w:color w:val="auto"/>
                <w:sz w:val="24"/>
                <w:highlight w:val="none"/>
                <w:lang w:val="en-US" w:eastAsia="zh-CN"/>
              </w:rPr>
              <w:t>0.0042</w:t>
            </w:r>
            <w:r>
              <w:rPr>
                <w:rFonts w:hint="eastAsia"/>
                <w:color w:val="auto"/>
                <w:sz w:val="24"/>
                <w:highlight w:val="none"/>
              </w:rPr>
              <w:t>（t/a）</w:t>
            </w:r>
          </w:p>
          <w:p w14:paraId="70E26B70">
            <w:pPr>
              <w:pStyle w:val="71"/>
              <w:numPr>
                <w:ilvl w:val="0"/>
                <w:numId w:val="4"/>
              </w:numPr>
              <w:spacing w:line="348" w:lineRule="auto"/>
              <w:ind w:firstLineChars="0"/>
              <w:jc w:val="left"/>
              <w:rPr>
                <w:color w:val="auto"/>
                <w:sz w:val="24"/>
                <w:highlight w:val="none"/>
              </w:rPr>
            </w:pPr>
            <w:r>
              <w:rPr>
                <w:b/>
                <w:bCs/>
                <w:color w:val="auto"/>
                <w:kern w:val="0"/>
                <w:sz w:val="24"/>
                <w:highlight w:val="none"/>
              </w:rPr>
              <w:t>废气污染物</w:t>
            </w:r>
            <w:r>
              <w:rPr>
                <w:rFonts w:hint="eastAsia"/>
                <w:b/>
                <w:bCs/>
                <w:color w:val="auto"/>
                <w:kern w:val="0"/>
                <w:sz w:val="24"/>
                <w:highlight w:val="none"/>
              </w:rPr>
              <w:t>：</w:t>
            </w:r>
          </w:p>
          <w:p w14:paraId="686341A8">
            <w:pPr>
              <w:spacing w:line="360" w:lineRule="auto"/>
              <w:ind w:firstLine="482" w:firstLineChars="200"/>
              <w:rPr>
                <w:rFonts w:hint="default"/>
                <w:b/>
                <w:bCs/>
                <w:color w:val="auto"/>
                <w:sz w:val="24"/>
                <w:highlight w:val="none"/>
                <w:lang w:val="en-US" w:eastAsia="zh-CN"/>
              </w:rPr>
            </w:pPr>
            <w:r>
              <w:rPr>
                <w:rFonts w:hint="eastAsia"/>
                <w:b/>
                <w:bCs/>
                <w:color w:val="auto"/>
                <w:sz w:val="24"/>
                <w:highlight w:val="none"/>
                <w:lang w:eastAsia="zh-CN"/>
              </w:rPr>
              <w:t>（</w:t>
            </w:r>
            <w:r>
              <w:rPr>
                <w:rFonts w:hint="eastAsia"/>
                <w:b/>
                <w:bCs/>
                <w:color w:val="auto"/>
                <w:sz w:val="24"/>
                <w:highlight w:val="none"/>
                <w:lang w:val="en-US" w:eastAsia="zh-CN"/>
              </w:rPr>
              <w:t>1</w:t>
            </w:r>
            <w:r>
              <w:rPr>
                <w:rFonts w:hint="eastAsia"/>
                <w:b/>
                <w:bCs/>
                <w:color w:val="auto"/>
                <w:sz w:val="24"/>
                <w:highlight w:val="none"/>
                <w:lang w:eastAsia="zh-CN"/>
              </w:rPr>
              <w:t>）</w:t>
            </w:r>
            <w:r>
              <w:rPr>
                <w:rFonts w:hint="eastAsia"/>
                <w:b/>
                <w:bCs/>
                <w:color w:val="auto"/>
                <w:sz w:val="24"/>
                <w:highlight w:val="none"/>
                <w:lang w:val="en-US" w:eastAsia="zh-CN"/>
              </w:rPr>
              <w:t>现有工程总量</w:t>
            </w:r>
          </w:p>
          <w:p w14:paraId="472B584D">
            <w:pPr>
              <w:spacing w:line="360" w:lineRule="auto"/>
              <w:ind w:firstLine="482" w:firstLineChars="200"/>
              <w:rPr>
                <w:b/>
                <w:bCs/>
                <w:color w:val="auto"/>
                <w:sz w:val="24"/>
                <w:highlight w:val="none"/>
              </w:rPr>
            </w:pPr>
            <w:r>
              <w:rPr>
                <w:rFonts w:hint="eastAsia"/>
                <w:b/>
                <w:bCs/>
                <w:color w:val="auto"/>
                <w:sz w:val="24"/>
                <w:highlight w:val="none"/>
              </w:rPr>
              <w:t>根据</w:t>
            </w:r>
            <w:r>
              <w:rPr>
                <w:rFonts w:hint="eastAsia"/>
                <w:b/>
                <w:bCs/>
                <w:color w:val="auto"/>
                <w:sz w:val="24"/>
                <w:highlight w:val="none"/>
                <w:lang w:val="en-US" w:eastAsia="zh-CN"/>
              </w:rPr>
              <w:t>环评批复</w:t>
            </w:r>
            <w:r>
              <w:rPr>
                <w:rFonts w:hint="eastAsia"/>
                <w:b/>
                <w:bCs/>
                <w:color w:val="auto"/>
                <w:sz w:val="24"/>
                <w:highlight w:val="none"/>
              </w:rPr>
              <w:t>，现有工程废</w:t>
            </w:r>
            <w:r>
              <w:rPr>
                <w:rFonts w:hint="eastAsia"/>
                <w:b/>
                <w:bCs/>
                <w:color w:val="auto"/>
                <w:sz w:val="24"/>
                <w:highlight w:val="none"/>
                <w:lang w:val="en-US" w:eastAsia="zh-CN"/>
              </w:rPr>
              <w:t>气</w:t>
            </w:r>
            <w:r>
              <w:rPr>
                <w:rFonts w:hint="eastAsia"/>
                <w:b/>
                <w:bCs/>
                <w:color w:val="auto"/>
                <w:sz w:val="24"/>
                <w:highlight w:val="none"/>
              </w:rPr>
              <w:t>污染物总量控制指标为：</w:t>
            </w:r>
          </w:p>
          <w:p w14:paraId="4F28DFC4">
            <w:pPr>
              <w:spacing w:line="348" w:lineRule="auto"/>
              <w:ind w:firstLine="482" w:firstLineChars="200"/>
              <w:rPr>
                <w:color w:val="auto"/>
                <w:sz w:val="24"/>
                <w:highlight w:val="none"/>
              </w:rPr>
            </w:pPr>
            <w:r>
              <w:rPr>
                <w:b/>
                <w:bCs/>
                <w:color w:val="auto"/>
                <w:sz w:val="24"/>
                <w:highlight w:val="none"/>
              </w:rPr>
              <w:t>VOC</w:t>
            </w:r>
            <w:r>
              <w:rPr>
                <w:rFonts w:hint="eastAsia"/>
                <w:b/>
                <w:bCs/>
                <w:color w:val="auto"/>
                <w:sz w:val="24"/>
                <w:highlight w:val="none"/>
              </w:rPr>
              <w:t>s</w:t>
            </w:r>
            <w:r>
              <w:rPr>
                <w:b/>
                <w:bCs/>
                <w:color w:val="auto"/>
                <w:sz w:val="24"/>
                <w:highlight w:val="none"/>
              </w:rPr>
              <w:t xml:space="preserve"> </w:t>
            </w:r>
            <w:r>
              <w:rPr>
                <w:rFonts w:hint="eastAsia"/>
                <w:b/>
                <w:bCs/>
                <w:color w:val="auto"/>
                <w:sz w:val="24"/>
                <w:highlight w:val="none"/>
                <w:lang w:eastAsia="zh-CN"/>
              </w:rPr>
              <w:t>：</w:t>
            </w:r>
            <w:r>
              <w:rPr>
                <w:rFonts w:hint="eastAsia"/>
                <w:b/>
                <w:bCs/>
                <w:color w:val="auto"/>
                <w:sz w:val="24"/>
                <w:highlight w:val="none"/>
                <w:lang w:val="en-US" w:eastAsia="zh-CN"/>
              </w:rPr>
              <w:t>有组织：</w:t>
            </w:r>
            <w:r>
              <w:rPr>
                <w:rFonts w:hint="default" w:ascii="Times New Roman" w:hAnsi="Times New Roman" w:cs="Times New Roman" w:eastAsiaTheme="minorEastAsia"/>
                <w:color w:val="auto"/>
                <w:sz w:val="24"/>
                <w:highlight w:val="none"/>
              </w:rPr>
              <w:t>0.</w:t>
            </w:r>
            <w:r>
              <w:rPr>
                <w:rFonts w:hint="default" w:ascii="Times New Roman" w:hAnsi="Times New Roman" w:cs="Times New Roman" w:eastAsiaTheme="minorEastAsia"/>
                <w:color w:val="auto"/>
                <w:sz w:val="24"/>
                <w:highlight w:val="none"/>
                <w:lang w:val="en-US" w:eastAsia="zh-CN"/>
              </w:rPr>
              <w:t>02</w:t>
            </w:r>
            <w:r>
              <w:rPr>
                <w:rFonts w:hint="eastAsia" w:cs="Times New Roman" w:eastAsiaTheme="minorEastAsia"/>
                <w:color w:val="auto"/>
                <w:sz w:val="24"/>
                <w:highlight w:val="none"/>
                <w:lang w:val="en-US" w:eastAsia="zh-CN"/>
              </w:rPr>
              <w:t>04</w:t>
            </w:r>
            <w:r>
              <w:rPr>
                <w:rFonts w:hint="eastAsia"/>
                <w:color w:val="auto"/>
                <w:sz w:val="24"/>
                <w:highlight w:val="none"/>
              </w:rPr>
              <w:t>t</w:t>
            </w:r>
            <w:r>
              <w:rPr>
                <w:color w:val="auto"/>
                <w:sz w:val="24"/>
                <w:highlight w:val="none"/>
              </w:rPr>
              <w:t>/a</w:t>
            </w:r>
          </w:p>
          <w:p w14:paraId="118F091E">
            <w:pPr>
              <w:keepNext w:val="0"/>
              <w:keepLines w:val="0"/>
              <w:numPr>
                <w:ilvl w:val="0"/>
                <w:numId w:val="0"/>
              </w:numPr>
              <w:suppressLineNumbers w:val="0"/>
              <w:wordWrap w:val="0"/>
              <w:spacing w:before="0" w:beforeAutospacing="0" w:after="0" w:afterAutospacing="0" w:line="360" w:lineRule="auto"/>
              <w:ind w:leftChars="228" w:right="0" w:rightChars="0"/>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（2）本项目总量</w:t>
            </w:r>
          </w:p>
          <w:p w14:paraId="778E7AE1">
            <w:pPr>
              <w:spacing w:line="348" w:lineRule="auto"/>
              <w:ind w:right="105" w:rightChars="50" w:firstLine="482" w:firstLineChars="200"/>
              <w:rPr>
                <w:b/>
                <w:bCs/>
                <w:color w:val="auto"/>
                <w:kern w:val="0"/>
                <w:sz w:val="24"/>
              </w:rPr>
            </w:pPr>
            <w:bookmarkStart w:id="31" w:name="_Hlk119505553"/>
            <w:r>
              <w:rPr>
                <w:b/>
                <w:bCs/>
                <w:color w:val="auto"/>
                <w:kern w:val="0"/>
                <w:sz w:val="24"/>
              </w:rPr>
              <w:t>VOCs：</w:t>
            </w:r>
            <w:r>
              <w:rPr>
                <w:color w:val="auto"/>
                <w:sz w:val="24"/>
              </w:rPr>
              <w:t>本项目有机废气的</w:t>
            </w:r>
            <w:r>
              <w:rPr>
                <w:rFonts w:hint="eastAsia"/>
                <w:color w:val="auto"/>
                <w:sz w:val="24"/>
              </w:rPr>
              <w:t>排放</w:t>
            </w:r>
            <w:r>
              <w:rPr>
                <w:color w:val="auto"/>
                <w:sz w:val="24"/>
              </w:rPr>
              <w:t>量为</w:t>
            </w:r>
            <w:r>
              <w:rPr>
                <w:rFonts w:hint="eastAsia"/>
                <w:color w:val="auto"/>
                <w:sz w:val="24"/>
                <w:lang w:val="en-US" w:eastAsia="zh-CN"/>
              </w:rPr>
              <w:t>0.0966</w:t>
            </w:r>
            <w:r>
              <w:rPr>
                <w:color w:val="auto"/>
                <w:sz w:val="24"/>
              </w:rPr>
              <w:t>t/a</w:t>
            </w:r>
            <w:r>
              <w:rPr>
                <w:rFonts w:hint="eastAsia"/>
                <w:color w:val="auto"/>
                <w:sz w:val="24"/>
              </w:rPr>
              <w:t>，其中有组织排放量为</w:t>
            </w:r>
            <w:r>
              <w:rPr>
                <w:rFonts w:hint="eastAsia"/>
                <w:color w:val="auto"/>
                <w:sz w:val="24"/>
                <w:lang w:val="en-US" w:eastAsia="zh-CN"/>
              </w:rPr>
              <w:t>0.0457</w:t>
            </w:r>
            <w:r>
              <w:rPr>
                <w:rFonts w:hint="eastAsia"/>
                <w:color w:val="auto"/>
                <w:sz w:val="24"/>
              </w:rPr>
              <w:t>t</w:t>
            </w:r>
            <w:r>
              <w:rPr>
                <w:color w:val="auto"/>
                <w:sz w:val="24"/>
              </w:rPr>
              <w:t>/a</w:t>
            </w:r>
            <w:r>
              <w:rPr>
                <w:rFonts w:hint="eastAsia"/>
                <w:color w:val="auto"/>
                <w:sz w:val="24"/>
              </w:rPr>
              <w:t>，无组织排放量为</w:t>
            </w:r>
            <w:r>
              <w:rPr>
                <w:rFonts w:hint="eastAsia"/>
                <w:color w:val="auto"/>
                <w:sz w:val="24"/>
                <w:lang w:val="en-US" w:eastAsia="zh-CN"/>
              </w:rPr>
              <w:t>0.0509</w:t>
            </w:r>
            <w:r>
              <w:rPr>
                <w:rFonts w:hint="eastAsia"/>
                <w:color w:val="auto"/>
                <w:sz w:val="24"/>
              </w:rPr>
              <w:t>t</w:t>
            </w:r>
            <w:r>
              <w:rPr>
                <w:color w:val="auto"/>
                <w:sz w:val="24"/>
              </w:rPr>
              <w:t>/a</w:t>
            </w:r>
            <w:r>
              <w:rPr>
                <w:rFonts w:hint="eastAsia"/>
                <w:color w:val="auto"/>
                <w:sz w:val="24"/>
              </w:rPr>
              <w:t>。</w:t>
            </w:r>
          </w:p>
          <w:bookmarkEnd w:id="31"/>
          <w:p w14:paraId="28A296EE">
            <w:pPr>
              <w:spacing w:line="348" w:lineRule="auto"/>
              <w:ind w:right="105" w:rightChars="50" w:firstLine="482" w:firstLineChars="200"/>
              <w:rPr>
                <w:color w:val="auto"/>
                <w:kern w:val="0"/>
                <w:sz w:val="24"/>
                <w:highlight w:val="none"/>
              </w:rPr>
            </w:pPr>
            <w:r>
              <w:rPr>
                <w:rFonts w:hint="default" w:ascii="Times New Roman" w:hAnsi="Times New Roman" w:eastAsia="宋体" w:cs="Times New Roman"/>
                <w:b/>
                <w:bCs/>
                <w:color w:val="auto"/>
                <w:sz w:val="24"/>
                <w:szCs w:val="24"/>
                <w:highlight w:val="none"/>
                <w:lang w:eastAsia="zh-CN"/>
              </w:rPr>
              <w:t>VOC</w:t>
            </w:r>
            <w:r>
              <w:rPr>
                <w:rFonts w:hint="default" w:ascii="Times New Roman" w:hAnsi="Times New Roman" w:eastAsia="宋体" w:cs="Times New Roman"/>
                <w:b/>
                <w:bCs/>
                <w:color w:val="auto"/>
                <w:sz w:val="24"/>
                <w:szCs w:val="24"/>
                <w:highlight w:val="none"/>
                <w:vertAlign w:val="subscript"/>
                <w:lang w:eastAsia="zh-CN"/>
              </w:rPr>
              <w:t>S</w:t>
            </w:r>
            <w:r>
              <w:rPr>
                <w:rFonts w:hint="default" w:ascii="Times New Roman" w:hAnsi="Times New Roman" w:eastAsia="宋体" w:cs="Times New Roman"/>
                <w:b/>
                <w:bCs/>
                <w:color w:val="auto"/>
                <w:sz w:val="24"/>
                <w:szCs w:val="24"/>
                <w:highlight w:val="none"/>
                <w:vertAlign w:val="baseline"/>
                <w:lang w:eastAsia="zh-CN"/>
              </w:rPr>
              <w:t>总排放量</w:t>
            </w:r>
            <w:r>
              <w:rPr>
                <w:color w:val="auto"/>
                <w:sz w:val="24"/>
                <w:highlight w:val="none"/>
              </w:rPr>
              <w:t>=[</w:t>
            </w:r>
            <w:r>
              <w:rPr>
                <w:color w:val="auto"/>
                <w:kern w:val="0"/>
                <w:sz w:val="24"/>
                <w:highlight w:val="none"/>
              </w:rPr>
              <w:t>DA0</w:t>
            </w:r>
            <w:r>
              <w:rPr>
                <w:rFonts w:hint="eastAsia"/>
                <w:color w:val="auto"/>
                <w:kern w:val="0"/>
                <w:sz w:val="24"/>
                <w:highlight w:val="none"/>
                <w:lang w:val="en-US" w:eastAsia="zh-CN"/>
              </w:rPr>
              <w:t>01</w:t>
            </w:r>
            <w:r>
              <w:rPr>
                <w:rFonts w:hint="eastAsia"/>
                <w:color w:val="auto"/>
                <w:kern w:val="0"/>
                <w:sz w:val="24"/>
                <w:highlight w:val="none"/>
              </w:rPr>
              <w:t>排气筒</w:t>
            </w:r>
            <w:r>
              <w:rPr>
                <w:color w:val="auto"/>
                <w:kern w:val="0"/>
                <w:sz w:val="24"/>
                <w:highlight w:val="none"/>
              </w:rPr>
              <w:t>排放量+ DA0</w:t>
            </w:r>
            <w:r>
              <w:rPr>
                <w:rFonts w:hint="eastAsia"/>
                <w:color w:val="auto"/>
                <w:kern w:val="0"/>
                <w:sz w:val="24"/>
                <w:highlight w:val="none"/>
                <w:lang w:val="en-US" w:eastAsia="zh-CN"/>
              </w:rPr>
              <w:t>02</w:t>
            </w:r>
            <w:r>
              <w:rPr>
                <w:rFonts w:hint="eastAsia"/>
                <w:color w:val="auto"/>
                <w:kern w:val="0"/>
                <w:sz w:val="24"/>
                <w:highlight w:val="none"/>
              </w:rPr>
              <w:t>排气筒</w:t>
            </w:r>
            <w:r>
              <w:rPr>
                <w:color w:val="auto"/>
                <w:kern w:val="0"/>
                <w:sz w:val="24"/>
                <w:highlight w:val="none"/>
              </w:rPr>
              <w:t>排放量+ DA0</w:t>
            </w:r>
            <w:r>
              <w:rPr>
                <w:rFonts w:hint="eastAsia"/>
                <w:color w:val="auto"/>
                <w:kern w:val="0"/>
                <w:sz w:val="24"/>
                <w:highlight w:val="none"/>
                <w:lang w:val="en-US" w:eastAsia="zh-CN"/>
              </w:rPr>
              <w:t>03</w:t>
            </w:r>
            <w:r>
              <w:rPr>
                <w:rFonts w:hint="eastAsia"/>
                <w:color w:val="auto"/>
                <w:kern w:val="0"/>
                <w:sz w:val="24"/>
                <w:highlight w:val="none"/>
              </w:rPr>
              <w:t>排气筒</w:t>
            </w:r>
            <w:r>
              <w:rPr>
                <w:color w:val="auto"/>
                <w:kern w:val="0"/>
                <w:sz w:val="24"/>
                <w:highlight w:val="none"/>
              </w:rPr>
              <w:t>排放量</w:t>
            </w:r>
            <w:r>
              <w:rPr>
                <w:color w:val="auto"/>
                <w:sz w:val="24"/>
                <w:highlight w:val="none"/>
              </w:rPr>
              <w:t>]</w:t>
            </w:r>
            <w:r>
              <w:rPr>
                <w:rFonts w:hint="eastAsia"/>
                <w:color w:val="auto"/>
                <w:kern w:val="0"/>
                <w:sz w:val="24"/>
                <w:highlight w:val="none"/>
              </w:rPr>
              <w:t>+</w:t>
            </w:r>
            <w:r>
              <w:rPr>
                <w:color w:val="auto"/>
                <w:kern w:val="0"/>
                <w:sz w:val="24"/>
                <w:highlight w:val="none"/>
              </w:rPr>
              <w:t>无组织排放量=</w:t>
            </w:r>
            <w:r>
              <w:rPr>
                <w:color w:val="auto"/>
                <w:sz w:val="24"/>
                <w:highlight w:val="none"/>
              </w:rPr>
              <w:t>[</w:t>
            </w:r>
            <w:r>
              <w:rPr>
                <w:rFonts w:hint="eastAsia"/>
                <w:color w:val="auto"/>
                <w:kern w:val="0"/>
                <w:sz w:val="24"/>
                <w:highlight w:val="none"/>
                <w:lang w:val="en-US" w:eastAsia="zh-CN"/>
              </w:rPr>
              <w:t>0.0122</w:t>
            </w:r>
            <w:r>
              <w:rPr>
                <w:rFonts w:hint="eastAsia"/>
                <w:color w:val="auto"/>
                <w:kern w:val="0"/>
                <w:sz w:val="24"/>
                <w:highlight w:val="none"/>
              </w:rPr>
              <w:t>t</w:t>
            </w:r>
            <w:r>
              <w:rPr>
                <w:color w:val="auto"/>
                <w:kern w:val="0"/>
                <w:sz w:val="24"/>
                <w:highlight w:val="none"/>
              </w:rPr>
              <w:t>/a+</w:t>
            </w:r>
            <w:r>
              <w:rPr>
                <w:rFonts w:hint="eastAsia"/>
                <w:color w:val="auto"/>
                <w:kern w:val="0"/>
                <w:sz w:val="24"/>
                <w:highlight w:val="none"/>
                <w:lang w:val="en-US" w:eastAsia="zh-CN"/>
              </w:rPr>
              <w:t>0.009</w:t>
            </w:r>
            <w:r>
              <w:rPr>
                <w:rFonts w:hint="eastAsia"/>
                <w:color w:val="auto"/>
                <w:kern w:val="0"/>
                <w:sz w:val="24"/>
                <w:highlight w:val="none"/>
              </w:rPr>
              <w:t>t</w:t>
            </w:r>
            <w:r>
              <w:rPr>
                <w:color w:val="auto"/>
                <w:kern w:val="0"/>
                <w:sz w:val="24"/>
                <w:highlight w:val="none"/>
              </w:rPr>
              <w:t>/a+</w:t>
            </w:r>
            <w:r>
              <w:rPr>
                <w:rFonts w:hint="eastAsia"/>
                <w:color w:val="auto"/>
                <w:kern w:val="0"/>
                <w:sz w:val="24"/>
                <w:highlight w:val="none"/>
                <w:lang w:val="en-US" w:eastAsia="zh-CN"/>
              </w:rPr>
              <w:t>0.0245</w:t>
            </w:r>
            <w:r>
              <w:rPr>
                <w:rFonts w:hint="eastAsia"/>
                <w:color w:val="auto"/>
                <w:kern w:val="0"/>
                <w:sz w:val="24"/>
                <w:highlight w:val="none"/>
              </w:rPr>
              <w:t>t</w:t>
            </w:r>
            <w:r>
              <w:rPr>
                <w:color w:val="auto"/>
                <w:kern w:val="0"/>
                <w:sz w:val="24"/>
                <w:highlight w:val="none"/>
              </w:rPr>
              <w:t>/a</w:t>
            </w:r>
            <w:r>
              <w:rPr>
                <w:color w:val="auto"/>
                <w:sz w:val="24"/>
                <w:highlight w:val="none"/>
              </w:rPr>
              <w:t>]</w:t>
            </w:r>
            <w:r>
              <w:rPr>
                <w:rFonts w:hint="eastAsia"/>
                <w:color w:val="auto"/>
                <w:kern w:val="0"/>
                <w:sz w:val="24"/>
                <w:highlight w:val="none"/>
              </w:rPr>
              <w:t xml:space="preserve"> +</w:t>
            </w:r>
            <w:r>
              <w:rPr>
                <w:rFonts w:hint="eastAsia"/>
                <w:color w:val="auto"/>
                <w:kern w:val="0"/>
                <w:sz w:val="24"/>
                <w:highlight w:val="none"/>
                <w:lang w:val="en-US" w:eastAsia="zh-CN"/>
              </w:rPr>
              <w:t>0.0509</w:t>
            </w:r>
            <w:r>
              <w:rPr>
                <w:color w:val="auto"/>
                <w:kern w:val="0"/>
                <w:sz w:val="24"/>
                <w:highlight w:val="none"/>
              </w:rPr>
              <w:t>t/a =</w:t>
            </w:r>
            <w:r>
              <w:rPr>
                <w:rFonts w:hint="eastAsia"/>
                <w:color w:val="auto"/>
                <w:kern w:val="0"/>
                <w:sz w:val="24"/>
                <w:highlight w:val="none"/>
                <w:lang w:val="en-US" w:eastAsia="zh-CN"/>
              </w:rPr>
              <w:t>0.0966</w:t>
            </w:r>
            <w:r>
              <w:rPr>
                <w:color w:val="auto"/>
                <w:kern w:val="0"/>
                <w:sz w:val="24"/>
                <w:highlight w:val="none"/>
              </w:rPr>
              <w:t>t/a</w:t>
            </w:r>
            <w:r>
              <w:rPr>
                <w:rFonts w:hint="eastAsia"/>
                <w:color w:val="auto"/>
                <w:kern w:val="0"/>
                <w:sz w:val="24"/>
                <w:highlight w:val="none"/>
              </w:rPr>
              <w:t>。</w:t>
            </w:r>
          </w:p>
          <w:p w14:paraId="50757686">
            <w:pPr>
              <w:spacing w:line="360" w:lineRule="auto"/>
              <w:ind w:firstLine="482" w:firstLineChars="200"/>
              <w:rPr>
                <w:b/>
                <w:bCs/>
                <w:color w:val="auto"/>
                <w:sz w:val="24"/>
                <w:highlight w:val="none"/>
              </w:rPr>
            </w:pPr>
            <w:r>
              <w:rPr>
                <w:rFonts w:hint="eastAsia"/>
                <w:b/>
                <w:bCs/>
                <w:color w:val="auto"/>
                <w:sz w:val="24"/>
                <w:highlight w:val="none"/>
              </w:rPr>
              <w:t>综上，</w:t>
            </w:r>
            <w:r>
              <w:rPr>
                <w:b/>
                <w:bCs/>
                <w:color w:val="auto"/>
                <w:sz w:val="24"/>
                <w:highlight w:val="none"/>
              </w:rPr>
              <w:t>本项目总量控制的建议指标：</w:t>
            </w:r>
          </w:p>
          <w:p w14:paraId="49725F8C">
            <w:pPr>
              <w:jc w:val="center"/>
              <w:rPr>
                <w:b/>
                <w:color w:val="auto"/>
                <w:szCs w:val="21"/>
                <w:highlight w:val="none"/>
              </w:rPr>
            </w:pPr>
            <w:r>
              <w:rPr>
                <w:b/>
                <w:color w:val="auto"/>
                <w:szCs w:val="21"/>
                <w:highlight w:val="none"/>
              </w:rPr>
              <w:t>表3-</w:t>
            </w:r>
            <w:r>
              <w:rPr>
                <w:rFonts w:hint="eastAsia"/>
                <w:b/>
                <w:color w:val="auto"/>
                <w:szCs w:val="21"/>
                <w:highlight w:val="none"/>
                <w:lang w:val="en-US" w:eastAsia="zh-CN"/>
              </w:rPr>
              <w:t>11</w:t>
            </w:r>
            <w:r>
              <w:rPr>
                <w:b/>
                <w:color w:val="auto"/>
                <w:szCs w:val="21"/>
                <w:highlight w:val="none"/>
              </w:rPr>
              <w:t xml:space="preserve">  总量控制建议指标</w:t>
            </w:r>
          </w:p>
          <w:tbl>
            <w:tblPr>
              <w:tblStyle w:val="25"/>
              <w:tblW w:w="8079"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5"/>
              <w:gridCol w:w="846"/>
              <w:gridCol w:w="878"/>
              <w:gridCol w:w="900"/>
              <w:gridCol w:w="1144"/>
              <w:gridCol w:w="799"/>
              <w:gridCol w:w="1261"/>
              <w:gridCol w:w="1846"/>
            </w:tblGrid>
            <w:tr w14:paraId="1A0FFE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317" w:type="pct"/>
                  <w:gridSpan w:val="3"/>
                  <w:vMerge w:val="restart"/>
                  <w:noWrap w:val="0"/>
                  <w:vAlign w:val="center"/>
                </w:tcPr>
                <w:p w14:paraId="3801404C">
                  <w:pPr>
                    <w:jc w:val="center"/>
                    <w:rPr>
                      <w:b/>
                      <w:color w:val="auto"/>
                      <w:szCs w:val="21"/>
                    </w:rPr>
                  </w:pPr>
                  <w:r>
                    <w:rPr>
                      <w:rFonts w:hint="eastAsia" w:cs="宋体"/>
                      <w:b/>
                      <w:color w:val="auto"/>
                      <w:szCs w:val="21"/>
                      <w:lang w:bidi="ar"/>
                    </w:rPr>
                    <w:t>污染物</w:t>
                  </w:r>
                </w:p>
              </w:tc>
              <w:tc>
                <w:tcPr>
                  <w:tcW w:w="3682" w:type="pct"/>
                  <w:gridSpan w:val="5"/>
                  <w:noWrap w:val="0"/>
                  <w:vAlign w:val="center"/>
                </w:tcPr>
                <w:p w14:paraId="3D946FFF">
                  <w:pPr>
                    <w:jc w:val="center"/>
                    <w:rPr>
                      <w:rFonts w:hint="eastAsia" w:cs="宋体"/>
                      <w:b/>
                      <w:color w:val="auto"/>
                      <w:szCs w:val="21"/>
                      <w:lang w:bidi="ar"/>
                    </w:rPr>
                  </w:pPr>
                  <w:r>
                    <w:rPr>
                      <w:rFonts w:hint="eastAsia" w:cs="宋体"/>
                      <w:b/>
                      <w:color w:val="auto"/>
                      <w:szCs w:val="21"/>
                      <w:lang w:bidi="ar"/>
                    </w:rPr>
                    <w:t>总量控制指标（</w:t>
                  </w:r>
                  <w:r>
                    <w:rPr>
                      <w:b/>
                      <w:color w:val="auto"/>
                      <w:szCs w:val="21"/>
                      <w:lang w:bidi="ar"/>
                    </w:rPr>
                    <w:t>t/a</w:t>
                  </w:r>
                  <w:r>
                    <w:rPr>
                      <w:rFonts w:hint="eastAsia" w:cs="宋体"/>
                      <w:b/>
                      <w:color w:val="auto"/>
                      <w:szCs w:val="21"/>
                      <w:lang w:bidi="ar"/>
                    </w:rPr>
                    <w:t>）</w:t>
                  </w:r>
                </w:p>
              </w:tc>
            </w:tr>
            <w:tr w14:paraId="5CE062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317" w:type="pct"/>
                  <w:gridSpan w:val="3"/>
                  <w:vMerge w:val="continue"/>
                  <w:noWrap w:val="0"/>
                  <w:vAlign w:val="center"/>
                </w:tcPr>
                <w:p w14:paraId="0A76BD1D">
                  <w:pPr>
                    <w:jc w:val="center"/>
                    <w:rPr>
                      <w:color w:val="auto"/>
                      <w:szCs w:val="21"/>
                    </w:rPr>
                  </w:pPr>
                </w:p>
              </w:tc>
              <w:tc>
                <w:tcPr>
                  <w:tcW w:w="556" w:type="pct"/>
                  <w:noWrap w:val="0"/>
                  <w:vAlign w:val="center"/>
                </w:tcPr>
                <w:p w14:paraId="1FD5D914">
                  <w:pPr>
                    <w:jc w:val="center"/>
                    <w:rPr>
                      <w:b/>
                      <w:color w:val="auto"/>
                      <w:szCs w:val="21"/>
                    </w:rPr>
                  </w:pPr>
                  <w:r>
                    <w:rPr>
                      <w:rFonts w:hint="eastAsia" w:cs="宋体"/>
                      <w:b/>
                      <w:color w:val="auto"/>
                      <w:szCs w:val="21"/>
                      <w:lang w:bidi="ar"/>
                    </w:rPr>
                    <w:t>现有工程①</w:t>
                  </w:r>
                </w:p>
              </w:tc>
              <w:tc>
                <w:tcPr>
                  <w:tcW w:w="708" w:type="pct"/>
                  <w:noWrap w:val="0"/>
                  <w:vAlign w:val="center"/>
                </w:tcPr>
                <w:p w14:paraId="3D1B70E5">
                  <w:pPr>
                    <w:jc w:val="center"/>
                    <w:rPr>
                      <w:rFonts w:hint="eastAsia" w:eastAsia="宋体"/>
                      <w:b/>
                      <w:color w:val="auto"/>
                      <w:szCs w:val="21"/>
                      <w:lang w:val="en-US" w:eastAsia="zh-CN"/>
                    </w:rPr>
                  </w:pPr>
                  <w:r>
                    <w:rPr>
                      <w:rFonts w:hint="eastAsia" w:cs="宋体"/>
                      <w:b/>
                      <w:color w:val="auto"/>
                      <w:szCs w:val="21"/>
                      <w:lang w:bidi="ar"/>
                    </w:rPr>
                    <w:t>“以新带老”削减量</w:t>
                  </w:r>
                  <w:r>
                    <w:rPr>
                      <w:rFonts w:hint="eastAsia" w:cs="宋体"/>
                      <w:b/>
                      <w:color w:val="auto"/>
                      <w:szCs w:val="21"/>
                      <w:lang w:val="en-US" w:eastAsia="zh-CN" w:bidi="ar"/>
                    </w:rPr>
                    <w:t>②</w:t>
                  </w:r>
                </w:p>
              </w:tc>
              <w:tc>
                <w:tcPr>
                  <w:tcW w:w="494" w:type="pct"/>
                  <w:noWrap w:val="0"/>
                  <w:vAlign w:val="center"/>
                </w:tcPr>
                <w:p w14:paraId="0A8DC112">
                  <w:pPr>
                    <w:jc w:val="center"/>
                    <w:rPr>
                      <w:b/>
                      <w:color w:val="auto"/>
                      <w:szCs w:val="21"/>
                    </w:rPr>
                  </w:pPr>
                  <w:r>
                    <w:rPr>
                      <w:rFonts w:hint="eastAsia" w:cs="宋体"/>
                      <w:b/>
                      <w:color w:val="auto"/>
                      <w:szCs w:val="21"/>
                      <w:lang w:bidi="ar"/>
                    </w:rPr>
                    <w:t>本项目③</w:t>
                  </w:r>
                </w:p>
              </w:tc>
              <w:tc>
                <w:tcPr>
                  <w:tcW w:w="780" w:type="pct"/>
                  <w:noWrap w:val="0"/>
                  <w:vAlign w:val="center"/>
                </w:tcPr>
                <w:p w14:paraId="2519C6ED">
                  <w:pPr>
                    <w:jc w:val="center"/>
                    <w:rPr>
                      <w:b/>
                      <w:color w:val="auto"/>
                      <w:szCs w:val="21"/>
                    </w:rPr>
                  </w:pPr>
                  <w:r>
                    <w:rPr>
                      <w:rFonts w:hint="eastAsia" w:cs="宋体"/>
                      <w:b/>
                      <w:color w:val="auto"/>
                      <w:szCs w:val="21"/>
                      <w:lang w:bidi="ar"/>
                    </w:rPr>
                    <w:t>本项目建成后全厂④</w:t>
                  </w:r>
                </w:p>
              </w:tc>
              <w:tc>
                <w:tcPr>
                  <w:tcW w:w="1142" w:type="pct"/>
                  <w:noWrap w:val="0"/>
                  <w:vAlign w:val="center"/>
                </w:tcPr>
                <w:p w14:paraId="6E558A4C">
                  <w:pPr>
                    <w:jc w:val="center"/>
                    <w:rPr>
                      <w:b/>
                      <w:color w:val="auto"/>
                      <w:szCs w:val="21"/>
                    </w:rPr>
                  </w:pPr>
                  <w:r>
                    <w:rPr>
                      <w:rFonts w:hint="eastAsia" w:cs="宋体"/>
                      <w:b/>
                      <w:color w:val="auto"/>
                      <w:szCs w:val="21"/>
                      <w:lang w:bidi="ar"/>
                    </w:rPr>
                    <w:t>本项目建设前后总量控制指标增减量⑤</w:t>
                  </w:r>
                </w:p>
              </w:tc>
            </w:tr>
            <w:tr w14:paraId="711573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50" w:type="pct"/>
                  <w:vMerge w:val="restart"/>
                  <w:noWrap w:val="0"/>
                  <w:vAlign w:val="center"/>
                </w:tcPr>
                <w:p w14:paraId="2D00C5B4">
                  <w:pPr>
                    <w:jc w:val="center"/>
                    <w:rPr>
                      <w:color w:val="auto"/>
                      <w:szCs w:val="21"/>
                    </w:rPr>
                  </w:pPr>
                  <w:r>
                    <w:rPr>
                      <w:rFonts w:hint="eastAsia" w:cs="宋体"/>
                      <w:color w:val="auto"/>
                      <w:szCs w:val="21"/>
                      <w:lang w:bidi="ar"/>
                    </w:rPr>
                    <w:t>废水</w:t>
                  </w:r>
                </w:p>
              </w:tc>
              <w:tc>
                <w:tcPr>
                  <w:tcW w:w="523" w:type="pct"/>
                  <w:vMerge w:val="restart"/>
                  <w:noWrap w:val="0"/>
                  <w:vAlign w:val="center"/>
                </w:tcPr>
                <w:p w14:paraId="7E8E89D0">
                  <w:pPr>
                    <w:jc w:val="center"/>
                    <w:rPr>
                      <w:color w:val="auto"/>
                      <w:szCs w:val="21"/>
                    </w:rPr>
                  </w:pPr>
                  <w:r>
                    <w:rPr>
                      <w:rFonts w:hint="eastAsia" w:cs="宋体"/>
                      <w:color w:val="auto"/>
                      <w:szCs w:val="21"/>
                      <w:lang w:bidi="ar"/>
                    </w:rPr>
                    <w:t>厂区排口</w:t>
                  </w:r>
                </w:p>
              </w:tc>
              <w:tc>
                <w:tcPr>
                  <w:tcW w:w="543" w:type="pct"/>
                  <w:noWrap w:val="0"/>
                  <w:vAlign w:val="center"/>
                </w:tcPr>
                <w:p w14:paraId="52398068">
                  <w:pPr>
                    <w:jc w:val="center"/>
                    <w:rPr>
                      <w:color w:val="auto"/>
                      <w:szCs w:val="21"/>
                      <w:vertAlign w:val="subscript"/>
                    </w:rPr>
                  </w:pPr>
                  <w:r>
                    <w:rPr>
                      <w:color w:val="auto"/>
                      <w:szCs w:val="21"/>
                      <w:lang w:bidi="ar"/>
                    </w:rPr>
                    <w:t>COD</w:t>
                  </w:r>
                </w:p>
              </w:tc>
              <w:tc>
                <w:tcPr>
                  <w:tcW w:w="556" w:type="pct"/>
                  <w:noWrap w:val="0"/>
                  <w:vAlign w:val="center"/>
                </w:tcPr>
                <w:p w14:paraId="1A051571">
                  <w:pPr>
                    <w:spacing w:line="240" w:lineRule="exact"/>
                    <w:jc w:val="center"/>
                    <w:rPr>
                      <w:rFonts w:hint="eastAsia"/>
                      <w:color w:val="auto"/>
                      <w:sz w:val="21"/>
                      <w:szCs w:val="21"/>
                    </w:rPr>
                  </w:pPr>
                  <w:r>
                    <w:rPr>
                      <w:color w:val="auto"/>
                      <w:sz w:val="21"/>
                      <w:szCs w:val="21"/>
                      <w:highlight w:val="none"/>
                    </w:rPr>
                    <w:t xml:space="preserve"> </w:t>
                  </w:r>
                  <w:r>
                    <w:rPr>
                      <w:rFonts w:hint="eastAsia"/>
                      <w:color w:val="auto"/>
                      <w:sz w:val="21"/>
                      <w:szCs w:val="21"/>
                      <w:highlight w:val="none"/>
                      <w:lang w:val="en-US" w:eastAsia="zh-CN"/>
                    </w:rPr>
                    <w:t>0.294</w:t>
                  </w:r>
                </w:p>
              </w:tc>
              <w:tc>
                <w:tcPr>
                  <w:tcW w:w="708" w:type="pct"/>
                  <w:noWrap w:val="0"/>
                  <w:vAlign w:val="center"/>
                </w:tcPr>
                <w:p w14:paraId="7C84DBBB">
                  <w:pPr>
                    <w:jc w:val="center"/>
                    <w:rPr>
                      <w:color w:val="auto"/>
                      <w:sz w:val="21"/>
                      <w:szCs w:val="21"/>
                    </w:rPr>
                  </w:pPr>
                  <w:r>
                    <w:rPr>
                      <w:rFonts w:hint="eastAsia"/>
                      <w:color w:val="auto"/>
                      <w:sz w:val="21"/>
                      <w:szCs w:val="21"/>
                    </w:rPr>
                    <w:t>0</w:t>
                  </w:r>
                </w:p>
              </w:tc>
              <w:tc>
                <w:tcPr>
                  <w:tcW w:w="494" w:type="pct"/>
                  <w:noWrap w:val="0"/>
                  <w:vAlign w:val="center"/>
                </w:tcPr>
                <w:p w14:paraId="64212756">
                  <w:pPr>
                    <w:spacing w:line="240" w:lineRule="exact"/>
                    <w:jc w:val="center"/>
                    <w:rPr>
                      <w:color w:val="auto"/>
                      <w:sz w:val="21"/>
                      <w:szCs w:val="21"/>
                    </w:rPr>
                  </w:pPr>
                  <w:r>
                    <w:rPr>
                      <w:rFonts w:hint="eastAsia"/>
                      <w:color w:val="auto"/>
                      <w:sz w:val="21"/>
                      <w:szCs w:val="21"/>
                      <w:lang w:val="en-US" w:eastAsia="zh-CN"/>
                    </w:rPr>
                    <w:t>2.082</w:t>
                  </w:r>
                </w:p>
              </w:tc>
              <w:tc>
                <w:tcPr>
                  <w:tcW w:w="780" w:type="pct"/>
                  <w:noWrap w:val="0"/>
                  <w:vAlign w:val="center"/>
                </w:tcPr>
                <w:p w14:paraId="49C1C23A">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2.376</w:t>
                  </w:r>
                </w:p>
              </w:tc>
              <w:tc>
                <w:tcPr>
                  <w:tcW w:w="1142" w:type="pct"/>
                  <w:noWrap w:val="0"/>
                  <w:vAlign w:val="center"/>
                </w:tcPr>
                <w:p w14:paraId="20935369">
                  <w:pPr>
                    <w:widowControl/>
                    <w:jc w:val="center"/>
                    <w:textAlignment w:val="center"/>
                    <w:rPr>
                      <w:color w:val="auto"/>
                      <w:szCs w:val="21"/>
                      <w:highlight w:val="none"/>
                    </w:rPr>
                  </w:pPr>
                  <w:r>
                    <w:rPr>
                      <w:rFonts w:hint="eastAsia"/>
                      <w:color w:val="auto"/>
                      <w:szCs w:val="21"/>
                      <w:highlight w:val="none"/>
                    </w:rPr>
                    <w:t>+</w:t>
                  </w:r>
                  <w:r>
                    <w:rPr>
                      <w:rFonts w:hint="eastAsia"/>
                      <w:color w:val="auto"/>
                      <w:sz w:val="21"/>
                      <w:szCs w:val="21"/>
                      <w:highlight w:val="none"/>
                      <w:lang w:val="en-US" w:eastAsia="zh-CN"/>
                    </w:rPr>
                    <w:t>2.082</w:t>
                  </w:r>
                </w:p>
              </w:tc>
            </w:tr>
            <w:tr w14:paraId="6B98E4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50" w:type="pct"/>
                  <w:vMerge w:val="continue"/>
                  <w:noWrap w:val="0"/>
                  <w:vAlign w:val="center"/>
                </w:tcPr>
                <w:p w14:paraId="617430AB">
                  <w:pPr>
                    <w:jc w:val="center"/>
                    <w:rPr>
                      <w:color w:val="auto"/>
                      <w:szCs w:val="21"/>
                    </w:rPr>
                  </w:pPr>
                </w:p>
              </w:tc>
              <w:tc>
                <w:tcPr>
                  <w:tcW w:w="523" w:type="pct"/>
                  <w:vMerge w:val="continue"/>
                  <w:noWrap w:val="0"/>
                  <w:vAlign w:val="center"/>
                </w:tcPr>
                <w:p w14:paraId="5D0C18F8">
                  <w:pPr>
                    <w:jc w:val="center"/>
                    <w:rPr>
                      <w:color w:val="auto"/>
                      <w:szCs w:val="21"/>
                    </w:rPr>
                  </w:pPr>
                </w:p>
              </w:tc>
              <w:tc>
                <w:tcPr>
                  <w:tcW w:w="543" w:type="pct"/>
                  <w:noWrap w:val="0"/>
                  <w:vAlign w:val="center"/>
                </w:tcPr>
                <w:p w14:paraId="3A97E7CB">
                  <w:pPr>
                    <w:jc w:val="center"/>
                    <w:rPr>
                      <w:color w:val="auto"/>
                      <w:szCs w:val="21"/>
                      <w:lang w:bidi="ar"/>
                    </w:rPr>
                  </w:pPr>
                  <w:r>
                    <w:rPr>
                      <w:color w:val="auto"/>
                      <w:szCs w:val="21"/>
                      <w:lang w:bidi="ar"/>
                    </w:rPr>
                    <w:t>NH</w:t>
                  </w:r>
                  <w:r>
                    <w:rPr>
                      <w:color w:val="auto"/>
                      <w:szCs w:val="21"/>
                      <w:vertAlign w:val="subscript"/>
                      <w:lang w:bidi="ar"/>
                    </w:rPr>
                    <w:t>3</w:t>
                  </w:r>
                  <w:r>
                    <w:rPr>
                      <w:color w:val="auto"/>
                      <w:szCs w:val="21"/>
                      <w:lang w:bidi="ar"/>
                    </w:rPr>
                    <w:t>-N</w:t>
                  </w:r>
                </w:p>
              </w:tc>
              <w:tc>
                <w:tcPr>
                  <w:tcW w:w="556" w:type="pct"/>
                  <w:noWrap w:val="0"/>
                  <w:vAlign w:val="center"/>
                </w:tcPr>
                <w:p w14:paraId="119328D3">
                  <w:pPr>
                    <w:spacing w:line="240" w:lineRule="exact"/>
                    <w:jc w:val="center"/>
                    <w:rPr>
                      <w:rFonts w:hint="eastAsia"/>
                      <w:color w:val="auto"/>
                      <w:sz w:val="21"/>
                      <w:szCs w:val="21"/>
                    </w:rPr>
                  </w:pPr>
                  <w:r>
                    <w:rPr>
                      <w:rFonts w:hint="eastAsia"/>
                      <w:color w:val="auto"/>
                      <w:sz w:val="21"/>
                      <w:szCs w:val="21"/>
                      <w:highlight w:val="none"/>
                      <w:lang w:val="en-US" w:eastAsia="zh-CN"/>
                    </w:rPr>
                    <w:t>0.026</w:t>
                  </w:r>
                </w:p>
              </w:tc>
              <w:tc>
                <w:tcPr>
                  <w:tcW w:w="708" w:type="pct"/>
                  <w:noWrap w:val="0"/>
                  <w:vAlign w:val="center"/>
                </w:tcPr>
                <w:p w14:paraId="4774DB41">
                  <w:pPr>
                    <w:jc w:val="center"/>
                    <w:rPr>
                      <w:rFonts w:hint="eastAsia"/>
                      <w:color w:val="auto"/>
                      <w:sz w:val="21"/>
                      <w:szCs w:val="21"/>
                    </w:rPr>
                  </w:pPr>
                  <w:r>
                    <w:rPr>
                      <w:rFonts w:hint="eastAsia"/>
                      <w:color w:val="auto"/>
                      <w:sz w:val="21"/>
                      <w:szCs w:val="21"/>
                    </w:rPr>
                    <w:t>0</w:t>
                  </w:r>
                </w:p>
              </w:tc>
              <w:tc>
                <w:tcPr>
                  <w:tcW w:w="494" w:type="pct"/>
                  <w:noWrap w:val="0"/>
                  <w:vAlign w:val="center"/>
                </w:tcPr>
                <w:p w14:paraId="23D1C426">
                  <w:pPr>
                    <w:spacing w:line="240" w:lineRule="exact"/>
                    <w:jc w:val="center"/>
                    <w:rPr>
                      <w:rFonts w:hint="eastAsia"/>
                      <w:color w:val="auto"/>
                      <w:sz w:val="21"/>
                      <w:szCs w:val="21"/>
                    </w:rPr>
                  </w:pPr>
                  <w:r>
                    <w:rPr>
                      <w:rFonts w:hint="eastAsia"/>
                      <w:color w:val="auto"/>
                      <w:sz w:val="21"/>
                      <w:szCs w:val="21"/>
                      <w:lang w:val="en-US" w:eastAsia="zh-CN"/>
                    </w:rPr>
                    <w:t>0.1873</w:t>
                  </w:r>
                </w:p>
              </w:tc>
              <w:tc>
                <w:tcPr>
                  <w:tcW w:w="780" w:type="pct"/>
                  <w:noWrap w:val="0"/>
                  <w:vAlign w:val="center"/>
                </w:tcPr>
                <w:p w14:paraId="4AE685B2">
                  <w:pPr>
                    <w:widowControl/>
                    <w:jc w:val="center"/>
                    <w:textAlignment w:val="center"/>
                    <w:rPr>
                      <w:rFonts w:hint="default" w:eastAsia="宋体"/>
                      <w:color w:val="auto"/>
                      <w:szCs w:val="21"/>
                      <w:lang w:val="en-US" w:eastAsia="zh-CN"/>
                    </w:rPr>
                  </w:pPr>
                  <w:r>
                    <w:rPr>
                      <w:rFonts w:hint="eastAsia"/>
                      <w:color w:val="auto"/>
                      <w:szCs w:val="21"/>
                      <w:lang w:val="en-US" w:eastAsia="zh-CN"/>
                    </w:rPr>
                    <w:t>0.2133</w:t>
                  </w:r>
                </w:p>
              </w:tc>
              <w:tc>
                <w:tcPr>
                  <w:tcW w:w="1142" w:type="pct"/>
                  <w:noWrap w:val="0"/>
                  <w:vAlign w:val="center"/>
                </w:tcPr>
                <w:p w14:paraId="478D668B">
                  <w:pPr>
                    <w:widowControl/>
                    <w:jc w:val="center"/>
                    <w:textAlignment w:val="center"/>
                    <w:rPr>
                      <w:rFonts w:hint="eastAsia"/>
                      <w:color w:val="auto"/>
                      <w:szCs w:val="21"/>
                    </w:rPr>
                  </w:pPr>
                  <w:r>
                    <w:rPr>
                      <w:rFonts w:hint="eastAsia"/>
                      <w:color w:val="auto"/>
                      <w:szCs w:val="21"/>
                    </w:rPr>
                    <w:t>+</w:t>
                  </w:r>
                  <w:r>
                    <w:rPr>
                      <w:rFonts w:hint="eastAsia"/>
                      <w:color w:val="auto"/>
                      <w:sz w:val="21"/>
                      <w:szCs w:val="21"/>
                      <w:lang w:val="en-US" w:eastAsia="zh-CN"/>
                    </w:rPr>
                    <w:t>0.1873</w:t>
                  </w:r>
                </w:p>
              </w:tc>
            </w:tr>
            <w:tr w14:paraId="7B55CE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50" w:type="pct"/>
                  <w:vMerge w:val="continue"/>
                  <w:noWrap w:val="0"/>
                  <w:vAlign w:val="center"/>
                </w:tcPr>
                <w:p w14:paraId="4A703C89">
                  <w:pPr>
                    <w:jc w:val="center"/>
                    <w:rPr>
                      <w:color w:val="auto"/>
                      <w:szCs w:val="21"/>
                    </w:rPr>
                  </w:pPr>
                </w:p>
              </w:tc>
              <w:tc>
                <w:tcPr>
                  <w:tcW w:w="523" w:type="pct"/>
                  <w:vMerge w:val="restart"/>
                  <w:noWrap w:val="0"/>
                  <w:vAlign w:val="center"/>
                </w:tcPr>
                <w:p w14:paraId="11F5503F">
                  <w:pPr>
                    <w:jc w:val="center"/>
                    <w:rPr>
                      <w:color w:val="auto"/>
                      <w:szCs w:val="21"/>
                    </w:rPr>
                  </w:pPr>
                  <w:r>
                    <w:rPr>
                      <w:rFonts w:hint="eastAsia" w:cs="宋体"/>
                      <w:color w:val="auto"/>
                      <w:szCs w:val="21"/>
                      <w:lang w:bidi="ar"/>
                    </w:rPr>
                    <w:t>污水处理厂排口</w:t>
                  </w:r>
                </w:p>
              </w:tc>
              <w:tc>
                <w:tcPr>
                  <w:tcW w:w="543" w:type="pct"/>
                  <w:noWrap w:val="0"/>
                  <w:vAlign w:val="center"/>
                </w:tcPr>
                <w:p w14:paraId="70849949">
                  <w:pPr>
                    <w:jc w:val="center"/>
                    <w:rPr>
                      <w:color w:val="auto"/>
                      <w:szCs w:val="21"/>
                      <w:vertAlign w:val="subscript"/>
                    </w:rPr>
                  </w:pPr>
                  <w:r>
                    <w:rPr>
                      <w:color w:val="auto"/>
                      <w:szCs w:val="21"/>
                      <w:lang w:bidi="ar"/>
                    </w:rPr>
                    <w:t>COD</w:t>
                  </w:r>
                </w:p>
              </w:tc>
              <w:tc>
                <w:tcPr>
                  <w:tcW w:w="556" w:type="pct"/>
                  <w:noWrap w:val="0"/>
                  <w:vAlign w:val="center"/>
                </w:tcPr>
                <w:p w14:paraId="6E1F1EA6">
                  <w:pPr>
                    <w:spacing w:line="240" w:lineRule="exact"/>
                    <w:jc w:val="center"/>
                    <w:rPr>
                      <w:color w:val="auto"/>
                      <w:sz w:val="21"/>
                      <w:szCs w:val="21"/>
                    </w:rPr>
                  </w:pPr>
                  <w:r>
                    <w:rPr>
                      <w:rFonts w:hint="eastAsia" w:cs="Times New Roman"/>
                      <w:color w:val="auto"/>
                      <w:sz w:val="21"/>
                      <w:szCs w:val="21"/>
                      <w:highlight w:val="none"/>
                      <w:lang w:val="en-US" w:eastAsia="zh-CN"/>
                    </w:rPr>
                    <w:t>0.012</w:t>
                  </w:r>
                </w:p>
              </w:tc>
              <w:tc>
                <w:tcPr>
                  <w:tcW w:w="708" w:type="pct"/>
                  <w:noWrap w:val="0"/>
                  <w:vAlign w:val="center"/>
                </w:tcPr>
                <w:p w14:paraId="796B6583">
                  <w:pPr>
                    <w:spacing w:line="24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494" w:type="pct"/>
                  <w:noWrap w:val="0"/>
                  <w:vAlign w:val="center"/>
                </w:tcPr>
                <w:p w14:paraId="6F7EBB57">
                  <w:pPr>
                    <w:spacing w:line="24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0.0833</w:t>
                  </w:r>
                </w:p>
              </w:tc>
              <w:tc>
                <w:tcPr>
                  <w:tcW w:w="780" w:type="pct"/>
                  <w:noWrap w:val="0"/>
                  <w:vAlign w:val="center"/>
                </w:tcPr>
                <w:p w14:paraId="2FB396FC">
                  <w:pPr>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0.0953</w:t>
                  </w:r>
                </w:p>
              </w:tc>
              <w:tc>
                <w:tcPr>
                  <w:tcW w:w="1142" w:type="pct"/>
                  <w:noWrap w:val="0"/>
                  <w:vAlign w:val="center"/>
                </w:tcPr>
                <w:p w14:paraId="2B3C4C98">
                  <w:pPr>
                    <w:widowControl/>
                    <w:jc w:val="center"/>
                    <w:textAlignment w:val="center"/>
                    <w:rPr>
                      <w:color w:val="auto"/>
                      <w:szCs w:val="21"/>
                    </w:rPr>
                  </w:pPr>
                  <w:r>
                    <w:rPr>
                      <w:rFonts w:hint="eastAsia"/>
                      <w:color w:val="auto"/>
                      <w:szCs w:val="21"/>
                    </w:rPr>
                    <w:t>+</w:t>
                  </w:r>
                  <w:r>
                    <w:rPr>
                      <w:rFonts w:hint="eastAsia"/>
                      <w:color w:val="auto"/>
                      <w:sz w:val="21"/>
                      <w:szCs w:val="21"/>
                      <w:highlight w:val="none"/>
                    </w:rPr>
                    <w:t xml:space="preserve"> </w:t>
                  </w:r>
                  <w:r>
                    <w:rPr>
                      <w:rFonts w:hint="eastAsia" w:ascii="Times New Roman" w:hAnsi="Times New Roman" w:eastAsia="宋体" w:cs="Times New Roman"/>
                      <w:color w:val="auto"/>
                      <w:sz w:val="21"/>
                      <w:szCs w:val="21"/>
                      <w:highlight w:val="none"/>
                      <w:lang w:val="en-US" w:eastAsia="zh-CN"/>
                    </w:rPr>
                    <w:t>0.0833</w:t>
                  </w:r>
                </w:p>
              </w:tc>
            </w:tr>
            <w:tr w14:paraId="11B5F1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250" w:type="pct"/>
                  <w:vMerge w:val="continue"/>
                  <w:noWrap w:val="0"/>
                  <w:vAlign w:val="center"/>
                </w:tcPr>
                <w:p w14:paraId="50D05239">
                  <w:pPr>
                    <w:jc w:val="center"/>
                    <w:rPr>
                      <w:color w:val="auto"/>
                      <w:szCs w:val="21"/>
                    </w:rPr>
                  </w:pPr>
                </w:p>
              </w:tc>
              <w:tc>
                <w:tcPr>
                  <w:tcW w:w="523" w:type="pct"/>
                  <w:vMerge w:val="continue"/>
                  <w:noWrap w:val="0"/>
                  <w:vAlign w:val="center"/>
                </w:tcPr>
                <w:p w14:paraId="25ED0299">
                  <w:pPr>
                    <w:jc w:val="center"/>
                    <w:rPr>
                      <w:color w:val="auto"/>
                      <w:szCs w:val="21"/>
                    </w:rPr>
                  </w:pPr>
                </w:p>
              </w:tc>
              <w:tc>
                <w:tcPr>
                  <w:tcW w:w="543" w:type="pct"/>
                  <w:noWrap w:val="0"/>
                  <w:vAlign w:val="center"/>
                </w:tcPr>
                <w:p w14:paraId="5204AB51">
                  <w:pPr>
                    <w:jc w:val="center"/>
                    <w:rPr>
                      <w:color w:val="auto"/>
                      <w:szCs w:val="21"/>
                      <w:lang w:bidi="ar"/>
                    </w:rPr>
                  </w:pPr>
                  <w:r>
                    <w:rPr>
                      <w:color w:val="auto"/>
                      <w:szCs w:val="21"/>
                      <w:lang w:bidi="ar"/>
                    </w:rPr>
                    <w:t>NH</w:t>
                  </w:r>
                  <w:r>
                    <w:rPr>
                      <w:color w:val="auto"/>
                      <w:szCs w:val="21"/>
                      <w:vertAlign w:val="subscript"/>
                      <w:lang w:bidi="ar"/>
                    </w:rPr>
                    <w:t>3</w:t>
                  </w:r>
                  <w:r>
                    <w:rPr>
                      <w:color w:val="auto"/>
                      <w:szCs w:val="21"/>
                      <w:lang w:bidi="ar"/>
                    </w:rPr>
                    <w:t>-N</w:t>
                  </w:r>
                </w:p>
              </w:tc>
              <w:tc>
                <w:tcPr>
                  <w:tcW w:w="556" w:type="pct"/>
                  <w:noWrap w:val="0"/>
                  <w:vAlign w:val="center"/>
                </w:tcPr>
                <w:p w14:paraId="011299B0">
                  <w:pPr>
                    <w:spacing w:line="240" w:lineRule="exact"/>
                    <w:jc w:val="center"/>
                    <w:rPr>
                      <w:rFonts w:hint="eastAsia"/>
                      <w:color w:val="auto"/>
                      <w:sz w:val="21"/>
                      <w:szCs w:val="21"/>
                    </w:rPr>
                  </w:pPr>
                  <w:r>
                    <w:rPr>
                      <w:rFonts w:hint="eastAsia"/>
                      <w:color w:val="auto"/>
                      <w:sz w:val="21"/>
                      <w:szCs w:val="21"/>
                      <w:highlight w:val="none"/>
                    </w:rPr>
                    <w:t xml:space="preserve"> </w:t>
                  </w:r>
                  <w:r>
                    <w:rPr>
                      <w:rFonts w:hint="eastAsia" w:cs="Times New Roman"/>
                      <w:color w:val="auto"/>
                      <w:sz w:val="21"/>
                      <w:szCs w:val="21"/>
                      <w:highlight w:val="none"/>
                      <w:vertAlign w:val="baseline"/>
                      <w:lang w:val="en-US" w:eastAsia="zh-CN"/>
                    </w:rPr>
                    <w:t>0.0006</w:t>
                  </w:r>
                </w:p>
              </w:tc>
              <w:tc>
                <w:tcPr>
                  <w:tcW w:w="708" w:type="pct"/>
                  <w:noWrap w:val="0"/>
                  <w:vAlign w:val="center"/>
                </w:tcPr>
                <w:p w14:paraId="1122D65C">
                  <w:pPr>
                    <w:jc w:val="center"/>
                    <w:rPr>
                      <w:rFonts w:hint="eastAsia"/>
                      <w:color w:val="auto"/>
                      <w:sz w:val="21"/>
                      <w:szCs w:val="21"/>
                    </w:rPr>
                  </w:pPr>
                  <w:r>
                    <w:rPr>
                      <w:rFonts w:hint="eastAsia"/>
                      <w:color w:val="auto"/>
                      <w:sz w:val="21"/>
                      <w:szCs w:val="21"/>
                    </w:rPr>
                    <w:t>0</w:t>
                  </w:r>
                </w:p>
              </w:tc>
              <w:tc>
                <w:tcPr>
                  <w:tcW w:w="494" w:type="pct"/>
                  <w:noWrap w:val="0"/>
                  <w:vAlign w:val="center"/>
                </w:tcPr>
                <w:p w14:paraId="0AB7824F">
                  <w:pPr>
                    <w:spacing w:line="240" w:lineRule="exact"/>
                    <w:jc w:val="center"/>
                    <w:rPr>
                      <w:rFonts w:hint="eastAsia"/>
                      <w:color w:val="auto"/>
                      <w:sz w:val="21"/>
                      <w:szCs w:val="21"/>
                    </w:rPr>
                  </w:pPr>
                  <w:r>
                    <w:rPr>
                      <w:rFonts w:hint="eastAsia"/>
                      <w:color w:val="auto"/>
                      <w:sz w:val="21"/>
                      <w:szCs w:val="21"/>
                      <w:highlight w:val="none"/>
                      <w:lang w:val="en-US" w:eastAsia="zh-CN"/>
                    </w:rPr>
                    <w:t>0.0042</w:t>
                  </w:r>
                </w:p>
              </w:tc>
              <w:tc>
                <w:tcPr>
                  <w:tcW w:w="780" w:type="pct"/>
                  <w:noWrap w:val="0"/>
                  <w:vAlign w:val="center"/>
                </w:tcPr>
                <w:p w14:paraId="07443A7D">
                  <w:pPr>
                    <w:widowControl/>
                    <w:jc w:val="center"/>
                    <w:textAlignment w:val="center"/>
                    <w:rPr>
                      <w:rFonts w:hint="default" w:eastAsia="宋体"/>
                      <w:color w:val="auto"/>
                      <w:szCs w:val="21"/>
                      <w:lang w:val="en-US" w:eastAsia="zh-CN"/>
                    </w:rPr>
                  </w:pPr>
                  <w:r>
                    <w:rPr>
                      <w:rFonts w:hint="eastAsia"/>
                      <w:color w:val="auto"/>
                      <w:szCs w:val="21"/>
                      <w:lang w:val="en-US" w:eastAsia="zh-CN"/>
                    </w:rPr>
                    <w:t>0.0048</w:t>
                  </w:r>
                </w:p>
              </w:tc>
              <w:tc>
                <w:tcPr>
                  <w:tcW w:w="1142" w:type="pct"/>
                  <w:noWrap w:val="0"/>
                  <w:vAlign w:val="center"/>
                </w:tcPr>
                <w:p w14:paraId="374B75E3">
                  <w:pPr>
                    <w:widowControl/>
                    <w:jc w:val="center"/>
                    <w:textAlignment w:val="center"/>
                    <w:rPr>
                      <w:rFonts w:hint="eastAsia"/>
                      <w:color w:val="auto"/>
                      <w:szCs w:val="21"/>
                    </w:rPr>
                  </w:pPr>
                  <w:r>
                    <w:rPr>
                      <w:rFonts w:hint="eastAsia"/>
                      <w:color w:val="auto"/>
                      <w:szCs w:val="21"/>
                    </w:rPr>
                    <w:t>+</w:t>
                  </w:r>
                  <w:r>
                    <w:rPr>
                      <w:rFonts w:hint="eastAsia"/>
                      <w:color w:val="auto"/>
                      <w:sz w:val="21"/>
                      <w:szCs w:val="21"/>
                      <w:highlight w:val="none"/>
                      <w:lang w:val="en-US" w:eastAsia="zh-CN"/>
                    </w:rPr>
                    <w:t>0.0042</w:t>
                  </w:r>
                </w:p>
              </w:tc>
            </w:tr>
            <w:tr w14:paraId="0B9D98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50" w:type="pct"/>
                  <w:vMerge w:val="restart"/>
                  <w:noWrap w:val="0"/>
                  <w:vAlign w:val="center"/>
                </w:tcPr>
                <w:p w14:paraId="56238BE1">
                  <w:pPr>
                    <w:jc w:val="center"/>
                    <w:rPr>
                      <w:color w:val="auto"/>
                      <w:szCs w:val="21"/>
                    </w:rPr>
                  </w:pPr>
                  <w:r>
                    <w:rPr>
                      <w:rFonts w:hint="eastAsia"/>
                      <w:color w:val="auto"/>
                      <w:szCs w:val="21"/>
                    </w:rPr>
                    <w:t>废气</w:t>
                  </w:r>
                </w:p>
              </w:tc>
              <w:tc>
                <w:tcPr>
                  <w:tcW w:w="523" w:type="pct"/>
                  <w:vMerge w:val="restart"/>
                  <w:noWrap w:val="0"/>
                  <w:vAlign w:val="center"/>
                </w:tcPr>
                <w:p w14:paraId="56F52AC2">
                  <w:pPr>
                    <w:jc w:val="center"/>
                    <w:rPr>
                      <w:color w:val="auto"/>
                      <w:szCs w:val="21"/>
                      <w:lang w:bidi="ar"/>
                    </w:rPr>
                  </w:pPr>
                  <w:r>
                    <w:rPr>
                      <w:rFonts w:hint="eastAsia"/>
                      <w:color w:val="auto"/>
                      <w:szCs w:val="21"/>
                    </w:rPr>
                    <w:t>VOCs</w:t>
                  </w:r>
                </w:p>
              </w:tc>
              <w:tc>
                <w:tcPr>
                  <w:tcW w:w="543" w:type="pct"/>
                  <w:noWrap w:val="0"/>
                  <w:vAlign w:val="center"/>
                </w:tcPr>
                <w:p w14:paraId="6387EB60">
                  <w:pPr>
                    <w:jc w:val="center"/>
                    <w:rPr>
                      <w:color w:val="auto"/>
                      <w:szCs w:val="21"/>
                    </w:rPr>
                  </w:pPr>
                  <w:r>
                    <w:rPr>
                      <w:rFonts w:hint="eastAsia"/>
                      <w:color w:val="auto"/>
                      <w:szCs w:val="21"/>
                    </w:rPr>
                    <w:t>有组织</w:t>
                  </w:r>
                </w:p>
              </w:tc>
              <w:tc>
                <w:tcPr>
                  <w:tcW w:w="556" w:type="pct"/>
                  <w:noWrap w:val="0"/>
                  <w:vAlign w:val="center"/>
                </w:tcPr>
                <w:p w14:paraId="0A1E3420">
                  <w:pPr>
                    <w:widowControl/>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0.204</w:t>
                  </w:r>
                </w:p>
              </w:tc>
              <w:tc>
                <w:tcPr>
                  <w:tcW w:w="708" w:type="pct"/>
                  <w:noWrap w:val="0"/>
                  <w:vAlign w:val="center"/>
                </w:tcPr>
                <w:p w14:paraId="1C2D66FA">
                  <w:pPr>
                    <w:jc w:val="center"/>
                    <w:rPr>
                      <w:rFonts w:hint="eastAsia"/>
                      <w:color w:val="auto"/>
                      <w:kern w:val="0"/>
                      <w:szCs w:val="21"/>
                    </w:rPr>
                  </w:pPr>
                  <w:r>
                    <w:rPr>
                      <w:rFonts w:hint="eastAsia"/>
                      <w:color w:val="auto"/>
                      <w:kern w:val="0"/>
                      <w:szCs w:val="21"/>
                    </w:rPr>
                    <w:t>0</w:t>
                  </w:r>
                </w:p>
              </w:tc>
              <w:tc>
                <w:tcPr>
                  <w:tcW w:w="494" w:type="pct"/>
                  <w:noWrap w:val="0"/>
                  <w:vAlign w:val="center"/>
                </w:tcPr>
                <w:p w14:paraId="5035F36A">
                  <w:pPr>
                    <w:jc w:val="center"/>
                    <w:rPr>
                      <w:rFonts w:hint="eastAsia"/>
                      <w:bCs/>
                      <w:color w:val="auto"/>
                      <w:kern w:val="0"/>
                      <w:szCs w:val="21"/>
                      <w:lang w:bidi="ar"/>
                    </w:rPr>
                  </w:pPr>
                  <w:r>
                    <w:rPr>
                      <w:rFonts w:hint="eastAsia"/>
                      <w:bCs/>
                      <w:color w:val="auto"/>
                      <w:kern w:val="0"/>
                      <w:szCs w:val="21"/>
                      <w:lang w:val="en-US" w:eastAsia="zh-CN" w:bidi="ar"/>
                    </w:rPr>
                    <w:t>0.0457</w:t>
                  </w:r>
                </w:p>
              </w:tc>
              <w:tc>
                <w:tcPr>
                  <w:tcW w:w="780" w:type="pct"/>
                  <w:noWrap w:val="0"/>
                  <w:vAlign w:val="center"/>
                </w:tcPr>
                <w:p w14:paraId="033F6E0E">
                  <w:pPr>
                    <w:jc w:val="center"/>
                    <w:rPr>
                      <w:rFonts w:hint="default" w:eastAsia="宋体"/>
                      <w:bCs/>
                      <w:color w:val="auto"/>
                      <w:kern w:val="0"/>
                      <w:szCs w:val="21"/>
                      <w:lang w:val="en-US" w:eastAsia="zh-CN" w:bidi="ar"/>
                    </w:rPr>
                  </w:pPr>
                  <w:r>
                    <w:rPr>
                      <w:rFonts w:hint="eastAsia"/>
                      <w:bCs/>
                      <w:color w:val="auto"/>
                      <w:kern w:val="0"/>
                      <w:szCs w:val="21"/>
                      <w:lang w:val="en-US" w:eastAsia="zh-CN" w:bidi="ar"/>
                    </w:rPr>
                    <w:t>0.2497</w:t>
                  </w:r>
                </w:p>
              </w:tc>
              <w:tc>
                <w:tcPr>
                  <w:tcW w:w="1142" w:type="pct"/>
                  <w:noWrap w:val="0"/>
                  <w:vAlign w:val="center"/>
                </w:tcPr>
                <w:p w14:paraId="1A2450A3">
                  <w:pPr>
                    <w:jc w:val="center"/>
                    <w:rPr>
                      <w:rFonts w:hint="eastAsia"/>
                      <w:bCs/>
                      <w:color w:val="auto"/>
                      <w:kern w:val="0"/>
                      <w:szCs w:val="21"/>
                      <w:lang w:bidi="ar"/>
                    </w:rPr>
                  </w:pPr>
                  <w:r>
                    <w:rPr>
                      <w:rFonts w:hint="eastAsia" w:eastAsia="等线"/>
                      <w:color w:val="auto"/>
                      <w:szCs w:val="21"/>
                    </w:rPr>
                    <w:t>+</w:t>
                  </w:r>
                  <w:r>
                    <w:rPr>
                      <w:rFonts w:hint="eastAsia"/>
                      <w:bCs/>
                      <w:color w:val="auto"/>
                      <w:kern w:val="0"/>
                      <w:szCs w:val="21"/>
                      <w:lang w:val="en-US" w:eastAsia="zh-CN" w:bidi="ar"/>
                    </w:rPr>
                    <w:t>0.0457</w:t>
                  </w:r>
                </w:p>
              </w:tc>
            </w:tr>
            <w:tr w14:paraId="566726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50" w:type="pct"/>
                  <w:vMerge w:val="continue"/>
                  <w:noWrap w:val="0"/>
                  <w:vAlign w:val="center"/>
                </w:tcPr>
                <w:p w14:paraId="223B084F">
                  <w:pPr>
                    <w:jc w:val="center"/>
                    <w:rPr>
                      <w:rFonts w:hint="eastAsia"/>
                      <w:color w:val="auto"/>
                      <w:szCs w:val="21"/>
                    </w:rPr>
                  </w:pPr>
                </w:p>
              </w:tc>
              <w:tc>
                <w:tcPr>
                  <w:tcW w:w="523" w:type="pct"/>
                  <w:vMerge w:val="continue"/>
                  <w:noWrap w:val="0"/>
                  <w:vAlign w:val="center"/>
                </w:tcPr>
                <w:p w14:paraId="4C4EB622">
                  <w:pPr>
                    <w:jc w:val="center"/>
                    <w:rPr>
                      <w:rFonts w:hint="eastAsia"/>
                      <w:color w:val="auto"/>
                      <w:szCs w:val="21"/>
                    </w:rPr>
                  </w:pPr>
                </w:p>
              </w:tc>
              <w:tc>
                <w:tcPr>
                  <w:tcW w:w="543" w:type="pct"/>
                  <w:noWrap w:val="0"/>
                  <w:vAlign w:val="center"/>
                </w:tcPr>
                <w:p w14:paraId="64DE25C9">
                  <w:pPr>
                    <w:jc w:val="center"/>
                    <w:rPr>
                      <w:color w:val="auto"/>
                      <w:szCs w:val="21"/>
                    </w:rPr>
                  </w:pPr>
                  <w:r>
                    <w:rPr>
                      <w:rFonts w:hint="eastAsia"/>
                      <w:color w:val="auto"/>
                      <w:szCs w:val="21"/>
                    </w:rPr>
                    <w:t>无组织</w:t>
                  </w:r>
                </w:p>
              </w:tc>
              <w:tc>
                <w:tcPr>
                  <w:tcW w:w="556" w:type="pct"/>
                  <w:noWrap w:val="0"/>
                  <w:vAlign w:val="center"/>
                </w:tcPr>
                <w:p w14:paraId="744BE350">
                  <w:pPr>
                    <w:widowControl/>
                    <w:adjustRightInd w:val="0"/>
                    <w:snapToGrid w:val="0"/>
                    <w:jc w:val="center"/>
                    <w:rPr>
                      <w:rFonts w:hint="eastAsia" w:eastAsia="宋体"/>
                      <w:color w:val="auto"/>
                      <w:kern w:val="0"/>
                      <w:szCs w:val="21"/>
                      <w:lang w:eastAsia="zh-CN"/>
                    </w:rPr>
                  </w:pPr>
                  <w:r>
                    <w:rPr>
                      <w:rFonts w:hint="eastAsia"/>
                      <w:color w:val="auto"/>
                      <w:kern w:val="0"/>
                      <w:szCs w:val="21"/>
                      <w:lang w:val="en-US" w:eastAsia="zh-CN"/>
                    </w:rPr>
                    <w:t>/</w:t>
                  </w:r>
                </w:p>
              </w:tc>
              <w:tc>
                <w:tcPr>
                  <w:tcW w:w="708" w:type="pct"/>
                  <w:noWrap w:val="0"/>
                  <w:vAlign w:val="center"/>
                </w:tcPr>
                <w:p w14:paraId="1F90DA36">
                  <w:pPr>
                    <w:jc w:val="center"/>
                    <w:rPr>
                      <w:rFonts w:hint="eastAsia"/>
                      <w:color w:val="auto"/>
                      <w:kern w:val="0"/>
                      <w:szCs w:val="21"/>
                    </w:rPr>
                  </w:pPr>
                  <w:r>
                    <w:rPr>
                      <w:rFonts w:hint="eastAsia"/>
                      <w:color w:val="auto"/>
                      <w:kern w:val="0"/>
                      <w:szCs w:val="21"/>
                    </w:rPr>
                    <w:t>0</w:t>
                  </w:r>
                </w:p>
              </w:tc>
              <w:tc>
                <w:tcPr>
                  <w:tcW w:w="494" w:type="pct"/>
                  <w:noWrap w:val="0"/>
                  <w:vAlign w:val="center"/>
                </w:tcPr>
                <w:p w14:paraId="20476646">
                  <w:pPr>
                    <w:jc w:val="center"/>
                    <w:rPr>
                      <w:rFonts w:hint="eastAsia"/>
                      <w:bCs/>
                      <w:color w:val="auto"/>
                      <w:kern w:val="0"/>
                      <w:szCs w:val="21"/>
                      <w:lang w:bidi="ar"/>
                    </w:rPr>
                  </w:pPr>
                  <w:r>
                    <w:rPr>
                      <w:rFonts w:hint="eastAsia"/>
                      <w:bCs/>
                      <w:color w:val="auto"/>
                      <w:kern w:val="0"/>
                      <w:szCs w:val="21"/>
                      <w:lang w:val="en-US" w:eastAsia="zh-CN" w:bidi="ar"/>
                    </w:rPr>
                    <w:t>0.0509</w:t>
                  </w:r>
                </w:p>
              </w:tc>
              <w:tc>
                <w:tcPr>
                  <w:tcW w:w="780" w:type="pct"/>
                  <w:noWrap w:val="0"/>
                  <w:vAlign w:val="center"/>
                </w:tcPr>
                <w:p w14:paraId="0CAE01A3">
                  <w:pPr>
                    <w:jc w:val="center"/>
                    <w:rPr>
                      <w:rFonts w:hint="default" w:eastAsia="宋体"/>
                      <w:bCs/>
                      <w:color w:val="auto"/>
                      <w:kern w:val="0"/>
                      <w:szCs w:val="21"/>
                      <w:lang w:val="en-US" w:eastAsia="zh-CN" w:bidi="ar"/>
                    </w:rPr>
                  </w:pPr>
                  <w:r>
                    <w:rPr>
                      <w:rFonts w:hint="eastAsia"/>
                      <w:bCs/>
                      <w:color w:val="auto"/>
                      <w:kern w:val="0"/>
                      <w:szCs w:val="21"/>
                      <w:lang w:val="en-US" w:eastAsia="zh-CN" w:bidi="ar"/>
                    </w:rPr>
                    <w:t>0.0509</w:t>
                  </w:r>
                </w:p>
              </w:tc>
              <w:tc>
                <w:tcPr>
                  <w:tcW w:w="1142" w:type="pct"/>
                  <w:noWrap w:val="0"/>
                  <w:vAlign w:val="center"/>
                </w:tcPr>
                <w:p w14:paraId="115B171B">
                  <w:pPr>
                    <w:jc w:val="center"/>
                    <w:rPr>
                      <w:rFonts w:hint="eastAsia"/>
                      <w:bCs/>
                      <w:color w:val="auto"/>
                      <w:kern w:val="0"/>
                      <w:szCs w:val="21"/>
                      <w:lang w:bidi="ar"/>
                    </w:rPr>
                  </w:pPr>
                  <w:r>
                    <w:rPr>
                      <w:rFonts w:hint="eastAsia" w:eastAsia="等线"/>
                      <w:color w:val="auto"/>
                      <w:szCs w:val="21"/>
                    </w:rPr>
                    <w:t>+</w:t>
                  </w:r>
                  <w:r>
                    <w:rPr>
                      <w:rFonts w:hint="eastAsia"/>
                      <w:bCs/>
                      <w:color w:val="auto"/>
                      <w:kern w:val="0"/>
                      <w:szCs w:val="21"/>
                      <w:lang w:val="en-US" w:eastAsia="zh-CN" w:bidi="ar"/>
                    </w:rPr>
                    <w:t>0.0509</w:t>
                  </w:r>
                </w:p>
              </w:tc>
            </w:tr>
            <w:tr w14:paraId="4B6811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50" w:type="pct"/>
                  <w:vMerge w:val="continue"/>
                  <w:noWrap w:val="0"/>
                  <w:vAlign w:val="center"/>
                </w:tcPr>
                <w:p w14:paraId="09D937FF">
                  <w:pPr>
                    <w:jc w:val="center"/>
                    <w:rPr>
                      <w:rFonts w:hint="eastAsia"/>
                      <w:color w:val="auto"/>
                      <w:szCs w:val="21"/>
                    </w:rPr>
                  </w:pPr>
                </w:p>
              </w:tc>
              <w:tc>
                <w:tcPr>
                  <w:tcW w:w="523" w:type="pct"/>
                  <w:vMerge w:val="continue"/>
                  <w:noWrap w:val="0"/>
                  <w:vAlign w:val="center"/>
                </w:tcPr>
                <w:p w14:paraId="04EE81BB">
                  <w:pPr>
                    <w:jc w:val="center"/>
                    <w:rPr>
                      <w:rFonts w:hint="eastAsia"/>
                      <w:color w:val="auto"/>
                      <w:szCs w:val="21"/>
                    </w:rPr>
                  </w:pPr>
                </w:p>
              </w:tc>
              <w:tc>
                <w:tcPr>
                  <w:tcW w:w="543" w:type="pct"/>
                  <w:noWrap w:val="0"/>
                  <w:vAlign w:val="center"/>
                </w:tcPr>
                <w:p w14:paraId="22CC352B">
                  <w:pPr>
                    <w:jc w:val="center"/>
                    <w:rPr>
                      <w:rFonts w:hint="eastAsia"/>
                      <w:color w:val="auto"/>
                      <w:szCs w:val="21"/>
                    </w:rPr>
                  </w:pPr>
                  <w:r>
                    <w:rPr>
                      <w:rFonts w:hint="eastAsia"/>
                      <w:color w:val="auto"/>
                      <w:szCs w:val="21"/>
                    </w:rPr>
                    <w:t>合计</w:t>
                  </w:r>
                </w:p>
              </w:tc>
              <w:tc>
                <w:tcPr>
                  <w:tcW w:w="556" w:type="pct"/>
                  <w:noWrap w:val="0"/>
                  <w:vAlign w:val="center"/>
                </w:tcPr>
                <w:p w14:paraId="4C2B568C">
                  <w:pPr>
                    <w:widowControl/>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0.204</w:t>
                  </w:r>
                </w:p>
              </w:tc>
              <w:tc>
                <w:tcPr>
                  <w:tcW w:w="708" w:type="pct"/>
                  <w:noWrap w:val="0"/>
                  <w:vAlign w:val="center"/>
                </w:tcPr>
                <w:p w14:paraId="5509CD12">
                  <w:pPr>
                    <w:jc w:val="center"/>
                    <w:rPr>
                      <w:rFonts w:hint="eastAsia"/>
                      <w:color w:val="auto"/>
                      <w:kern w:val="0"/>
                      <w:szCs w:val="21"/>
                    </w:rPr>
                  </w:pPr>
                  <w:r>
                    <w:rPr>
                      <w:rFonts w:hint="eastAsia"/>
                      <w:color w:val="auto"/>
                      <w:kern w:val="0"/>
                      <w:szCs w:val="21"/>
                    </w:rPr>
                    <w:t>0</w:t>
                  </w:r>
                </w:p>
              </w:tc>
              <w:tc>
                <w:tcPr>
                  <w:tcW w:w="494" w:type="pct"/>
                  <w:noWrap w:val="0"/>
                  <w:vAlign w:val="center"/>
                </w:tcPr>
                <w:p w14:paraId="5477CB0F">
                  <w:pPr>
                    <w:jc w:val="center"/>
                    <w:rPr>
                      <w:rFonts w:hint="eastAsia"/>
                      <w:bCs/>
                      <w:color w:val="auto"/>
                      <w:kern w:val="0"/>
                      <w:szCs w:val="21"/>
                      <w:lang w:bidi="ar"/>
                    </w:rPr>
                  </w:pPr>
                  <w:r>
                    <w:rPr>
                      <w:rFonts w:hint="eastAsia"/>
                      <w:bCs/>
                      <w:color w:val="auto"/>
                      <w:kern w:val="0"/>
                      <w:szCs w:val="21"/>
                      <w:lang w:val="en-US" w:eastAsia="zh-CN" w:bidi="ar"/>
                    </w:rPr>
                    <w:t>0.0966</w:t>
                  </w:r>
                </w:p>
              </w:tc>
              <w:tc>
                <w:tcPr>
                  <w:tcW w:w="780" w:type="pct"/>
                  <w:noWrap w:val="0"/>
                  <w:vAlign w:val="center"/>
                </w:tcPr>
                <w:p w14:paraId="25B9EE97">
                  <w:pPr>
                    <w:jc w:val="center"/>
                    <w:rPr>
                      <w:rFonts w:hint="default" w:eastAsia="宋体"/>
                      <w:bCs/>
                      <w:color w:val="auto"/>
                      <w:kern w:val="0"/>
                      <w:szCs w:val="21"/>
                      <w:lang w:val="en-US" w:eastAsia="zh-CN" w:bidi="ar"/>
                    </w:rPr>
                  </w:pPr>
                  <w:r>
                    <w:rPr>
                      <w:rFonts w:hint="eastAsia"/>
                      <w:bCs/>
                      <w:color w:val="auto"/>
                      <w:kern w:val="0"/>
                      <w:szCs w:val="21"/>
                      <w:lang w:val="en-US" w:eastAsia="zh-CN" w:bidi="ar"/>
                    </w:rPr>
                    <w:t>0.3006</w:t>
                  </w:r>
                </w:p>
              </w:tc>
              <w:tc>
                <w:tcPr>
                  <w:tcW w:w="1142" w:type="pct"/>
                  <w:noWrap w:val="0"/>
                  <w:vAlign w:val="center"/>
                </w:tcPr>
                <w:p w14:paraId="47A1CDC3">
                  <w:pPr>
                    <w:jc w:val="center"/>
                    <w:rPr>
                      <w:rFonts w:hint="eastAsia"/>
                      <w:bCs/>
                      <w:color w:val="auto"/>
                      <w:kern w:val="0"/>
                      <w:szCs w:val="21"/>
                      <w:lang w:bidi="ar"/>
                    </w:rPr>
                  </w:pPr>
                  <w:r>
                    <w:rPr>
                      <w:rFonts w:hint="eastAsia" w:eastAsia="等线"/>
                      <w:color w:val="auto"/>
                      <w:szCs w:val="21"/>
                    </w:rPr>
                    <w:t>+</w:t>
                  </w:r>
                  <w:r>
                    <w:rPr>
                      <w:rFonts w:hint="eastAsia"/>
                      <w:bCs/>
                      <w:color w:val="auto"/>
                      <w:kern w:val="0"/>
                      <w:szCs w:val="21"/>
                      <w:lang w:val="en-US" w:eastAsia="zh-CN" w:bidi="ar"/>
                    </w:rPr>
                    <w:t>0.0966</w:t>
                  </w:r>
                </w:p>
              </w:tc>
            </w:tr>
          </w:tbl>
          <w:p w14:paraId="22490782">
            <w:pPr>
              <w:topLinePunct/>
              <w:spacing w:line="348" w:lineRule="auto"/>
              <w:ind w:right="105" w:rightChars="50"/>
              <w:rPr>
                <w:rFonts w:hint="eastAsia" w:eastAsia="宋体"/>
                <w:color w:val="auto"/>
                <w:kern w:val="0"/>
                <w:sz w:val="24"/>
                <w:lang w:val="en-US" w:eastAsia="zh-CN"/>
              </w:rPr>
            </w:pPr>
            <w:r>
              <w:rPr>
                <w:rFonts w:hint="eastAsia"/>
                <w:color w:val="auto"/>
                <w:kern w:val="0"/>
                <w:sz w:val="24"/>
              </w:rPr>
              <w:t>注：</w:t>
            </w:r>
            <w:r>
              <w:rPr>
                <w:rFonts w:hint="eastAsia"/>
                <w:color w:val="auto"/>
                <w:kern w:val="0"/>
                <w:sz w:val="24"/>
                <w:lang w:val="en-US" w:eastAsia="zh-CN"/>
              </w:rPr>
              <w:t>④</w:t>
            </w:r>
            <w:r>
              <w:rPr>
                <w:rFonts w:hint="eastAsia"/>
                <w:color w:val="auto"/>
                <w:kern w:val="0"/>
                <w:sz w:val="24"/>
              </w:rPr>
              <w:t>=①+③-②；⑤=</w:t>
            </w:r>
            <w:r>
              <w:rPr>
                <w:rFonts w:hint="eastAsia"/>
                <w:color w:val="auto"/>
                <w:kern w:val="0"/>
                <w:sz w:val="24"/>
                <w:lang w:val="en-US" w:eastAsia="zh-CN"/>
              </w:rPr>
              <w:t>④</w:t>
            </w:r>
            <w:r>
              <w:rPr>
                <w:rFonts w:hint="eastAsia"/>
                <w:color w:val="auto"/>
                <w:kern w:val="0"/>
                <w:sz w:val="24"/>
              </w:rPr>
              <w:t>-①</w:t>
            </w:r>
          </w:p>
          <w:p w14:paraId="0991FDB7">
            <w:pPr>
              <w:jc w:val="center"/>
              <w:rPr>
                <w:b/>
                <w:color w:val="auto"/>
                <w:szCs w:val="21"/>
                <w:highlight w:val="none"/>
              </w:rPr>
            </w:pPr>
          </w:p>
          <w:p w14:paraId="6E3B0700">
            <w:pPr>
              <w:pStyle w:val="10"/>
              <w:rPr>
                <w:color w:val="auto"/>
              </w:rPr>
            </w:pPr>
          </w:p>
          <w:p w14:paraId="7A654189">
            <w:pPr>
              <w:pStyle w:val="10"/>
              <w:rPr>
                <w:b/>
                <w:color w:val="auto"/>
                <w:szCs w:val="21"/>
                <w:highlight w:val="none"/>
              </w:rPr>
            </w:pPr>
          </w:p>
          <w:p w14:paraId="032B2E90">
            <w:pPr>
              <w:rPr>
                <w:b/>
                <w:color w:val="auto"/>
                <w:szCs w:val="21"/>
                <w:highlight w:val="none"/>
              </w:rPr>
            </w:pPr>
          </w:p>
          <w:p w14:paraId="78843D1B">
            <w:pPr>
              <w:pStyle w:val="10"/>
              <w:rPr>
                <w:color w:val="auto"/>
              </w:rPr>
            </w:pPr>
          </w:p>
          <w:p w14:paraId="0164D15E">
            <w:pPr>
              <w:adjustRightInd w:val="0"/>
              <w:snapToGrid w:val="0"/>
              <w:rPr>
                <w:color w:val="auto"/>
                <w:kern w:val="0"/>
                <w:szCs w:val="21"/>
              </w:rPr>
            </w:pPr>
          </w:p>
        </w:tc>
      </w:tr>
    </w:tbl>
    <w:p w14:paraId="4BB10081">
      <w:pPr>
        <w:pStyle w:val="21"/>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r>
        <w:rPr>
          <w:rFonts w:ascii="Times New Roman" w:hAnsi="Times New Roman" w:eastAsia="黑体"/>
          <w:snapToGrid w:val="0"/>
          <w:color w:val="auto"/>
          <w:sz w:val="30"/>
          <w:szCs w:val="30"/>
        </w:rPr>
        <w:t>四、主要环境影响和保护措施</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5CD651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tcMar>
              <w:left w:w="28" w:type="dxa"/>
              <w:right w:w="28" w:type="dxa"/>
            </w:tcMar>
            <w:vAlign w:val="center"/>
          </w:tcPr>
          <w:p w14:paraId="665A4270">
            <w:pPr>
              <w:pStyle w:val="21"/>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施工</w:t>
            </w:r>
          </w:p>
          <w:p w14:paraId="3EC3F1B5">
            <w:pPr>
              <w:pStyle w:val="21"/>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期环</w:t>
            </w:r>
          </w:p>
          <w:p w14:paraId="02AF1974">
            <w:pPr>
              <w:pStyle w:val="21"/>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境保</w:t>
            </w:r>
          </w:p>
          <w:p w14:paraId="378783AC">
            <w:pPr>
              <w:pStyle w:val="21"/>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护措</w:t>
            </w:r>
          </w:p>
          <w:p w14:paraId="34D798F3">
            <w:pPr>
              <w:pStyle w:val="21"/>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 w:val="21"/>
                <w:szCs w:val="21"/>
              </w:rPr>
              <w:t>施</w:t>
            </w:r>
          </w:p>
        </w:tc>
        <w:tc>
          <w:tcPr>
            <w:tcW w:w="8162" w:type="dxa"/>
            <w:vAlign w:val="center"/>
          </w:tcPr>
          <w:p w14:paraId="623903F6">
            <w:pPr>
              <w:spacing w:line="360" w:lineRule="auto"/>
              <w:ind w:firstLine="480" w:firstLineChars="200"/>
              <w:rPr>
                <w:rFonts w:hint="eastAsia"/>
                <w:color w:val="auto"/>
                <w:sz w:val="24"/>
              </w:rPr>
            </w:pPr>
            <w:r>
              <w:rPr>
                <w:rFonts w:hint="eastAsia" w:ascii="宋体" w:hAnsi="宋体" w:cs="宋体"/>
                <w:color w:val="auto"/>
                <w:sz w:val="24"/>
                <w:lang w:val="en-US" w:eastAsia="zh-CN"/>
              </w:rPr>
              <w:t>本</w:t>
            </w:r>
            <w:r>
              <w:rPr>
                <w:rFonts w:hint="eastAsia" w:ascii="宋体" w:hAnsi="宋体" w:eastAsia="宋体" w:cs="宋体"/>
                <w:color w:val="auto"/>
                <w:sz w:val="24"/>
              </w:rPr>
              <w:t>项目在</w:t>
            </w:r>
            <w:r>
              <w:rPr>
                <w:rFonts w:hint="eastAsia" w:ascii="宋体" w:hAnsi="宋体" w:eastAsia="宋体" w:cs="宋体"/>
                <w:color w:val="auto"/>
                <w:sz w:val="24"/>
                <w:lang w:eastAsia="zh-CN"/>
              </w:rPr>
              <w:t>四川省四川大英经济开发区采和大道1楼</w:t>
            </w:r>
            <w:r>
              <w:rPr>
                <w:rFonts w:hint="eastAsia" w:ascii="宋体" w:hAnsi="宋体" w:eastAsia="宋体" w:cs="宋体"/>
                <w:color w:val="auto"/>
                <w:sz w:val="24"/>
              </w:rPr>
              <w:t>已建厂房进行建设，基础建设已完成，</w:t>
            </w:r>
            <w:r>
              <w:rPr>
                <w:color w:val="auto"/>
                <w:sz w:val="24"/>
              </w:rPr>
              <w:t>本项目业主仅根据生产运营需求，在厂房内进行装饰及设备安装布置。本项目施工</w:t>
            </w:r>
            <w:r>
              <w:rPr>
                <w:rFonts w:hint="eastAsia"/>
                <w:color w:val="auto"/>
                <w:sz w:val="24"/>
              </w:rPr>
              <w:t>过程主要为设备拆除、</w:t>
            </w:r>
            <w:r>
              <w:rPr>
                <w:color w:val="auto"/>
                <w:sz w:val="24"/>
              </w:rPr>
              <w:t>设备安装调试等</w:t>
            </w:r>
            <w:r>
              <w:rPr>
                <w:rFonts w:hint="eastAsia"/>
                <w:color w:val="auto"/>
                <w:sz w:val="24"/>
              </w:rPr>
              <w:t>。</w:t>
            </w:r>
          </w:p>
          <w:p w14:paraId="4D884794">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b/>
                <w:color w:val="auto"/>
                <w:sz w:val="24"/>
              </w:rPr>
            </w:pPr>
            <w:r>
              <w:rPr>
                <w:rFonts w:hint="eastAsia" w:ascii="宋体" w:hAnsi="宋体" w:eastAsia="宋体" w:cs="宋体"/>
                <w:b/>
                <w:color w:val="auto"/>
                <w:sz w:val="24"/>
              </w:rPr>
              <w:t>施工期污染物产生、治理及排放：</w:t>
            </w:r>
          </w:p>
          <w:p w14:paraId="202A8697">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color w:val="auto"/>
                <w:sz w:val="24"/>
              </w:rPr>
            </w:pPr>
            <w:r>
              <w:rPr>
                <w:rFonts w:hint="eastAsia" w:ascii="宋体" w:hAnsi="宋体" w:eastAsia="宋体" w:cs="宋体"/>
                <w:bCs/>
                <w:color w:val="auto"/>
                <w:sz w:val="24"/>
              </w:rPr>
              <w:t>施工期产生的污染物主要为</w:t>
            </w:r>
            <w:r>
              <w:rPr>
                <w:rFonts w:hint="eastAsia" w:ascii="宋体" w:hAnsi="宋体" w:eastAsia="宋体" w:cs="宋体"/>
                <w:color w:val="auto"/>
                <w:sz w:val="24"/>
              </w:rPr>
              <w:t>主要为噪声、扬尘、施工固废以及施工人员产生的生活污水、生活垃圾等。</w:t>
            </w:r>
          </w:p>
          <w:p w14:paraId="7EEA265E">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b/>
                <w:color w:val="auto"/>
                <w:sz w:val="24"/>
              </w:rPr>
            </w:pPr>
            <w:r>
              <w:rPr>
                <w:rFonts w:hint="eastAsia" w:ascii="宋体" w:hAnsi="宋体" w:eastAsia="宋体" w:cs="宋体"/>
                <w:b/>
                <w:color w:val="auto"/>
                <w:sz w:val="24"/>
              </w:rPr>
              <w:t>（1）废气</w:t>
            </w:r>
          </w:p>
          <w:p w14:paraId="20F148DB">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rPr>
              <w:t>项目</w:t>
            </w:r>
            <w:r>
              <w:rPr>
                <w:rFonts w:hint="default" w:ascii="Times New Roman" w:hAnsi="Times New Roman" w:eastAsia="宋体" w:cs="Times New Roman"/>
                <w:color w:val="auto"/>
                <w:kern w:val="0"/>
                <w:sz w:val="24"/>
              </w:rPr>
              <w:t>厂房设备</w:t>
            </w:r>
            <w:r>
              <w:rPr>
                <w:rFonts w:hint="eastAsia" w:ascii="Times New Roman" w:hAnsi="Times New Roman" w:cs="Times New Roman"/>
                <w:color w:val="auto"/>
                <w:kern w:val="0"/>
                <w:sz w:val="24"/>
                <w:lang w:val="en-US" w:eastAsia="zh-CN"/>
              </w:rPr>
              <w:t>拆除</w:t>
            </w:r>
            <w:r>
              <w:rPr>
                <w:rFonts w:hint="default" w:ascii="Times New Roman" w:hAnsi="Times New Roman" w:eastAsia="宋体" w:cs="Times New Roman"/>
                <w:color w:val="auto"/>
                <w:kern w:val="0"/>
                <w:sz w:val="24"/>
              </w:rPr>
              <w:t>安装时产生的动力和风力扬尘会对项目所在地的大气环境产生一定的影响。对于施工过程产生的扬尘，施工过程中通过文明施工，定期对地面洒水，并对撒落在路面的渣土及时清除，清理阶段做到先洒水后清扫，清理时避免扬尘等措施降低粉尘的产生。本项目施工过程产生的扬尘应满足</w:t>
            </w:r>
            <w:r>
              <w:rPr>
                <w:rFonts w:hint="default" w:ascii="Times New Roman" w:hAnsi="Times New Roman" w:eastAsia="宋体" w:cs="Times New Roman"/>
                <w:color w:val="auto"/>
                <w:kern w:val="0"/>
                <w:sz w:val="24"/>
                <w:highlight w:val="none"/>
              </w:rPr>
              <w:t>《四川省施工场地扬尘排放标准》</w:t>
            </w:r>
            <w:r>
              <w:rPr>
                <w:rFonts w:hint="default" w:ascii="Times New Roman" w:hAnsi="Times New Roman"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DB51/2682—2020</w:t>
            </w:r>
            <w:r>
              <w:rPr>
                <w:rFonts w:hint="default" w:ascii="Times New Roman" w:hAnsi="Times New Roman"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w:t>
            </w:r>
          </w:p>
          <w:p w14:paraId="2BE6C625">
            <w:pPr>
              <w:keepNext w:val="0"/>
              <w:keepLines w:val="0"/>
              <w:suppressLineNumbers w:val="0"/>
              <w:adjustRightInd w:val="0"/>
              <w:snapToGrid w:val="0"/>
              <w:spacing w:before="0" w:beforeAutospacing="0" w:after="0" w:afterAutospacing="0" w:line="360" w:lineRule="auto"/>
              <w:ind w:left="0" w:right="0" w:firstLine="529"/>
              <w:rPr>
                <w:rFonts w:hint="eastAsia" w:ascii="宋体" w:hAnsi="宋体" w:eastAsia="宋体" w:cs="宋体"/>
                <w:b/>
                <w:color w:val="auto"/>
                <w:sz w:val="24"/>
              </w:rPr>
            </w:pPr>
            <w:r>
              <w:rPr>
                <w:rFonts w:hint="eastAsia" w:ascii="宋体" w:hAnsi="宋体" w:eastAsia="宋体" w:cs="宋体"/>
                <w:b/>
                <w:color w:val="auto"/>
                <w:sz w:val="24"/>
              </w:rPr>
              <w:t>（2）废水</w:t>
            </w:r>
          </w:p>
          <w:p w14:paraId="392666FD">
            <w:pPr>
              <w:keepNext w:val="0"/>
              <w:keepLines w:val="0"/>
              <w:suppressLineNumbers w:val="0"/>
              <w:snapToGrid w:val="0"/>
              <w:spacing w:before="0" w:beforeAutospacing="0" w:after="0" w:afterAutospacing="0" w:line="360" w:lineRule="auto"/>
              <w:ind w:left="0" w:right="0" w:firstLine="495"/>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施工期废水主要为施工人员产生的生活污水，主要含CODcr、BOD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、氨氮、SS等污染物质。施工人员生活污水产生量为50L/人·d，预计每天施工人数平均为5人，则施工期间产生的生活污水量约为0.25m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/d。生活污水依现有的预处理池处理后排入市政污水管网。</w:t>
            </w:r>
          </w:p>
          <w:p w14:paraId="1AAEBC67">
            <w:pPr>
              <w:keepNext w:val="0"/>
              <w:keepLines w:val="0"/>
              <w:suppressLineNumbers w:val="0"/>
              <w:snapToGrid w:val="0"/>
              <w:spacing w:before="0" w:beforeAutospacing="0" w:after="0" w:afterAutospacing="0" w:line="360" w:lineRule="auto"/>
              <w:ind w:left="0" w:right="0" w:firstLine="495"/>
              <w:rPr>
                <w:rFonts w:hint="eastAsia" w:ascii="宋体" w:hAnsi="宋体" w:eastAsia="宋体" w:cs="宋体"/>
                <w:b/>
                <w:color w:val="auto"/>
                <w:sz w:val="24"/>
              </w:rPr>
            </w:pPr>
            <w:r>
              <w:rPr>
                <w:rFonts w:hint="eastAsia" w:ascii="宋体" w:hAnsi="宋体" w:eastAsia="宋体" w:cs="宋体"/>
                <w:b/>
                <w:color w:val="auto"/>
                <w:sz w:val="24"/>
              </w:rPr>
              <w:t>（3）噪声</w:t>
            </w:r>
          </w:p>
          <w:p w14:paraId="77466074">
            <w:pPr>
              <w:keepNext w:val="0"/>
              <w:keepLines w:val="0"/>
              <w:suppressLineNumbers w:val="0"/>
              <w:spacing w:before="0" w:beforeAutospacing="0" w:after="0" w:afterAutospacing="0" w:line="360" w:lineRule="auto"/>
              <w:ind w:left="0" w:right="0" w:firstLine="460" w:firstLineChars="19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施工期噪声主要为设备安装产生的噪声，其最高噪声可达90dB。项目施工均在厂区的办公室、厂房内进行，充分利用办公室、厂房墙体进行隔声，以及厂界距离衰减。</w:t>
            </w:r>
          </w:p>
          <w:p w14:paraId="7D18404E">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环评要求：在建筑施工期间，必须严格执行《建筑施工场界环境噪声排放标准》（GB12523-2011）的要求。采取如下防治措施：</w:t>
            </w:r>
          </w:p>
          <w:p w14:paraId="64847E45">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①加强管理，文明施工，降低噪声源强；</w:t>
            </w:r>
          </w:p>
          <w:p w14:paraId="1CFC6CFE">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合理安排施工计划和施工机械设备组合以及施工时间，禁止在中午（12:00~14:00）和夜间（22:00~6:00）施工，避免在同一时间集中使用大量的动力机械设备。严格执行《建筑施工场界环境噪声排放标准》（GB12523-2011）的要求，在施工过程中，尽量减少运行动力机械设备的数量，尽可能使动力机械设备比较均匀地使用。</w:t>
            </w:r>
          </w:p>
          <w:p w14:paraId="0CF7C844">
            <w:pPr>
              <w:keepNext w:val="0"/>
              <w:keepLines w:val="0"/>
              <w:suppressLineNumbers w:val="0"/>
              <w:spacing w:before="0" w:beforeAutospacing="0" w:after="0" w:afterAutospacing="0" w:line="360" w:lineRule="auto"/>
              <w:ind w:left="0" w:right="0" w:firstLine="463" w:firstLineChars="192"/>
              <w:rPr>
                <w:rFonts w:hint="eastAsia" w:ascii="宋体" w:hAnsi="宋体" w:eastAsia="宋体" w:cs="宋体"/>
                <w:b/>
                <w:color w:val="auto"/>
                <w:sz w:val="24"/>
              </w:rPr>
            </w:pPr>
            <w:r>
              <w:rPr>
                <w:rFonts w:hint="eastAsia" w:ascii="宋体" w:hAnsi="宋体" w:eastAsia="宋体" w:cs="宋体"/>
                <w:b/>
                <w:color w:val="auto"/>
                <w:sz w:val="24"/>
              </w:rPr>
              <w:t>（4）固废</w:t>
            </w:r>
          </w:p>
          <w:p w14:paraId="176A41C5">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项目施工期产生的固体废物为施工垃圾及施工人员生活垃圾。施工单位根据《中华人民共和国固体废物污染环境防治法》相关规定，将产生的建筑垃圾和生活垃圾分类集中进行堆放，</w:t>
            </w:r>
            <w:r>
              <w:rPr>
                <w:rFonts w:hint="eastAsia" w:ascii="宋体" w:hAnsi="宋体" w:cs="宋体"/>
                <w:color w:val="auto"/>
                <w:kern w:val="0"/>
                <w:sz w:val="24"/>
                <w:lang w:val="en-US" w:eastAsia="zh-CN"/>
              </w:rPr>
              <w:t>生</w:t>
            </w:r>
            <w:r>
              <w:rPr>
                <w:rFonts w:hint="eastAsia" w:ascii="宋体" w:hAnsi="宋体" w:eastAsia="宋体" w:cs="宋体"/>
                <w:color w:val="auto"/>
                <w:kern w:val="0"/>
                <w:sz w:val="24"/>
              </w:rPr>
              <w:t>活垃圾由环卫部门统一运送到指定地点处理，</w:t>
            </w:r>
            <w:r>
              <w:rPr>
                <w:rFonts w:hint="eastAsia" w:ascii="宋体" w:hAnsi="宋体" w:cs="宋体"/>
                <w:color w:val="auto"/>
                <w:kern w:val="0"/>
                <w:sz w:val="24"/>
                <w:lang w:val="en-US" w:eastAsia="zh-CN"/>
              </w:rPr>
              <w:t>建筑垃圾中的废油漆桶等危废交由有资质的危废公司处理，</w:t>
            </w:r>
            <w:r>
              <w:rPr>
                <w:rFonts w:hint="eastAsia" w:ascii="宋体" w:hAnsi="宋体" w:eastAsia="宋体" w:cs="宋体"/>
                <w:color w:val="auto"/>
                <w:kern w:val="0"/>
                <w:sz w:val="24"/>
              </w:rPr>
              <w:t>避免对环境造成二次污染。</w:t>
            </w:r>
          </w:p>
          <w:p w14:paraId="11BBF65B">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综上分析，本项目在施工过程中，由于施工点规模不大，且大量物料外购，对周围环境的影响较小。待施工完全结束后，施工期大气、水、噪声污染将消失，建筑垃圾、废设备包装材料、施工人员生活垃圾等可得到合理的处理处置，不会造成二次污染。</w:t>
            </w:r>
          </w:p>
          <w:p w14:paraId="7673CC14">
            <w:pPr>
              <w:autoSpaceDE w:val="0"/>
              <w:autoSpaceDN w:val="0"/>
              <w:adjustRightInd w:val="0"/>
              <w:spacing w:line="360" w:lineRule="auto"/>
              <w:ind w:firstLine="420" w:firstLineChars="200"/>
              <w:jc w:val="left"/>
              <w:rPr>
                <w:color w:val="auto"/>
                <w:kern w:val="0"/>
                <w:szCs w:val="21"/>
              </w:rPr>
            </w:pPr>
          </w:p>
        </w:tc>
      </w:tr>
    </w:tbl>
    <w:p w14:paraId="2CBC359B">
      <w:pPr>
        <w:pStyle w:val="21"/>
        <w:jc w:val="center"/>
        <w:outlineLvl w:val="0"/>
        <w:rPr>
          <w:rFonts w:ascii="Times New Roman" w:hAnsi="Times New Roman" w:eastAsia="黑体"/>
          <w:snapToGrid w:val="0"/>
          <w:color w:val="auto"/>
          <w:sz w:val="30"/>
          <w:szCs w:val="30"/>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5"/>
        <w:tblW w:w="508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2826"/>
      </w:tblGrid>
      <w:tr w14:paraId="4559CE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 w:type="pct"/>
            <w:tcMar>
              <w:left w:w="28" w:type="dxa"/>
              <w:right w:w="28" w:type="dxa"/>
            </w:tcMar>
            <w:vAlign w:val="center"/>
          </w:tcPr>
          <w:p w14:paraId="2C35AE4B">
            <w:pPr>
              <w:adjustRightInd w:val="0"/>
              <w:snapToGrid w:val="0"/>
              <w:jc w:val="center"/>
              <w:rPr>
                <w:color w:val="auto"/>
                <w:szCs w:val="21"/>
              </w:rPr>
            </w:pPr>
            <w:r>
              <w:rPr>
                <w:color w:val="auto"/>
                <w:szCs w:val="21"/>
              </w:rPr>
              <w:t>运营期环境影响和保护措施</w:t>
            </w:r>
          </w:p>
        </w:tc>
        <w:tc>
          <w:tcPr>
            <w:tcW w:w="4797" w:type="pct"/>
            <w:vAlign w:val="center"/>
          </w:tcPr>
          <w:p w14:paraId="6E063E68">
            <w:pPr>
              <w:spacing w:line="360" w:lineRule="auto"/>
              <w:ind w:firstLine="463" w:firstLineChars="192"/>
              <w:rPr>
                <w:b/>
                <w:color w:val="auto"/>
                <w:sz w:val="24"/>
                <w:highlight w:val="none"/>
              </w:rPr>
            </w:pPr>
            <w:r>
              <w:rPr>
                <w:rFonts w:hint="eastAsia"/>
                <w:b/>
                <w:color w:val="auto"/>
                <w:sz w:val="24"/>
                <w:highlight w:val="none"/>
              </w:rPr>
              <w:t>1、废气</w:t>
            </w:r>
          </w:p>
          <w:p w14:paraId="6414E102">
            <w:pPr>
              <w:spacing w:line="360" w:lineRule="auto"/>
              <w:ind w:firstLine="463" w:firstLineChars="192"/>
              <w:rPr>
                <w:b/>
                <w:color w:val="auto"/>
                <w:sz w:val="24"/>
                <w:highlight w:val="none"/>
              </w:rPr>
            </w:pPr>
            <w:r>
              <w:rPr>
                <w:rFonts w:hint="eastAsia"/>
                <w:b/>
                <w:color w:val="auto"/>
                <w:sz w:val="24"/>
                <w:highlight w:val="none"/>
                <w:lang w:val="en-US" w:eastAsia="zh-CN"/>
              </w:rPr>
              <w:t>（1）</w:t>
            </w:r>
            <w:r>
              <w:rPr>
                <w:rFonts w:hint="eastAsia"/>
                <w:b/>
                <w:color w:val="auto"/>
                <w:sz w:val="24"/>
                <w:highlight w:val="none"/>
              </w:rPr>
              <w:t>废气污染物排放源情况</w:t>
            </w:r>
          </w:p>
          <w:p w14:paraId="329BA85A">
            <w:pPr>
              <w:spacing w:line="360" w:lineRule="auto"/>
              <w:ind w:firstLine="460" w:firstLineChars="192"/>
              <w:rPr>
                <w:bCs/>
                <w:color w:val="auto"/>
                <w:sz w:val="24"/>
                <w:highlight w:val="none"/>
              </w:rPr>
            </w:pPr>
            <w:r>
              <w:rPr>
                <w:rFonts w:hint="eastAsia"/>
                <w:bCs/>
                <w:color w:val="auto"/>
                <w:sz w:val="24"/>
                <w:highlight w:val="none"/>
              </w:rPr>
              <w:t>营运期废气污染物主要为有机废气。项目废气污染物产生、治理、排放情况见下表。</w:t>
            </w:r>
          </w:p>
          <w:p w14:paraId="42810F80">
            <w:pPr>
              <w:jc w:val="center"/>
              <w:rPr>
                <w:b/>
                <w:color w:val="auto"/>
                <w:szCs w:val="21"/>
                <w:highlight w:val="none"/>
              </w:rPr>
            </w:pPr>
            <w:r>
              <w:rPr>
                <w:b/>
                <w:color w:val="auto"/>
                <w:szCs w:val="21"/>
                <w:highlight w:val="none"/>
              </w:rPr>
              <w:t>表4</w:t>
            </w:r>
            <w:r>
              <w:rPr>
                <w:rFonts w:hint="eastAsia"/>
                <w:b/>
                <w:color w:val="auto"/>
                <w:szCs w:val="21"/>
                <w:highlight w:val="none"/>
              </w:rPr>
              <w:t>-1</w:t>
            </w:r>
            <w:r>
              <w:rPr>
                <w:b/>
                <w:color w:val="auto"/>
                <w:szCs w:val="21"/>
                <w:highlight w:val="none"/>
              </w:rPr>
              <w:t xml:space="preserve">  废气</w:t>
            </w:r>
            <w:r>
              <w:rPr>
                <w:rFonts w:hint="eastAsia"/>
                <w:b/>
                <w:color w:val="auto"/>
                <w:szCs w:val="21"/>
                <w:highlight w:val="none"/>
              </w:rPr>
              <w:t>污染物排放源一览</w:t>
            </w:r>
            <w:r>
              <w:rPr>
                <w:b/>
                <w:color w:val="auto"/>
                <w:szCs w:val="21"/>
                <w:highlight w:val="none"/>
              </w:rPr>
              <w:t>表</w:t>
            </w:r>
          </w:p>
          <w:tbl>
            <w:tblPr>
              <w:tblStyle w:val="25"/>
              <w:tblW w:w="1272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50"/>
              <w:gridCol w:w="578"/>
              <w:gridCol w:w="639"/>
              <w:gridCol w:w="850"/>
              <w:gridCol w:w="568"/>
              <w:gridCol w:w="850"/>
              <w:gridCol w:w="710"/>
              <w:gridCol w:w="708"/>
              <w:gridCol w:w="2127"/>
              <w:gridCol w:w="565"/>
              <w:gridCol w:w="568"/>
              <w:gridCol w:w="850"/>
              <w:gridCol w:w="993"/>
              <w:gridCol w:w="850"/>
              <w:gridCol w:w="888"/>
              <w:gridCol w:w="631"/>
            </w:tblGrid>
            <w:tr w14:paraId="42F5E4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3" w:hRule="atLeast"/>
                <w:jc w:val="center"/>
              </w:trPr>
              <w:tc>
                <w:tcPr>
                  <w:tcW w:w="137" w:type="pct"/>
                  <w:vMerge w:val="restart"/>
                  <w:tcBorders>
                    <w:top w:val="single" w:color="auto" w:sz="12" w:space="0"/>
                    <w:left w:val="nil"/>
                    <w:right w:val="single" w:color="auto" w:sz="4" w:space="0"/>
                  </w:tcBorders>
                  <w:vAlign w:val="center"/>
                </w:tcPr>
                <w:p w14:paraId="4F0753AC">
                  <w:pPr>
                    <w:spacing w:line="320" w:lineRule="exact"/>
                    <w:ind w:left="-105" w:leftChars="-50" w:right="-105" w:rightChars="-50"/>
                    <w:jc w:val="center"/>
                    <w:rPr>
                      <w:b/>
                      <w:bCs/>
                      <w:color w:val="auto"/>
                      <w:szCs w:val="21"/>
                    </w:rPr>
                  </w:pPr>
                  <w:r>
                    <w:rPr>
                      <w:b/>
                      <w:bCs/>
                      <w:color w:val="auto"/>
                      <w:szCs w:val="21"/>
                    </w:rPr>
                    <w:t>序号</w:t>
                  </w:r>
                </w:p>
              </w:tc>
              <w:tc>
                <w:tcPr>
                  <w:tcW w:w="227" w:type="pct"/>
                  <w:vMerge w:val="restart"/>
                  <w:tcBorders>
                    <w:top w:val="single" w:color="auto" w:sz="12" w:space="0"/>
                    <w:left w:val="single" w:color="auto" w:sz="4" w:space="0"/>
                    <w:right w:val="single" w:color="auto" w:sz="4" w:space="0"/>
                  </w:tcBorders>
                  <w:vAlign w:val="center"/>
                </w:tcPr>
                <w:p w14:paraId="79C7C4BA">
                  <w:pPr>
                    <w:spacing w:line="320" w:lineRule="exact"/>
                    <w:ind w:left="-105" w:leftChars="-50" w:right="-105" w:rightChars="-50"/>
                    <w:jc w:val="center"/>
                    <w:rPr>
                      <w:b/>
                      <w:bCs/>
                      <w:color w:val="auto"/>
                      <w:szCs w:val="21"/>
                    </w:rPr>
                  </w:pPr>
                  <w:r>
                    <w:rPr>
                      <w:rFonts w:hint="eastAsia"/>
                      <w:b/>
                      <w:bCs/>
                      <w:color w:val="auto"/>
                      <w:szCs w:val="21"/>
                    </w:rPr>
                    <w:t>生产单元</w:t>
                  </w:r>
                </w:p>
              </w:tc>
              <w:tc>
                <w:tcPr>
                  <w:tcW w:w="251" w:type="pct"/>
                  <w:vMerge w:val="restart"/>
                  <w:tcBorders>
                    <w:top w:val="single" w:color="auto" w:sz="12" w:space="0"/>
                    <w:left w:val="single" w:color="auto" w:sz="4" w:space="0"/>
                    <w:right w:val="single" w:color="auto" w:sz="4" w:space="0"/>
                  </w:tcBorders>
                  <w:vAlign w:val="center"/>
                </w:tcPr>
                <w:p w14:paraId="16E9CA10">
                  <w:pPr>
                    <w:spacing w:line="320" w:lineRule="exact"/>
                    <w:ind w:left="-105" w:leftChars="-50" w:right="-105" w:rightChars="-50"/>
                    <w:jc w:val="center"/>
                    <w:rPr>
                      <w:b/>
                      <w:bCs/>
                      <w:color w:val="auto"/>
                      <w:szCs w:val="21"/>
                    </w:rPr>
                  </w:pPr>
                  <w:r>
                    <w:rPr>
                      <w:rFonts w:hint="eastAsia"/>
                      <w:b/>
                      <w:bCs/>
                      <w:color w:val="auto"/>
                      <w:szCs w:val="21"/>
                    </w:rPr>
                    <w:t>产污</w:t>
                  </w:r>
                </w:p>
                <w:p w14:paraId="186E931D">
                  <w:pPr>
                    <w:spacing w:line="320" w:lineRule="exact"/>
                    <w:ind w:left="-105" w:leftChars="-50" w:right="-105" w:rightChars="-50"/>
                    <w:jc w:val="center"/>
                    <w:rPr>
                      <w:b/>
                      <w:bCs/>
                      <w:color w:val="auto"/>
                      <w:szCs w:val="21"/>
                    </w:rPr>
                  </w:pPr>
                  <w:r>
                    <w:rPr>
                      <w:rFonts w:hint="eastAsia"/>
                      <w:b/>
                      <w:bCs/>
                      <w:color w:val="auto"/>
                      <w:szCs w:val="21"/>
                    </w:rPr>
                    <w:t>环节</w:t>
                  </w:r>
                </w:p>
              </w:tc>
              <w:tc>
                <w:tcPr>
                  <w:tcW w:w="333" w:type="pct"/>
                  <w:vMerge w:val="restart"/>
                  <w:tcBorders>
                    <w:top w:val="single" w:color="auto" w:sz="12" w:space="0"/>
                    <w:left w:val="single" w:color="auto" w:sz="4" w:space="0"/>
                    <w:right w:val="single" w:color="auto" w:sz="4" w:space="0"/>
                  </w:tcBorders>
                  <w:vAlign w:val="center"/>
                </w:tcPr>
                <w:p w14:paraId="29EBEB45">
                  <w:pPr>
                    <w:spacing w:line="320" w:lineRule="exact"/>
                    <w:ind w:left="-105" w:leftChars="-50" w:right="-105" w:rightChars="-50"/>
                    <w:jc w:val="center"/>
                    <w:rPr>
                      <w:b/>
                      <w:bCs/>
                      <w:color w:val="auto"/>
                      <w:szCs w:val="21"/>
                    </w:rPr>
                  </w:pPr>
                  <w:r>
                    <w:rPr>
                      <w:rFonts w:hint="eastAsia"/>
                      <w:b/>
                      <w:bCs/>
                      <w:color w:val="auto"/>
                      <w:szCs w:val="21"/>
                    </w:rPr>
                    <w:t>生产</w:t>
                  </w:r>
                </w:p>
                <w:p w14:paraId="7F6F2A86">
                  <w:pPr>
                    <w:spacing w:line="320" w:lineRule="exact"/>
                    <w:ind w:left="-105" w:leftChars="-50" w:right="-105" w:rightChars="-50"/>
                    <w:jc w:val="center"/>
                    <w:rPr>
                      <w:b/>
                      <w:bCs/>
                      <w:color w:val="auto"/>
                      <w:szCs w:val="21"/>
                    </w:rPr>
                  </w:pPr>
                  <w:r>
                    <w:rPr>
                      <w:rFonts w:hint="eastAsia"/>
                      <w:b/>
                      <w:bCs/>
                      <w:color w:val="auto"/>
                      <w:szCs w:val="21"/>
                    </w:rPr>
                    <w:t>设施</w:t>
                  </w:r>
                </w:p>
              </w:tc>
              <w:tc>
                <w:tcPr>
                  <w:tcW w:w="223" w:type="pct"/>
                  <w:vMerge w:val="restart"/>
                  <w:tcBorders>
                    <w:top w:val="single" w:color="auto" w:sz="12" w:space="0"/>
                    <w:left w:val="single" w:color="auto" w:sz="4" w:space="0"/>
                    <w:right w:val="single" w:color="auto" w:sz="4" w:space="0"/>
                  </w:tcBorders>
                  <w:vAlign w:val="center"/>
                </w:tcPr>
                <w:p w14:paraId="521DA345">
                  <w:pPr>
                    <w:spacing w:line="320" w:lineRule="exact"/>
                    <w:ind w:left="-105" w:leftChars="-50" w:right="-105" w:rightChars="-50"/>
                    <w:jc w:val="center"/>
                    <w:rPr>
                      <w:b/>
                      <w:bCs/>
                      <w:color w:val="auto"/>
                      <w:szCs w:val="21"/>
                    </w:rPr>
                  </w:pPr>
                  <w:r>
                    <w:rPr>
                      <w:b/>
                      <w:bCs/>
                      <w:color w:val="auto"/>
                      <w:szCs w:val="21"/>
                    </w:rPr>
                    <w:t>污染物</w:t>
                  </w:r>
                </w:p>
              </w:tc>
              <w:tc>
                <w:tcPr>
                  <w:tcW w:w="612" w:type="pct"/>
                  <w:gridSpan w:val="2"/>
                  <w:tcBorders>
                    <w:top w:val="single" w:color="auto" w:sz="12" w:space="0"/>
                    <w:left w:val="single" w:color="auto" w:sz="4" w:space="0"/>
                    <w:bottom w:val="single" w:color="auto" w:sz="4" w:space="0"/>
                    <w:right w:val="single" w:color="auto" w:sz="4" w:space="0"/>
                  </w:tcBorders>
                  <w:vAlign w:val="center"/>
                </w:tcPr>
                <w:p w14:paraId="53201092">
                  <w:pPr>
                    <w:spacing w:line="320" w:lineRule="exact"/>
                    <w:ind w:left="-105" w:leftChars="-50" w:right="-105" w:rightChars="-50"/>
                    <w:jc w:val="center"/>
                    <w:rPr>
                      <w:b/>
                      <w:bCs/>
                      <w:color w:val="auto"/>
                      <w:szCs w:val="21"/>
                    </w:rPr>
                  </w:pPr>
                  <w:r>
                    <w:rPr>
                      <w:b/>
                      <w:bCs/>
                      <w:color w:val="auto"/>
                      <w:szCs w:val="21"/>
                    </w:rPr>
                    <w:t>污染物产生</w:t>
                  </w:r>
                </w:p>
              </w:tc>
              <w:tc>
                <w:tcPr>
                  <w:tcW w:w="278" w:type="pct"/>
                  <w:vMerge w:val="restart"/>
                  <w:tcBorders>
                    <w:top w:val="single" w:color="auto" w:sz="12" w:space="0"/>
                    <w:left w:val="single" w:color="auto" w:sz="4" w:space="0"/>
                    <w:right w:val="single" w:color="auto" w:sz="4" w:space="0"/>
                  </w:tcBorders>
                  <w:vAlign w:val="center"/>
                </w:tcPr>
                <w:p w14:paraId="20743CFD">
                  <w:pPr>
                    <w:spacing w:line="320" w:lineRule="exact"/>
                    <w:ind w:left="-105" w:leftChars="-50" w:right="-105" w:rightChars="-50"/>
                    <w:jc w:val="center"/>
                    <w:rPr>
                      <w:b/>
                      <w:bCs/>
                      <w:color w:val="auto"/>
                      <w:szCs w:val="21"/>
                    </w:rPr>
                  </w:pPr>
                  <w:r>
                    <w:rPr>
                      <w:rFonts w:hint="eastAsia"/>
                      <w:b/>
                      <w:bCs/>
                      <w:color w:val="auto"/>
                      <w:szCs w:val="21"/>
                    </w:rPr>
                    <w:t>排放</w:t>
                  </w:r>
                </w:p>
                <w:p w14:paraId="0424EE71">
                  <w:pPr>
                    <w:spacing w:line="320" w:lineRule="exact"/>
                    <w:ind w:left="-105" w:leftChars="-50" w:right="-105" w:rightChars="-50"/>
                    <w:jc w:val="center"/>
                    <w:rPr>
                      <w:b/>
                      <w:bCs/>
                      <w:color w:val="auto"/>
                      <w:szCs w:val="21"/>
                    </w:rPr>
                  </w:pPr>
                  <w:r>
                    <w:rPr>
                      <w:rFonts w:hint="eastAsia"/>
                      <w:b/>
                      <w:bCs/>
                      <w:color w:val="auto"/>
                      <w:szCs w:val="21"/>
                    </w:rPr>
                    <w:t>形式</w:t>
                  </w:r>
                </w:p>
              </w:tc>
              <w:tc>
                <w:tcPr>
                  <w:tcW w:w="1614" w:type="pct"/>
                  <w:gridSpan w:val="4"/>
                  <w:tcBorders>
                    <w:top w:val="single" w:color="auto" w:sz="12" w:space="0"/>
                    <w:left w:val="single" w:color="auto" w:sz="4" w:space="0"/>
                    <w:bottom w:val="single" w:color="auto" w:sz="4" w:space="0"/>
                    <w:right w:val="single" w:color="auto" w:sz="4" w:space="0"/>
                  </w:tcBorders>
                  <w:vAlign w:val="center"/>
                </w:tcPr>
                <w:p w14:paraId="1C6817BE">
                  <w:pPr>
                    <w:spacing w:line="320" w:lineRule="exact"/>
                    <w:ind w:left="-105" w:leftChars="-50" w:right="-105" w:rightChars="-50"/>
                    <w:jc w:val="center"/>
                    <w:rPr>
                      <w:b/>
                      <w:bCs/>
                      <w:color w:val="auto"/>
                      <w:szCs w:val="21"/>
                    </w:rPr>
                  </w:pPr>
                  <w:r>
                    <w:rPr>
                      <w:rFonts w:hint="eastAsia"/>
                      <w:b/>
                      <w:bCs/>
                      <w:color w:val="auto"/>
                      <w:szCs w:val="21"/>
                    </w:rPr>
                    <w:t>废气</w:t>
                  </w:r>
                  <w:r>
                    <w:rPr>
                      <w:b/>
                      <w:bCs/>
                      <w:color w:val="auto"/>
                      <w:szCs w:val="21"/>
                    </w:rPr>
                    <w:t>治理</w:t>
                  </w:r>
                  <w:r>
                    <w:rPr>
                      <w:rFonts w:hint="eastAsia"/>
                      <w:b/>
                      <w:bCs/>
                      <w:color w:val="auto"/>
                      <w:szCs w:val="21"/>
                    </w:rPr>
                    <w:t>设施</w:t>
                  </w:r>
                </w:p>
              </w:tc>
              <w:tc>
                <w:tcPr>
                  <w:tcW w:w="1073" w:type="pct"/>
                  <w:gridSpan w:val="3"/>
                  <w:tcBorders>
                    <w:top w:val="single" w:color="auto" w:sz="12" w:space="0"/>
                    <w:left w:val="single" w:color="auto" w:sz="4" w:space="0"/>
                    <w:bottom w:val="single" w:color="auto" w:sz="4" w:space="0"/>
                    <w:right w:val="single" w:color="auto" w:sz="4" w:space="0"/>
                  </w:tcBorders>
                  <w:vAlign w:val="center"/>
                </w:tcPr>
                <w:p w14:paraId="49EA4F75">
                  <w:pPr>
                    <w:spacing w:line="320" w:lineRule="exact"/>
                    <w:ind w:left="-105" w:leftChars="-50" w:right="-105" w:rightChars="-50"/>
                    <w:jc w:val="center"/>
                    <w:rPr>
                      <w:b/>
                      <w:bCs/>
                      <w:color w:val="auto"/>
                      <w:szCs w:val="21"/>
                    </w:rPr>
                  </w:pPr>
                  <w:r>
                    <w:rPr>
                      <w:b/>
                      <w:bCs/>
                      <w:color w:val="auto"/>
                      <w:szCs w:val="21"/>
                    </w:rPr>
                    <w:t>污染物排放</w:t>
                  </w:r>
                </w:p>
              </w:tc>
              <w:tc>
                <w:tcPr>
                  <w:tcW w:w="247" w:type="pct"/>
                  <w:vMerge w:val="restart"/>
                  <w:tcBorders>
                    <w:top w:val="single" w:color="auto" w:sz="12" w:space="0"/>
                    <w:left w:val="single" w:color="auto" w:sz="4" w:space="0"/>
                    <w:right w:val="nil"/>
                  </w:tcBorders>
                  <w:vAlign w:val="center"/>
                </w:tcPr>
                <w:p w14:paraId="4C0400C9">
                  <w:pPr>
                    <w:spacing w:line="320" w:lineRule="exact"/>
                    <w:ind w:left="-105" w:leftChars="-50" w:right="-105" w:rightChars="-50"/>
                    <w:jc w:val="center"/>
                    <w:rPr>
                      <w:b/>
                      <w:bCs/>
                      <w:color w:val="auto"/>
                      <w:szCs w:val="21"/>
                    </w:rPr>
                  </w:pPr>
                  <w:r>
                    <w:rPr>
                      <w:b/>
                      <w:bCs/>
                      <w:color w:val="auto"/>
                      <w:szCs w:val="21"/>
                    </w:rPr>
                    <w:t>排放时间</w:t>
                  </w:r>
                </w:p>
              </w:tc>
            </w:tr>
            <w:tr w14:paraId="7BFC81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7" w:hRule="atLeast"/>
                <w:jc w:val="center"/>
              </w:trPr>
              <w:tc>
                <w:tcPr>
                  <w:tcW w:w="137" w:type="pct"/>
                  <w:vMerge w:val="continue"/>
                  <w:tcBorders>
                    <w:left w:val="nil"/>
                    <w:bottom w:val="single" w:color="auto" w:sz="4" w:space="0"/>
                    <w:right w:val="single" w:color="auto" w:sz="4" w:space="0"/>
                  </w:tcBorders>
                  <w:vAlign w:val="center"/>
                </w:tcPr>
                <w:p w14:paraId="47762037">
                  <w:pPr>
                    <w:spacing w:line="320" w:lineRule="exact"/>
                    <w:ind w:left="-105" w:leftChars="-50" w:right="-105" w:rightChars="-50"/>
                    <w:jc w:val="center"/>
                    <w:rPr>
                      <w:b/>
                      <w:bCs/>
                      <w:color w:val="auto"/>
                      <w:szCs w:val="21"/>
                    </w:rPr>
                  </w:pPr>
                </w:p>
              </w:tc>
              <w:tc>
                <w:tcPr>
                  <w:tcW w:w="227" w:type="pct"/>
                  <w:vMerge w:val="continue"/>
                  <w:tcBorders>
                    <w:left w:val="single" w:color="auto" w:sz="4" w:space="0"/>
                    <w:bottom w:val="single" w:color="auto" w:sz="4" w:space="0"/>
                    <w:right w:val="single" w:color="auto" w:sz="4" w:space="0"/>
                  </w:tcBorders>
                  <w:vAlign w:val="center"/>
                </w:tcPr>
                <w:p w14:paraId="53D37234">
                  <w:pPr>
                    <w:spacing w:line="320" w:lineRule="exact"/>
                    <w:ind w:left="-105" w:leftChars="-50" w:right="-105" w:rightChars="-50"/>
                    <w:jc w:val="center"/>
                    <w:rPr>
                      <w:b/>
                      <w:bCs/>
                      <w:color w:val="auto"/>
                      <w:szCs w:val="21"/>
                    </w:rPr>
                  </w:pPr>
                </w:p>
              </w:tc>
              <w:tc>
                <w:tcPr>
                  <w:tcW w:w="251" w:type="pct"/>
                  <w:vMerge w:val="continue"/>
                  <w:tcBorders>
                    <w:left w:val="single" w:color="auto" w:sz="4" w:space="0"/>
                    <w:bottom w:val="single" w:color="auto" w:sz="4" w:space="0"/>
                    <w:right w:val="single" w:color="auto" w:sz="4" w:space="0"/>
                  </w:tcBorders>
                  <w:vAlign w:val="center"/>
                </w:tcPr>
                <w:p w14:paraId="7865B18B">
                  <w:pPr>
                    <w:spacing w:line="320" w:lineRule="exact"/>
                    <w:ind w:left="-105" w:leftChars="-50" w:right="-105" w:rightChars="-50"/>
                    <w:jc w:val="center"/>
                    <w:rPr>
                      <w:b/>
                      <w:bCs/>
                      <w:color w:val="auto"/>
                      <w:szCs w:val="21"/>
                    </w:rPr>
                  </w:pPr>
                </w:p>
              </w:tc>
              <w:tc>
                <w:tcPr>
                  <w:tcW w:w="333" w:type="pct"/>
                  <w:vMerge w:val="continue"/>
                  <w:tcBorders>
                    <w:left w:val="single" w:color="auto" w:sz="4" w:space="0"/>
                    <w:bottom w:val="single" w:color="auto" w:sz="4" w:space="0"/>
                    <w:right w:val="single" w:color="auto" w:sz="4" w:space="0"/>
                  </w:tcBorders>
                  <w:vAlign w:val="center"/>
                </w:tcPr>
                <w:p w14:paraId="3100BFCD">
                  <w:pPr>
                    <w:spacing w:line="320" w:lineRule="exact"/>
                    <w:ind w:left="-105" w:leftChars="-50" w:right="-105" w:rightChars="-50"/>
                    <w:jc w:val="center"/>
                    <w:rPr>
                      <w:b/>
                      <w:bCs/>
                      <w:color w:val="auto"/>
                      <w:szCs w:val="21"/>
                    </w:rPr>
                  </w:pPr>
                </w:p>
              </w:tc>
              <w:tc>
                <w:tcPr>
                  <w:tcW w:w="223" w:type="pct"/>
                  <w:vMerge w:val="continue"/>
                  <w:tcBorders>
                    <w:left w:val="single" w:color="auto" w:sz="4" w:space="0"/>
                    <w:bottom w:val="single" w:color="auto" w:sz="4" w:space="0"/>
                    <w:right w:val="single" w:color="auto" w:sz="4" w:space="0"/>
                  </w:tcBorders>
                  <w:vAlign w:val="center"/>
                </w:tcPr>
                <w:p w14:paraId="1E92A136">
                  <w:pPr>
                    <w:spacing w:line="320" w:lineRule="exact"/>
                    <w:ind w:left="-105" w:leftChars="-50" w:right="-105" w:rightChars="-50"/>
                    <w:jc w:val="center"/>
                    <w:rPr>
                      <w:b/>
                      <w:bCs/>
                      <w:color w:val="auto"/>
                      <w:szCs w:val="21"/>
                    </w:rPr>
                  </w:pPr>
                </w:p>
              </w:tc>
              <w:tc>
                <w:tcPr>
                  <w:tcW w:w="333" w:type="pct"/>
                  <w:tcBorders>
                    <w:top w:val="single" w:color="auto" w:sz="4" w:space="0"/>
                    <w:left w:val="single" w:color="auto" w:sz="4" w:space="0"/>
                    <w:bottom w:val="single" w:color="auto" w:sz="4" w:space="0"/>
                    <w:right w:val="single" w:color="auto" w:sz="4" w:space="0"/>
                  </w:tcBorders>
                  <w:vAlign w:val="center"/>
                </w:tcPr>
                <w:p w14:paraId="1D35EF99">
                  <w:pPr>
                    <w:spacing w:line="320" w:lineRule="exact"/>
                    <w:ind w:left="-105" w:leftChars="-50" w:right="-105" w:rightChars="-50"/>
                    <w:jc w:val="center"/>
                    <w:rPr>
                      <w:b/>
                      <w:bCs/>
                      <w:color w:val="auto"/>
                      <w:szCs w:val="21"/>
                    </w:rPr>
                  </w:pPr>
                  <w:r>
                    <w:rPr>
                      <w:b/>
                      <w:bCs/>
                      <w:color w:val="auto"/>
                      <w:szCs w:val="21"/>
                    </w:rPr>
                    <w:t>产生</w:t>
                  </w:r>
                </w:p>
                <w:p w14:paraId="562033E2">
                  <w:pPr>
                    <w:spacing w:line="320" w:lineRule="exact"/>
                    <w:ind w:left="-105" w:leftChars="-50" w:right="-105" w:rightChars="-50"/>
                    <w:jc w:val="center"/>
                    <w:rPr>
                      <w:b/>
                      <w:bCs/>
                      <w:color w:val="auto"/>
                      <w:szCs w:val="21"/>
                    </w:rPr>
                  </w:pPr>
                  <w:r>
                    <w:rPr>
                      <w:b/>
                      <w:bCs/>
                      <w:color w:val="auto"/>
                      <w:szCs w:val="21"/>
                    </w:rPr>
                    <w:t>速率</w:t>
                  </w:r>
                </w:p>
                <w:p w14:paraId="321E1BB3">
                  <w:pPr>
                    <w:spacing w:line="320" w:lineRule="exact"/>
                    <w:ind w:left="-105" w:leftChars="-50" w:right="-105" w:rightChars="-50"/>
                    <w:jc w:val="center"/>
                    <w:rPr>
                      <w:b/>
                      <w:bCs/>
                      <w:color w:val="auto"/>
                      <w:szCs w:val="21"/>
                    </w:rPr>
                  </w:pPr>
                  <w:r>
                    <w:rPr>
                      <w:rFonts w:hint="eastAsia"/>
                      <w:b/>
                      <w:bCs/>
                      <w:color w:val="auto"/>
                      <w:szCs w:val="21"/>
                    </w:rPr>
                    <w:t>（kg/h）</w:t>
                  </w:r>
                </w:p>
              </w:tc>
              <w:tc>
                <w:tcPr>
                  <w:tcW w:w="278" w:type="pct"/>
                  <w:tcBorders>
                    <w:top w:val="single" w:color="auto" w:sz="4" w:space="0"/>
                    <w:left w:val="single" w:color="auto" w:sz="4" w:space="0"/>
                    <w:bottom w:val="single" w:color="auto" w:sz="4" w:space="0"/>
                    <w:right w:val="single" w:color="auto" w:sz="4" w:space="0"/>
                  </w:tcBorders>
                  <w:vAlign w:val="center"/>
                </w:tcPr>
                <w:p w14:paraId="2E90C9AD">
                  <w:pPr>
                    <w:spacing w:line="320" w:lineRule="exact"/>
                    <w:ind w:left="-105" w:leftChars="-50" w:right="-105" w:rightChars="-50"/>
                    <w:jc w:val="center"/>
                    <w:rPr>
                      <w:b/>
                      <w:bCs/>
                      <w:color w:val="auto"/>
                      <w:szCs w:val="21"/>
                    </w:rPr>
                  </w:pPr>
                  <w:r>
                    <w:rPr>
                      <w:b/>
                      <w:bCs/>
                      <w:color w:val="auto"/>
                      <w:szCs w:val="21"/>
                    </w:rPr>
                    <w:t>年产</w:t>
                  </w:r>
                </w:p>
                <w:p w14:paraId="1D5F7EE7">
                  <w:pPr>
                    <w:spacing w:line="320" w:lineRule="exact"/>
                    <w:ind w:left="-105" w:leftChars="-50" w:right="-105" w:rightChars="-50"/>
                    <w:jc w:val="center"/>
                    <w:rPr>
                      <w:b/>
                      <w:bCs/>
                      <w:color w:val="auto"/>
                      <w:szCs w:val="21"/>
                    </w:rPr>
                  </w:pPr>
                  <w:r>
                    <w:rPr>
                      <w:b/>
                      <w:bCs/>
                      <w:color w:val="auto"/>
                      <w:szCs w:val="21"/>
                    </w:rPr>
                    <w:t>生量</w:t>
                  </w:r>
                </w:p>
                <w:p w14:paraId="3C8F714E">
                  <w:pPr>
                    <w:spacing w:line="320" w:lineRule="exact"/>
                    <w:ind w:left="-105" w:leftChars="-50" w:right="-105" w:rightChars="-50"/>
                    <w:jc w:val="center"/>
                    <w:rPr>
                      <w:b/>
                      <w:bCs/>
                      <w:color w:val="auto"/>
                      <w:szCs w:val="21"/>
                    </w:rPr>
                  </w:pPr>
                  <w:r>
                    <w:rPr>
                      <w:rFonts w:hint="eastAsia"/>
                      <w:b/>
                      <w:bCs/>
                      <w:color w:val="auto"/>
                      <w:szCs w:val="21"/>
                    </w:rPr>
                    <w:t>（t/a）</w:t>
                  </w:r>
                </w:p>
              </w:tc>
              <w:tc>
                <w:tcPr>
                  <w:tcW w:w="278" w:type="pct"/>
                  <w:vMerge w:val="continue"/>
                  <w:tcBorders>
                    <w:left w:val="single" w:color="auto" w:sz="4" w:space="0"/>
                    <w:bottom w:val="single" w:color="auto" w:sz="4" w:space="0"/>
                    <w:right w:val="single" w:color="auto" w:sz="4" w:space="0"/>
                  </w:tcBorders>
                  <w:vAlign w:val="center"/>
                </w:tcPr>
                <w:p w14:paraId="4C4BE6C7">
                  <w:pPr>
                    <w:spacing w:line="320" w:lineRule="exact"/>
                    <w:ind w:left="-105" w:leftChars="-50" w:right="-105" w:rightChars="-50"/>
                    <w:jc w:val="center"/>
                    <w:rPr>
                      <w:b/>
                      <w:bCs/>
                      <w:color w:val="auto"/>
                      <w:szCs w:val="21"/>
                    </w:rPr>
                  </w:pPr>
                </w:p>
              </w:tc>
              <w:tc>
                <w:tcPr>
                  <w:tcW w:w="835" w:type="pct"/>
                  <w:tcBorders>
                    <w:top w:val="single" w:color="auto" w:sz="4" w:space="0"/>
                    <w:left w:val="single" w:color="auto" w:sz="4" w:space="0"/>
                    <w:bottom w:val="single" w:color="auto" w:sz="4" w:space="0"/>
                    <w:right w:val="single" w:color="auto" w:sz="4" w:space="0"/>
                  </w:tcBorders>
                  <w:vAlign w:val="center"/>
                </w:tcPr>
                <w:p w14:paraId="780917DE">
                  <w:pPr>
                    <w:spacing w:line="320" w:lineRule="exact"/>
                    <w:ind w:left="-105" w:leftChars="-50" w:right="-105" w:rightChars="-50"/>
                    <w:jc w:val="center"/>
                    <w:rPr>
                      <w:b/>
                      <w:bCs/>
                      <w:color w:val="auto"/>
                      <w:szCs w:val="21"/>
                    </w:rPr>
                  </w:pPr>
                  <w:r>
                    <w:rPr>
                      <w:b/>
                      <w:bCs/>
                      <w:color w:val="auto"/>
                      <w:szCs w:val="21"/>
                    </w:rPr>
                    <w:t>治理</w:t>
                  </w:r>
                  <w:r>
                    <w:rPr>
                      <w:rFonts w:hint="eastAsia"/>
                      <w:b/>
                      <w:bCs/>
                      <w:color w:val="auto"/>
                      <w:szCs w:val="21"/>
                    </w:rPr>
                    <w:t>设施名称及工艺</w:t>
                  </w:r>
                </w:p>
              </w:tc>
              <w:tc>
                <w:tcPr>
                  <w:tcW w:w="222" w:type="pct"/>
                  <w:tcBorders>
                    <w:top w:val="single" w:color="auto" w:sz="4" w:space="0"/>
                    <w:left w:val="single" w:color="auto" w:sz="4" w:space="0"/>
                    <w:bottom w:val="single" w:color="auto" w:sz="4" w:space="0"/>
                    <w:right w:val="single" w:color="auto" w:sz="4" w:space="0"/>
                  </w:tcBorders>
                  <w:vAlign w:val="center"/>
                </w:tcPr>
                <w:p w14:paraId="32325987">
                  <w:pPr>
                    <w:spacing w:line="320" w:lineRule="exact"/>
                    <w:ind w:left="-105" w:leftChars="-50" w:right="-105" w:rightChars="-50"/>
                    <w:jc w:val="center"/>
                    <w:rPr>
                      <w:b/>
                      <w:bCs/>
                      <w:color w:val="auto"/>
                      <w:szCs w:val="21"/>
                    </w:rPr>
                  </w:pPr>
                  <w:r>
                    <w:rPr>
                      <w:b/>
                      <w:bCs/>
                      <w:color w:val="auto"/>
                      <w:szCs w:val="21"/>
                    </w:rPr>
                    <w:t>收集效率</w:t>
                  </w:r>
                </w:p>
              </w:tc>
              <w:tc>
                <w:tcPr>
                  <w:tcW w:w="223" w:type="pct"/>
                  <w:tcBorders>
                    <w:top w:val="single" w:color="auto" w:sz="4" w:space="0"/>
                    <w:left w:val="single" w:color="auto" w:sz="4" w:space="0"/>
                    <w:bottom w:val="single" w:color="auto" w:sz="4" w:space="0"/>
                    <w:right w:val="single" w:color="auto" w:sz="4" w:space="0"/>
                  </w:tcBorders>
                  <w:vAlign w:val="center"/>
                </w:tcPr>
                <w:p w14:paraId="2E8F4B9C">
                  <w:pPr>
                    <w:spacing w:line="320" w:lineRule="exact"/>
                    <w:ind w:left="-105" w:leftChars="-50" w:right="-105" w:rightChars="-50"/>
                    <w:jc w:val="center"/>
                    <w:rPr>
                      <w:b/>
                      <w:bCs/>
                      <w:color w:val="auto"/>
                      <w:szCs w:val="21"/>
                      <w:highlight w:val="none"/>
                    </w:rPr>
                  </w:pPr>
                  <w:r>
                    <w:rPr>
                      <w:b/>
                      <w:bCs/>
                      <w:color w:val="auto"/>
                      <w:szCs w:val="21"/>
                      <w:highlight w:val="none"/>
                    </w:rPr>
                    <w:t>处理效率</w:t>
                  </w:r>
                </w:p>
              </w:tc>
              <w:tc>
                <w:tcPr>
                  <w:tcW w:w="333" w:type="pct"/>
                  <w:tcBorders>
                    <w:top w:val="single" w:color="auto" w:sz="4" w:space="0"/>
                    <w:left w:val="single" w:color="auto" w:sz="4" w:space="0"/>
                    <w:bottom w:val="single" w:color="auto" w:sz="4" w:space="0"/>
                    <w:right w:val="single" w:color="auto" w:sz="4" w:space="0"/>
                  </w:tcBorders>
                  <w:vAlign w:val="center"/>
                </w:tcPr>
                <w:p w14:paraId="67E7A7FA">
                  <w:pPr>
                    <w:spacing w:line="320" w:lineRule="exact"/>
                    <w:ind w:left="-105" w:leftChars="-50" w:right="-105" w:rightChars="-50"/>
                    <w:jc w:val="center"/>
                    <w:rPr>
                      <w:b/>
                      <w:bCs/>
                      <w:color w:val="auto"/>
                      <w:szCs w:val="21"/>
                    </w:rPr>
                  </w:pPr>
                  <w:r>
                    <w:rPr>
                      <w:rFonts w:hint="eastAsia"/>
                      <w:b/>
                      <w:bCs/>
                      <w:color w:val="auto"/>
                      <w:szCs w:val="21"/>
                    </w:rPr>
                    <w:t>是否为可行技术</w:t>
                  </w:r>
                </w:p>
              </w:tc>
              <w:tc>
                <w:tcPr>
                  <w:tcW w:w="390" w:type="pct"/>
                  <w:tcBorders>
                    <w:top w:val="single" w:color="auto" w:sz="4" w:space="0"/>
                    <w:left w:val="single" w:color="auto" w:sz="4" w:space="0"/>
                    <w:bottom w:val="single" w:color="auto" w:sz="4" w:space="0"/>
                    <w:right w:val="single" w:color="auto" w:sz="4" w:space="0"/>
                  </w:tcBorders>
                  <w:vAlign w:val="center"/>
                </w:tcPr>
                <w:p w14:paraId="43119FD3">
                  <w:pPr>
                    <w:spacing w:line="320" w:lineRule="exact"/>
                    <w:ind w:left="-105" w:leftChars="-50" w:right="-105" w:rightChars="-50"/>
                    <w:jc w:val="center"/>
                    <w:rPr>
                      <w:b/>
                      <w:bCs/>
                      <w:color w:val="auto"/>
                      <w:szCs w:val="21"/>
                    </w:rPr>
                  </w:pPr>
                  <w:r>
                    <w:rPr>
                      <w:b/>
                      <w:bCs/>
                      <w:color w:val="auto"/>
                      <w:szCs w:val="21"/>
                    </w:rPr>
                    <w:t>排放浓度</w:t>
                  </w:r>
                </w:p>
                <w:p w14:paraId="464945BC">
                  <w:pPr>
                    <w:spacing w:line="320" w:lineRule="exact"/>
                    <w:ind w:left="-105" w:leftChars="-50" w:right="-105" w:rightChars="-50"/>
                    <w:jc w:val="center"/>
                    <w:rPr>
                      <w:b/>
                      <w:bCs/>
                      <w:color w:val="auto"/>
                      <w:szCs w:val="21"/>
                    </w:rPr>
                  </w:pPr>
                  <w:r>
                    <w:rPr>
                      <w:rFonts w:hint="eastAsia"/>
                      <w:b/>
                      <w:bCs/>
                      <w:color w:val="auto"/>
                      <w:szCs w:val="21"/>
                    </w:rPr>
                    <w:t>（</w:t>
                  </w:r>
                  <w:r>
                    <w:rPr>
                      <w:b/>
                      <w:bCs/>
                      <w:color w:val="auto"/>
                      <w:szCs w:val="21"/>
                    </w:rPr>
                    <w:t>mg/m</w:t>
                  </w:r>
                  <w:r>
                    <w:rPr>
                      <w:b/>
                      <w:bCs/>
                      <w:color w:val="auto"/>
                      <w:szCs w:val="21"/>
                      <w:vertAlign w:val="superscript"/>
                    </w:rPr>
                    <w:t>3</w:t>
                  </w:r>
                  <w:r>
                    <w:rPr>
                      <w:rFonts w:hint="eastAsia"/>
                      <w:b/>
                      <w:bCs/>
                      <w:color w:val="auto"/>
                      <w:szCs w:val="21"/>
                    </w:rPr>
                    <w:t>）</w:t>
                  </w:r>
                </w:p>
              </w:tc>
              <w:tc>
                <w:tcPr>
                  <w:tcW w:w="333" w:type="pct"/>
                  <w:tcBorders>
                    <w:top w:val="single" w:color="auto" w:sz="4" w:space="0"/>
                    <w:left w:val="single" w:color="auto" w:sz="4" w:space="0"/>
                    <w:bottom w:val="single" w:color="auto" w:sz="4" w:space="0"/>
                    <w:right w:val="single" w:color="auto" w:sz="4" w:space="0"/>
                  </w:tcBorders>
                  <w:vAlign w:val="center"/>
                </w:tcPr>
                <w:p w14:paraId="554E895F">
                  <w:pPr>
                    <w:spacing w:line="320" w:lineRule="exact"/>
                    <w:ind w:left="-105" w:leftChars="-50" w:right="-105" w:rightChars="-50"/>
                    <w:jc w:val="center"/>
                    <w:rPr>
                      <w:b/>
                      <w:bCs/>
                      <w:color w:val="auto"/>
                      <w:szCs w:val="21"/>
                    </w:rPr>
                  </w:pPr>
                  <w:r>
                    <w:rPr>
                      <w:b/>
                      <w:bCs/>
                      <w:color w:val="auto"/>
                      <w:szCs w:val="21"/>
                    </w:rPr>
                    <w:t>排放速率</w:t>
                  </w:r>
                </w:p>
                <w:p w14:paraId="1DDDDA9E">
                  <w:pPr>
                    <w:spacing w:line="320" w:lineRule="exact"/>
                    <w:ind w:left="-105" w:leftChars="-50" w:right="-105" w:rightChars="-50"/>
                    <w:jc w:val="center"/>
                    <w:rPr>
                      <w:b/>
                      <w:bCs/>
                      <w:color w:val="auto"/>
                      <w:szCs w:val="21"/>
                    </w:rPr>
                  </w:pPr>
                  <w:r>
                    <w:rPr>
                      <w:rFonts w:hint="eastAsia"/>
                      <w:b/>
                      <w:bCs/>
                      <w:color w:val="auto"/>
                      <w:szCs w:val="21"/>
                    </w:rPr>
                    <w:t>（</w:t>
                  </w:r>
                  <w:r>
                    <w:rPr>
                      <w:b/>
                      <w:bCs/>
                      <w:color w:val="auto"/>
                      <w:spacing w:val="2"/>
                      <w:szCs w:val="21"/>
                    </w:rPr>
                    <w:t>kg/h</w:t>
                  </w:r>
                  <w:r>
                    <w:rPr>
                      <w:rFonts w:hint="eastAsia"/>
                      <w:b/>
                      <w:bCs/>
                      <w:color w:val="auto"/>
                      <w:szCs w:val="21"/>
                    </w:rPr>
                    <w:t>）</w:t>
                  </w:r>
                </w:p>
              </w:tc>
              <w:tc>
                <w:tcPr>
                  <w:tcW w:w="348" w:type="pct"/>
                  <w:tcBorders>
                    <w:top w:val="single" w:color="auto" w:sz="4" w:space="0"/>
                    <w:left w:val="single" w:color="auto" w:sz="4" w:space="0"/>
                    <w:bottom w:val="single" w:color="auto" w:sz="4" w:space="0"/>
                    <w:right w:val="single" w:color="auto" w:sz="4" w:space="0"/>
                  </w:tcBorders>
                  <w:vAlign w:val="center"/>
                </w:tcPr>
                <w:p w14:paraId="365A9795">
                  <w:pPr>
                    <w:spacing w:line="320" w:lineRule="exact"/>
                    <w:ind w:left="-105" w:leftChars="-50" w:right="-105" w:rightChars="-50"/>
                    <w:jc w:val="center"/>
                    <w:rPr>
                      <w:b/>
                      <w:bCs/>
                      <w:color w:val="auto"/>
                      <w:szCs w:val="21"/>
                    </w:rPr>
                  </w:pPr>
                  <w:r>
                    <w:rPr>
                      <w:b/>
                      <w:bCs/>
                      <w:color w:val="auto"/>
                      <w:szCs w:val="21"/>
                    </w:rPr>
                    <w:t>排放量</w:t>
                  </w:r>
                </w:p>
                <w:p w14:paraId="03FA2695">
                  <w:pPr>
                    <w:spacing w:line="320" w:lineRule="exact"/>
                    <w:ind w:left="-105" w:leftChars="-50" w:right="-105" w:rightChars="-50"/>
                    <w:jc w:val="center"/>
                    <w:rPr>
                      <w:b/>
                      <w:bCs/>
                      <w:color w:val="auto"/>
                      <w:szCs w:val="21"/>
                    </w:rPr>
                  </w:pPr>
                  <w:r>
                    <w:rPr>
                      <w:rFonts w:hint="eastAsia"/>
                      <w:b/>
                      <w:bCs/>
                      <w:color w:val="auto"/>
                      <w:szCs w:val="21"/>
                    </w:rPr>
                    <w:t>（t/a）</w:t>
                  </w:r>
                </w:p>
              </w:tc>
              <w:tc>
                <w:tcPr>
                  <w:tcW w:w="247" w:type="pct"/>
                  <w:vMerge w:val="continue"/>
                  <w:tcBorders>
                    <w:left w:val="single" w:color="auto" w:sz="4" w:space="0"/>
                    <w:bottom w:val="single" w:color="auto" w:sz="4" w:space="0"/>
                    <w:right w:val="nil"/>
                  </w:tcBorders>
                  <w:vAlign w:val="center"/>
                </w:tcPr>
                <w:p w14:paraId="772A9109">
                  <w:pPr>
                    <w:spacing w:line="320" w:lineRule="exact"/>
                    <w:ind w:left="-105" w:leftChars="-50" w:right="-105" w:rightChars="-50"/>
                    <w:jc w:val="center"/>
                    <w:rPr>
                      <w:b/>
                      <w:bCs/>
                      <w:color w:val="auto"/>
                      <w:szCs w:val="21"/>
                    </w:rPr>
                  </w:pPr>
                </w:p>
              </w:tc>
            </w:tr>
            <w:tr w14:paraId="313EAE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08" w:hRule="atLeast"/>
                <w:jc w:val="center"/>
              </w:trPr>
              <w:tc>
                <w:tcPr>
                  <w:tcW w:w="137" w:type="pct"/>
                  <w:vMerge w:val="restart"/>
                  <w:tcBorders>
                    <w:top w:val="single" w:color="auto" w:sz="4" w:space="0"/>
                    <w:left w:val="nil"/>
                    <w:right w:val="single" w:color="auto" w:sz="4" w:space="0"/>
                  </w:tcBorders>
                  <w:vAlign w:val="center"/>
                </w:tcPr>
                <w:p w14:paraId="2AD2942F">
                  <w:pPr>
                    <w:spacing w:line="320" w:lineRule="exact"/>
                    <w:ind w:left="-105" w:leftChars="-50" w:right="-105" w:rightChars="-50"/>
                    <w:jc w:val="center"/>
                    <w:rPr>
                      <w:color w:val="auto"/>
                      <w:szCs w:val="21"/>
                    </w:rPr>
                  </w:pPr>
                  <w:r>
                    <w:rPr>
                      <w:color w:val="auto"/>
                      <w:szCs w:val="21"/>
                    </w:rPr>
                    <w:t>1</w:t>
                  </w:r>
                </w:p>
              </w:tc>
              <w:tc>
                <w:tcPr>
                  <w:tcW w:w="227" w:type="pct"/>
                  <w:vMerge w:val="restart"/>
                  <w:tcBorders>
                    <w:top w:val="single" w:color="auto" w:sz="4" w:space="0"/>
                    <w:left w:val="single" w:color="auto" w:sz="4" w:space="0"/>
                    <w:right w:val="single" w:color="auto" w:sz="4" w:space="0"/>
                  </w:tcBorders>
                  <w:vAlign w:val="center"/>
                </w:tcPr>
                <w:p w14:paraId="1C4952AA">
                  <w:pPr>
                    <w:spacing w:line="320" w:lineRule="exact"/>
                    <w:ind w:left="-105" w:leftChars="-50" w:right="-105" w:rightChars="-50"/>
                    <w:jc w:val="center"/>
                    <w:rPr>
                      <w:color w:val="auto"/>
                      <w:szCs w:val="21"/>
                    </w:rPr>
                  </w:pPr>
                  <w:r>
                    <w:rPr>
                      <w:rFonts w:hint="eastAsia"/>
                      <w:color w:val="auto"/>
                      <w:szCs w:val="21"/>
                    </w:rPr>
                    <w:t>1#生产车间</w:t>
                  </w:r>
                </w:p>
              </w:tc>
              <w:tc>
                <w:tcPr>
                  <w:tcW w:w="251" w:type="pct"/>
                  <w:vMerge w:val="restart"/>
                  <w:tcBorders>
                    <w:top w:val="single" w:color="auto" w:sz="4" w:space="0"/>
                    <w:left w:val="single" w:color="auto" w:sz="4" w:space="0"/>
                    <w:right w:val="single" w:color="auto" w:sz="4" w:space="0"/>
                  </w:tcBorders>
                  <w:vAlign w:val="center"/>
                </w:tcPr>
                <w:p w14:paraId="256D98F8">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注塑、烫金</w:t>
                  </w:r>
                </w:p>
              </w:tc>
              <w:tc>
                <w:tcPr>
                  <w:tcW w:w="333" w:type="pct"/>
                  <w:vMerge w:val="restart"/>
                  <w:tcBorders>
                    <w:top w:val="single" w:color="auto" w:sz="4" w:space="0"/>
                    <w:left w:val="single" w:color="auto" w:sz="4" w:space="0"/>
                    <w:right w:val="single" w:color="auto" w:sz="4" w:space="0"/>
                  </w:tcBorders>
                  <w:vAlign w:val="center"/>
                </w:tcPr>
                <w:p w14:paraId="0A6FD156">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注塑机、烫金机</w:t>
                  </w:r>
                </w:p>
              </w:tc>
              <w:tc>
                <w:tcPr>
                  <w:tcW w:w="223" w:type="pct"/>
                  <w:vMerge w:val="restart"/>
                  <w:tcBorders>
                    <w:top w:val="single" w:color="auto" w:sz="4" w:space="0"/>
                    <w:left w:val="single" w:color="auto" w:sz="4" w:space="0"/>
                    <w:right w:val="single" w:color="auto" w:sz="4" w:space="0"/>
                  </w:tcBorders>
                  <w:vAlign w:val="center"/>
                </w:tcPr>
                <w:p w14:paraId="345D70FC">
                  <w:pPr>
                    <w:spacing w:line="320" w:lineRule="exact"/>
                    <w:ind w:left="-105" w:leftChars="-50" w:right="-105" w:rightChars="-50"/>
                    <w:jc w:val="center"/>
                    <w:rPr>
                      <w:color w:val="auto"/>
                      <w:szCs w:val="21"/>
                    </w:rPr>
                  </w:pPr>
                  <w:r>
                    <w:rPr>
                      <w:rFonts w:hint="eastAsia"/>
                      <w:color w:val="auto"/>
                      <w:szCs w:val="21"/>
                    </w:rPr>
                    <w:t>有机</w:t>
                  </w:r>
                </w:p>
                <w:p w14:paraId="2DA163E0">
                  <w:pPr>
                    <w:spacing w:line="320" w:lineRule="exact"/>
                    <w:ind w:left="-105" w:leftChars="-50" w:right="-105" w:rightChars="-50"/>
                    <w:jc w:val="center"/>
                    <w:rPr>
                      <w:color w:val="auto"/>
                      <w:szCs w:val="21"/>
                    </w:rPr>
                  </w:pPr>
                  <w:r>
                    <w:rPr>
                      <w:rFonts w:hint="eastAsia"/>
                      <w:color w:val="auto"/>
                      <w:szCs w:val="21"/>
                    </w:rPr>
                    <w:t>废气</w:t>
                  </w:r>
                </w:p>
              </w:tc>
              <w:tc>
                <w:tcPr>
                  <w:tcW w:w="333" w:type="pct"/>
                  <w:vMerge w:val="restart"/>
                  <w:tcBorders>
                    <w:top w:val="single" w:color="auto" w:sz="4" w:space="0"/>
                    <w:left w:val="single" w:color="auto" w:sz="4" w:space="0"/>
                    <w:right w:val="single" w:color="auto" w:sz="4" w:space="0"/>
                  </w:tcBorders>
                  <w:vAlign w:val="center"/>
                </w:tcPr>
                <w:p w14:paraId="25245EB9">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0.0284</w:t>
                  </w:r>
                </w:p>
              </w:tc>
              <w:tc>
                <w:tcPr>
                  <w:tcW w:w="278" w:type="pct"/>
                  <w:vMerge w:val="restart"/>
                  <w:tcBorders>
                    <w:top w:val="single" w:color="auto" w:sz="4" w:space="0"/>
                    <w:left w:val="single" w:color="auto" w:sz="4" w:space="0"/>
                    <w:right w:val="single" w:color="auto" w:sz="4" w:space="0"/>
                  </w:tcBorders>
                  <w:vAlign w:val="center"/>
                </w:tcPr>
                <w:p w14:paraId="0F459E0C">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0.1361</w:t>
                  </w:r>
                </w:p>
              </w:tc>
              <w:tc>
                <w:tcPr>
                  <w:tcW w:w="278" w:type="pct"/>
                  <w:tcBorders>
                    <w:top w:val="single" w:color="auto" w:sz="4" w:space="0"/>
                    <w:left w:val="single" w:color="auto" w:sz="4" w:space="0"/>
                    <w:right w:val="single" w:color="auto" w:sz="4" w:space="0"/>
                  </w:tcBorders>
                  <w:vAlign w:val="center"/>
                </w:tcPr>
                <w:p w14:paraId="0529BF6D">
                  <w:pPr>
                    <w:spacing w:line="320" w:lineRule="exact"/>
                    <w:ind w:left="-105" w:leftChars="-50" w:right="-105" w:rightChars="-50"/>
                    <w:jc w:val="center"/>
                    <w:rPr>
                      <w:color w:val="auto"/>
                      <w:szCs w:val="21"/>
                    </w:rPr>
                  </w:pPr>
                  <w:r>
                    <w:rPr>
                      <w:rFonts w:hint="eastAsia"/>
                      <w:color w:val="auto"/>
                      <w:szCs w:val="21"/>
                    </w:rPr>
                    <w:t>有组织</w:t>
                  </w:r>
                </w:p>
              </w:tc>
              <w:tc>
                <w:tcPr>
                  <w:tcW w:w="835" w:type="pct"/>
                  <w:tcBorders>
                    <w:top w:val="single" w:color="auto" w:sz="4" w:space="0"/>
                    <w:left w:val="single" w:color="auto" w:sz="4" w:space="0"/>
                    <w:right w:val="single" w:color="auto" w:sz="4" w:space="0"/>
                  </w:tcBorders>
                  <w:vAlign w:val="center"/>
                </w:tcPr>
                <w:p w14:paraId="57F36AF8">
                  <w:pPr>
                    <w:adjustRightInd w:val="0"/>
                    <w:snapToGrid w:val="0"/>
                    <w:spacing w:line="320" w:lineRule="exact"/>
                    <w:jc w:val="center"/>
                    <w:rPr>
                      <w:color w:val="auto"/>
                    </w:rPr>
                  </w:pPr>
                  <w:bookmarkStart w:id="32" w:name="OLE_LINK52"/>
                  <w:r>
                    <w:rPr>
                      <w:rFonts w:hint="eastAsia"/>
                      <w:color w:val="auto"/>
                      <w:szCs w:val="21"/>
                    </w:rPr>
                    <w:t>集气罩+</w:t>
                  </w:r>
                  <w:r>
                    <w:rPr>
                      <w:rFonts w:hint="eastAsia"/>
                      <w:color w:val="auto"/>
                    </w:rPr>
                    <w:t>两级</w:t>
                  </w:r>
                  <w:r>
                    <w:rPr>
                      <w:color w:val="auto"/>
                    </w:rPr>
                    <w:t>活性炭吸附装置</w:t>
                  </w:r>
                  <w:r>
                    <w:rPr>
                      <w:rFonts w:hint="eastAsia"/>
                      <w:color w:val="auto"/>
                    </w:rPr>
                    <w:t>（TA</w:t>
                  </w:r>
                  <w:r>
                    <w:rPr>
                      <w:color w:val="auto"/>
                    </w:rPr>
                    <w:t>0</w:t>
                  </w:r>
                  <w:r>
                    <w:rPr>
                      <w:rFonts w:hint="eastAsia"/>
                      <w:color w:val="auto"/>
                    </w:rPr>
                    <w:t>0</w:t>
                  </w:r>
                  <w:r>
                    <w:rPr>
                      <w:color w:val="auto"/>
                    </w:rPr>
                    <w:t>1</w:t>
                  </w:r>
                  <w:r>
                    <w:rPr>
                      <w:rFonts w:hint="eastAsia"/>
                      <w:color w:val="auto"/>
                    </w:rPr>
                    <w:t>）风机风量</w:t>
                  </w:r>
                  <w:r>
                    <w:rPr>
                      <w:rFonts w:hint="eastAsia"/>
                      <w:color w:val="auto"/>
                      <w:lang w:val="en-US" w:eastAsia="zh-CN"/>
                    </w:rPr>
                    <w:t>30000</w:t>
                  </w:r>
                  <w:r>
                    <w:rPr>
                      <w:rFonts w:hint="eastAsia"/>
                      <w:color w:val="auto"/>
                    </w:rPr>
                    <w:t>m</w:t>
                  </w:r>
                  <w:r>
                    <w:rPr>
                      <w:rFonts w:hint="eastAsia"/>
                      <w:color w:val="auto"/>
                      <w:vertAlign w:val="superscript"/>
                    </w:rPr>
                    <w:t>3</w:t>
                  </w:r>
                  <w:r>
                    <w:rPr>
                      <w:rFonts w:hint="eastAsia"/>
                      <w:color w:val="auto"/>
                    </w:rPr>
                    <w:t>/h</w:t>
                  </w:r>
                  <w:r>
                    <w:rPr>
                      <w:rFonts w:hint="eastAsia"/>
                      <w:color w:val="auto"/>
                      <w:szCs w:val="21"/>
                    </w:rPr>
                    <w:t>+</w:t>
                  </w:r>
                  <w:r>
                    <w:rPr>
                      <w:color w:val="auto"/>
                      <w:szCs w:val="21"/>
                    </w:rPr>
                    <w:t>15</w:t>
                  </w:r>
                  <w:r>
                    <w:rPr>
                      <w:rFonts w:hint="eastAsia"/>
                      <w:color w:val="auto"/>
                      <w:szCs w:val="21"/>
                    </w:rPr>
                    <w:t>m</w:t>
                  </w:r>
                  <w:r>
                    <w:rPr>
                      <w:color w:val="auto"/>
                      <w:szCs w:val="21"/>
                    </w:rPr>
                    <w:t>排气筒（</w:t>
                  </w:r>
                  <w:r>
                    <w:rPr>
                      <w:rFonts w:hint="eastAsia"/>
                      <w:color w:val="auto"/>
                      <w:szCs w:val="21"/>
                    </w:rPr>
                    <w:t>DA</w:t>
                  </w:r>
                  <w:r>
                    <w:rPr>
                      <w:color w:val="auto"/>
                      <w:szCs w:val="21"/>
                    </w:rPr>
                    <w:t>0</w:t>
                  </w:r>
                  <w:r>
                    <w:rPr>
                      <w:rFonts w:hint="eastAsia"/>
                      <w:color w:val="auto"/>
                      <w:szCs w:val="21"/>
                    </w:rPr>
                    <w:t>0</w:t>
                  </w:r>
                  <w:r>
                    <w:rPr>
                      <w:color w:val="auto"/>
                      <w:szCs w:val="21"/>
                    </w:rPr>
                    <w:t>1）</w:t>
                  </w:r>
                  <w:bookmarkEnd w:id="32"/>
                </w:p>
              </w:tc>
              <w:tc>
                <w:tcPr>
                  <w:tcW w:w="222" w:type="pct"/>
                  <w:vMerge w:val="restart"/>
                  <w:tcBorders>
                    <w:top w:val="single" w:color="auto" w:sz="4" w:space="0"/>
                    <w:left w:val="single" w:color="auto" w:sz="4" w:space="0"/>
                    <w:right w:val="single" w:color="auto" w:sz="4" w:space="0"/>
                  </w:tcBorders>
                  <w:vAlign w:val="center"/>
                </w:tcPr>
                <w:p w14:paraId="3AC290A7">
                  <w:pPr>
                    <w:spacing w:line="320" w:lineRule="exact"/>
                    <w:ind w:left="-105" w:leftChars="-50" w:right="-105" w:rightChars="-50"/>
                    <w:jc w:val="center"/>
                    <w:rPr>
                      <w:color w:val="auto"/>
                      <w:szCs w:val="21"/>
                    </w:rPr>
                  </w:pPr>
                  <w:r>
                    <w:rPr>
                      <w:rFonts w:hint="eastAsia"/>
                      <w:color w:val="auto"/>
                      <w:szCs w:val="21"/>
                      <w:lang w:val="en-US" w:eastAsia="zh-CN"/>
                    </w:rPr>
                    <w:t>90</w:t>
                  </w:r>
                  <w:r>
                    <w:rPr>
                      <w:rFonts w:hint="eastAsia"/>
                      <w:color w:val="auto"/>
                      <w:szCs w:val="21"/>
                    </w:rPr>
                    <w:t>%</w:t>
                  </w:r>
                </w:p>
              </w:tc>
              <w:tc>
                <w:tcPr>
                  <w:tcW w:w="223" w:type="pct"/>
                  <w:vMerge w:val="restart"/>
                  <w:tcBorders>
                    <w:top w:val="single" w:color="auto" w:sz="4" w:space="0"/>
                    <w:left w:val="single" w:color="auto" w:sz="4" w:space="0"/>
                    <w:right w:val="single" w:color="auto" w:sz="4" w:space="0"/>
                  </w:tcBorders>
                  <w:vAlign w:val="center"/>
                </w:tcPr>
                <w:p w14:paraId="2CA985A5">
                  <w:pPr>
                    <w:spacing w:line="320" w:lineRule="exact"/>
                    <w:ind w:left="-105" w:leftChars="-50" w:right="-105" w:rightChars="-50"/>
                    <w:jc w:val="center"/>
                    <w:rPr>
                      <w:color w:val="auto"/>
                      <w:szCs w:val="21"/>
                      <w:highlight w:val="none"/>
                    </w:rPr>
                  </w:pPr>
                  <w:r>
                    <w:rPr>
                      <w:rFonts w:hint="eastAsia"/>
                      <w:color w:val="auto"/>
                      <w:szCs w:val="21"/>
                      <w:highlight w:val="none"/>
                      <w:lang w:val="en-US" w:eastAsia="zh-CN"/>
                    </w:rPr>
                    <w:t>90</w:t>
                  </w:r>
                  <w:r>
                    <w:rPr>
                      <w:rFonts w:hint="eastAsia"/>
                      <w:color w:val="auto"/>
                      <w:szCs w:val="21"/>
                      <w:highlight w:val="none"/>
                    </w:rPr>
                    <w:t>%</w:t>
                  </w:r>
                </w:p>
              </w:tc>
              <w:tc>
                <w:tcPr>
                  <w:tcW w:w="333" w:type="pct"/>
                  <w:tcBorders>
                    <w:top w:val="single" w:color="auto" w:sz="4" w:space="0"/>
                    <w:left w:val="single" w:color="auto" w:sz="4" w:space="0"/>
                    <w:right w:val="single" w:color="auto" w:sz="4" w:space="0"/>
                  </w:tcBorders>
                  <w:vAlign w:val="center"/>
                </w:tcPr>
                <w:p w14:paraId="4DE7342D">
                  <w:pPr>
                    <w:spacing w:line="320" w:lineRule="exact"/>
                    <w:ind w:left="-105" w:leftChars="-50" w:right="-105" w:rightChars="-50"/>
                    <w:jc w:val="center"/>
                    <w:rPr>
                      <w:color w:val="auto"/>
                      <w:szCs w:val="21"/>
                    </w:rPr>
                  </w:pPr>
                  <w:r>
                    <w:rPr>
                      <w:color w:val="auto"/>
                      <w:szCs w:val="21"/>
                    </w:rPr>
                    <w:sym w:font="Wingdings" w:char="00FE"/>
                  </w:r>
                  <w:r>
                    <w:rPr>
                      <w:color w:val="auto"/>
                      <w:szCs w:val="21"/>
                    </w:rPr>
                    <w:t>是</w:t>
                  </w:r>
                </w:p>
                <w:p w14:paraId="1B4BD29B">
                  <w:pPr>
                    <w:spacing w:line="320" w:lineRule="exact"/>
                    <w:ind w:left="-105" w:leftChars="-50" w:right="-105" w:rightChars="-50"/>
                    <w:jc w:val="center"/>
                    <w:rPr>
                      <w:color w:val="auto"/>
                      <w:szCs w:val="21"/>
                    </w:rPr>
                  </w:pPr>
                  <w:r>
                    <w:rPr>
                      <w:color w:val="auto"/>
                      <w:szCs w:val="21"/>
                    </w:rPr>
                    <w:sym w:font="Wingdings" w:char="00A8"/>
                  </w:r>
                  <w:r>
                    <w:rPr>
                      <w:color w:val="auto"/>
                      <w:szCs w:val="21"/>
                    </w:rPr>
                    <w:t xml:space="preserve"> 否</w:t>
                  </w:r>
                </w:p>
              </w:tc>
              <w:tc>
                <w:tcPr>
                  <w:tcW w:w="390" w:type="pct"/>
                  <w:tcBorders>
                    <w:top w:val="single" w:color="auto" w:sz="4" w:space="0"/>
                    <w:left w:val="single" w:color="auto" w:sz="4" w:space="0"/>
                    <w:right w:val="single" w:color="auto" w:sz="4" w:space="0"/>
                  </w:tcBorders>
                  <w:vAlign w:val="center"/>
                </w:tcPr>
                <w:p w14:paraId="73A6CE06">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0.08</w:t>
                  </w:r>
                </w:p>
              </w:tc>
              <w:tc>
                <w:tcPr>
                  <w:tcW w:w="333" w:type="pct"/>
                  <w:tcBorders>
                    <w:top w:val="single" w:color="auto" w:sz="4" w:space="0"/>
                    <w:left w:val="single" w:color="auto" w:sz="4" w:space="0"/>
                    <w:right w:val="single" w:color="auto" w:sz="4" w:space="0"/>
                  </w:tcBorders>
                  <w:vAlign w:val="center"/>
                </w:tcPr>
                <w:p w14:paraId="1CE8CAE6">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0.0025</w:t>
                  </w:r>
                </w:p>
              </w:tc>
              <w:tc>
                <w:tcPr>
                  <w:tcW w:w="348" w:type="pct"/>
                  <w:tcBorders>
                    <w:top w:val="single" w:color="auto" w:sz="4" w:space="0"/>
                    <w:left w:val="single" w:color="auto" w:sz="4" w:space="0"/>
                    <w:right w:val="single" w:color="auto" w:sz="4" w:space="0"/>
                  </w:tcBorders>
                  <w:vAlign w:val="center"/>
                </w:tcPr>
                <w:p w14:paraId="37C93D1A">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0.0122</w:t>
                  </w:r>
                </w:p>
              </w:tc>
              <w:tc>
                <w:tcPr>
                  <w:tcW w:w="247" w:type="pct"/>
                  <w:tcBorders>
                    <w:top w:val="single" w:color="auto" w:sz="4" w:space="0"/>
                    <w:left w:val="single" w:color="auto" w:sz="4" w:space="0"/>
                    <w:right w:val="nil"/>
                  </w:tcBorders>
                  <w:vAlign w:val="center"/>
                </w:tcPr>
                <w:p w14:paraId="6BA4FD08">
                  <w:pPr>
                    <w:spacing w:line="320" w:lineRule="exact"/>
                    <w:ind w:left="-105" w:leftChars="-50" w:right="-105" w:rightChars="-50"/>
                    <w:jc w:val="center"/>
                    <w:rPr>
                      <w:color w:val="auto"/>
                      <w:szCs w:val="21"/>
                    </w:rPr>
                  </w:pPr>
                  <w:r>
                    <w:rPr>
                      <w:rFonts w:hint="eastAsia"/>
                      <w:color w:val="auto"/>
                      <w:szCs w:val="21"/>
                      <w:lang w:val="en-US" w:eastAsia="zh-CN"/>
                    </w:rPr>
                    <w:t>4800</w:t>
                  </w:r>
                  <w:r>
                    <w:rPr>
                      <w:rFonts w:hint="eastAsia"/>
                      <w:color w:val="auto"/>
                      <w:szCs w:val="21"/>
                    </w:rPr>
                    <w:t>h</w:t>
                  </w:r>
                </w:p>
              </w:tc>
            </w:tr>
            <w:tr w14:paraId="2AC76A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37" w:type="pct"/>
                  <w:vMerge w:val="continue"/>
                  <w:tcBorders>
                    <w:left w:val="nil"/>
                    <w:right w:val="single" w:color="auto" w:sz="4" w:space="0"/>
                  </w:tcBorders>
                  <w:vAlign w:val="center"/>
                </w:tcPr>
                <w:p w14:paraId="0687EAF3">
                  <w:pPr>
                    <w:spacing w:line="320" w:lineRule="exact"/>
                    <w:ind w:left="-105" w:leftChars="-50" w:right="-105" w:rightChars="-50"/>
                    <w:jc w:val="center"/>
                    <w:rPr>
                      <w:color w:val="auto"/>
                      <w:szCs w:val="21"/>
                    </w:rPr>
                  </w:pPr>
                </w:p>
              </w:tc>
              <w:tc>
                <w:tcPr>
                  <w:tcW w:w="227" w:type="pct"/>
                  <w:vMerge w:val="continue"/>
                  <w:tcBorders>
                    <w:left w:val="single" w:color="auto" w:sz="4" w:space="0"/>
                    <w:right w:val="single" w:color="auto" w:sz="4" w:space="0"/>
                  </w:tcBorders>
                  <w:vAlign w:val="center"/>
                </w:tcPr>
                <w:p w14:paraId="65EEFE15">
                  <w:pPr>
                    <w:spacing w:line="320" w:lineRule="exact"/>
                    <w:ind w:left="-105" w:leftChars="-50" w:right="-105" w:rightChars="-50"/>
                    <w:jc w:val="center"/>
                    <w:rPr>
                      <w:color w:val="auto"/>
                      <w:szCs w:val="21"/>
                    </w:rPr>
                  </w:pPr>
                </w:p>
              </w:tc>
              <w:tc>
                <w:tcPr>
                  <w:tcW w:w="251" w:type="pct"/>
                  <w:vMerge w:val="continue"/>
                  <w:tcBorders>
                    <w:left w:val="single" w:color="auto" w:sz="4" w:space="0"/>
                    <w:right w:val="single" w:color="auto" w:sz="4" w:space="0"/>
                  </w:tcBorders>
                  <w:vAlign w:val="center"/>
                </w:tcPr>
                <w:p w14:paraId="4EB659C0">
                  <w:pPr>
                    <w:spacing w:line="320" w:lineRule="exact"/>
                    <w:ind w:left="-105" w:leftChars="-50" w:right="-105" w:rightChars="-50"/>
                    <w:jc w:val="center"/>
                    <w:rPr>
                      <w:bCs/>
                      <w:color w:val="auto"/>
                      <w:szCs w:val="21"/>
                    </w:rPr>
                  </w:pPr>
                </w:p>
              </w:tc>
              <w:tc>
                <w:tcPr>
                  <w:tcW w:w="333" w:type="pct"/>
                  <w:vMerge w:val="continue"/>
                  <w:tcBorders>
                    <w:left w:val="single" w:color="auto" w:sz="4" w:space="0"/>
                    <w:right w:val="single" w:color="auto" w:sz="4" w:space="0"/>
                  </w:tcBorders>
                  <w:vAlign w:val="center"/>
                </w:tcPr>
                <w:p w14:paraId="179A26D9">
                  <w:pPr>
                    <w:spacing w:line="320" w:lineRule="exact"/>
                    <w:ind w:left="-105" w:leftChars="-50" w:right="-105" w:rightChars="-50"/>
                    <w:jc w:val="center"/>
                    <w:rPr>
                      <w:color w:val="auto"/>
                      <w:szCs w:val="21"/>
                    </w:rPr>
                  </w:pPr>
                </w:p>
              </w:tc>
              <w:tc>
                <w:tcPr>
                  <w:tcW w:w="223" w:type="pct"/>
                  <w:vMerge w:val="continue"/>
                  <w:tcBorders>
                    <w:left w:val="single" w:color="auto" w:sz="4" w:space="0"/>
                    <w:right w:val="single" w:color="auto" w:sz="4" w:space="0"/>
                  </w:tcBorders>
                  <w:vAlign w:val="center"/>
                </w:tcPr>
                <w:p w14:paraId="3BE3DB62">
                  <w:pPr>
                    <w:spacing w:line="320" w:lineRule="exact"/>
                    <w:ind w:left="-105" w:leftChars="-50" w:right="-105" w:rightChars="-50"/>
                    <w:jc w:val="center"/>
                    <w:rPr>
                      <w:color w:val="auto"/>
                      <w:szCs w:val="21"/>
                    </w:rPr>
                  </w:pPr>
                </w:p>
              </w:tc>
              <w:tc>
                <w:tcPr>
                  <w:tcW w:w="333" w:type="pct"/>
                  <w:vMerge w:val="continue"/>
                  <w:tcBorders>
                    <w:left w:val="single" w:color="auto" w:sz="4" w:space="0"/>
                    <w:right w:val="single" w:color="auto" w:sz="4" w:space="0"/>
                  </w:tcBorders>
                  <w:vAlign w:val="center"/>
                </w:tcPr>
                <w:p w14:paraId="13B26C52">
                  <w:pPr>
                    <w:spacing w:line="320" w:lineRule="exact"/>
                    <w:ind w:left="-105" w:leftChars="-50" w:right="-105" w:rightChars="-50"/>
                    <w:jc w:val="center"/>
                    <w:rPr>
                      <w:color w:val="auto"/>
                      <w:szCs w:val="21"/>
                    </w:rPr>
                  </w:pPr>
                </w:p>
              </w:tc>
              <w:tc>
                <w:tcPr>
                  <w:tcW w:w="278" w:type="pct"/>
                  <w:vMerge w:val="continue"/>
                  <w:tcBorders>
                    <w:left w:val="single" w:color="auto" w:sz="4" w:space="0"/>
                    <w:right w:val="single" w:color="auto" w:sz="4" w:space="0"/>
                  </w:tcBorders>
                  <w:vAlign w:val="center"/>
                </w:tcPr>
                <w:p w14:paraId="4135A7BD">
                  <w:pPr>
                    <w:spacing w:line="320" w:lineRule="exact"/>
                    <w:ind w:left="-105" w:leftChars="-50" w:right="-105" w:rightChars="-50"/>
                    <w:jc w:val="center"/>
                    <w:rPr>
                      <w:color w:val="auto"/>
                      <w:szCs w:val="21"/>
                    </w:rPr>
                  </w:pPr>
                </w:p>
              </w:tc>
              <w:tc>
                <w:tcPr>
                  <w:tcW w:w="278" w:type="pct"/>
                  <w:tcBorders>
                    <w:left w:val="single" w:color="auto" w:sz="4" w:space="0"/>
                    <w:right w:val="single" w:color="auto" w:sz="4" w:space="0"/>
                  </w:tcBorders>
                  <w:vAlign w:val="center"/>
                </w:tcPr>
                <w:p w14:paraId="328D3550">
                  <w:pPr>
                    <w:spacing w:line="320" w:lineRule="exact"/>
                    <w:ind w:left="-105" w:leftChars="-50" w:right="-105" w:rightChars="-50"/>
                    <w:jc w:val="center"/>
                    <w:rPr>
                      <w:color w:val="auto"/>
                      <w:szCs w:val="21"/>
                    </w:rPr>
                  </w:pPr>
                  <w:r>
                    <w:rPr>
                      <w:rFonts w:hint="eastAsia"/>
                      <w:color w:val="auto"/>
                      <w:szCs w:val="21"/>
                    </w:rPr>
                    <w:t>无组织</w:t>
                  </w:r>
                </w:p>
              </w:tc>
              <w:tc>
                <w:tcPr>
                  <w:tcW w:w="835" w:type="pct"/>
                  <w:tcBorders>
                    <w:left w:val="single" w:color="auto" w:sz="4" w:space="0"/>
                    <w:right w:val="single" w:color="auto" w:sz="4" w:space="0"/>
                  </w:tcBorders>
                  <w:vAlign w:val="center"/>
                </w:tcPr>
                <w:p w14:paraId="79C2DD3C">
                  <w:pPr>
                    <w:spacing w:line="320" w:lineRule="exact"/>
                    <w:jc w:val="center"/>
                    <w:rPr>
                      <w:color w:val="auto"/>
                      <w:szCs w:val="21"/>
                    </w:rPr>
                  </w:pPr>
                  <w:r>
                    <w:rPr>
                      <w:rFonts w:hint="eastAsia"/>
                      <w:color w:val="auto"/>
                      <w:szCs w:val="21"/>
                    </w:rPr>
                    <w:t>加强管理、厂区通风</w:t>
                  </w:r>
                </w:p>
              </w:tc>
              <w:tc>
                <w:tcPr>
                  <w:tcW w:w="222" w:type="pct"/>
                  <w:vMerge w:val="continue"/>
                  <w:tcBorders>
                    <w:left w:val="single" w:color="auto" w:sz="4" w:space="0"/>
                    <w:right w:val="single" w:color="auto" w:sz="4" w:space="0"/>
                  </w:tcBorders>
                  <w:vAlign w:val="center"/>
                </w:tcPr>
                <w:p w14:paraId="6C11BE53">
                  <w:pPr>
                    <w:spacing w:line="320" w:lineRule="exact"/>
                    <w:ind w:left="-105" w:leftChars="-50" w:right="-105" w:rightChars="-50"/>
                    <w:jc w:val="center"/>
                    <w:rPr>
                      <w:color w:val="auto"/>
                      <w:szCs w:val="21"/>
                    </w:rPr>
                  </w:pPr>
                </w:p>
              </w:tc>
              <w:tc>
                <w:tcPr>
                  <w:tcW w:w="223" w:type="pct"/>
                  <w:vMerge w:val="continue"/>
                  <w:tcBorders>
                    <w:left w:val="single" w:color="auto" w:sz="4" w:space="0"/>
                    <w:right w:val="single" w:color="auto" w:sz="4" w:space="0"/>
                  </w:tcBorders>
                  <w:vAlign w:val="center"/>
                </w:tcPr>
                <w:p w14:paraId="498D1F88">
                  <w:pPr>
                    <w:spacing w:line="320" w:lineRule="exact"/>
                    <w:ind w:left="-105" w:leftChars="-50" w:right="-105" w:rightChars="-50"/>
                    <w:jc w:val="center"/>
                    <w:rPr>
                      <w:color w:val="auto"/>
                      <w:szCs w:val="21"/>
                      <w:highlight w:val="none"/>
                    </w:rPr>
                  </w:pPr>
                </w:p>
              </w:tc>
              <w:tc>
                <w:tcPr>
                  <w:tcW w:w="333" w:type="pct"/>
                  <w:tcBorders>
                    <w:left w:val="single" w:color="auto" w:sz="4" w:space="0"/>
                    <w:right w:val="single" w:color="auto" w:sz="4" w:space="0"/>
                  </w:tcBorders>
                  <w:vAlign w:val="center"/>
                </w:tcPr>
                <w:p w14:paraId="6F82B3E4">
                  <w:pPr>
                    <w:spacing w:line="320" w:lineRule="exact"/>
                    <w:ind w:left="-105" w:leftChars="-50" w:right="-105" w:rightChars="-50"/>
                    <w:jc w:val="center"/>
                    <w:rPr>
                      <w:color w:val="auto"/>
                      <w:szCs w:val="21"/>
                    </w:rPr>
                  </w:pPr>
                  <w:r>
                    <w:rPr>
                      <w:color w:val="auto"/>
                      <w:szCs w:val="21"/>
                    </w:rPr>
                    <w:sym w:font="Wingdings" w:char="00FE"/>
                  </w:r>
                  <w:r>
                    <w:rPr>
                      <w:color w:val="auto"/>
                      <w:szCs w:val="21"/>
                    </w:rPr>
                    <w:t>是</w:t>
                  </w:r>
                </w:p>
                <w:p w14:paraId="3C996177">
                  <w:pPr>
                    <w:spacing w:line="320" w:lineRule="exact"/>
                    <w:ind w:left="-105" w:leftChars="-50" w:right="-105" w:rightChars="-50"/>
                    <w:jc w:val="center"/>
                    <w:rPr>
                      <w:color w:val="auto"/>
                      <w:szCs w:val="21"/>
                    </w:rPr>
                  </w:pPr>
                  <w:r>
                    <w:rPr>
                      <w:color w:val="auto"/>
                      <w:szCs w:val="21"/>
                    </w:rPr>
                    <w:sym w:font="Wingdings" w:char="00A8"/>
                  </w:r>
                  <w:r>
                    <w:rPr>
                      <w:color w:val="auto"/>
                      <w:szCs w:val="21"/>
                    </w:rPr>
                    <w:t xml:space="preserve"> 否</w:t>
                  </w:r>
                </w:p>
              </w:tc>
              <w:tc>
                <w:tcPr>
                  <w:tcW w:w="390" w:type="pct"/>
                  <w:tcBorders>
                    <w:left w:val="single" w:color="auto" w:sz="4" w:space="0"/>
                    <w:right w:val="single" w:color="auto" w:sz="4" w:space="0"/>
                  </w:tcBorders>
                  <w:vAlign w:val="center"/>
                </w:tcPr>
                <w:p w14:paraId="0A5350C2">
                  <w:pPr>
                    <w:spacing w:line="320" w:lineRule="exact"/>
                    <w:ind w:left="-105" w:leftChars="-50" w:right="-105" w:rightChars="-50"/>
                    <w:jc w:val="center"/>
                    <w:rPr>
                      <w:color w:val="auto"/>
                      <w:szCs w:val="21"/>
                    </w:rPr>
                  </w:pPr>
                  <w:r>
                    <w:rPr>
                      <w:rFonts w:hint="eastAsia"/>
                      <w:color w:val="auto"/>
                      <w:szCs w:val="21"/>
                    </w:rPr>
                    <w:t>/</w:t>
                  </w:r>
                </w:p>
              </w:tc>
              <w:tc>
                <w:tcPr>
                  <w:tcW w:w="333" w:type="pct"/>
                  <w:tcBorders>
                    <w:left w:val="single" w:color="auto" w:sz="4" w:space="0"/>
                    <w:right w:val="single" w:color="auto" w:sz="4" w:space="0"/>
                  </w:tcBorders>
                  <w:vAlign w:val="center"/>
                </w:tcPr>
                <w:p w14:paraId="63107535">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0.0028</w:t>
                  </w:r>
                </w:p>
              </w:tc>
              <w:tc>
                <w:tcPr>
                  <w:tcW w:w="348" w:type="pct"/>
                  <w:tcBorders>
                    <w:left w:val="single" w:color="auto" w:sz="4" w:space="0"/>
                    <w:right w:val="single" w:color="auto" w:sz="4" w:space="0"/>
                  </w:tcBorders>
                  <w:vAlign w:val="center"/>
                </w:tcPr>
                <w:p w14:paraId="5BAEF820">
                  <w:pPr>
                    <w:spacing w:line="320" w:lineRule="exact"/>
                    <w:ind w:left="-105" w:leftChars="-50" w:right="-105" w:rightChars="-50"/>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136</w:t>
                  </w:r>
                </w:p>
              </w:tc>
              <w:tc>
                <w:tcPr>
                  <w:tcW w:w="247" w:type="pct"/>
                  <w:tcBorders>
                    <w:left w:val="single" w:color="auto" w:sz="4" w:space="0"/>
                    <w:right w:val="nil"/>
                  </w:tcBorders>
                  <w:vAlign w:val="center"/>
                </w:tcPr>
                <w:p w14:paraId="51844CD7">
                  <w:pPr>
                    <w:spacing w:line="320" w:lineRule="exact"/>
                    <w:ind w:left="-105" w:leftChars="-50" w:right="-105" w:rightChars="-50"/>
                    <w:jc w:val="center"/>
                    <w:rPr>
                      <w:color w:val="auto"/>
                      <w:szCs w:val="21"/>
                    </w:rPr>
                  </w:pPr>
                  <w:r>
                    <w:rPr>
                      <w:rFonts w:hint="eastAsia"/>
                      <w:color w:val="auto"/>
                      <w:szCs w:val="21"/>
                      <w:lang w:val="en-US" w:eastAsia="zh-CN"/>
                    </w:rPr>
                    <w:t>4800</w:t>
                  </w:r>
                  <w:r>
                    <w:rPr>
                      <w:rFonts w:hint="eastAsia"/>
                      <w:color w:val="auto"/>
                      <w:szCs w:val="21"/>
                    </w:rPr>
                    <w:t>h</w:t>
                  </w:r>
                </w:p>
              </w:tc>
            </w:tr>
            <w:tr w14:paraId="445A09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9" w:hRule="atLeast"/>
                <w:jc w:val="center"/>
              </w:trPr>
              <w:tc>
                <w:tcPr>
                  <w:tcW w:w="137" w:type="pct"/>
                  <w:vMerge w:val="restart"/>
                  <w:tcBorders>
                    <w:left w:val="nil"/>
                    <w:right w:val="single" w:color="auto" w:sz="4" w:space="0"/>
                  </w:tcBorders>
                  <w:vAlign w:val="center"/>
                </w:tcPr>
                <w:p w14:paraId="244F4EB1">
                  <w:pPr>
                    <w:spacing w:line="320" w:lineRule="exact"/>
                    <w:ind w:left="-105" w:leftChars="-50" w:right="-105" w:rightChars="-50"/>
                    <w:jc w:val="center"/>
                    <w:rPr>
                      <w:color w:val="auto"/>
                      <w:szCs w:val="21"/>
                    </w:rPr>
                  </w:pPr>
                  <w:r>
                    <w:rPr>
                      <w:rFonts w:hint="eastAsia"/>
                      <w:color w:val="auto"/>
                      <w:szCs w:val="21"/>
                    </w:rPr>
                    <w:t>2</w:t>
                  </w:r>
                </w:p>
              </w:tc>
              <w:tc>
                <w:tcPr>
                  <w:tcW w:w="227" w:type="pct"/>
                  <w:vMerge w:val="restart"/>
                  <w:tcBorders>
                    <w:left w:val="single" w:color="auto" w:sz="4" w:space="0"/>
                    <w:right w:val="single" w:color="auto" w:sz="4" w:space="0"/>
                  </w:tcBorders>
                  <w:vAlign w:val="center"/>
                </w:tcPr>
                <w:p w14:paraId="555EFEC1">
                  <w:pPr>
                    <w:spacing w:line="320" w:lineRule="exact"/>
                    <w:ind w:left="-105" w:leftChars="-50" w:right="-105" w:rightChars="-50"/>
                    <w:jc w:val="center"/>
                    <w:rPr>
                      <w:color w:val="auto"/>
                      <w:szCs w:val="21"/>
                    </w:rPr>
                  </w:pPr>
                  <w:r>
                    <w:rPr>
                      <w:rFonts w:hint="eastAsia"/>
                      <w:color w:val="auto"/>
                      <w:szCs w:val="21"/>
                      <w:lang w:val="en-US" w:eastAsia="zh-CN"/>
                    </w:rPr>
                    <w:t>2</w:t>
                  </w:r>
                  <w:r>
                    <w:rPr>
                      <w:rFonts w:hint="eastAsia"/>
                      <w:color w:val="auto"/>
                      <w:szCs w:val="21"/>
                    </w:rPr>
                    <w:t>#生产车间</w:t>
                  </w:r>
                </w:p>
              </w:tc>
              <w:tc>
                <w:tcPr>
                  <w:tcW w:w="251" w:type="pct"/>
                  <w:vMerge w:val="restart"/>
                  <w:tcBorders>
                    <w:left w:val="single" w:color="auto" w:sz="4" w:space="0"/>
                    <w:right w:val="single" w:color="auto" w:sz="4" w:space="0"/>
                  </w:tcBorders>
                  <w:vAlign w:val="center"/>
                </w:tcPr>
                <w:p w14:paraId="5338BA67">
                  <w:pPr>
                    <w:spacing w:line="320" w:lineRule="exact"/>
                    <w:ind w:left="-105" w:leftChars="-50" w:right="-105" w:rightChars="-50"/>
                    <w:jc w:val="center"/>
                    <w:rPr>
                      <w:bCs/>
                      <w:color w:val="auto"/>
                      <w:szCs w:val="21"/>
                    </w:rPr>
                  </w:pPr>
                  <w:r>
                    <w:rPr>
                      <w:rFonts w:hint="eastAsia"/>
                      <w:bCs/>
                      <w:color w:val="auto"/>
                      <w:szCs w:val="21"/>
                      <w:lang w:val="en-US" w:eastAsia="zh-CN"/>
                    </w:rPr>
                    <w:t>裱糊、粘合</w:t>
                  </w:r>
                </w:p>
              </w:tc>
              <w:tc>
                <w:tcPr>
                  <w:tcW w:w="333" w:type="pct"/>
                  <w:vMerge w:val="restart"/>
                  <w:tcBorders>
                    <w:left w:val="single" w:color="auto" w:sz="4" w:space="0"/>
                    <w:right w:val="single" w:color="auto" w:sz="4" w:space="0"/>
                  </w:tcBorders>
                  <w:vAlign w:val="center"/>
                </w:tcPr>
                <w:p w14:paraId="182342C9">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人工组装生产线、全自动包装生产线</w:t>
                  </w:r>
                </w:p>
              </w:tc>
              <w:tc>
                <w:tcPr>
                  <w:tcW w:w="223" w:type="pct"/>
                  <w:vMerge w:val="restart"/>
                  <w:tcBorders>
                    <w:left w:val="single" w:color="auto" w:sz="4" w:space="0"/>
                    <w:right w:val="single" w:color="auto" w:sz="4" w:space="0"/>
                  </w:tcBorders>
                  <w:vAlign w:val="center"/>
                </w:tcPr>
                <w:p w14:paraId="551097F2">
                  <w:pPr>
                    <w:spacing w:line="320" w:lineRule="exact"/>
                    <w:ind w:left="-105" w:leftChars="-50" w:right="-105" w:rightChars="-50"/>
                    <w:jc w:val="center"/>
                    <w:rPr>
                      <w:color w:val="auto"/>
                      <w:szCs w:val="21"/>
                    </w:rPr>
                  </w:pPr>
                  <w:r>
                    <w:rPr>
                      <w:rFonts w:hint="eastAsia"/>
                      <w:color w:val="auto"/>
                      <w:szCs w:val="21"/>
                    </w:rPr>
                    <w:t>有机</w:t>
                  </w:r>
                </w:p>
                <w:p w14:paraId="786BFF48">
                  <w:pPr>
                    <w:spacing w:line="320" w:lineRule="exact"/>
                    <w:ind w:left="-105" w:leftChars="-50" w:right="-105" w:rightChars="-50"/>
                    <w:jc w:val="center"/>
                    <w:rPr>
                      <w:color w:val="auto"/>
                      <w:szCs w:val="21"/>
                    </w:rPr>
                  </w:pPr>
                  <w:r>
                    <w:rPr>
                      <w:rFonts w:hint="eastAsia"/>
                      <w:color w:val="auto"/>
                      <w:szCs w:val="21"/>
                    </w:rPr>
                    <w:t>废气</w:t>
                  </w:r>
                </w:p>
              </w:tc>
              <w:tc>
                <w:tcPr>
                  <w:tcW w:w="333" w:type="pct"/>
                  <w:vMerge w:val="restart"/>
                  <w:tcBorders>
                    <w:left w:val="single" w:color="auto" w:sz="4" w:space="0"/>
                    <w:right w:val="single" w:color="auto" w:sz="4" w:space="0"/>
                  </w:tcBorders>
                  <w:vAlign w:val="center"/>
                </w:tcPr>
                <w:p w14:paraId="79221E51">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0.0208</w:t>
                  </w:r>
                </w:p>
              </w:tc>
              <w:tc>
                <w:tcPr>
                  <w:tcW w:w="278" w:type="pct"/>
                  <w:vMerge w:val="restart"/>
                  <w:tcBorders>
                    <w:left w:val="single" w:color="auto" w:sz="4" w:space="0"/>
                    <w:right w:val="single" w:color="auto" w:sz="4" w:space="0"/>
                  </w:tcBorders>
                  <w:vAlign w:val="center"/>
                </w:tcPr>
                <w:p w14:paraId="4C3C3E91">
                  <w:pPr>
                    <w:spacing w:line="320" w:lineRule="exact"/>
                    <w:ind w:left="-105" w:leftChars="-50" w:right="-105" w:rightChars="-50"/>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997</w:t>
                  </w:r>
                </w:p>
              </w:tc>
              <w:tc>
                <w:tcPr>
                  <w:tcW w:w="278" w:type="pct"/>
                  <w:tcBorders>
                    <w:left w:val="single" w:color="auto" w:sz="4" w:space="0"/>
                    <w:right w:val="single" w:color="auto" w:sz="4" w:space="0"/>
                  </w:tcBorders>
                  <w:vAlign w:val="center"/>
                </w:tcPr>
                <w:p w14:paraId="53FA4542">
                  <w:pPr>
                    <w:spacing w:line="320" w:lineRule="exact"/>
                    <w:ind w:left="-105" w:leftChars="-50" w:right="-105" w:rightChars="-50"/>
                    <w:jc w:val="center"/>
                    <w:rPr>
                      <w:color w:val="auto"/>
                      <w:szCs w:val="21"/>
                    </w:rPr>
                  </w:pPr>
                  <w:r>
                    <w:rPr>
                      <w:rFonts w:hint="eastAsia"/>
                      <w:color w:val="auto"/>
                      <w:szCs w:val="21"/>
                    </w:rPr>
                    <w:t>有组织</w:t>
                  </w:r>
                </w:p>
              </w:tc>
              <w:tc>
                <w:tcPr>
                  <w:tcW w:w="835" w:type="pct"/>
                  <w:tcBorders>
                    <w:left w:val="single" w:color="auto" w:sz="4" w:space="0"/>
                    <w:right w:val="single" w:color="auto" w:sz="4" w:space="0"/>
                  </w:tcBorders>
                  <w:vAlign w:val="center"/>
                </w:tcPr>
                <w:p w14:paraId="1B502EA2">
                  <w:pPr>
                    <w:spacing w:line="320" w:lineRule="exact"/>
                    <w:jc w:val="center"/>
                    <w:rPr>
                      <w:color w:val="auto"/>
                      <w:szCs w:val="21"/>
                    </w:rPr>
                  </w:pPr>
                  <w:r>
                    <w:rPr>
                      <w:rFonts w:hint="eastAsia"/>
                      <w:color w:val="auto"/>
                      <w:szCs w:val="21"/>
                      <w:lang w:val="en-US" w:eastAsia="zh-CN"/>
                    </w:rPr>
                    <w:t>密闭罩</w:t>
                  </w:r>
                  <w:r>
                    <w:rPr>
                      <w:rFonts w:hint="eastAsia"/>
                      <w:color w:val="auto"/>
                      <w:szCs w:val="21"/>
                    </w:rPr>
                    <w:t>+</w:t>
                  </w:r>
                  <w:r>
                    <w:rPr>
                      <w:rFonts w:hint="eastAsia"/>
                      <w:color w:val="auto"/>
                    </w:rPr>
                    <w:t>两级</w:t>
                  </w:r>
                  <w:r>
                    <w:rPr>
                      <w:color w:val="auto"/>
                    </w:rPr>
                    <w:t>活性炭吸附装置</w:t>
                  </w:r>
                  <w:r>
                    <w:rPr>
                      <w:rFonts w:hint="eastAsia"/>
                      <w:color w:val="auto"/>
                    </w:rPr>
                    <w:t>（TA</w:t>
                  </w:r>
                  <w:r>
                    <w:rPr>
                      <w:color w:val="auto"/>
                    </w:rPr>
                    <w:t>0</w:t>
                  </w:r>
                  <w:r>
                    <w:rPr>
                      <w:rFonts w:hint="eastAsia"/>
                      <w:color w:val="auto"/>
                    </w:rPr>
                    <w:t>02）风机风量</w:t>
                  </w:r>
                  <w:r>
                    <w:rPr>
                      <w:rFonts w:hint="eastAsia"/>
                      <w:color w:val="auto"/>
                      <w:lang w:val="en-US" w:eastAsia="zh-CN"/>
                    </w:rPr>
                    <w:t>8</w:t>
                  </w:r>
                  <w:r>
                    <w:rPr>
                      <w:rFonts w:hint="eastAsia"/>
                      <w:color w:val="auto"/>
                    </w:rPr>
                    <w:t>000m</w:t>
                  </w:r>
                  <w:r>
                    <w:rPr>
                      <w:rFonts w:hint="eastAsia"/>
                      <w:color w:val="auto"/>
                      <w:vertAlign w:val="superscript"/>
                    </w:rPr>
                    <w:t>3</w:t>
                  </w:r>
                  <w:r>
                    <w:rPr>
                      <w:rFonts w:hint="eastAsia"/>
                      <w:color w:val="auto"/>
                    </w:rPr>
                    <w:t>/h</w:t>
                  </w:r>
                  <w:r>
                    <w:rPr>
                      <w:rFonts w:hint="eastAsia"/>
                      <w:color w:val="auto"/>
                      <w:szCs w:val="21"/>
                    </w:rPr>
                    <w:t>+</w:t>
                  </w:r>
                  <w:r>
                    <w:rPr>
                      <w:color w:val="auto"/>
                      <w:szCs w:val="21"/>
                    </w:rPr>
                    <w:t>15</w:t>
                  </w:r>
                  <w:r>
                    <w:rPr>
                      <w:rFonts w:hint="eastAsia"/>
                      <w:color w:val="auto"/>
                      <w:szCs w:val="21"/>
                    </w:rPr>
                    <w:t>m</w:t>
                  </w:r>
                  <w:r>
                    <w:rPr>
                      <w:color w:val="auto"/>
                      <w:szCs w:val="21"/>
                    </w:rPr>
                    <w:t>排气筒（</w:t>
                  </w:r>
                  <w:r>
                    <w:rPr>
                      <w:rFonts w:hint="eastAsia"/>
                      <w:color w:val="auto"/>
                      <w:szCs w:val="21"/>
                    </w:rPr>
                    <w:t>DA</w:t>
                  </w:r>
                  <w:r>
                    <w:rPr>
                      <w:color w:val="auto"/>
                      <w:szCs w:val="21"/>
                    </w:rPr>
                    <w:t>0</w:t>
                  </w:r>
                  <w:r>
                    <w:rPr>
                      <w:rFonts w:hint="eastAsia"/>
                      <w:color w:val="auto"/>
                      <w:szCs w:val="21"/>
                    </w:rPr>
                    <w:t>02</w:t>
                  </w:r>
                  <w:r>
                    <w:rPr>
                      <w:color w:val="auto"/>
                      <w:szCs w:val="21"/>
                    </w:rPr>
                    <w:t>）</w:t>
                  </w:r>
                </w:p>
              </w:tc>
              <w:tc>
                <w:tcPr>
                  <w:tcW w:w="222" w:type="pct"/>
                  <w:vMerge w:val="restart"/>
                  <w:tcBorders>
                    <w:left w:val="single" w:color="auto" w:sz="4" w:space="0"/>
                    <w:right w:val="single" w:color="auto" w:sz="4" w:space="0"/>
                  </w:tcBorders>
                  <w:vAlign w:val="center"/>
                </w:tcPr>
                <w:p w14:paraId="0D071871">
                  <w:pPr>
                    <w:spacing w:line="320" w:lineRule="exact"/>
                    <w:ind w:left="-105" w:leftChars="-50" w:right="-105" w:rightChars="-50"/>
                    <w:jc w:val="center"/>
                    <w:rPr>
                      <w:color w:val="auto"/>
                      <w:szCs w:val="21"/>
                    </w:rPr>
                  </w:pPr>
                  <w:r>
                    <w:rPr>
                      <w:rFonts w:hint="eastAsia"/>
                      <w:color w:val="auto"/>
                      <w:szCs w:val="21"/>
                      <w:lang w:val="en-US" w:eastAsia="zh-CN"/>
                    </w:rPr>
                    <w:t>90</w:t>
                  </w:r>
                  <w:r>
                    <w:rPr>
                      <w:rFonts w:hint="eastAsia"/>
                      <w:color w:val="auto"/>
                      <w:szCs w:val="21"/>
                    </w:rPr>
                    <w:t>%</w:t>
                  </w:r>
                </w:p>
              </w:tc>
              <w:tc>
                <w:tcPr>
                  <w:tcW w:w="223" w:type="pct"/>
                  <w:vMerge w:val="restart"/>
                  <w:tcBorders>
                    <w:left w:val="single" w:color="auto" w:sz="4" w:space="0"/>
                    <w:right w:val="single" w:color="auto" w:sz="4" w:space="0"/>
                  </w:tcBorders>
                  <w:vAlign w:val="center"/>
                </w:tcPr>
                <w:p w14:paraId="3CB19E22">
                  <w:pPr>
                    <w:spacing w:line="320" w:lineRule="exact"/>
                    <w:ind w:left="-105" w:leftChars="-50" w:right="-105" w:rightChars="-50"/>
                    <w:jc w:val="center"/>
                    <w:rPr>
                      <w:color w:val="auto"/>
                      <w:szCs w:val="21"/>
                      <w:highlight w:val="none"/>
                    </w:rPr>
                  </w:pPr>
                  <w:r>
                    <w:rPr>
                      <w:rFonts w:hint="eastAsia"/>
                      <w:color w:val="auto"/>
                      <w:szCs w:val="21"/>
                      <w:highlight w:val="none"/>
                      <w:lang w:val="en-US" w:eastAsia="zh-CN"/>
                    </w:rPr>
                    <w:t>90</w:t>
                  </w:r>
                  <w:r>
                    <w:rPr>
                      <w:rFonts w:hint="eastAsia"/>
                      <w:color w:val="auto"/>
                      <w:szCs w:val="21"/>
                      <w:highlight w:val="none"/>
                    </w:rPr>
                    <w:t>%</w:t>
                  </w:r>
                </w:p>
              </w:tc>
              <w:tc>
                <w:tcPr>
                  <w:tcW w:w="333" w:type="pct"/>
                  <w:tcBorders>
                    <w:left w:val="single" w:color="auto" w:sz="4" w:space="0"/>
                    <w:right w:val="single" w:color="auto" w:sz="4" w:space="0"/>
                  </w:tcBorders>
                  <w:vAlign w:val="center"/>
                </w:tcPr>
                <w:p w14:paraId="3829F3FA">
                  <w:pPr>
                    <w:spacing w:line="320" w:lineRule="exact"/>
                    <w:ind w:left="-105" w:leftChars="-50" w:right="-105" w:rightChars="-50"/>
                    <w:jc w:val="center"/>
                    <w:rPr>
                      <w:color w:val="auto"/>
                      <w:szCs w:val="21"/>
                    </w:rPr>
                  </w:pPr>
                  <w:r>
                    <w:rPr>
                      <w:color w:val="auto"/>
                      <w:szCs w:val="21"/>
                    </w:rPr>
                    <w:sym w:font="Wingdings" w:char="00FE"/>
                  </w:r>
                  <w:r>
                    <w:rPr>
                      <w:color w:val="auto"/>
                      <w:szCs w:val="21"/>
                    </w:rPr>
                    <w:t>是</w:t>
                  </w:r>
                </w:p>
                <w:p w14:paraId="7801C69B">
                  <w:pPr>
                    <w:spacing w:line="320" w:lineRule="exact"/>
                    <w:ind w:left="-105" w:leftChars="-50" w:right="-105" w:rightChars="-50"/>
                    <w:jc w:val="center"/>
                    <w:rPr>
                      <w:color w:val="auto"/>
                      <w:szCs w:val="21"/>
                    </w:rPr>
                  </w:pPr>
                  <w:r>
                    <w:rPr>
                      <w:color w:val="auto"/>
                      <w:szCs w:val="21"/>
                    </w:rPr>
                    <w:sym w:font="Wingdings" w:char="00A8"/>
                  </w:r>
                  <w:r>
                    <w:rPr>
                      <w:color w:val="auto"/>
                      <w:szCs w:val="21"/>
                    </w:rPr>
                    <w:t xml:space="preserve"> 否</w:t>
                  </w:r>
                </w:p>
              </w:tc>
              <w:tc>
                <w:tcPr>
                  <w:tcW w:w="390" w:type="pct"/>
                  <w:tcBorders>
                    <w:left w:val="single" w:color="auto" w:sz="4" w:space="0"/>
                    <w:right w:val="single" w:color="auto" w:sz="4" w:space="0"/>
                  </w:tcBorders>
                  <w:vAlign w:val="center"/>
                </w:tcPr>
                <w:p w14:paraId="17923D6C">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0.24</w:t>
                  </w:r>
                </w:p>
              </w:tc>
              <w:tc>
                <w:tcPr>
                  <w:tcW w:w="333" w:type="pct"/>
                  <w:tcBorders>
                    <w:left w:val="single" w:color="auto" w:sz="4" w:space="0"/>
                    <w:right w:val="single" w:color="auto" w:sz="4" w:space="0"/>
                  </w:tcBorders>
                  <w:vAlign w:val="center"/>
                </w:tcPr>
                <w:p w14:paraId="0E71B2D5">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0.0019</w:t>
                  </w:r>
                </w:p>
              </w:tc>
              <w:tc>
                <w:tcPr>
                  <w:tcW w:w="348" w:type="pct"/>
                  <w:tcBorders>
                    <w:left w:val="single" w:color="auto" w:sz="4" w:space="0"/>
                    <w:right w:val="single" w:color="auto" w:sz="4" w:space="0"/>
                  </w:tcBorders>
                  <w:vAlign w:val="center"/>
                </w:tcPr>
                <w:p w14:paraId="1FE5EEEE">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0.0090</w:t>
                  </w:r>
                </w:p>
              </w:tc>
              <w:tc>
                <w:tcPr>
                  <w:tcW w:w="247" w:type="pct"/>
                  <w:tcBorders>
                    <w:left w:val="single" w:color="auto" w:sz="4" w:space="0"/>
                    <w:right w:val="nil"/>
                  </w:tcBorders>
                  <w:vAlign w:val="center"/>
                </w:tcPr>
                <w:p w14:paraId="348622B0">
                  <w:pPr>
                    <w:spacing w:line="320" w:lineRule="exact"/>
                    <w:ind w:left="-105" w:leftChars="-50" w:right="-105" w:rightChars="-50"/>
                    <w:jc w:val="center"/>
                    <w:rPr>
                      <w:color w:val="auto"/>
                      <w:szCs w:val="21"/>
                    </w:rPr>
                  </w:pPr>
                  <w:r>
                    <w:rPr>
                      <w:rFonts w:hint="eastAsia"/>
                      <w:color w:val="auto"/>
                      <w:szCs w:val="21"/>
                      <w:lang w:val="en-US" w:eastAsia="zh-CN"/>
                    </w:rPr>
                    <w:t>4800</w:t>
                  </w:r>
                  <w:r>
                    <w:rPr>
                      <w:rFonts w:hint="eastAsia"/>
                      <w:color w:val="auto"/>
                      <w:szCs w:val="21"/>
                    </w:rPr>
                    <w:t>h</w:t>
                  </w:r>
                </w:p>
              </w:tc>
            </w:tr>
            <w:tr w14:paraId="00E4C0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9" w:hRule="atLeast"/>
                <w:jc w:val="center"/>
              </w:trPr>
              <w:tc>
                <w:tcPr>
                  <w:tcW w:w="137" w:type="pct"/>
                  <w:vMerge w:val="continue"/>
                  <w:tcBorders>
                    <w:left w:val="nil"/>
                    <w:right w:val="single" w:color="auto" w:sz="4" w:space="0"/>
                  </w:tcBorders>
                  <w:vAlign w:val="center"/>
                </w:tcPr>
                <w:p w14:paraId="7FE76A77">
                  <w:pPr>
                    <w:spacing w:line="320" w:lineRule="exact"/>
                    <w:ind w:left="-105" w:leftChars="-50" w:right="-105" w:rightChars="-50"/>
                    <w:jc w:val="center"/>
                    <w:rPr>
                      <w:color w:val="auto"/>
                      <w:szCs w:val="21"/>
                    </w:rPr>
                  </w:pPr>
                </w:p>
              </w:tc>
              <w:tc>
                <w:tcPr>
                  <w:tcW w:w="227" w:type="pct"/>
                  <w:vMerge w:val="continue"/>
                  <w:tcBorders>
                    <w:left w:val="single" w:color="auto" w:sz="4" w:space="0"/>
                    <w:right w:val="single" w:color="auto" w:sz="4" w:space="0"/>
                  </w:tcBorders>
                  <w:vAlign w:val="center"/>
                </w:tcPr>
                <w:p w14:paraId="0441D9CC">
                  <w:pPr>
                    <w:spacing w:line="320" w:lineRule="exact"/>
                    <w:ind w:left="-105" w:leftChars="-50" w:right="-105" w:rightChars="-50"/>
                    <w:jc w:val="center"/>
                    <w:rPr>
                      <w:color w:val="auto"/>
                      <w:szCs w:val="21"/>
                    </w:rPr>
                  </w:pPr>
                </w:p>
              </w:tc>
              <w:tc>
                <w:tcPr>
                  <w:tcW w:w="251" w:type="pct"/>
                  <w:vMerge w:val="continue"/>
                  <w:tcBorders>
                    <w:left w:val="single" w:color="auto" w:sz="4" w:space="0"/>
                    <w:right w:val="single" w:color="auto" w:sz="4" w:space="0"/>
                  </w:tcBorders>
                  <w:vAlign w:val="center"/>
                </w:tcPr>
                <w:p w14:paraId="2A4E8D8B">
                  <w:pPr>
                    <w:spacing w:line="320" w:lineRule="exact"/>
                    <w:ind w:left="-105" w:leftChars="-50" w:right="-105" w:rightChars="-50"/>
                    <w:jc w:val="center"/>
                    <w:rPr>
                      <w:bCs/>
                      <w:color w:val="auto"/>
                      <w:szCs w:val="21"/>
                    </w:rPr>
                  </w:pPr>
                </w:p>
              </w:tc>
              <w:tc>
                <w:tcPr>
                  <w:tcW w:w="333" w:type="pct"/>
                  <w:vMerge w:val="continue"/>
                  <w:tcBorders>
                    <w:left w:val="single" w:color="auto" w:sz="4" w:space="0"/>
                    <w:right w:val="single" w:color="auto" w:sz="4" w:space="0"/>
                  </w:tcBorders>
                  <w:vAlign w:val="center"/>
                </w:tcPr>
                <w:p w14:paraId="06B64B6B">
                  <w:pPr>
                    <w:spacing w:line="320" w:lineRule="exact"/>
                    <w:ind w:left="-105" w:leftChars="-50" w:right="-105" w:rightChars="-50"/>
                    <w:jc w:val="center"/>
                    <w:rPr>
                      <w:color w:val="auto"/>
                      <w:szCs w:val="21"/>
                    </w:rPr>
                  </w:pPr>
                </w:p>
              </w:tc>
              <w:tc>
                <w:tcPr>
                  <w:tcW w:w="223" w:type="pct"/>
                  <w:vMerge w:val="continue"/>
                  <w:tcBorders>
                    <w:left w:val="single" w:color="auto" w:sz="4" w:space="0"/>
                    <w:right w:val="single" w:color="auto" w:sz="4" w:space="0"/>
                  </w:tcBorders>
                  <w:vAlign w:val="center"/>
                </w:tcPr>
                <w:p w14:paraId="1C1B69C5">
                  <w:pPr>
                    <w:spacing w:line="320" w:lineRule="exact"/>
                    <w:ind w:left="-105" w:leftChars="-50" w:right="-105" w:rightChars="-50"/>
                    <w:jc w:val="center"/>
                    <w:rPr>
                      <w:color w:val="auto"/>
                      <w:szCs w:val="21"/>
                    </w:rPr>
                  </w:pPr>
                </w:p>
              </w:tc>
              <w:tc>
                <w:tcPr>
                  <w:tcW w:w="333" w:type="pct"/>
                  <w:vMerge w:val="continue"/>
                  <w:tcBorders>
                    <w:left w:val="single" w:color="auto" w:sz="4" w:space="0"/>
                    <w:right w:val="single" w:color="auto" w:sz="4" w:space="0"/>
                  </w:tcBorders>
                  <w:vAlign w:val="center"/>
                </w:tcPr>
                <w:p w14:paraId="7F61EBD3">
                  <w:pPr>
                    <w:spacing w:line="320" w:lineRule="exact"/>
                    <w:ind w:left="-105" w:leftChars="-50" w:right="-105" w:rightChars="-50"/>
                    <w:jc w:val="center"/>
                    <w:rPr>
                      <w:color w:val="auto"/>
                      <w:szCs w:val="21"/>
                    </w:rPr>
                  </w:pPr>
                </w:p>
              </w:tc>
              <w:tc>
                <w:tcPr>
                  <w:tcW w:w="278" w:type="pct"/>
                  <w:vMerge w:val="continue"/>
                  <w:tcBorders>
                    <w:left w:val="single" w:color="auto" w:sz="4" w:space="0"/>
                    <w:right w:val="single" w:color="auto" w:sz="4" w:space="0"/>
                  </w:tcBorders>
                  <w:vAlign w:val="center"/>
                </w:tcPr>
                <w:p w14:paraId="38B83504">
                  <w:pPr>
                    <w:spacing w:line="320" w:lineRule="exact"/>
                    <w:ind w:left="-105" w:leftChars="-50" w:right="-105" w:rightChars="-50"/>
                    <w:jc w:val="center"/>
                    <w:rPr>
                      <w:color w:val="auto"/>
                      <w:szCs w:val="21"/>
                    </w:rPr>
                  </w:pPr>
                </w:p>
              </w:tc>
              <w:tc>
                <w:tcPr>
                  <w:tcW w:w="278" w:type="pct"/>
                  <w:tcBorders>
                    <w:left w:val="single" w:color="auto" w:sz="4" w:space="0"/>
                    <w:right w:val="single" w:color="auto" w:sz="4" w:space="0"/>
                  </w:tcBorders>
                  <w:vAlign w:val="center"/>
                </w:tcPr>
                <w:p w14:paraId="3115586E">
                  <w:pPr>
                    <w:spacing w:line="320" w:lineRule="exact"/>
                    <w:ind w:left="-105" w:leftChars="-50" w:right="-105" w:rightChars="-50"/>
                    <w:jc w:val="center"/>
                    <w:rPr>
                      <w:color w:val="auto"/>
                      <w:szCs w:val="21"/>
                    </w:rPr>
                  </w:pPr>
                  <w:r>
                    <w:rPr>
                      <w:rFonts w:hint="eastAsia"/>
                      <w:color w:val="auto"/>
                      <w:szCs w:val="21"/>
                    </w:rPr>
                    <w:t>无组织</w:t>
                  </w:r>
                </w:p>
              </w:tc>
              <w:tc>
                <w:tcPr>
                  <w:tcW w:w="835" w:type="pct"/>
                  <w:tcBorders>
                    <w:left w:val="single" w:color="auto" w:sz="4" w:space="0"/>
                    <w:right w:val="single" w:color="auto" w:sz="4" w:space="0"/>
                  </w:tcBorders>
                  <w:vAlign w:val="center"/>
                </w:tcPr>
                <w:p w14:paraId="012CE836">
                  <w:pPr>
                    <w:spacing w:line="320" w:lineRule="exact"/>
                    <w:jc w:val="center"/>
                    <w:rPr>
                      <w:color w:val="auto"/>
                      <w:szCs w:val="21"/>
                    </w:rPr>
                  </w:pPr>
                  <w:r>
                    <w:rPr>
                      <w:rFonts w:hint="eastAsia"/>
                      <w:color w:val="auto"/>
                      <w:szCs w:val="21"/>
                    </w:rPr>
                    <w:t>加强管理、厂区通风</w:t>
                  </w:r>
                </w:p>
              </w:tc>
              <w:tc>
                <w:tcPr>
                  <w:tcW w:w="222" w:type="pct"/>
                  <w:vMerge w:val="continue"/>
                  <w:tcBorders>
                    <w:left w:val="single" w:color="auto" w:sz="4" w:space="0"/>
                    <w:right w:val="single" w:color="auto" w:sz="4" w:space="0"/>
                  </w:tcBorders>
                  <w:vAlign w:val="center"/>
                </w:tcPr>
                <w:p w14:paraId="20F8ED60">
                  <w:pPr>
                    <w:spacing w:line="320" w:lineRule="exact"/>
                    <w:ind w:left="-105" w:leftChars="-50" w:right="-105" w:rightChars="-50"/>
                    <w:jc w:val="center"/>
                    <w:rPr>
                      <w:color w:val="auto"/>
                      <w:szCs w:val="21"/>
                    </w:rPr>
                  </w:pPr>
                </w:p>
              </w:tc>
              <w:tc>
                <w:tcPr>
                  <w:tcW w:w="223" w:type="pct"/>
                  <w:vMerge w:val="continue"/>
                  <w:tcBorders>
                    <w:left w:val="single" w:color="auto" w:sz="4" w:space="0"/>
                    <w:right w:val="single" w:color="auto" w:sz="4" w:space="0"/>
                  </w:tcBorders>
                  <w:vAlign w:val="center"/>
                </w:tcPr>
                <w:p w14:paraId="08DEFC76">
                  <w:pPr>
                    <w:spacing w:line="320" w:lineRule="exact"/>
                    <w:ind w:left="-105" w:leftChars="-50" w:right="-105" w:rightChars="-50"/>
                    <w:jc w:val="center"/>
                    <w:rPr>
                      <w:color w:val="auto"/>
                      <w:szCs w:val="21"/>
                      <w:highlight w:val="none"/>
                    </w:rPr>
                  </w:pPr>
                </w:p>
              </w:tc>
              <w:tc>
                <w:tcPr>
                  <w:tcW w:w="333" w:type="pct"/>
                  <w:tcBorders>
                    <w:left w:val="single" w:color="auto" w:sz="4" w:space="0"/>
                    <w:right w:val="single" w:color="auto" w:sz="4" w:space="0"/>
                  </w:tcBorders>
                  <w:vAlign w:val="center"/>
                </w:tcPr>
                <w:p w14:paraId="456B71DD">
                  <w:pPr>
                    <w:spacing w:line="320" w:lineRule="exact"/>
                    <w:ind w:left="-105" w:leftChars="-50" w:right="-105" w:rightChars="-50"/>
                    <w:jc w:val="center"/>
                    <w:rPr>
                      <w:color w:val="auto"/>
                      <w:szCs w:val="21"/>
                    </w:rPr>
                  </w:pPr>
                  <w:r>
                    <w:rPr>
                      <w:color w:val="auto"/>
                      <w:szCs w:val="21"/>
                    </w:rPr>
                    <w:sym w:font="Wingdings" w:char="00FE"/>
                  </w:r>
                  <w:r>
                    <w:rPr>
                      <w:color w:val="auto"/>
                      <w:szCs w:val="21"/>
                    </w:rPr>
                    <w:t>是</w:t>
                  </w:r>
                </w:p>
                <w:p w14:paraId="04DF14F8">
                  <w:pPr>
                    <w:spacing w:line="320" w:lineRule="exact"/>
                    <w:ind w:left="-105" w:leftChars="-50" w:right="-105" w:rightChars="-50"/>
                    <w:jc w:val="center"/>
                    <w:rPr>
                      <w:color w:val="auto"/>
                      <w:szCs w:val="21"/>
                    </w:rPr>
                  </w:pPr>
                  <w:r>
                    <w:rPr>
                      <w:color w:val="auto"/>
                      <w:szCs w:val="21"/>
                    </w:rPr>
                    <w:sym w:font="Wingdings" w:char="00A8"/>
                  </w:r>
                  <w:r>
                    <w:rPr>
                      <w:color w:val="auto"/>
                      <w:szCs w:val="21"/>
                    </w:rPr>
                    <w:t xml:space="preserve"> 否</w:t>
                  </w:r>
                </w:p>
              </w:tc>
              <w:tc>
                <w:tcPr>
                  <w:tcW w:w="390" w:type="pct"/>
                  <w:tcBorders>
                    <w:left w:val="single" w:color="auto" w:sz="4" w:space="0"/>
                    <w:right w:val="single" w:color="auto" w:sz="4" w:space="0"/>
                  </w:tcBorders>
                  <w:vAlign w:val="center"/>
                </w:tcPr>
                <w:p w14:paraId="049F2395">
                  <w:pPr>
                    <w:spacing w:line="320" w:lineRule="exact"/>
                    <w:ind w:left="-105" w:leftChars="-50" w:right="-105" w:rightChars="-50"/>
                    <w:jc w:val="center"/>
                    <w:rPr>
                      <w:color w:val="auto"/>
                      <w:szCs w:val="21"/>
                    </w:rPr>
                  </w:pPr>
                  <w:r>
                    <w:rPr>
                      <w:rFonts w:hint="eastAsia"/>
                      <w:color w:val="auto"/>
                      <w:szCs w:val="21"/>
                    </w:rPr>
                    <w:t>/</w:t>
                  </w:r>
                </w:p>
              </w:tc>
              <w:tc>
                <w:tcPr>
                  <w:tcW w:w="333" w:type="pct"/>
                  <w:tcBorders>
                    <w:left w:val="single" w:color="auto" w:sz="4" w:space="0"/>
                    <w:right w:val="single" w:color="auto" w:sz="4" w:space="0"/>
                  </w:tcBorders>
                  <w:vAlign w:val="center"/>
                </w:tcPr>
                <w:p w14:paraId="58F99C23">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0.0021</w:t>
                  </w:r>
                </w:p>
              </w:tc>
              <w:tc>
                <w:tcPr>
                  <w:tcW w:w="348" w:type="pct"/>
                  <w:tcBorders>
                    <w:left w:val="single" w:color="auto" w:sz="4" w:space="0"/>
                    <w:right w:val="single" w:color="auto" w:sz="4" w:space="0"/>
                  </w:tcBorders>
                  <w:vAlign w:val="center"/>
                </w:tcPr>
                <w:p w14:paraId="685BA8B8">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0.0100</w:t>
                  </w:r>
                </w:p>
              </w:tc>
              <w:tc>
                <w:tcPr>
                  <w:tcW w:w="247" w:type="pct"/>
                  <w:tcBorders>
                    <w:left w:val="single" w:color="auto" w:sz="4" w:space="0"/>
                    <w:right w:val="nil"/>
                  </w:tcBorders>
                  <w:vAlign w:val="center"/>
                </w:tcPr>
                <w:p w14:paraId="18604DE3">
                  <w:pPr>
                    <w:spacing w:line="320" w:lineRule="exact"/>
                    <w:ind w:left="-105" w:leftChars="-50" w:right="-105" w:rightChars="-50"/>
                    <w:jc w:val="center"/>
                    <w:rPr>
                      <w:color w:val="auto"/>
                      <w:szCs w:val="21"/>
                    </w:rPr>
                  </w:pPr>
                  <w:r>
                    <w:rPr>
                      <w:rFonts w:hint="eastAsia"/>
                      <w:color w:val="auto"/>
                      <w:szCs w:val="21"/>
                      <w:lang w:val="en-US" w:eastAsia="zh-CN"/>
                    </w:rPr>
                    <w:t>4800</w:t>
                  </w:r>
                  <w:r>
                    <w:rPr>
                      <w:rFonts w:hint="eastAsia"/>
                      <w:color w:val="auto"/>
                      <w:szCs w:val="21"/>
                    </w:rPr>
                    <w:t>h</w:t>
                  </w:r>
                </w:p>
              </w:tc>
            </w:tr>
            <w:tr w14:paraId="7009EB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9" w:hRule="atLeast"/>
                <w:jc w:val="center"/>
              </w:trPr>
              <w:tc>
                <w:tcPr>
                  <w:tcW w:w="137" w:type="pct"/>
                  <w:vMerge w:val="restart"/>
                  <w:tcBorders>
                    <w:left w:val="nil"/>
                    <w:right w:val="single" w:color="auto" w:sz="4" w:space="0"/>
                  </w:tcBorders>
                  <w:vAlign w:val="center"/>
                </w:tcPr>
                <w:p w14:paraId="5A74F380">
                  <w:pPr>
                    <w:spacing w:line="320" w:lineRule="exact"/>
                    <w:ind w:left="-105" w:leftChars="-50" w:right="-105" w:rightChars="-50"/>
                    <w:jc w:val="center"/>
                    <w:rPr>
                      <w:color w:val="auto"/>
                      <w:szCs w:val="21"/>
                    </w:rPr>
                  </w:pPr>
                  <w:r>
                    <w:rPr>
                      <w:rFonts w:hint="eastAsia"/>
                      <w:color w:val="auto"/>
                      <w:szCs w:val="21"/>
                    </w:rPr>
                    <w:t>3</w:t>
                  </w:r>
                </w:p>
              </w:tc>
              <w:tc>
                <w:tcPr>
                  <w:tcW w:w="227" w:type="pct"/>
                  <w:vMerge w:val="restart"/>
                  <w:tcBorders>
                    <w:left w:val="single" w:color="auto" w:sz="4" w:space="0"/>
                    <w:right w:val="single" w:color="auto" w:sz="4" w:space="0"/>
                  </w:tcBorders>
                  <w:vAlign w:val="center"/>
                </w:tcPr>
                <w:p w14:paraId="1CF8587E">
                  <w:pPr>
                    <w:spacing w:line="320" w:lineRule="exact"/>
                    <w:ind w:left="-105" w:leftChars="-50" w:right="-105" w:rightChars="-50"/>
                    <w:jc w:val="center"/>
                    <w:rPr>
                      <w:color w:val="auto"/>
                      <w:szCs w:val="21"/>
                    </w:rPr>
                  </w:pPr>
                  <w:r>
                    <w:rPr>
                      <w:rFonts w:hint="eastAsia"/>
                      <w:color w:val="auto"/>
                      <w:szCs w:val="21"/>
                    </w:rPr>
                    <w:t>2#生产车间</w:t>
                  </w:r>
                </w:p>
              </w:tc>
              <w:tc>
                <w:tcPr>
                  <w:tcW w:w="251" w:type="pct"/>
                  <w:vMerge w:val="restart"/>
                  <w:tcBorders>
                    <w:left w:val="single" w:color="auto" w:sz="4" w:space="0"/>
                    <w:right w:val="single" w:color="auto" w:sz="4" w:space="0"/>
                  </w:tcBorders>
                  <w:vAlign w:val="center"/>
                </w:tcPr>
                <w:p w14:paraId="2A46104E">
                  <w:pPr>
                    <w:spacing w:line="320" w:lineRule="exact"/>
                    <w:ind w:left="-105" w:leftChars="-50" w:right="-105" w:rightChars="-50"/>
                    <w:jc w:val="center"/>
                    <w:rPr>
                      <w:bCs/>
                      <w:color w:val="auto"/>
                      <w:szCs w:val="21"/>
                    </w:rPr>
                  </w:pPr>
                  <w:r>
                    <w:rPr>
                      <w:rFonts w:hint="eastAsia"/>
                      <w:bCs/>
                      <w:color w:val="auto"/>
                      <w:szCs w:val="21"/>
                      <w:lang w:val="en-US" w:eastAsia="zh-CN"/>
                    </w:rPr>
                    <w:t>覆膜、打码、打样、烫金、UV印刷、</w:t>
                  </w:r>
                  <w:r>
                    <w:rPr>
                      <w:rFonts w:hint="eastAsia"/>
                      <w:bCs/>
                      <w:color w:val="auto"/>
                      <w:szCs w:val="21"/>
                    </w:rPr>
                    <w:t>丝网</w:t>
                  </w:r>
                </w:p>
                <w:p w14:paraId="4CA45614">
                  <w:pPr>
                    <w:spacing w:line="320" w:lineRule="exact"/>
                    <w:ind w:left="-105" w:leftChars="-50" w:right="-105" w:rightChars="-50"/>
                    <w:jc w:val="center"/>
                    <w:rPr>
                      <w:rFonts w:hint="eastAsia" w:eastAsia="宋体"/>
                      <w:bCs/>
                      <w:color w:val="auto"/>
                      <w:szCs w:val="21"/>
                      <w:lang w:eastAsia="zh-CN"/>
                    </w:rPr>
                  </w:pPr>
                  <w:r>
                    <w:rPr>
                      <w:rFonts w:hint="eastAsia"/>
                      <w:bCs/>
                      <w:color w:val="auto"/>
                      <w:szCs w:val="21"/>
                    </w:rPr>
                    <w:t>印刷</w:t>
                  </w:r>
                  <w:r>
                    <w:rPr>
                      <w:rFonts w:hint="eastAsia"/>
                      <w:bCs/>
                      <w:color w:val="auto"/>
                      <w:szCs w:val="21"/>
                      <w:lang w:eastAsia="zh-CN"/>
                    </w:rPr>
                    <w:t>、</w:t>
                  </w:r>
                </w:p>
                <w:p w14:paraId="38BED362">
                  <w:pPr>
                    <w:spacing w:line="320" w:lineRule="exact"/>
                    <w:ind w:left="-105" w:leftChars="-50" w:right="-105" w:rightChars="-50"/>
                    <w:jc w:val="center"/>
                    <w:rPr>
                      <w:rFonts w:hint="default" w:eastAsia="宋体"/>
                      <w:bCs/>
                      <w:color w:val="auto"/>
                      <w:szCs w:val="21"/>
                      <w:lang w:val="en-US" w:eastAsia="zh-CN"/>
                    </w:rPr>
                  </w:pPr>
                  <w:r>
                    <w:rPr>
                      <w:rFonts w:hint="eastAsia"/>
                      <w:bCs/>
                      <w:color w:val="auto"/>
                      <w:szCs w:val="21"/>
                    </w:rPr>
                    <w:t>清洁</w:t>
                  </w:r>
                  <w:r>
                    <w:rPr>
                      <w:rFonts w:hint="eastAsia"/>
                      <w:bCs/>
                      <w:color w:val="auto"/>
                      <w:szCs w:val="21"/>
                      <w:lang w:eastAsia="zh-CN"/>
                    </w:rPr>
                    <w:t>、</w:t>
                  </w:r>
                  <w:r>
                    <w:rPr>
                      <w:rFonts w:hint="eastAsia"/>
                      <w:bCs/>
                      <w:color w:val="auto"/>
                      <w:szCs w:val="21"/>
                      <w:lang w:val="en-US" w:eastAsia="zh-CN"/>
                    </w:rPr>
                    <w:t>上光油</w:t>
                  </w:r>
                </w:p>
              </w:tc>
              <w:tc>
                <w:tcPr>
                  <w:tcW w:w="333" w:type="pct"/>
                  <w:vMerge w:val="restart"/>
                  <w:tcBorders>
                    <w:left w:val="single" w:color="auto" w:sz="4" w:space="0"/>
                    <w:right w:val="single" w:color="auto" w:sz="4" w:space="0"/>
                  </w:tcBorders>
                  <w:vAlign w:val="center"/>
                </w:tcPr>
                <w:p w14:paraId="4166CB2B">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覆膜机、烫金机、喷码机、打样机、丝印机、罗兰印刷机</w:t>
                  </w:r>
                </w:p>
              </w:tc>
              <w:tc>
                <w:tcPr>
                  <w:tcW w:w="223" w:type="pct"/>
                  <w:vMerge w:val="restart"/>
                  <w:tcBorders>
                    <w:left w:val="single" w:color="auto" w:sz="4" w:space="0"/>
                    <w:right w:val="single" w:color="auto" w:sz="4" w:space="0"/>
                  </w:tcBorders>
                  <w:vAlign w:val="center"/>
                </w:tcPr>
                <w:p w14:paraId="13E7B593">
                  <w:pPr>
                    <w:spacing w:line="320" w:lineRule="exact"/>
                    <w:ind w:left="-105" w:leftChars="-50" w:right="-105" w:rightChars="-50"/>
                    <w:jc w:val="center"/>
                    <w:rPr>
                      <w:color w:val="auto"/>
                      <w:szCs w:val="21"/>
                    </w:rPr>
                  </w:pPr>
                  <w:r>
                    <w:rPr>
                      <w:rFonts w:hint="eastAsia"/>
                      <w:color w:val="auto"/>
                      <w:szCs w:val="21"/>
                    </w:rPr>
                    <w:t>有机</w:t>
                  </w:r>
                </w:p>
                <w:p w14:paraId="0D744098">
                  <w:pPr>
                    <w:spacing w:line="320" w:lineRule="exact"/>
                    <w:ind w:left="-105" w:leftChars="-50" w:right="-105" w:rightChars="-50"/>
                    <w:jc w:val="center"/>
                    <w:rPr>
                      <w:color w:val="auto"/>
                      <w:szCs w:val="21"/>
                    </w:rPr>
                  </w:pPr>
                  <w:r>
                    <w:rPr>
                      <w:rFonts w:hint="eastAsia"/>
                      <w:color w:val="auto"/>
                      <w:szCs w:val="21"/>
                    </w:rPr>
                    <w:t>废气</w:t>
                  </w:r>
                </w:p>
              </w:tc>
              <w:tc>
                <w:tcPr>
                  <w:tcW w:w="333" w:type="pct"/>
                  <w:vMerge w:val="restart"/>
                  <w:tcBorders>
                    <w:left w:val="single" w:color="auto" w:sz="4" w:space="0"/>
                    <w:right w:val="single" w:color="auto" w:sz="4" w:space="0"/>
                  </w:tcBorders>
                  <w:vAlign w:val="center"/>
                </w:tcPr>
                <w:p w14:paraId="60A9DAAF">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0.0568</w:t>
                  </w:r>
                </w:p>
              </w:tc>
              <w:tc>
                <w:tcPr>
                  <w:tcW w:w="278" w:type="pct"/>
                  <w:vMerge w:val="restart"/>
                  <w:tcBorders>
                    <w:left w:val="single" w:color="auto" w:sz="4" w:space="0"/>
                    <w:right w:val="single" w:color="auto" w:sz="4" w:space="0"/>
                  </w:tcBorders>
                  <w:vAlign w:val="center"/>
                </w:tcPr>
                <w:p w14:paraId="19D1FD6F">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0.2726</w:t>
                  </w:r>
                </w:p>
              </w:tc>
              <w:tc>
                <w:tcPr>
                  <w:tcW w:w="278" w:type="pct"/>
                  <w:tcBorders>
                    <w:left w:val="single" w:color="auto" w:sz="4" w:space="0"/>
                    <w:right w:val="single" w:color="auto" w:sz="4" w:space="0"/>
                  </w:tcBorders>
                  <w:vAlign w:val="center"/>
                </w:tcPr>
                <w:p w14:paraId="02BD896A">
                  <w:pPr>
                    <w:spacing w:line="320" w:lineRule="exact"/>
                    <w:ind w:left="-105" w:leftChars="-50" w:right="-105" w:rightChars="-50"/>
                    <w:jc w:val="center"/>
                    <w:rPr>
                      <w:color w:val="auto"/>
                      <w:szCs w:val="21"/>
                    </w:rPr>
                  </w:pPr>
                  <w:r>
                    <w:rPr>
                      <w:rFonts w:hint="eastAsia"/>
                      <w:color w:val="auto"/>
                      <w:szCs w:val="21"/>
                    </w:rPr>
                    <w:t>有组织</w:t>
                  </w:r>
                </w:p>
              </w:tc>
              <w:tc>
                <w:tcPr>
                  <w:tcW w:w="835" w:type="pct"/>
                  <w:tcBorders>
                    <w:left w:val="single" w:color="auto" w:sz="4" w:space="0"/>
                    <w:right w:val="single" w:color="auto" w:sz="4" w:space="0"/>
                  </w:tcBorders>
                  <w:vAlign w:val="center"/>
                </w:tcPr>
                <w:p w14:paraId="12202250">
                  <w:pPr>
                    <w:spacing w:line="320" w:lineRule="exact"/>
                    <w:jc w:val="center"/>
                    <w:rPr>
                      <w:color w:val="auto"/>
                      <w:szCs w:val="21"/>
                    </w:rPr>
                  </w:pPr>
                  <w:r>
                    <w:rPr>
                      <w:rFonts w:hint="eastAsia"/>
                      <w:color w:val="auto"/>
                      <w:szCs w:val="21"/>
                    </w:rPr>
                    <w:t>集气罩</w:t>
                  </w:r>
                  <w:r>
                    <w:rPr>
                      <w:rFonts w:hint="eastAsia"/>
                      <w:color w:val="auto"/>
                      <w:szCs w:val="21"/>
                      <w:lang w:val="en-US" w:eastAsia="zh-CN"/>
                    </w:rPr>
                    <w:t>/密闭间</w:t>
                  </w:r>
                  <w:r>
                    <w:rPr>
                      <w:rFonts w:hint="eastAsia"/>
                      <w:color w:val="auto"/>
                      <w:szCs w:val="21"/>
                    </w:rPr>
                    <w:t>+</w:t>
                  </w:r>
                  <w:r>
                    <w:rPr>
                      <w:rFonts w:hint="eastAsia"/>
                      <w:color w:val="auto"/>
                    </w:rPr>
                    <w:t>两级</w:t>
                  </w:r>
                  <w:r>
                    <w:rPr>
                      <w:color w:val="auto"/>
                    </w:rPr>
                    <w:t>活性炭吸附装置</w:t>
                  </w:r>
                  <w:r>
                    <w:rPr>
                      <w:rFonts w:hint="eastAsia"/>
                      <w:color w:val="auto"/>
                    </w:rPr>
                    <w:t>（TA</w:t>
                  </w:r>
                  <w:r>
                    <w:rPr>
                      <w:color w:val="auto"/>
                    </w:rPr>
                    <w:t>0</w:t>
                  </w:r>
                  <w:r>
                    <w:rPr>
                      <w:rFonts w:hint="eastAsia"/>
                      <w:color w:val="auto"/>
                    </w:rPr>
                    <w:t>03）风机风量</w:t>
                  </w:r>
                  <w:r>
                    <w:rPr>
                      <w:rFonts w:hint="eastAsia"/>
                      <w:color w:val="auto"/>
                      <w:lang w:val="en-US" w:eastAsia="zh-CN"/>
                    </w:rPr>
                    <w:t>35000</w:t>
                  </w:r>
                  <w:r>
                    <w:rPr>
                      <w:rFonts w:hint="eastAsia"/>
                      <w:color w:val="auto"/>
                    </w:rPr>
                    <w:t>m</w:t>
                  </w:r>
                  <w:r>
                    <w:rPr>
                      <w:rFonts w:hint="eastAsia"/>
                      <w:color w:val="auto"/>
                      <w:vertAlign w:val="superscript"/>
                    </w:rPr>
                    <w:t>3</w:t>
                  </w:r>
                  <w:r>
                    <w:rPr>
                      <w:rFonts w:hint="eastAsia"/>
                      <w:color w:val="auto"/>
                    </w:rPr>
                    <w:t>/h</w:t>
                  </w:r>
                  <w:r>
                    <w:rPr>
                      <w:rFonts w:hint="eastAsia"/>
                      <w:color w:val="auto"/>
                      <w:szCs w:val="21"/>
                    </w:rPr>
                    <w:t>+</w:t>
                  </w:r>
                  <w:r>
                    <w:rPr>
                      <w:color w:val="auto"/>
                      <w:szCs w:val="21"/>
                    </w:rPr>
                    <w:t>15</w:t>
                  </w:r>
                  <w:r>
                    <w:rPr>
                      <w:rFonts w:hint="eastAsia"/>
                      <w:color w:val="auto"/>
                      <w:szCs w:val="21"/>
                    </w:rPr>
                    <w:t>m</w:t>
                  </w:r>
                  <w:r>
                    <w:rPr>
                      <w:color w:val="auto"/>
                      <w:szCs w:val="21"/>
                    </w:rPr>
                    <w:t>排气筒（</w:t>
                  </w:r>
                  <w:r>
                    <w:rPr>
                      <w:rFonts w:hint="eastAsia"/>
                      <w:color w:val="auto"/>
                      <w:szCs w:val="21"/>
                    </w:rPr>
                    <w:t>DA</w:t>
                  </w:r>
                  <w:r>
                    <w:rPr>
                      <w:color w:val="auto"/>
                      <w:szCs w:val="21"/>
                    </w:rPr>
                    <w:t>0</w:t>
                  </w:r>
                  <w:r>
                    <w:rPr>
                      <w:rFonts w:hint="eastAsia"/>
                      <w:color w:val="auto"/>
                      <w:szCs w:val="21"/>
                    </w:rPr>
                    <w:t>03</w:t>
                  </w:r>
                  <w:r>
                    <w:rPr>
                      <w:color w:val="auto"/>
                      <w:szCs w:val="21"/>
                    </w:rPr>
                    <w:t>）</w:t>
                  </w:r>
                </w:p>
              </w:tc>
              <w:tc>
                <w:tcPr>
                  <w:tcW w:w="222" w:type="pct"/>
                  <w:vMerge w:val="restart"/>
                  <w:tcBorders>
                    <w:left w:val="single" w:color="auto" w:sz="4" w:space="0"/>
                    <w:right w:val="single" w:color="auto" w:sz="4" w:space="0"/>
                  </w:tcBorders>
                  <w:vAlign w:val="center"/>
                </w:tcPr>
                <w:p w14:paraId="02368E6C">
                  <w:pPr>
                    <w:spacing w:line="320" w:lineRule="exact"/>
                    <w:ind w:left="-105" w:leftChars="-50" w:right="-105" w:rightChars="-50"/>
                    <w:jc w:val="center"/>
                    <w:rPr>
                      <w:color w:val="auto"/>
                      <w:szCs w:val="21"/>
                    </w:rPr>
                  </w:pPr>
                  <w:r>
                    <w:rPr>
                      <w:rFonts w:hint="eastAsia"/>
                      <w:color w:val="auto"/>
                      <w:szCs w:val="21"/>
                      <w:lang w:val="en-US" w:eastAsia="zh-CN"/>
                    </w:rPr>
                    <w:t>90</w:t>
                  </w:r>
                  <w:r>
                    <w:rPr>
                      <w:rFonts w:hint="eastAsia"/>
                      <w:color w:val="auto"/>
                      <w:szCs w:val="21"/>
                    </w:rPr>
                    <w:t>%</w:t>
                  </w:r>
                </w:p>
              </w:tc>
              <w:tc>
                <w:tcPr>
                  <w:tcW w:w="223" w:type="pct"/>
                  <w:vMerge w:val="restart"/>
                  <w:tcBorders>
                    <w:left w:val="single" w:color="auto" w:sz="4" w:space="0"/>
                    <w:right w:val="single" w:color="auto" w:sz="4" w:space="0"/>
                  </w:tcBorders>
                  <w:vAlign w:val="center"/>
                </w:tcPr>
                <w:p w14:paraId="20D48B73">
                  <w:pPr>
                    <w:spacing w:line="320" w:lineRule="exact"/>
                    <w:ind w:left="-105" w:leftChars="-50" w:right="-105" w:rightChars="-50"/>
                    <w:jc w:val="center"/>
                    <w:rPr>
                      <w:color w:val="auto"/>
                      <w:szCs w:val="21"/>
                      <w:highlight w:val="none"/>
                    </w:rPr>
                  </w:pPr>
                  <w:r>
                    <w:rPr>
                      <w:rFonts w:hint="eastAsia"/>
                      <w:color w:val="auto"/>
                      <w:szCs w:val="21"/>
                      <w:highlight w:val="none"/>
                      <w:lang w:val="en-US" w:eastAsia="zh-CN"/>
                    </w:rPr>
                    <w:t>90</w:t>
                  </w:r>
                  <w:r>
                    <w:rPr>
                      <w:rFonts w:hint="eastAsia"/>
                      <w:color w:val="auto"/>
                      <w:szCs w:val="21"/>
                      <w:highlight w:val="none"/>
                    </w:rPr>
                    <w:t>%</w:t>
                  </w:r>
                </w:p>
              </w:tc>
              <w:tc>
                <w:tcPr>
                  <w:tcW w:w="333" w:type="pct"/>
                  <w:tcBorders>
                    <w:left w:val="single" w:color="auto" w:sz="4" w:space="0"/>
                    <w:right w:val="single" w:color="auto" w:sz="4" w:space="0"/>
                  </w:tcBorders>
                  <w:vAlign w:val="center"/>
                </w:tcPr>
                <w:p w14:paraId="0B97D08C">
                  <w:pPr>
                    <w:spacing w:line="320" w:lineRule="exact"/>
                    <w:ind w:left="-105" w:leftChars="-50" w:right="-105" w:rightChars="-50"/>
                    <w:jc w:val="center"/>
                    <w:rPr>
                      <w:color w:val="auto"/>
                      <w:szCs w:val="21"/>
                    </w:rPr>
                  </w:pPr>
                  <w:r>
                    <w:rPr>
                      <w:color w:val="auto"/>
                      <w:szCs w:val="21"/>
                    </w:rPr>
                    <w:sym w:font="Wingdings" w:char="00FE"/>
                  </w:r>
                  <w:r>
                    <w:rPr>
                      <w:color w:val="auto"/>
                      <w:szCs w:val="21"/>
                    </w:rPr>
                    <w:t>是</w:t>
                  </w:r>
                </w:p>
                <w:p w14:paraId="4BB3F7BF">
                  <w:pPr>
                    <w:spacing w:line="320" w:lineRule="exact"/>
                    <w:ind w:left="-105" w:leftChars="-50" w:right="-105" w:rightChars="-50"/>
                    <w:jc w:val="center"/>
                    <w:rPr>
                      <w:color w:val="auto"/>
                      <w:szCs w:val="21"/>
                    </w:rPr>
                  </w:pPr>
                  <w:r>
                    <w:rPr>
                      <w:color w:val="auto"/>
                      <w:szCs w:val="21"/>
                    </w:rPr>
                    <w:sym w:font="Wingdings" w:char="00A8"/>
                  </w:r>
                  <w:r>
                    <w:rPr>
                      <w:color w:val="auto"/>
                      <w:szCs w:val="21"/>
                    </w:rPr>
                    <w:t xml:space="preserve"> 否</w:t>
                  </w:r>
                </w:p>
              </w:tc>
              <w:tc>
                <w:tcPr>
                  <w:tcW w:w="390" w:type="pct"/>
                  <w:tcBorders>
                    <w:left w:val="single" w:color="auto" w:sz="4" w:space="0"/>
                    <w:right w:val="single" w:color="auto" w:sz="4" w:space="0"/>
                  </w:tcBorders>
                  <w:vAlign w:val="center"/>
                </w:tcPr>
                <w:p w14:paraId="6459ACA6">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0.15</w:t>
                  </w:r>
                </w:p>
              </w:tc>
              <w:tc>
                <w:tcPr>
                  <w:tcW w:w="333" w:type="pct"/>
                  <w:tcBorders>
                    <w:left w:val="single" w:color="auto" w:sz="4" w:space="0"/>
                    <w:right w:val="single" w:color="auto" w:sz="4" w:space="0"/>
                  </w:tcBorders>
                  <w:vAlign w:val="center"/>
                </w:tcPr>
                <w:p w14:paraId="70446F0C">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0.0051</w:t>
                  </w:r>
                </w:p>
              </w:tc>
              <w:tc>
                <w:tcPr>
                  <w:tcW w:w="348" w:type="pct"/>
                  <w:tcBorders>
                    <w:left w:val="single" w:color="auto" w:sz="4" w:space="0"/>
                    <w:right w:val="single" w:color="auto" w:sz="4" w:space="0"/>
                  </w:tcBorders>
                  <w:vAlign w:val="center"/>
                </w:tcPr>
                <w:p w14:paraId="4E475D1D">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0.0245</w:t>
                  </w:r>
                </w:p>
              </w:tc>
              <w:tc>
                <w:tcPr>
                  <w:tcW w:w="247" w:type="pct"/>
                  <w:tcBorders>
                    <w:left w:val="single" w:color="auto" w:sz="4" w:space="0"/>
                    <w:right w:val="nil"/>
                  </w:tcBorders>
                  <w:vAlign w:val="center"/>
                </w:tcPr>
                <w:p w14:paraId="2E4D399C">
                  <w:pPr>
                    <w:spacing w:line="320" w:lineRule="exact"/>
                    <w:ind w:left="-105" w:leftChars="-50" w:right="-105" w:rightChars="-50"/>
                    <w:jc w:val="center"/>
                    <w:rPr>
                      <w:color w:val="auto"/>
                      <w:szCs w:val="21"/>
                    </w:rPr>
                  </w:pPr>
                  <w:r>
                    <w:rPr>
                      <w:rFonts w:hint="eastAsia"/>
                      <w:color w:val="auto"/>
                      <w:szCs w:val="21"/>
                      <w:lang w:val="en-US" w:eastAsia="zh-CN"/>
                    </w:rPr>
                    <w:t>4800</w:t>
                  </w:r>
                  <w:r>
                    <w:rPr>
                      <w:rFonts w:hint="eastAsia"/>
                      <w:color w:val="auto"/>
                      <w:szCs w:val="21"/>
                    </w:rPr>
                    <w:t>h</w:t>
                  </w:r>
                </w:p>
              </w:tc>
            </w:tr>
            <w:tr w14:paraId="348342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9" w:hRule="atLeast"/>
                <w:jc w:val="center"/>
              </w:trPr>
              <w:tc>
                <w:tcPr>
                  <w:tcW w:w="137" w:type="pct"/>
                  <w:vMerge w:val="continue"/>
                  <w:tcBorders>
                    <w:left w:val="nil"/>
                    <w:right w:val="single" w:color="auto" w:sz="4" w:space="0"/>
                  </w:tcBorders>
                  <w:vAlign w:val="center"/>
                </w:tcPr>
                <w:p w14:paraId="16D13F6A">
                  <w:pPr>
                    <w:spacing w:line="320" w:lineRule="exact"/>
                    <w:ind w:left="-105" w:leftChars="-50" w:right="-105" w:rightChars="-50"/>
                    <w:jc w:val="center"/>
                    <w:rPr>
                      <w:color w:val="auto"/>
                      <w:szCs w:val="21"/>
                    </w:rPr>
                  </w:pPr>
                </w:p>
              </w:tc>
              <w:tc>
                <w:tcPr>
                  <w:tcW w:w="227" w:type="pct"/>
                  <w:vMerge w:val="continue"/>
                  <w:tcBorders>
                    <w:left w:val="single" w:color="auto" w:sz="4" w:space="0"/>
                    <w:right w:val="single" w:color="auto" w:sz="4" w:space="0"/>
                  </w:tcBorders>
                  <w:vAlign w:val="center"/>
                </w:tcPr>
                <w:p w14:paraId="03D563EE">
                  <w:pPr>
                    <w:spacing w:line="320" w:lineRule="exact"/>
                    <w:ind w:left="-105" w:leftChars="-50" w:right="-105" w:rightChars="-50"/>
                    <w:jc w:val="center"/>
                    <w:rPr>
                      <w:color w:val="auto"/>
                      <w:szCs w:val="21"/>
                    </w:rPr>
                  </w:pPr>
                </w:p>
              </w:tc>
              <w:tc>
                <w:tcPr>
                  <w:tcW w:w="251" w:type="pct"/>
                  <w:vMerge w:val="continue"/>
                  <w:tcBorders>
                    <w:left w:val="single" w:color="auto" w:sz="4" w:space="0"/>
                    <w:right w:val="single" w:color="auto" w:sz="4" w:space="0"/>
                  </w:tcBorders>
                  <w:vAlign w:val="center"/>
                </w:tcPr>
                <w:p w14:paraId="1B940362">
                  <w:pPr>
                    <w:spacing w:line="320" w:lineRule="exact"/>
                    <w:ind w:left="-105" w:leftChars="-50" w:right="-105" w:rightChars="-50"/>
                    <w:jc w:val="center"/>
                    <w:rPr>
                      <w:bCs/>
                      <w:color w:val="auto"/>
                      <w:szCs w:val="21"/>
                    </w:rPr>
                  </w:pPr>
                </w:p>
              </w:tc>
              <w:tc>
                <w:tcPr>
                  <w:tcW w:w="333" w:type="pct"/>
                  <w:vMerge w:val="continue"/>
                  <w:tcBorders>
                    <w:left w:val="single" w:color="auto" w:sz="4" w:space="0"/>
                    <w:right w:val="single" w:color="auto" w:sz="4" w:space="0"/>
                  </w:tcBorders>
                  <w:vAlign w:val="center"/>
                </w:tcPr>
                <w:p w14:paraId="37DCFEDC">
                  <w:pPr>
                    <w:spacing w:line="320" w:lineRule="exact"/>
                    <w:ind w:left="-105" w:leftChars="-50" w:right="-105" w:rightChars="-50"/>
                    <w:jc w:val="center"/>
                    <w:rPr>
                      <w:color w:val="auto"/>
                      <w:szCs w:val="21"/>
                    </w:rPr>
                  </w:pPr>
                </w:p>
              </w:tc>
              <w:tc>
                <w:tcPr>
                  <w:tcW w:w="223" w:type="pct"/>
                  <w:vMerge w:val="continue"/>
                  <w:tcBorders>
                    <w:left w:val="single" w:color="auto" w:sz="4" w:space="0"/>
                    <w:right w:val="single" w:color="auto" w:sz="4" w:space="0"/>
                  </w:tcBorders>
                  <w:vAlign w:val="center"/>
                </w:tcPr>
                <w:p w14:paraId="42D1563D">
                  <w:pPr>
                    <w:spacing w:line="320" w:lineRule="exact"/>
                    <w:ind w:left="-105" w:leftChars="-50" w:right="-105" w:rightChars="-50"/>
                    <w:jc w:val="center"/>
                    <w:rPr>
                      <w:color w:val="auto"/>
                      <w:szCs w:val="21"/>
                    </w:rPr>
                  </w:pPr>
                </w:p>
              </w:tc>
              <w:tc>
                <w:tcPr>
                  <w:tcW w:w="333" w:type="pct"/>
                  <w:vMerge w:val="continue"/>
                  <w:tcBorders>
                    <w:left w:val="single" w:color="auto" w:sz="4" w:space="0"/>
                    <w:right w:val="single" w:color="auto" w:sz="4" w:space="0"/>
                  </w:tcBorders>
                  <w:vAlign w:val="center"/>
                </w:tcPr>
                <w:p w14:paraId="64E79D4F">
                  <w:pPr>
                    <w:spacing w:line="320" w:lineRule="exact"/>
                    <w:ind w:left="-105" w:leftChars="-50" w:right="-105" w:rightChars="-50"/>
                    <w:jc w:val="center"/>
                    <w:rPr>
                      <w:color w:val="auto"/>
                      <w:szCs w:val="21"/>
                    </w:rPr>
                  </w:pPr>
                </w:p>
              </w:tc>
              <w:tc>
                <w:tcPr>
                  <w:tcW w:w="278" w:type="pct"/>
                  <w:vMerge w:val="continue"/>
                  <w:tcBorders>
                    <w:left w:val="single" w:color="auto" w:sz="4" w:space="0"/>
                    <w:right w:val="single" w:color="auto" w:sz="4" w:space="0"/>
                  </w:tcBorders>
                  <w:vAlign w:val="center"/>
                </w:tcPr>
                <w:p w14:paraId="1FE0BCB3">
                  <w:pPr>
                    <w:spacing w:line="320" w:lineRule="exact"/>
                    <w:ind w:left="-105" w:leftChars="-50" w:right="-105" w:rightChars="-50"/>
                    <w:jc w:val="center"/>
                    <w:rPr>
                      <w:color w:val="auto"/>
                      <w:szCs w:val="21"/>
                    </w:rPr>
                  </w:pPr>
                </w:p>
              </w:tc>
              <w:tc>
                <w:tcPr>
                  <w:tcW w:w="278" w:type="pct"/>
                  <w:tcBorders>
                    <w:left w:val="single" w:color="auto" w:sz="4" w:space="0"/>
                    <w:right w:val="single" w:color="auto" w:sz="4" w:space="0"/>
                  </w:tcBorders>
                  <w:vAlign w:val="center"/>
                </w:tcPr>
                <w:p w14:paraId="255947E8">
                  <w:pPr>
                    <w:spacing w:line="320" w:lineRule="exact"/>
                    <w:ind w:left="-105" w:leftChars="-50" w:right="-105" w:rightChars="-50"/>
                    <w:jc w:val="center"/>
                    <w:rPr>
                      <w:color w:val="auto"/>
                      <w:szCs w:val="21"/>
                    </w:rPr>
                  </w:pPr>
                  <w:r>
                    <w:rPr>
                      <w:rFonts w:hint="eastAsia"/>
                      <w:color w:val="auto"/>
                      <w:szCs w:val="21"/>
                    </w:rPr>
                    <w:t>无组织</w:t>
                  </w:r>
                </w:p>
              </w:tc>
              <w:tc>
                <w:tcPr>
                  <w:tcW w:w="835" w:type="pct"/>
                  <w:tcBorders>
                    <w:left w:val="single" w:color="auto" w:sz="4" w:space="0"/>
                    <w:right w:val="single" w:color="auto" w:sz="4" w:space="0"/>
                  </w:tcBorders>
                  <w:vAlign w:val="center"/>
                </w:tcPr>
                <w:p w14:paraId="161DCDB6">
                  <w:pPr>
                    <w:spacing w:line="320" w:lineRule="exact"/>
                    <w:jc w:val="center"/>
                    <w:rPr>
                      <w:color w:val="auto"/>
                      <w:szCs w:val="21"/>
                    </w:rPr>
                  </w:pPr>
                  <w:r>
                    <w:rPr>
                      <w:rFonts w:hint="eastAsia"/>
                      <w:color w:val="auto"/>
                      <w:szCs w:val="21"/>
                    </w:rPr>
                    <w:t>加强管理、厂区通风</w:t>
                  </w:r>
                </w:p>
              </w:tc>
              <w:tc>
                <w:tcPr>
                  <w:tcW w:w="222" w:type="pct"/>
                  <w:vMerge w:val="continue"/>
                  <w:tcBorders>
                    <w:left w:val="single" w:color="auto" w:sz="4" w:space="0"/>
                    <w:right w:val="single" w:color="auto" w:sz="4" w:space="0"/>
                  </w:tcBorders>
                  <w:vAlign w:val="center"/>
                </w:tcPr>
                <w:p w14:paraId="5FD5525C">
                  <w:pPr>
                    <w:spacing w:line="320" w:lineRule="exact"/>
                    <w:ind w:left="-105" w:leftChars="-50" w:right="-105" w:rightChars="-50"/>
                    <w:jc w:val="center"/>
                    <w:rPr>
                      <w:color w:val="auto"/>
                      <w:szCs w:val="21"/>
                    </w:rPr>
                  </w:pPr>
                </w:p>
              </w:tc>
              <w:tc>
                <w:tcPr>
                  <w:tcW w:w="223" w:type="pct"/>
                  <w:vMerge w:val="continue"/>
                  <w:tcBorders>
                    <w:left w:val="single" w:color="auto" w:sz="4" w:space="0"/>
                    <w:right w:val="single" w:color="auto" w:sz="4" w:space="0"/>
                  </w:tcBorders>
                  <w:vAlign w:val="center"/>
                </w:tcPr>
                <w:p w14:paraId="42E7E0EE">
                  <w:pPr>
                    <w:spacing w:line="320" w:lineRule="exact"/>
                    <w:ind w:left="-105" w:leftChars="-50" w:right="-105" w:rightChars="-50"/>
                    <w:jc w:val="center"/>
                    <w:rPr>
                      <w:color w:val="auto"/>
                      <w:szCs w:val="21"/>
                    </w:rPr>
                  </w:pPr>
                </w:p>
              </w:tc>
              <w:tc>
                <w:tcPr>
                  <w:tcW w:w="333" w:type="pct"/>
                  <w:tcBorders>
                    <w:left w:val="single" w:color="auto" w:sz="4" w:space="0"/>
                    <w:right w:val="single" w:color="auto" w:sz="4" w:space="0"/>
                  </w:tcBorders>
                  <w:vAlign w:val="center"/>
                </w:tcPr>
                <w:p w14:paraId="0C51F363">
                  <w:pPr>
                    <w:spacing w:line="320" w:lineRule="exact"/>
                    <w:ind w:left="-105" w:leftChars="-50" w:right="-105" w:rightChars="-50"/>
                    <w:jc w:val="center"/>
                    <w:rPr>
                      <w:color w:val="auto"/>
                      <w:szCs w:val="21"/>
                    </w:rPr>
                  </w:pPr>
                  <w:r>
                    <w:rPr>
                      <w:color w:val="auto"/>
                      <w:szCs w:val="21"/>
                    </w:rPr>
                    <w:sym w:font="Wingdings" w:char="00FE"/>
                  </w:r>
                  <w:r>
                    <w:rPr>
                      <w:color w:val="auto"/>
                      <w:szCs w:val="21"/>
                    </w:rPr>
                    <w:t>是</w:t>
                  </w:r>
                </w:p>
                <w:p w14:paraId="6A356E14">
                  <w:pPr>
                    <w:spacing w:line="320" w:lineRule="exact"/>
                    <w:ind w:left="-105" w:leftChars="-50" w:right="-105" w:rightChars="-50"/>
                    <w:jc w:val="center"/>
                    <w:rPr>
                      <w:color w:val="auto"/>
                      <w:szCs w:val="21"/>
                    </w:rPr>
                  </w:pPr>
                  <w:r>
                    <w:rPr>
                      <w:color w:val="auto"/>
                      <w:szCs w:val="21"/>
                    </w:rPr>
                    <w:sym w:font="Wingdings" w:char="00A8"/>
                  </w:r>
                  <w:r>
                    <w:rPr>
                      <w:color w:val="auto"/>
                      <w:szCs w:val="21"/>
                    </w:rPr>
                    <w:t xml:space="preserve"> 否</w:t>
                  </w:r>
                </w:p>
              </w:tc>
              <w:tc>
                <w:tcPr>
                  <w:tcW w:w="390" w:type="pct"/>
                  <w:tcBorders>
                    <w:left w:val="single" w:color="auto" w:sz="4" w:space="0"/>
                    <w:right w:val="single" w:color="auto" w:sz="4" w:space="0"/>
                  </w:tcBorders>
                  <w:vAlign w:val="center"/>
                </w:tcPr>
                <w:p w14:paraId="18D3DCB0">
                  <w:pPr>
                    <w:spacing w:line="320" w:lineRule="exact"/>
                    <w:ind w:left="-105" w:leftChars="-50" w:right="-105" w:rightChars="-50"/>
                    <w:jc w:val="center"/>
                    <w:rPr>
                      <w:color w:val="auto"/>
                      <w:szCs w:val="21"/>
                    </w:rPr>
                  </w:pPr>
                  <w:r>
                    <w:rPr>
                      <w:rFonts w:hint="eastAsia"/>
                      <w:color w:val="auto"/>
                      <w:szCs w:val="21"/>
                    </w:rPr>
                    <w:t>/</w:t>
                  </w:r>
                </w:p>
              </w:tc>
              <w:tc>
                <w:tcPr>
                  <w:tcW w:w="333" w:type="pct"/>
                  <w:tcBorders>
                    <w:left w:val="single" w:color="auto" w:sz="4" w:space="0"/>
                    <w:right w:val="single" w:color="auto" w:sz="4" w:space="0"/>
                  </w:tcBorders>
                  <w:vAlign w:val="center"/>
                </w:tcPr>
                <w:p w14:paraId="3F09D135">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0.0057</w:t>
                  </w:r>
                </w:p>
              </w:tc>
              <w:tc>
                <w:tcPr>
                  <w:tcW w:w="348" w:type="pct"/>
                  <w:tcBorders>
                    <w:left w:val="single" w:color="auto" w:sz="4" w:space="0"/>
                    <w:right w:val="single" w:color="auto" w:sz="4" w:space="0"/>
                  </w:tcBorders>
                  <w:vAlign w:val="center"/>
                </w:tcPr>
                <w:p w14:paraId="3214A853">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0.0273</w:t>
                  </w:r>
                </w:p>
              </w:tc>
              <w:tc>
                <w:tcPr>
                  <w:tcW w:w="247" w:type="pct"/>
                  <w:tcBorders>
                    <w:left w:val="single" w:color="auto" w:sz="4" w:space="0"/>
                    <w:right w:val="nil"/>
                  </w:tcBorders>
                  <w:vAlign w:val="center"/>
                </w:tcPr>
                <w:p w14:paraId="2A5F7E7E">
                  <w:pPr>
                    <w:spacing w:line="320" w:lineRule="exact"/>
                    <w:ind w:left="-105" w:leftChars="-50" w:right="-105" w:rightChars="-50"/>
                    <w:jc w:val="center"/>
                    <w:rPr>
                      <w:color w:val="auto"/>
                      <w:szCs w:val="21"/>
                    </w:rPr>
                  </w:pPr>
                  <w:r>
                    <w:rPr>
                      <w:rFonts w:hint="eastAsia"/>
                      <w:color w:val="auto"/>
                      <w:szCs w:val="21"/>
                      <w:lang w:val="en-US" w:eastAsia="zh-CN"/>
                    </w:rPr>
                    <w:t>4800</w:t>
                  </w:r>
                  <w:r>
                    <w:rPr>
                      <w:rFonts w:hint="eastAsia"/>
                      <w:color w:val="auto"/>
                      <w:szCs w:val="21"/>
                    </w:rPr>
                    <w:t>h</w:t>
                  </w:r>
                </w:p>
              </w:tc>
            </w:tr>
            <w:tr w14:paraId="0A5CF2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0" w:hRule="atLeast"/>
                <w:jc w:val="center"/>
              </w:trPr>
              <w:tc>
                <w:tcPr>
                  <w:tcW w:w="137" w:type="pct"/>
                  <w:tcBorders>
                    <w:left w:val="nil"/>
                    <w:bottom w:val="single" w:color="auto" w:sz="12" w:space="0"/>
                    <w:right w:val="single" w:color="auto" w:sz="4" w:space="0"/>
                  </w:tcBorders>
                  <w:vAlign w:val="center"/>
                </w:tcPr>
                <w:p w14:paraId="2D4F16E6">
                  <w:pPr>
                    <w:spacing w:line="320" w:lineRule="exact"/>
                    <w:ind w:left="-105" w:leftChars="-50" w:right="-105" w:rightChars="-50"/>
                    <w:jc w:val="center"/>
                    <w:rPr>
                      <w:rFonts w:hint="eastAsia" w:eastAsia="宋体"/>
                      <w:color w:val="auto"/>
                      <w:szCs w:val="21"/>
                      <w:lang w:eastAsia="zh-CN"/>
                    </w:rPr>
                  </w:pPr>
                  <w:r>
                    <w:rPr>
                      <w:rFonts w:hint="eastAsia"/>
                      <w:color w:val="auto"/>
                      <w:szCs w:val="21"/>
                      <w:lang w:val="en-US" w:eastAsia="zh-CN"/>
                    </w:rPr>
                    <w:t>4</w:t>
                  </w:r>
                </w:p>
              </w:tc>
              <w:tc>
                <w:tcPr>
                  <w:tcW w:w="227" w:type="pct"/>
                  <w:tcBorders>
                    <w:left w:val="single" w:color="auto" w:sz="4" w:space="0"/>
                    <w:bottom w:val="single" w:color="auto" w:sz="12" w:space="0"/>
                    <w:right w:val="single" w:color="auto" w:sz="4" w:space="0"/>
                  </w:tcBorders>
                  <w:vAlign w:val="center"/>
                </w:tcPr>
                <w:p w14:paraId="7F932E8B">
                  <w:pPr>
                    <w:spacing w:line="320" w:lineRule="exact"/>
                    <w:ind w:left="-105" w:leftChars="-50" w:right="-105" w:rightChars="-50"/>
                    <w:jc w:val="center"/>
                    <w:rPr>
                      <w:color w:val="auto"/>
                      <w:szCs w:val="21"/>
                    </w:rPr>
                  </w:pPr>
                  <w:r>
                    <w:rPr>
                      <w:rFonts w:hint="eastAsia"/>
                      <w:color w:val="auto"/>
                      <w:szCs w:val="21"/>
                    </w:rPr>
                    <w:t>食堂</w:t>
                  </w:r>
                </w:p>
              </w:tc>
              <w:tc>
                <w:tcPr>
                  <w:tcW w:w="251" w:type="pct"/>
                  <w:tcBorders>
                    <w:left w:val="single" w:color="auto" w:sz="4" w:space="0"/>
                    <w:bottom w:val="single" w:color="auto" w:sz="12" w:space="0"/>
                    <w:right w:val="single" w:color="auto" w:sz="4" w:space="0"/>
                  </w:tcBorders>
                  <w:vAlign w:val="center"/>
                </w:tcPr>
                <w:p w14:paraId="5786208C">
                  <w:pPr>
                    <w:spacing w:line="320" w:lineRule="exact"/>
                    <w:ind w:left="-105" w:leftChars="-50" w:right="-105" w:rightChars="-50"/>
                    <w:jc w:val="center"/>
                    <w:rPr>
                      <w:bCs/>
                      <w:color w:val="auto"/>
                      <w:szCs w:val="21"/>
                    </w:rPr>
                  </w:pPr>
                  <w:r>
                    <w:rPr>
                      <w:rFonts w:hint="eastAsia"/>
                      <w:bCs/>
                      <w:color w:val="auto"/>
                      <w:szCs w:val="21"/>
                    </w:rPr>
                    <w:t>食堂</w:t>
                  </w:r>
                </w:p>
              </w:tc>
              <w:tc>
                <w:tcPr>
                  <w:tcW w:w="333" w:type="pct"/>
                  <w:tcBorders>
                    <w:left w:val="single" w:color="auto" w:sz="4" w:space="0"/>
                    <w:bottom w:val="single" w:color="auto" w:sz="12" w:space="0"/>
                    <w:right w:val="single" w:color="auto" w:sz="4" w:space="0"/>
                  </w:tcBorders>
                  <w:vAlign w:val="center"/>
                </w:tcPr>
                <w:p w14:paraId="10E771D8">
                  <w:pPr>
                    <w:spacing w:line="320" w:lineRule="exact"/>
                    <w:ind w:left="-105" w:leftChars="-50" w:right="-105" w:rightChars="-50"/>
                    <w:jc w:val="center"/>
                    <w:rPr>
                      <w:color w:val="auto"/>
                      <w:szCs w:val="21"/>
                    </w:rPr>
                  </w:pPr>
                  <w:r>
                    <w:rPr>
                      <w:rFonts w:hint="eastAsia"/>
                      <w:color w:val="auto"/>
                      <w:szCs w:val="21"/>
                    </w:rPr>
                    <w:t>食堂</w:t>
                  </w:r>
                </w:p>
              </w:tc>
              <w:tc>
                <w:tcPr>
                  <w:tcW w:w="223" w:type="pct"/>
                  <w:tcBorders>
                    <w:left w:val="single" w:color="auto" w:sz="4" w:space="0"/>
                    <w:bottom w:val="single" w:color="auto" w:sz="12" w:space="0"/>
                    <w:right w:val="single" w:color="auto" w:sz="4" w:space="0"/>
                  </w:tcBorders>
                  <w:vAlign w:val="center"/>
                </w:tcPr>
                <w:p w14:paraId="702BC28E">
                  <w:pPr>
                    <w:spacing w:line="320" w:lineRule="exact"/>
                    <w:ind w:left="-105" w:leftChars="-50" w:right="-105" w:rightChars="-50"/>
                    <w:jc w:val="center"/>
                    <w:rPr>
                      <w:color w:val="auto"/>
                      <w:szCs w:val="21"/>
                    </w:rPr>
                  </w:pPr>
                  <w:r>
                    <w:rPr>
                      <w:rFonts w:hint="eastAsia"/>
                      <w:color w:val="auto"/>
                      <w:szCs w:val="21"/>
                    </w:rPr>
                    <w:t>食堂油烟</w:t>
                  </w:r>
                </w:p>
              </w:tc>
              <w:tc>
                <w:tcPr>
                  <w:tcW w:w="333" w:type="pct"/>
                  <w:tcBorders>
                    <w:left w:val="single" w:color="auto" w:sz="4" w:space="0"/>
                    <w:bottom w:val="single" w:color="auto" w:sz="12" w:space="0"/>
                    <w:right w:val="single" w:color="auto" w:sz="4" w:space="0"/>
                  </w:tcBorders>
                  <w:vAlign w:val="center"/>
                </w:tcPr>
                <w:p w14:paraId="247FBEBB">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0.0133</w:t>
                  </w:r>
                </w:p>
              </w:tc>
              <w:tc>
                <w:tcPr>
                  <w:tcW w:w="278" w:type="pct"/>
                  <w:tcBorders>
                    <w:left w:val="single" w:color="auto" w:sz="4" w:space="0"/>
                    <w:bottom w:val="single" w:color="auto" w:sz="12" w:space="0"/>
                    <w:right w:val="single" w:color="auto" w:sz="4" w:space="0"/>
                  </w:tcBorders>
                  <w:vAlign w:val="center"/>
                </w:tcPr>
                <w:p w14:paraId="68C3B720">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0.064</w:t>
                  </w:r>
                </w:p>
              </w:tc>
              <w:tc>
                <w:tcPr>
                  <w:tcW w:w="278" w:type="pct"/>
                  <w:tcBorders>
                    <w:left w:val="single" w:color="auto" w:sz="4" w:space="0"/>
                    <w:bottom w:val="single" w:color="auto" w:sz="12" w:space="0"/>
                    <w:right w:val="single" w:color="auto" w:sz="4" w:space="0"/>
                  </w:tcBorders>
                  <w:vAlign w:val="center"/>
                </w:tcPr>
                <w:p w14:paraId="246EC3F4">
                  <w:pPr>
                    <w:spacing w:line="320" w:lineRule="exact"/>
                    <w:ind w:left="-105" w:leftChars="-50" w:right="-105" w:rightChars="-50"/>
                    <w:jc w:val="center"/>
                    <w:rPr>
                      <w:color w:val="auto"/>
                      <w:szCs w:val="21"/>
                    </w:rPr>
                  </w:pPr>
                  <w:r>
                    <w:rPr>
                      <w:rFonts w:hint="eastAsia"/>
                      <w:color w:val="auto"/>
                      <w:szCs w:val="21"/>
                    </w:rPr>
                    <w:t>有组织</w:t>
                  </w:r>
                </w:p>
              </w:tc>
              <w:tc>
                <w:tcPr>
                  <w:tcW w:w="835" w:type="pct"/>
                  <w:tcBorders>
                    <w:left w:val="single" w:color="auto" w:sz="4" w:space="0"/>
                    <w:bottom w:val="single" w:color="auto" w:sz="12" w:space="0"/>
                    <w:right w:val="single" w:color="auto" w:sz="4" w:space="0"/>
                  </w:tcBorders>
                  <w:vAlign w:val="center"/>
                </w:tcPr>
                <w:p w14:paraId="2536573D">
                  <w:pPr>
                    <w:spacing w:line="320" w:lineRule="exact"/>
                    <w:jc w:val="center"/>
                    <w:rPr>
                      <w:rFonts w:hint="eastAsia" w:eastAsia="宋体"/>
                      <w:color w:val="auto"/>
                      <w:szCs w:val="21"/>
                      <w:lang w:eastAsia="zh-CN"/>
                    </w:rPr>
                  </w:pPr>
                  <w:r>
                    <w:rPr>
                      <w:rFonts w:hint="eastAsia"/>
                      <w:color w:val="auto"/>
                      <w:szCs w:val="21"/>
                    </w:rPr>
                    <w:t>油烟净化器+</w:t>
                  </w:r>
                  <w:r>
                    <w:rPr>
                      <w:color w:val="auto"/>
                      <w:szCs w:val="21"/>
                    </w:rPr>
                    <w:t>引至</w:t>
                  </w:r>
                  <w:r>
                    <w:rPr>
                      <w:rFonts w:hint="eastAsia"/>
                      <w:color w:val="auto"/>
                      <w:szCs w:val="21"/>
                    </w:rPr>
                    <w:t>楼顶排放</w:t>
                  </w:r>
                  <w:r>
                    <w:rPr>
                      <w:rFonts w:hint="eastAsia"/>
                      <w:color w:val="auto"/>
                      <w:szCs w:val="21"/>
                      <w:lang w:eastAsia="zh-CN"/>
                    </w:rPr>
                    <w:t>，</w:t>
                  </w:r>
                  <w:r>
                    <w:rPr>
                      <w:rFonts w:hint="eastAsia"/>
                      <w:color w:val="auto"/>
                    </w:rPr>
                    <w:t>风机风量</w:t>
                  </w:r>
                  <w:r>
                    <w:rPr>
                      <w:rFonts w:hint="eastAsia"/>
                      <w:color w:val="auto"/>
                      <w:lang w:val="en-US" w:eastAsia="zh-CN"/>
                    </w:rPr>
                    <w:t>10000</w:t>
                  </w:r>
                  <w:r>
                    <w:rPr>
                      <w:rFonts w:hint="eastAsia"/>
                      <w:color w:val="auto"/>
                    </w:rPr>
                    <w:t>m</w:t>
                  </w:r>
                  <w:r>
                    <w:rPr>
                      <w:rFonts w:hint="eastAsia"/>
                      <w:color w:val="auto"/>
                      <w:vertAlign w:val="superscript"/>
                    </w:rPr>
                    <w:t>3</w:t>
                  </w:r>
                  <w:r>
                    <w:rPr>
                      <w:rFonts w:hint="eastAsia"/>
                      <w:color w:val="auto"/>
                    </w:rPr>
                    <w:t>/h</w:t>
                  </w:r>
                </w:p>
              </w:tc>
              <w:tc>
                <w:tcPr>
                  <w:tcW w:w="222" w:type="pct"/>
                  <w:tcBorders>
                    <w:left w:val="single" w:color="auto" w:sz="4" w:space="0"/>
                    <w:bottom w:val="single" w:color="auto" w:sz="12" w:space="0"/>
                    <w:right w:val="single" w:color="auto" w:sz="4" w:space="0"/>
                  </w:tcBorders>
                  <w:vAlign w:val="center"/>
                </w:tcPr>
                <w:p w14:paraId="1DD05F44">
                  <w:pPr>
                    <w:spacing w:line="320" w:lineRule="exact"/>
                    <w:ind w:left="-105" w:leftChars="-50" w:right="-105" w:rightChars="-50"/>
                    <w:jc w:val="center"/>
                    <w:rPr>
                      <w:color w:val="auto"/>
                      <w:szCs w:val="21"/>
                    </w:rPr>
                  </w:pPr>
                  <w:r>
                    <w:rPr>
                      <w:rFonts w:hint="eastAsia"/>
                      <w:color w:val="auto"/>
                      <w:szCs w:val="21"/>
                    </w:rPr>
                    <w:t>/</w:t>
                  </w:r>
                </w:p>
              </w:tc>
              <w:tc>
                <w:tcPr>
                  <w:tcW w:w="223" w:type="pct"/>
                  <w:tcBorders>
                    <w:left w:val="single" w:color="auto" w:sz="4" w:space="0"/>
                    <w:bottom w:val="single" w:color="auto" w:sz="12" w:space="0"/>
                    <w:right w:val="single" w:color="auto" w:sz="4" w:space="0"/>
                  </w:tcBorders>
                  <w:vAlign w:val="center"/>
                </w:tcPr>
                <w:p w14:paraId="1DFCC9CE">
                  <w:pPr>
                    <w:spacing w:line="320" w:lineRule="exact"/>
                    <w:ind w:left="-105" w:leftChars="-50" w:right="-105" w:rightChars="-50"/>
                    <w:jc w:val="center"/>
                    <w:rPr>
                      <w:color w:val="auto"/>
                      <w:szCs w:val="21"/>
                    </w:rPr>
                  </w:pPr>
                  <w:r>
                    <w:rPr>
                      <w:rFonts w:hint="eastAsia"/>
                      <w:color w:val="auto"/>
                      <w:szCs w:val="21"/>
                    </w:rPr>
                    <w:t>80%</w:t>
                  </w:r>
                </w:p>
              </w:tc>
              <w:tc>
                <w:tcPr>
                  <w:tcW w:w="333" w:type="pct"/>
                  <w:tcBorders>
                    <w:left w:val="single" w:color="auto" w:sz="4" w:space="0"/>
                    <w:bottom w:val="single" w:color="auto" w:sz="12" w:space="0"/>
                    <w:right w:val="single" w:color="auto" w:sz="4" w:space="0"/>
                  </w:tcBorders>
                  <w:vAlign w:val="center"/>
                </w:tcPr>
                <w:p w14:paraId="2CF0B5B5">
                  <w:pPr>
                    <w:spacing w:line="320" w:lineRule="exact"/>
                    <w:ind w:left="-105" w:leftChars="-50" w:right="-105" w:rightChars="-50"/>
                    <w:jc w:val="center"/>
                    <w:rPr>
                      <w:color w:val="auto"/>
                      <w:szCs w:val="21"/>
                    </w:rPr>
                  </w:pPr>
                  <w:r>
                    <w:rPr>
                      <w:color w:val="auto"/>
                      <w:szCs w:val="21"/>
                    </w:rPr>
                    <w:sym w:font="Wingdings" w:char="00FE"/>
                  </w:r>
                  <w:r>
                    <w:rPr>
                      <w:color w:val="auto"/>
                      <w:szCs w:val="21"/>
                    </w:rPr>
                    <w:t>是</w:t>
                  </w:r>
                </w:p>
                <w:p w14:paraId="039FA025">
                  <w:pPr>
                    <w:spacing w:line="320" w:lineRule="exact"/>
                    <w:ind w:left="-105" w:leftChars="-50" w:right="-105" w:rightChars="-50"/>
                    <w:jc w:val="center"/>
                    <w:rPr>
                      <w:color w:val="auto"/>
                      <w:szCs w:val="21"/>
                    </w:rPr>
                  </w:pPr>
                  <w:r>
                    <w:rPr>
                      <w:color w:val="auto"/>
                      <w:szCs w:val="21"/>
                    </w:rPr>
                    <w:sym w:font="Wingdings" w:char="00A8"/>
                  </w:r>
                  <w:r>
                    <w:rPr>
                      <w:color w:val="auto"/>
                      <w:szCs w:val="21"/>
                    </w:rPr>
                    <w:t xml:space="preserve"> 否</w:t>
                  </w:r>
                </w:p>
              </w:tc>
              <w:tc>
                <w:tcPr>
                  <w:tcW w:w="390" w:type="pct"/>
                  <w:tcBorders>
                    <w:left w:val="single" w:color="auto" w:sz="4" w:space="0"/>
                    <w:bottom w:val="single" w:color="auto" w:sz="12" w:space="0"/>
                    <w:right w:val="single" w:color="auto" w:sz="4" w:space="0"/>
                  </w:tcBorders>
                  <w:vAlign w:val="center"/>
                </w:tcPr>
                <w:p w14:paraId="3981C018">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1.42</w:t>
                  </w:r>
                </w:p>
              </w:tc>
              <w:tc>
                <w:tcPr>
                  <w:tcW w:w="333" w:type="pct"/>
                  <w:tcBorders>
                    <w:left w:val="single" w:color="auto" w:sz="4" w:space="0"/>
                    <w:bottom w:val="single" w:color="auto" w:sz="12" w:space="0"/>
                    <w:right w:val="single" w:color="auto" w:sz="4" w:space="0"/>
                  </w:tcBorders>
                  <w:vAlign w:val="center"/>
                </w:tcPr>
                <w:p w14:paraId="5A9982A7">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0.0142</w:t>
                  </w:r>
                </w:p>
              </w:tc>
              <w:tc>
                <w:tcPr>
                  <w:tcW w:w="348" w:type="pct"/>
                  <w:tcBorders>
                    <w:left w:val="single" w:color="auto" w:sz="4" w:space="0"/>
                    <w:bottom w:val="single" w:color="auto" w:sz="12" w:space="0"/>
                    <w:right w:val="single" w:color="auto" w:sz="4" w:space="0"/>
                  </w:tcBorders>
                  <w:vAlign w:val="center"/>
                </w:tcPr>
                <w:p w14:paraId="1EB649B9">
                  <w:pPr>
                    <w:spacing w:line="320" w:lineRule="exact"/>
                    <w:ind w:left="-105" w:leftChars="-50" w:right="-105" w:rightChars="-50"/>
                    <w:jc w:val="center"/>
                    <w:rPr>
                      <w:rFonts w:hint="default" w:eastAsia="宋体"/>
                      <w:color w:val="auto"/>
                      <w:szCs w:val="21"/>
                      <w:lang w:val="en-US" w:eastAsia="zh-CN"/>
                    </w:rPr>
                  </w:pPr>
                  <w:r>
                    <w:rPr>
                      <w:rFonts w:hint="eastAsia"/>
                      <w:color w:val="auto"/>
                      <w:szCs w:val="21"/>
                      <w:lang w:val="en-US" w:eastAsia="zh-CN"/>
                    </w:rPr>
                    <w:t>0.0128</w:t>
                  </w:r>
                </w:p>
              </w:tc>
              <w:tc>
                <w:tcPr>
                  <w:tcW w:w="247" w:type="pct"/>
                  <w:tcBorders>
                    <w:left w:val="single" w:color="auto" w:sz="4" w:space="0"/>
                    <w:bottom w:val="single" w:color="auto" w:sz="12" w:space="0"/>
                    <w:right w:val="nil"/>
                  </w:tcBorders>
                  <w:vAlign w:val="center"/>
                </w:tcPr>
                <w:p w14:paraId="67DF5300">
                  <w:pPr>
                    <w:spacing w:line="320" w:lineRule="exact"/>
                    <w:ind w:left="-105" w:leftChars="-50" w:right="-105" w:rightChars="-50"/>
                    <w:jc w:val="center"/>
                    <w:rPr>
                      <w:color w:val="auto"/>
                      <w:szCs w:val="21"/>
                    </w:rPr>
                  </w:pPr>
                  <w:r>
                    <w:rPr>
                      <w:rFonts w:hint="eastAsia"/>
                      <w:color w:val="auto"/>
                      <w:szCs w:val="21"/>
                      <w:lang w:val="en-US" w:eastAsia="zh-CN"/>
                    </w:rPr>
                    <w:t>900</w:t>
                  </w:r>
                  <w:r>
                    <w:rPr>
                      <w:rFonts w:hint="eastAsia"/>
                      <w:color w:val="auto"/>
                      <w:szCs w:val="21"/>
                    </w:rPr>
                    <w:t>h</w:t>
                  </w:r>
                </w:p>
              </w:tc>
            </w:tr>
          </w:tbl>
          <w:p w14:paraId="505665CC">
            <w:pPr>
              <w:snapToGrid w:val="0"/>
              <w:spacing w:before="120" w:beforeLines="50" w:line="360" w:lineRule="auto"/>
              <w:ind w:firstLine="480" w:firstLineChars="200"/>
              <w:rPr>
                <w:color w:val="auto"/>
                <w:sz w:val="24"/>
                <w:highlight w:val="none"/>
              </w:rPr>
            </w:pPr>
            <w:r>
              <w:rPr>
                <w:color w:val="auto"/>
                <w:sz w:val="24"/>
                <w:highlight w:val="none"/>
              </w:rPr>
              <w:t>本项目废气排放口情况如下表所示。</w:t>
            </w:r>
          </w:p>
          <w:p w14:paraId="373FD536">
            <w:pPr>
              <w:jc w:val="center"/>
              <w:rPr>
                <w:b/>
                <w:color w:val="auto"/>
                <w:szCs w:val="21"/>
                <w:highlight w:val="none"/>
              </w:rPr>
            </w:pPr>
            <w:r>
              <w:rPr>
                <w:b/>
                <w:color w:val="auto"/>
                <w:szCs w:val="21"/>
                <w:highlight w:val="none"/>
              </w:rPr>
              <w:t>表4-</w:t>
            </w:r>
            <w:r>
              <w:rPr>
                <w:rFonts w:hint="eastAsia"/>
                <w:b/>
                <w:color w:val="auto"/>
                <w:szCs w:val="21"/>
                <w:highlight w:val="none"/>
              </w:rPr>
              <w:t>2</w:t>
            </w:r>
            <w:r>
              <w:rPr>
                <w:b/>
                <w:color w:val="auto"/>
                <w:szCs w:val="21"/>
                <w:highlight w:val="none"/>
              </w:rPr>
              <w:t xml:space="preserve">  项目排放口基本情况</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31"/>
              <w:gridCol w:w="1038"/>
              <w:gridCol w:w="1362"/>
              <w:gridCol w:w="1062"/>
              <w:gridCol w:w="1702"/>
              <w:gridCol w:w="1393"/>
              <w:gridCol w:w="1130"/>
              <w:gridCol w:w="1377"/>
              <w:gridCol w:w="1106"/>
            </w:tblGrid>
            <w:tr w14:paraId="6C6B2C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7" w:type="pct"/>
                  <w:vMerge w:val="restart"/>
                  <w:tcBorders>
                    <w:tl2br w:val="nil"/>
                    <w:tr2bl w:val="nil"/>
                  </w:tcBorders>
                  <w:noWrap w:val="0"/>
                  <w:vAlign w:val="center"/>
                </w:tcPr>
                <w:p w14:paraId="11EB6D7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名称</w:t>
                  </w:r>
                </w:p>
              </w:tc>
              <w:tc>
                <w:tcPr>
                  <w:tcW w:w="900" w:type="pct"/>
                  <w:gridSpan w:val="2"/>
                  <w:tcBorders>
                    <w:tl2br w:val="nil"/>
                    <w:tr2bl w:val="nil"/>
                  </w:tcBorders>
                  <w:noWrap w:val="0"/>
                  <w:vAlign w:val="center"/>
                </w:tcPr>
                <w:p w14:paraId="4BDBF75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排气筒底部中心坐标/m</w:t>
                  </w:r>
                </w:p>
              </w:tc>
              <w:tc>
                <w:tcPr>
                  <w:tcW w:w="540" w:type="pct"/>
                  <w:vMerge w:val="restart"/>
                  <w:tcBorders>
                    <w:tl2br w:val="nil"/>
                    <w:tr2bl w:val="nil"/>
                  </w:tcBorders>
                  <w:noWrap w:val="0"/>
                  <w:vAlign w:val="center"/>
                </w:tcPr>
                <w:p w14:paraId="40C38F9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排气筒底部海拔高度/m</w:t>
                  </w:r>
                </w:p>
              </w:tc>
              <w:tc>
                <w:tcPr>
                  <w:tcW w:w="421" w:type="pct"/>
                  <w:vMerge w:val="restart"/>
                  <w:tcBorders>
                    <w:tl2br w:val="nil"/>
                    <w:tr2bl w:val="nil"/>
                  </w:tcBorders>
                  <w:noWrap w:val="0"/>
                  <w:vAlign w:val="center"/>
                </w:tcPr>
                <w:p w14:paraId="426728D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排气筒高度/m</w:t>
                  </w:r>
                </w:p>
              </w:tc>
              <w:tc>
                <w:tcPr>
                  <w:tcW w:w="675" w:type="pct"/>
                  <w:vMerge w:val="restart"/>
                  <w:tcBorders>
                    <w:tl2br w:val="nil"/>
                    <w:tr2bl w:val="nil"/>
                  </w:tcBorders>
                  <w:noWrap w:val="0"/>
                  <w:vAlign w:val="center"/>
                </w:tcPr>
                <w:p w14:paraId="270A5E4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排气筒出口内径/m</w:t>
                  </w:r>
                </w:p>
              </w:tc>
              <w:tc>
                <w:tcPr>
                  <w:tcW w:w="552" w:type="pct"/>
                  <w:vMerge w:val="restart"/>
                  <w:tcBorders>
                    <w:tl2br w:val="nil"/>
                    <w:tr2bl w:val="nil"/>
                  </w:tcBorders>
                  <w:noWrap w:val="0"/>
                  <w:vAlign w:val="center"/>
                </w:tcPr>
                <w:p w14:paraId="631D5CD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烟气流速/（m/s）</w:t>
                  </w:r>
                </w:p>
              </w:tc>
              <w:tc>
                <w:tcPr>
                  <w:tcW w:w="448" w:type="pct"/>
                  <w:vMerge w:val="restart"/>
                  <w:tcBorders>
                    <w:tl2br w:val="nil"/>
                    <w:tr2bl w:val="nil"/>
                  </w:tcBorders>
                  <w:noWrap w:val="0"/>
                  <w:vAlign w:val="center"/>
                </w:tcPr>
                <w:p w14:paraId="5273BD2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烟气温度/℃</w:t>
                  </w:r>
                </w:p>
              </w:tc>
              <w:tc>
                <w:tcPr>
                  <w:tcW w:w="546" w:type="pct"/>
                  <w:vMerge w:val="restart"/>
                  <w:tcBorders>
                    <w:tl2br w:val="nil"/>
                    <w:tr2bl w:val="nil"/>
                  </w:tcBorders>
                  <w:noWrap w:val="0"/>
                  <w:vAlign w:val="center"/>
                </w:tcPr>
                <w:p w14:paraId="49F3FAC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年排放小时数/h</w:t>
                  </w:r>
                </w:p>
              </w:tc>
              <w:tc>
                <w:tcPr>
                  <w:tcW w:w="438" w:type="pct"/>
                  <w:vMerge w:val="restart"/>
                  <w:tcBorders>
                    <w:tl2br w:val="nil"/>
                    <w:tr2bl w:val="nil"/>
                  </w:tcBorders>
                  <w:noWrap w:val="0"/>
                  <w:vAlign w:val="center"/>
                </w:tcPr>
                <w:p w14:paraId="7817FE1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类型</w:t>
                  </w:r>
                </w:p>
              </w:tc>
            </w:tr>
            <w:tr w14:paraId="5ECCB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7" w:type="pct"/>
                  <w:vMerge w:val="continue"/>
                  <w:tcBorders>
                    <w:tl2br w:val="nil"/>
                    <w:tr2bl w:val="nil"/>
                  </w:tcBorders>
                  <w:noWrap w:val="0"/>
                  <w:vAlign w:val="center"/>
                </w:tcPr>
                <w:p w14:paraId="437BC588">
                  <w:pPr>
                    <w:keepNext w:val="0"/>
                    <w:keepLines w:val="0"/>
                    <w:suppressLineNumbers w:val="0"/>
                    <w:spacing w:before="0" w:beforeAutospacing="0" w:after="0" w:afterAutospacing="0"/>
                    <w:ind w:left="-105" w:leftChars="-50" w:right="-105" w:rightChars="-50"/>
                    <w:rPr>
                      <w:rFonts w:hint="default" w:ascii="Times New Roman" w:hAnsi="Times New Roman" w:eastAsia="宋体" w:cs="Times New Roman"/>
                      <w:color w:val="auto"/>
                      <w:szCs w:val="22"/>
                    </w:rPr>
                  </w:pPr>
                </w:p>
              </w:tc>
              <w:tc>
                <w:tcPr>
                  <w:tcW w:w="488" w:type="pct"/>
                  <w:tcBorders>
                    <w:tl2br w:val="nil"/>
                    <w:tr2bl w:val="nil"/>
                  </w:tcBorders>
                  <w:noWrap w:val="0"/>
                  <w:vAlign w:val="center"/>
                </w:tcPr>
                <w:p w14:paraId="12B02AA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X</w:t>
                  </w:r>
                </w:p>
              </w:tc>
              <w:tc>
                <w:tcPr>
                  <w:tcW w:w="411" w:type="pct"/>
                  <w:tcBorders>
                    <w:tl2br w:val="nil"/>
                    <w:tr2bl w:val="nil"/>
                  </w:tcBorders>
                  <w:noWrap w:val="0"/>
                  <w:vAlign w:val="center"/>
                </w:tcPr>
                <w:p w14:paraId="3F4E2A7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Y</w:t>
                  </w:r>
                </w:p>
              </w:tc>
              <w:tc>
                <w:tcPr>
                  <w:tcW w:w="540" w:type="pct"/>
                  <w:vMerge w:val="continue"/>
                  <w:tcBorders>
                    <w:tl2br w:val="nil"/>
                    <w:tr2bl w:val="nil"/>
                  </w:tcBorders>
                  <w:noWrap w:val="0"/>
                  <w:vAlign w:val="center"/>
                </w:tcPr>
                <w:p w14:paraId="38731BCC">
                  <w:pPr>
                    <w:keepNext w:val="0"/>
                    <w:keepLines w:val="0"/>
                    <w:suppressLineNumbers w:val="0"/>
                    <w:spacing w:before="0" w:beforeAutospacing="0" w:after="0" w:afterAutospacing="0"/>
                    <w:ind w:left="-105" w:leftChars="-50" w:right="-105" w:rightChars="-50"/>
                    <w:rPr>
                      <w:rFonts w:hint="default" w:ascii="Times New Roman" w:hAnsi="Times New Roman" w:eastAsia="宋体" w:cs="Times New Roman"/>
                      <w:color w:val="auto"/>
                      <w:szCs w:val="22"/>
                    </w:rPr>
                  </w:pPr>
                </w:p>
              </w:tc>
              <w:tc>
                <w:tcPr>
                  <w:tcW w:w="421" w:type="pct"/>
                  <w:vMerge w:val="continue"/>
                  <w:tcBorders>
                    <w:tl2br w:val="nil"/>
                    <w:tr2bl w:val="nil"/>
                  </w:tcBorders>
                  <w:noWrap w:val="0"/>
                  <w:vAlign w:val="center"/>
                </w:tcPr>
                <w:p w14:paraId="23979382">
                  <w:pPr>
                    <w:keepNext w:val="0"/>
                    <w:keepLines w:val="0"/>
                    <w:suppressLineNumbers w:val="0"/>
                    <w:spacing w:before="0" w:beforeAutospacing="0" w:after="0" w:afterAutospacing="0"/>
                    <w:ind w:left="-105" w:leftChars="-50" w:right="-105" w:rightChars="-50"/>
                    <w:rPr>
                      <w:rFonts w:hint="default" w:ascii="Times New Roman" w:hAnsi="Times New Roman" w:eastAsia="宋体" w:cs="Times New Roman"/>
                      <w:color w:val="auto"/>
                      <w:szCs w:val="22"/>
                    </w:rPr>
                  </w:pPr>
                </w:p>
              </w:tc>
              <w:tc>
                <w:tcPr>
                  <w:tcW w:w="675" w:type="pct"/>
                  <w:vMerge w:val="continue"/>
                  <w:tcBorders>
                    <w:tl2br w:val="nil"/>
                    <w:tr2bl w:val="nil"/>
                  </w:tcBorders>
                  <w:noWrap w:val="0"/>
                  <w:vAlign w:val="center"/>
                </w:tcPr>
                <w:p w14:paraId="0B5FA3A2">
                  <w:pPr>
                    <w:keepNext w:val="0"/>
                    <w:keepLines w:val="0"/>
                    <w:suppressLineNumbers w:val="0"/>
                    <w:spacing w:before="0" w:beforeAutospacing="0" w:after="0" w:afterAutospacing="0"/>
                    <w:ind w:left="-105" w:leftChars="-50" w:right="-105" w:rightChars="-50"/>
                    <w:rPr>
                      <w:rFonts w:hint="default" w:ascii="Times New Roman" w:hAnsi="Times New Roman" w:eastAsia="宋体" w:cs="Times New Roman"/>
                      <w:color w:val="auto"/>
                      <w:szCs w:val="22"/>
                    </w:rPr>
                  </w:pPr>
                </w:p>
              </w:tc>
              <w:tc>
                <w:tcPr>
                  <w:tcW w:w="552" w:type="pct"/>
                  <w:vMerge w:val="continue"/>
                  <w:tcBorders>
                    <w:tl2br w:val="nil"/>
                    <w:tr2bl w:val="nil"/>
                  </w:tcBorders>
                  <w:noWrap w:val="0"/>
                  <w:vAlign w:val="center"/>
                </w:tcPr>
                <w:p w14:paraId="20945908">
                  <w:pPr>
                    <w:keepNext w:val="0"/>
                    <w:keepLines w:val="0"/>
                    <w:suppressLineNumbers w:val="0"/>
                    <w:spacing w:before="0" w:beforeAutospacing="0" w:after="0" w:afterAutospacing="0"/>
                    <w:ind w:left="-105" w:leftChars="-50" w:right="-105" w:rightChars="-50"/>
                    <w:rPr>
                      <w:rFonts w:hint="default" w:ascii="Times New Roman" w:hAnsi="Times New Roman" w:eastAsia="宋体" w:cs="Times New Roman"/>
                      <w:color w:val="auto"/>
                      <w:szCs w:val="22"/>
                    </w:rPr>
                  </w:pPr>
                </w:p>
              </w:tc>
              <w:tc>
                <w:tcPr>
                  <w:tcW w:w="448" w:type="pct"/>
                  <w:vMerge w:val="continue"/>
                  <w:tcBorders>
                    <w:tl2br w:val="nil"/>
                    <w:tr2bl w:val="nil"/>
                  </w:tcBorders>
                  <w:noWrap w:val="0"/>
                  <w:vAlign w:val="center"/>
                </w:tcPr>
                <w:p w14:paraId="34870889">
                  <w:pPr>
                    <w:keepNext w:val="0"/>
                    <w:keepLines w:val="0"/>
                    <w:suppressLineNumbers w:val="0"/>
                    <w:spacing w:before="0" w:beforeAutospacing="0" w:after="0" w:afterAutospacing="0"/>
                    <w:ind w:left="-105" w:leftChars="-50" w:right="-105" w:rightChars="-50"/>
                    <w:rPr>
                      <w:rFonts w:hint="default" w:ascii="Times New Roman" w:hAnsi="Times New Roman" w:eastAsia="宋体" w:cs="Times New Roman"/>
                      <w:color w:val="auto"/>
                      <w:szCs w:val="22"/>
                    </w:rPr>
                  </w:pPr>
                </w:p>
              </w:tc>
              <w:tc>
                <w:tcPr>
                  <w:tcW w:w="546" w:type="pct"/>
                  <w:vMerge w:val="continue"/>
                  <w:tcBorders>
                    <w:tl2br w:val="nil"/>
                    <w:tr2bl w:val="nil"/>
                  </w:tcBorders>
                  <w:noWrap w:val="0"/>
                  <w:vAlign w:val="center"/>
                </w:tcPr>
                <w:p w14:paraId="7BDB377D">
                  <w:pPr>
                    <w:keepNext w:val="0"/>
                    <w:keepLines w:val="0"/>
                    <w:suppressLineNumbers w:val="0"/>
                    <w:spacing w:before="0" w:beforeAutospacing="0" w:after="0" w:afterAutospacing="0"/>
                    <w:ind w:left="-105" w:leftChars="-50" w:right="-105" w:rightChars="-50"/>
                    <w:rPr>
                      <w:rFonts w:hint="default" w:ascii="Times New Roman" w:hAnsi="Times New Roman" w:eastAsia="宋体" w:cs="Times New Roman"/>
                      <w:color w:val="auto"/>
                      <w:szCs w:val="22"/>
                    </w:rPr>
                  </w:pPr>
                </w:p>
              </w:tc>
              <w:tc>
                <w:tcPr>
                  <w:tcW w:w="438" w:type="pct"/>
                  <w:vMerge w:val="continue"/>
                  <w:tcBorders>
                    <w:tl2br w:val="nil"/>
                    <w:tr2bl w:val="nil"/>
                  </w:tcBorders>
                  <w:noWrap w:val="0"/>
                  <w:vAlign w:val="center"/>
                </w:tcPr>
                <w:p w14:paraId="5AD37B68">
                  <w:pPr>
                    <w:keepNext w:val="0"/>
                    <w:keepLines w:val="0"/>
                    <w:suppressLineNumbers w:val="0"/>
                    <w:spacing w:before="0" w:beforeAutospacing="0" w:after="0" w:afterAutospacing="0"/>
                    <w:ind w:left="-105" w:leftChars="-50" w:right="-105" w:rightChars="-50"/>
                    <w:rPr>
                      <w:rFonts w:hint="default" w:ascii="Times New Roman" w:hAnsi="Times New Roman" w:eastAsia="宋体" w:cs="Times New Roman"/>
                      <w:color w:val="auto"/>
                      <w:szCs w:val="22"/>
                    </w:rPr>
                  </w:pPr>
                </w:p>
              </w:tc>
            </w:tr>
            <w:tr w14:paraId="6ECDDB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77" w:type="pct"/>
                  <w:tcBorders>
                    <w:tl2br w:val="nil"/>
                    <w:tr2bl w:val="nil"/>
                  </w:tcBorders>
                  <w:noWrap w:val="0"/>
                  <w:vAlign w:val="center"/>
                </w:tcPr>
                <w:p w14:paraId="4462358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DA0</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1排气筒</w:t>
                  </w:r>
                </w:p>
              </w:tc>
              <w:tc>
                <w:tcPr>
                  <w:tcW w:w="488" w:type="pct"/>
                  <w:tcBorders>
                    <w:tl2br w:val="nil"/>
                    <w:tr2bl w:val="nil"/>
                  </w:tcBorders>
                  <w:noWrap w:val="0"/>
                  <w:vAlign w:val="center"/>
                </w:tcPr>
                <w:p w14:paraId="135F70C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105.270576</w:t>
                  </w:r>
                </w:p>
              </w:tc>
              <w:tc>
                <w:tcPr>
                  <w:tcW w:w="411" w:type="pct"/>
                  <w:tcBorders>
                    <w:tl2br w:val="nil"/>
                    <w:tr2bl w:val="nil"/>
                  </w:tcBorders>
                  <w:noWrap w:val="0"/>
                  <w:vAlign w:val="center"/>
                </w:tcPr>
                <w:p w14:paraId="53896DD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30.592126</w:t>
                  </w:r>
                </w:p>
              </w:tc>
              <w:tc>
                <w:tcPr>
                  <w:tcW w:w="540" w:type="pct"/>
                  <w:tcBorders>
                    <w:tl2br w:val="nil"/>
                    <w:tr2bl w:val="nil"/>
                  </w:tcBorders>
                  <w:noWrap w:val="0"/>
                  <w:vAlign w:val="center"/>
                </w:tcPr>
                <w:p w14:paraId="3BFB71E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319</w:t>
                  </w:r>
                </w:p>
              </w:tc>
              <w:tc>
                <w:tcPr>
                  <w:tcW w:w="421" w:type="pct"/>
                  <w:tcBorders>
                    <w:tl2br w:val="nil"/>
                    <w:tr2bl w:val="nil"/>
                  </w:tcBorders>
                  <w:noWrap w:val="0"/>
                  <w:vAlign w:val="center"/>
                </w:tcPr>
                <w:p w14:paraId="1B4C1CC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w:t>
                  </w:r>
                </w:p>
              </w:tc>
              <w:tc>
                <w:tcPr>
                  <w:tcW w:w="675" w:type="pct"/>
                  <w:tcBorders>
                    <w:tl2br w:val="nil"/>
                    <w:tr2bl w:val="nil"/>
                  </w:tcBorders>
                  <w:noWrap w:val="0"/>
                  <w:vAlign w:val="center"/>
                </w:tcPr>
                <w:p w14:paraId="5C457B5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w:t>
                  </w:r>
                  <w:r>
                    <w:rPr>
                      <w:rFonts w:hint="eastAsia" w:cs="Times New Roman"/>
                      <w:color w:val="auto"/>
                      <w:szCs w:val="21"/>
                      <w:lang w:val="en-US" w:eastAsia="zh-CN"/>
                    </w:rPr>
                    <w:t>8</w:t>
                  </w:r>
                </w:p>
              </w:tc>
              <w:tc>
                <w:tcPr>
                  <w:tcW w:w="552" w:type="pct"/>
                  <w:tcBorders>
                    <w:tl2br w:val="nil"/>
                    <w:tr2bl w:val="nil"/>
                  </w:tcBorders>
                  <w:noWrap w:val="0"/>
                  <w:vAlign w:val="center"/>
                </w:tcPr>
                <w:p w14:paraId="5F833391">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16.58</w:t>
                  </w:r>
                </w:p>
              </w:tc>
              <w:tc>
                <w:tcPr>
                  <w:tcW w:w="448" w:type="pct"/>
                  <w:tcBorders>
                    <w:tl2br w:val="nil"/>
                    <w:tr2bl w:val="nil"/>
                  </w:tcBorders>
                  <w:noWrap w:val="0"/>
                  <w:vAlign w:val="center"/>
                </w:tcPr>
                <w:p w14:paraId="4BB9E0A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w:t>
                  </w:r>
                  <w:r>
                    <w:rPr>
                      <w:rFonts w:hint="default" w:ascii="Times New Roman" w:hAnsi="Times New Roman" w:eastAsia="宋体" w:cs="Times New Roman"/>
                      <w:color w:val="auto"/>
                      <w:szCs w:val="21"/>
                      <w:lang w:val="en-US" w:eastAsia="zh-CN"/>
                    </w:rPr>
                    <w:t>0</w:t>
                  </w:r>
                </w:p>
              </w:tc>
              <w:tc>
                <w:tcPr>
                  <w:tcW w:w="546" w:type="pct"/>
                  <w:tcBorders>
                    <w:tl2br w:val="nil"/>
                    <w:tr2bl w:val="nil"/>
                  </w:tcBorders>
                  <w:noWrap w:val="0"/>
                  <w:vAlign w:val="center"/>
                </w:tcPr>
                <w:p w14:paraId="7CA4C31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48</w:t>
                  </w:r>
                  <w:r>
                    <w:rPr>
                      <w:rFonts w:hint="default" w:ascii="Times New Roman" w:hAnsi="Times New Roman" w:eastAsia="宋体" w:cs="Times New Roman"/>
                      <w:color w:val="auto"/>
                      <w:szCs w:val="21"/>
                      <w:lang w:val="en-US" w:eastAsia="zh-CN"/>
                    </w:rPr>
                    <w:t>00h</w:t>
                  </w:r>
                </w:p>
              </w:tc>
              <w:tc>
                <w:tcPr>
                  <w:tcW w:w="438" w:type="pct"/>
                  <w:tcBorders>
                    <w:tl2br w:val="nil"/>
                    <w:tr2bl w:val="nil"/>
                  </w:tcBorders>
                  <w:noWrap w:val="0"/>
                  <w:vAlign w:val="center"/>
                </w:tcPr>
                <w:p w14:paraId="1FCB7E4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一般排放口</w:t>
                  </w:r>
                </w:p>
              </w:tc>
            </w:tr>
            <w:tr w14:paraId="6B747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7" w:type="pct"/>
                  <w:tcBorders>
                    <w:tl2br w:val="nil"/>
                    <w:tr2bl w:val="nil"/>
                  </w:tcBorders>
                  <w:noWrap w:val="0"/>
                  <w:vAlign w:val="center"/>
                </w:tcPr>
                <w:p w14:paraId="50553E98">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DA0</w:t>
                  </w:r>
                  <w:r>
                    <w:rPr>
                      <w:rFonts w:hint="default"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排气筒</w:t>
                  </w:r>
                </w:p>
              </w:tc>
              <w:tc>
                <w:tcPr>
                  <w:tcW w:w="488" w:type="pct"/>
                  <w:tcBorders>
                    <w:tl2br w:val="nil"/>
                    <w:tr2bl w:val="nil"/>
                  </w:tcBorders>
                  <w:noWrap w:val="0"/>
                  <w:vAlign w:val="center"/>
                </w:tcPr>
                <w:p w14:paraId="171A74C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105.270576</w:t>
                  </w:r>
                </w:p>
              </w:tc>
              <w:tc>
                <w:tcPr>
                  <w:tcW w:w="411" w:type="pct"/>
                  <w:tcBorders>
                    <w:tl2br w:val="nil"/>
                    <w:tr2bl w:val="nil"/>
                  </w:tcBorders>
                  <w:noWrap w:val="0"/>
                  <w:vAlign w:val="center"/>
                </w:tcPr>
                <w:p w14:paraId="0AAA6F8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30.592126</w:t>
                  </w:r>
                </w:p>
              </w:tc>
              <w:tc>
                <w:tcPr>
                  <w:tcW w:w="540" w:type="pct"/>
                  <w:tcBorders>
                    <w:tl2br w:val="nil"/>
                    <w:tr2bl w:val="nil"/>
                  </w:tcBorders>
                  <w:noWrap w:val="0"/>
                  <w:vAlign w:val="center"/>
                </w:tcPr>
                <w:p w14:paraId="7BE96E7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319</w:t>
                  </w:r>
                </w:p>
              </w:tc>
              <w:tc>
                <w:tcPr>
                  <w:tcW w:w="421" w:type="pct"/>
                  <w:tcBorders>
                    <w:tl2br w:val="nil"/>
                    <w:tr2bl w:val="nil"/>
                  </w:tcBorders>
                  <w:noWrap w:val="0"/>
                  <w:vAlign w:val="center"/>
                </w:tcPr>
                <w:p w14:paraId="1BD41762">
                  <w:pPr>
                    <w:keepNext w:val="0"/>
                    <w:keepLines w:val="0"/>
                    <w:suppressLineNumbers w:val="0"/>
                    <w:spacing w:before="0" w:beforeAutospacing="0" w:after="0" w:afterAutospacing="0"/>
                    <w:ind w:left="-105" w:leftChars="-50" w:right="-105" w:rightChars="-50"/>
                    <w:jc w:val="center"/>
                    <w:rPr>
                      <w:rFonts w:hint="eastAsia" w:ascii="Times New Roman" w:hAnsi="Times New Roman" w:cs="Times New Roman"/>
                      <w:color w:val="auto"/>
                      <w:szCs w:val="21"/>
                      <w:lang w:val="en-US" w:eastAsia="zh-CN"/>
                    </w:rPr>
                  </w:pPr>
                  <w:r>
                    <w:rPr>
                      <w:rFonts w:hint="eastAsia" w:cs="Times New Roman"/>
                      <w:color w:val="auto"/>
                      <w:szCs w:val="21"/>
                      <w:lang w:val="en-US" w:eastAsia="zh-CN"/>
                    </w:rPr>
                    <w:t>15</w:t>
                  </w:r>
                </w:p>
              </w:tc>
              <w:tc>
                <w:tcPr>
                  <w:tcW w:w="675" w:type="pct"/>
                  <w:tcBorders>
                    <w:tl2br w:val="nil"/>
                    <w:tr2bl w:val="nil"/>
                  </w:tcBorders>
                  <w:noWrap w:val="0"/>
                  <w:vAlign w:val="center"/>
                </w:tcPr>
                <w:p w14:paraId="420B837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0.5</w:t>
                  </w:r>
                </w:p>
              </w:tc>
              <w:tc>
                <w:tcPr>
                  <w:tcW w:w="552" w:type="pct"/>
                  <w:tcBorders>
                    <w:tl2br w:val="nil"/>
                    <w:tr2bl w:val="nil"/>
                  </w:tcBorders>
                  <w:noWrap w:val="0"/>
                  <w:vAlign w:val="center"/>
                </w:tcPr>
                <w:p w14:paraId="20E19CE1">
                  <w:pPr>
                    <w:keepNext w:val="0"/>
                    <w:keepLines w:val="0"/>
                    <w:suppressLineNumbers w:val="0"/>
                    <w:spacing w:before="0" w:beforeAutospacing="0" w:after="0" w:afterAutospacing="0"/>
                    <w:ind w:left="-105" w:leftChars="-50" w:right="-105" w:rightChars="-50"/>
                    <w:jc w:val="center"/>
                    <w:rPr>
                      <w:rFonts w:hint="default" w:cs="Times New Roman"/>
                      <w:color w:val="auto"/>
                      <w:szCs w:val="21"/>
                      <w:lang w:val="en-US" w:eastAsia="zh-CN"/>
                    </w:rPr>
                  </w:pPr>
                  <w:r>
                    <w:rPr>
                      <w:rFonts w:hint="eastAsia" w:cs="Times New Roman"/>
                      <w:color w:val="auto"/>
                      <w:szCs w:val="21"/>
                      <w:lang w:val="en-US" w:eastAsia="zh-CN"/>
                    </w:rPr>
                    <w:t>11.32</w:t>
                  </w:r>
                </w:p>
              </w:tc>
              <w:tc>
                <w:tcPr>
                  <w:tcW w:w="448" w:type="pct"/>
                  <w:tcBorders>
                    <w:tl2br w:val="nil"/>
                    <w:tr2bl w:val="nil"/>
                  </w:tcBorders>
                  <w:noWrap w:val="0"/>
                  <w:vAlign w:val="center"/>
                </w:tcPr>
                <w:p w14:paraId="58918F36">
                  <w:pPr>
                    <w:keepNext w:val="0"/>
                    <w:keepLines w:val="0"/>
                    <w:suppressLineNumbers w:val="0"/>
                    <w:spacing w:before="0" w:beforeAutospacing="0" w:after="0" w:afterAutospacing="0"/>
                    <w:ind w:left="-105" w:leftChars="-50" w:right="-105" w:rightChars="-50"/>
                    <w:jc w:val="center"/>
                    <w:rPr>
                      <w:rFonts w:hint="eastAsia" w:cs="Times New Roman"/>
                      <w:color w:val="auto"/>
                      <w:szCs w:val="21"/>
                      <w:lang w:val="en-US" w:eastAsia="zh-CN"/>
                    </w:rPr>
                  </w:pPr>
                  <w:r>
                    <w:rPr>
                      <w:rFonts w:hint="eastAsia" w:cs="Times New Roman"/>
                      <w:color w:val="auto"/>
                      <w:szCs w:val="21"/>
                      <w:lang w:val="en-US" w:eastAsia="zh-CN"/>
                    </w:rPr>
                    <w:t>2</w:t>
                  </w:r>
                  <w:r>
                    <w:rPr>
                      <w:rFonts w:hint="default" w:ascii="Times New Roman" w:hAnsi="Times New Roman" w:eastAsia="宋体" w:cs="Times New Roman"/>
                      <w:color w:val="auto"/>
                      <w:szCs w:val="21"/>
                      <w:lang w:val="en-US" w:eastAsia="zh-CN"/>
                    </w:rPr>
                    <w:t>0</w:t>
                  </w:r>
                </w:p>
              </w:tc>
              <w:tc>
                <w:tcPr>
                  <w:tcW w:w="546" w:type="pct"/>
                  <w:tcBorders>
                    <w:tl2br w:val="nil"/>
                    <w:tr2bl w:val="nil"/>
                  </w:tcBorders>
                  <w:noWrap w:val="0"/>
                  <w:vAlign w:val="center"/>
                </w:tcPr>
                <w:p w14:paraId="690C40DA">
                  <w:pPr>
                    <w:keepNext w:val="0"/>
                    <w:keepLines w:val="0"/>
                    <w:suppressLineNumbers w:val="0"/>
                    <w:spacing w:before="0" w:beforeAutospacing="0" w:after="0" w:afterAutospacing="0"/>
                    <w:ind w:left="-105" w:leftChars="-50" w:right="-105" w:rightChars="-50"/>
                    <w:jc w:val="center"/>
                    <w:rPr>
                      <w:rFonts w:hint="eastAsia" w:cs="Times New Roman"/>
                      <w:color w:val="auto"/>
                      <w:szCs w:val="21"/>
                      <w:lang w:val="en-US" w:eastAsia="zh-CN"/>
                    </w:rPr>
                  </w:pPr>
                  <w:r>
                    <w:rPr>
                      <w:rFonts w:hint="eastAsia" w:cs="Times New Roman"/>
                      <w:color w:val="auto"/>
                      <w:szCs w:val="21"/>
                      <w:lang w:val="en-US" w:eastAsia="zh-CN"/>
                    </w:rPr>
                    <w:t>48</w:t>
                  </w:r>
                  <w:r>
                    <w:rPr>
                      <w:rFonts w:hint="default" w:ascii="Times New Roman" w:hAnsi="Times New Roman" w:eastAsia="宋体" w:cs="Times New Roman"/>
                      <w:color w:val="auto"/>
                      <w:szCs w:val="21"/>
                      <w:lang w:val="en-US" w:eastAsia="zh-CN"/>
                    </w:rPr>
                    <w:t>00h</w:t>
                  </w:r>
                </w:p>
              </w:tc>
              <w:tc>
                <w:tcPr>
                  <w:tcW w:w="438" w:type="pct"/>
                  <w:tcBorders>
                    <w:tl2br w:val="nil"/>
                    <w:tr2bl w:val="nil"/>
                  </w:tcBorders>
                  <w:noWrap w:val="0"/>
                  <w:vAlign w:val="center"/>
                </w:tcPr>
                <w:p w14:paraId="7588C59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一般排放口</w:t>
                  </w:r>
                </w:p>
              </w:tc>
            </w:tr>
            <w:tr w14:paraId="2D269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7" w:type="pct"/>
                  <w:tcBorders>
                    <w:tl2br w:val="nil"/>
                    <w:tr2bl w:val="nil"/>
                  </w:tcBorders>
                  <w:noWrap w:val="0"/>
                  <w:vAlign w:val="center"/>
                </w:tcPr>
                <w:p w14:paraId="6ED440E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DA0</w:t>
                  </w:r>
                  <w:r>
                    <w:rPr>
                      <w:rFonts w:hint="default"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排气筒</w:t>
                  </w:r>
                </w:p>
              </w:tc>
              <w:tc>
                <w:tcPr>
                  <w:tcW w:w="488" w:type="pct"/>
                  <w:tcBorders>
                    <w:tl2br w:val="nil"/>
                    <w:tr2bl w:val="nil"/>
                  </w:tcBorders>
                  <w:noWrap w:val="0"/>
                  <w:vAlign w:val="center"/>
                </w:tcPr>
                <w:p w14:paraId="4328C9B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105.270396</w:t>
                  </w:r>
                </w:p>
              </w:tc>
              <w:tc>
                <w:tcPr>
                  <w:tcW w:w="411" w:type="pct"/>
                  <w:tcBorders>
                    <w:tl2br w:val="nil"/>
                    <w:tr2bl w:val="nil"/>
                  </w:tcBorders>
                  <w:noWrap w:val="0"/>
                  <w:vAlign w:val="center"/>
                </w:tcPr>
                <w:p w14:paraId="4BEB6A0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30.592848</w:t>
                  </w:r>
                </w:p>
              </w:tc>
              <w:tc>
                <w:tcPr>
                  <w:tcW w:w="540" w:type="pct"/>
                  <w:tcBorders>
                    <w:tl2br w:val="nil"/>
                    <w:tr2bl w:val="nil"/>
                  </w:tcBorders>
                  <w:noWrap w:val="0"/>
                  <w:vAlign w:val="center"/>
                </w:tcPr>
                <w:p w14:paraId="2A1FFAC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319</w:t>
                  </w:r>
                </w:p>
              </w:tc>
              <w:tc>
                <w:tcPr>
                  <w:tcW w:w="421" w:type="pct"/>
                  <w:tcBorders>
                    <w:tl2br w:val="nil"/>
                    <w:tr2bl w:val="nil"/>
                  </w:tcBorders>
                  <w:noWrap w:val="0"/>
                  <w:vAlign w:val="center"/>
                </w:tcPr>
                <w:p w14:paraId="7E85D9D2">
                  <w:pPr>
                    <w:keepNext w:val="0"/>
                    <w:keepLines w:val="0"/>
                    <w:suppressLineNumbers w:val="0"/>
                    <w:spacing w:before="0" w:beforeAutospacing="0" w:after="0" w:afterAutospacing="0"/>
                    <w:ind w:left="-105" w:leftChars="-50" w:right="-105" w:rightChars="-50"/>
                    <w:jc w:val="center"/>
                    <w:rPr>
                      <w:rFonts w:hint="eastAsia" w:ascii="Times New Roman" w:hAnsi="Times New Roman" w:cs="Times New Roman"/>
                      <w:color w:val="auto"/>
                      <w:szCs w:val="21"/>
                      <w:lang w:val="en-US" w:eastAsia="zh-CN"/>
                    </w:rPr>
                  </w:pPr>
                  <w:r>
                    <w:rPr>
                      <w:rFonts w:hint="eastAsia" w:cs="Times New Roman"/>
                      <w:color w:val="auto"/>
                      <w:szCs w:val="21"/>
                      <w:lang w:val="en-US" w:eastAsia="zh-CN"/>
                    </w:rPr>
                    <w:t>15</w:t>
                  </w:r>
                </w:p>
              </w:tc>
              <w:tc>
                <w:tcPr>
                  <w:tcW w:w="675" w:type="pct"/>
                  <w:tcBorders>
                    <w:tl2br w:val="nil"/>
                    <w:tr2bl w:val="nil"/>
                  </w:tcBorders>
                  <w:noWrap w:val="0"/>
                  <w:vAlign w:val="center"/>
                </w:tcPr>
                <w:p w14:paraId="73E5ADA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0.9</w:t>
                  </w:r>
                </w:p>
              </w:tc>
              <w:tc>
                <w:tcPr>
                  <w:tcW w:w="552" w:type="pct"/>
                  <w:tcBorders>
                    <w:tl2br w:val="nil"/>
                    <w:tr2bl w:val="nil"/>
                  </w:tcBorders>
                  <w:noWrap w:val="0"/>
                  <w:vAlign w:val="center"/>
                </w:tcPr>
                <w:p w14:paraId="02647313">
                  <w:pPr>
                    <w:keepNext w:val="0"/>
                    <w:keepLines w:val="0"/>
                    <w:suppressLineNumbers w:val="0"/>
                    <w:spacing w:before="0" w:beforeAutospacing="0" w:after="0" w:afterAutospacing="0"/>
                    <w:ind w:left="-105" w:leftChars="-50" w:right="-105" w:rightChars="-50"/>
                    <w:jc w:val="center"/>
                    <w:rPr>
                      <w:rFonts w:hint="default" w:cs="Times New Roman"/>
                      <w:color w:val="auto"/>
                      <w:szCs w:val="21"/>
                      <w:lang w:val="en-US" w:eastAsia="zh-CN"/>
                    </w:rPr>
                  </w:pPr>
                  <w:r>
                    <w:rPr>
                      <w:rFonts w:hint="eastAsia" w:cs="Times New Roman"/>
                      <w:color w:val="auto"/>
                      <w:szCs w:val="21"/>
                      <w:lang w:val="en-US" w:eastAsia="zh-CN"/>
                    </w:rPr>
                    <w:t>15.28</w:t>
                  </w:r>
                </w:p>
              </w:tc>
              <w:tc>
                <w:tcPr>
                  <w:tcW w:w="448" w:type="pct"/>
                  <w:tcBorders>
                    <w:tl2br w:val="nil"/>
                    <w:tr2bl w:val="nil"/>
                  </w:tcBorders>
                  <w:noWrap w:val="0"/>
                  <w:vAlign w:val="center"/>
                </w:tcPr>
                <w:p w14:paraId="14C31FC4">
                  <w:pPr>
                    <w:keepNext w:val="0"/>
                    <w:keepLines w:val="0"/>
                    <w:suppressLineNumbers w:val="0"/>
                    <w:spacing w:before="0" w:beforeAutospacing="0" w:after="0" w:afterAutospacing="0"/>
                    <w:ind w:left="-105" w:leftChars="-50" w:right="-105" w:rightChars="-50"/>
                    <w:jc w:val="center"/>
                    <w:rPr>
                      <w:rFonts w:hint="eastAsia" w:cs="Times New Roman"/>
                      <w:color w:val="auto"/>
                      <w:szCs w:val="21"/>
                      <w:lang w:val="en-US" w:eastAsia="zh-CN"/>
                    </w:rPr>
                  </w:pPr>
                  <w:r>
                    <w:rPr>
                      <w:rFonts w:hint="eastAsia" w:cs="Times New Roman"/>
                      <w:color w:val="auto"/>
                      <w:szCs w:val="21"/>
                      <w:lang w:val="en-US" w:eastAsia="zh-CN"/>
                    </w:rPr>
                    <w:t>2</w:t>
                  </w:r>
                  <w:r>
                    <w:rPr>
                      <w:rFonts w:hint="default" w:ascii="Times New Roman" w:hAnsi="Times New Roman" w:eastAsia="宋体" w:cs="Times New Roman"/>
                      <w:color w:val="auto"/>
                      <w:szCs w:val="21"/>
                      <w:lang w:val="en-US" w:eastAsia="zh-CN"/>
                    </w:rPr>
                    <w:t>0</w:t>
                  </w:r>
                </w:p>
              </w:tc>
              <w:tc>
                <w:tcPr>
                  <w:tcW w:w="546" w:type="pct"/>
                  <w:tcBorders>
                    <w:tl2br w:val="nil"/>
                    <w:tr2bl w:val="nil"/>
                  </w:tcBorders>
                  <w:noWrap w:val="0"/>
                  <w:vAlign w:val="center"/>
                </w:tcPr>
                <w:p w14:paraId="4CA4942E">
                  <w:pPr>
                    <w:keepNext w:val="0"/>
                    <w:keepLines w:val="0"/>
                    <w:suppressLineNumbers w:val="0"/>
                    <w:spacing w:before="0" w:beforeAutospacing="0" w:after="0" w:afterAutospacing="0"/>
                    <w:ind w:left="-105" w:leftChars="-50" w:right="-105" w:rightChars="-50"/>
                    <w:jc w:val="center"/>
                    <w:rPr>
                      <w:rFonts w:hint="eastAsia" w:cs="Times New Roman"/>
                      <w:color w:val="auto"/>
                      <w:szCs w:val="21"/>
                      <w:lang w:val="en-US" w:eastAsia="zh-CN"/>
                    </w:rPr>
                  </w:pPr>
                  <w:r>
                    <w:rPr>
                      <w:rFonts w:hint="eastAsia" w:cs="Times New Roman"/>
                      <w:color w:val="auto"/>
                      <w:szCs w:val="21"/>
                      <w:lang w:val="en-US" w:eastAsia="zh-CN"/>
                    </w:rPr>
                    <w:t>48</w:t>
                  </w:r>
                  <w:r>
                    <w:rPr>
                      <w:rFonts w:hint="default" w:ascii="Times New Roman" w:hAnsi="Times New Roman" w:eastAsia="宋体" w:cs="Times New Roman"/>
                      <w:color w:val="auto"/>
                      <w:szCs w:val="21"/>
                      <w:lang w:val="en-US" w:eastAsia="zh-CN"/>
                    </w:rPr>
                    <w:t>00h</w:t>
                  </w:r>
                </w:p>
              </w:tc>
              <w:tc>
                <w:tcPr>
                  <w:tcW w:w="438" w:type="pct"/>
                  <w:tcBorders>
                    <w:tl2br w:val="nil"/>
                    <w:tr2bl w:val="nil"/>
                  </w:tcBorders>
                  <w:noWrap w:val="0"/>
                  <w:vAlign w:val="center"/>
                </w:tcPr>
                <w:p w14:paraId="0DF8F3C8">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一般排放口</w:t>
                  </w:r>
                </w:p>
              </w:tc>
            </w:tr>
          </w:tbl>
          <w:p w14:paraId="1BDA27C4">
            <w:pPr>
              <w:spacing w:line="360" w:lineRule="auto"/>
              <w:ind w:firstLine="460" w:firstLineChars="192"/>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根据《排污许可证申请与核发技术规范 总则》（HJ942—2018）、《排污许可证申请与核发技术规范 印刷工业》（HJ 1066－2019）及《排污单位自行监测技术指南总则》（HJ819-2017）、《排污单位自行监测技术指南 印刷工业》（HJ 1246—2022）要求，本项目自行监测相关要求具体详见下表：</w:t>
            </w:r>
          </w:p>
          <w:p w14:paraId="439F94CD">
            <w:pPr>
              <w:jc w:val="center"/>
              <w:rPr>
                <w:b/>
                <w:snapToGrid w:val="0"/>
                <w:color w:val="auto"/>
                <w:spacing w:val="4"/>
                <w:szCs w:val="21"/>
                <w:highlight w:val="none"/>
              </w:rPr>
            </w:pPr>
            <w:r>
              <w:rPr>
                <w:b/>
                <w:snapToGrid w:val="0"/>
                <w:color w:val="auto"/>
                <w:spacing w:val="4"/>
                <w:szCs w:val="21"/>
                <w:highlight w:val="none"/>
              </w:rPr>
              <w:t>表4-</w:t>
            </w:r>
            <w:r>
              <w:rPr>
                <w:rFonts w:hint="eastAsia"/>
                <w:b/>
                <w:snapToGrid w:val="0"/>
                <w:color w:val="auto"/>
                <w:spacing w:val="4"/>
                <w:szCs w:val="21"/>
                <w:highlight w:val="none"/>
              </w:rPr>
              <w:t>3</w:t>
            </w:r>
            <w:r>
              <w:rPr>
                <w:b/>
                <w:snapToGrid w:val="0"/>
                <w:color w:val="auto"/>
                <w:spacing w:val="4"/>
                <w:szCs w:val="21"/>
                <w:highlight w:val="none"/>
              </w:rPr>
              <w:t xml:space="preserve">  废气</w:t>
            </w:r>
            <w:r>
              <w:rPr>
                <w:b/>
                <w:color w:val="auto"/>
                <w:szCs w:val="21"/>
                <w:highlight w:val="none"/>
              </w:rPr>
              <w:t>监测</w:t>
            </w:r>
            <w:r>
              <w:rPr>
                <w:b/>
                <w:snapToGrid w:val="0"/>
                <w:color w:val="auto"/>
                <w:spacing w:val="4"/>
                <w:szCs w:val="21"/>
                <w:highlight w:val="none"/>
              </w:rPr>
              <w:t>要求</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4"/>
              <w:gridCol w:w="991"/>
              <w:gridCol w:w="2201"/>
              <w:gridCol w:w="1921"/>
              <w:gridCol w:w="1462"/>
              <w:gridCol w:w="5546"/>
            </w:tblGrid>
            <w:tr w14:paraId="0AACF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pct"/>
                  <w:gridSpan w:val="2"/>
                  <w:tcBorders>
                    <w:top w:val="single" w:color="auto" w:sz="12" w:space="0"/>
                    <w:left w:val="nil"/>
                    <w:bottom w:val="single" w:color="auto" w:sz="4" w:space="0"/>
                    <w:right w:val="single" w:color="auto" w:sz="4" w:space="0"/>
                  </w:tcBorders>
                  <w:vAlign w:val="center"/>
                </w:tcPr>
                <w:p w14:paraId="64C1C5CB">
                  <w:pPr>
                    <w:spacing w:line="320" w:lineRule="exact"/>
                    <w:ind w:left="-105" w:leftChars="-50" w:right="-105" w:rightChars="-50"/>
                    <w:jc w:val="center"/>
                    <w:rPr>
                      <w:b/>
                      <w:color w:val="auto"/>
                      <w:szCs w:val="21"/>
                    </w:rPr>
                  </w:pPr>
                  <w:r>
                    <w:rPr>
                      <w:b/>
                      <w:color w:val="auto"/>
                      <w:szCs w:val="21"/>
                    </w:rPr>
                    <w:t>类别</w:t>
                  </w:r>
                </w:p>
              </w:tc>
              <w:tc>
                <w:tcPr>
                  <w:tcW w:w="873" w:type="pct"/>
                  <w:tcBorders>
                    <w:top w:val="single" w:color="auto" w:sz="12" w:space="0"/>
                    <w:left w:val="single" w:color="auto" w:sz="4" w:space="0"/>
                    <w:bottom w:val="single" w:color="auto" w:sz="4" w:space="0"/>
                    <w:right w:val="single" w:color="auto" w:sz="4" w:space="0"/>
                  </w:tcBorders>
                  <w:vAlign w:val="center"/>
                </w:tcPr>
                <w:p w14:paraId="78CDEEC9">
                  <w:pPr>
                    <w:spacing w:line="320" w:lineRule="exact"/>
                    <w:ind w:left="-105" w:leftChars="-50" w:right="-105" w:rightChars="-50"/>
                    <w:jc w:val="center"/>
                    <w:rPr>
                      <w:b/>
                      <w:color w:val="auto"/>
                      <w:szCs w:val="21"/>
                    </w:rPr>
                  </w:pPr>
                  <w:r>
                    <w:rPr>
                      <w:b/>
                      <w:color w:val="auto"/>
                      <w:szCs w:val="21"/>
                    </w:rPr>
                    <w:t>监测点</w:t>
                  </w:r>
                  <w:r>
                    <w:rPr>
                      <w:rFonts w:hint="eastAsia"/>
                      <w:b/>
                      <w:color w:val="auto"/>
                      <w:szCs w:val="21"/>
                    </w:rPr>
                    <w:t>位</w:t>
                  </w:r>
                  <w:r>
                    <w:rPr>
                      <w:b/>
                      <w:color w:val="auto"/>
                      <w:szCs w:val="21"/>
                    </w:rPr>
                    <w:t>及数量</w:t>
                  </w:r>
                </w:p>
              </w:tc>
              <w:tc>
                <w:tcPr>
                  <w:tcW w:w="761" w:type="pct"/>
                  <w:tcBorders>
                    <w:top w:val="single" w:color="auto" w:sz="12" w:space="0"/>
                    <w:left w:val="single" w:color="auto" w:sz="4" w:space="0"/>
                    <w:bottom w:val="single" w:color="auto" w:sz="4" w:space="0"/>
                    <w:right w:val="single" w:color="auto" w:sz="4" w:space="0"/>
                  </w:tcBorders>
                  <w:vAlign w:val="center"/>
                </w:tcPr>
                <w:p w14:paraId="0F4E8065">
                  <w:pPr>
                    <w:spacing w:line="320" w:lineRule="exact"/>
                    <w:ind w:left="-105" w:leftChars="-50" w:right="-105" w:rightChars="-50"/>
                    <w:jc w:val="center"/>
                    <w:rPr>
                      <w:b/>
                      <w:color w:val="auto"/>
                      <w:szCs w:val="21"/>
                    </w:rPr>
                  </w:pPr>
                  <w:r>
                    <w:rPr>
                      <w:b/>
                      <w:color w:val="auto"/>
                      <w:szCs w:val="21"/>
                    </w:rPr>
                    <w:t>监测</w:t>
                  </w:r>
                  <w:r>
                    <w:rPr>
                      <w:rFonts w:hint="eastAsia"/>
                      <w:b/>
                      <w:color w:val="auto"/>
                      <w:szCs w:val="21"/>
                    </w:rPr>
                    <w:t>因子</w:t>
                  </w:r>
                </w:p>
              </w:tc>
              <w:tc>
                <w:tcPr>
                  <w:tcW w:w="579" w:type="pct"/>
                  <w:tcBorders>
                    <w:top w:val="single" w:color="auto" w:sz="12" w:space="0"/>
                    <w:left w:val="single" w:color="auto" w:sz="4" w:space="0"/>
                    <w:bottom w:val="single" w:color="auto" w:sz="4" w:space="0"/>
                    <w:right w:val="single" w:color="auto" w:sz="4" w:space="0"/>
                  </w:tcBorders>
                  <w:vAlign w:val="center"/>
                </w:tcPr>
                <w:p w14:paraId="51A06168">
                  <w:pPr>
                    <w:spacing w:line="320" w:lineRule="exact"/>
                    <w:ind w:left="-105" w:leftChars="-50" w:right="-105" w:rightChars="-50"/>
                    <w:jc w:val="center"/>
                    <w:rPr>
                      <w:b/>
                      <w:color w:val="auto"/>
                      <w:szCs w:val="21"/>
                    </w:rPr>
                  </w:pPr>
                  <w:r>
                    <w:rPr>
                      <w:b/>
                      <w:color w:val="auto"/>
                      <w:szCs w:val="21"/>
                    </w:rPr>
                    <w:t>监测频次</w:t>
                  </w:r>
                </w:p>
              </w:tc>
              <w:tc>
                <w:tcPr>
                  <w:tcW w:w="2199" w:type="pct"/>
                  <w:tcBorders>
                    <w:top w:val="single" w:color="auto" w:sz="12" w:space="0"/>
                    <w:left w:val="single" w:color="auto" w:sz="4" w:space="0"/>
                    <w:bottom w:val="single" w:color="auto" w:sz="4" w:space="0"/>
                    <w:right w:val="nil"/>
                  </w:tcBorders>
                  <w:vAlign w:val="center"/>
                </w:tcPr>
                <w:p w14:paraId="10C5ADE6">
                  <w:pPr>
                    <w:spacing w:line="320" w:lineRule="exact"/>
                    <w:ind w:left="-105" w:leftChars="-50" w:right="-105" w:rightChars="-50"/>
                    <w:jc w:val="center"/>
                    <w:rPr>
                      <w:b/>
                      <w:color w:val="auto"/>
                      <w:szCs w:val="21"/>
                    </w:rPr>
                  </w:pPr>
                  <w:r>
                    <w:rPr>
                      <w:b/>
                      <w:color w:val="auto"/>
                      <w:szCs w:val="21"/>
                    </w:rPr>
                    <w:t>执行标准</w:t>
                  </w:r>
                </w:p>
              </w:tc>
            </w:tr>
            <w:tr w14:paraId="2674BF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1" w:type="pct"/>
                  <w:vMerge w:val="restart"/>
                  <w:tcBorders>
                    <w:left w:val="nil"/>
                    <w:right w:val="single" w:color="auto" w:sz="4" w:space="0"/>
                  </w:tcBorders>
                  <w:vAlign w:val="center"/>
                </w:tcPr>
                <w:p w14:paraId="29C880DB">
                  <w:pPr>
                    <w:spacing w:line="320" w:lineRule="exact"/>
                    <w:ind w:left="-105" w:leftChars="-50" w:right="-105" w:rightChars="-50"/>
                    <w:jc w:val="center"/>
                    <w:rPr>
                      <w:color w:val="auto"/>
                      <w:szCs w:val="21"/>
                    </w:rPr>
                  </w:pPr>
                  <w:r>
                    <w:rPr>
                      <w:color w:val="auto"/>
                      <w:szCs w:val="21"/>
                    </w:rPr>
                    <w:t>废气</w:t>
                  </w:r>
                </w:p>
              </w:tc>
              <w:tc>
                <w:tcPr>
                  <w:tcW w:w="393" w:type="pct"/>
                  <w:vMerge w:val="restart"/>
                  <w:tcBorders>
                    <w:left w:val="nil"/>
                    <w:right w:val="single" w:color="auto" w:sz="4" w:space="0"/>
                  </w:tcBorders>
                  <w:vAlign w:val="center"/>
                </w:tcPr>
                <w:p w14:paraId="0C042628">
                  <w:pPr>
                    <w:spacing w:line="320" w:lineRule="exact"/>
                    <w:ind w:left="-105" w:leftChars="-50" w:right="-105" w:rightChars="-50"/>
                    <w:jc w:val="center"/>
                    <w:rPr>
                      <w:color w:val="auto"/>
                      <w:szCs w:val="21"/>
                    </w:rPr>
                  </w:pPr>
                  <w:r>
                    <w:rPr>
                      <w:color w:val="auto"/>
                      <w:szCs w:val="21"/>
                    </w:rPr>
                    <w:t>有组织</w:t>
                  </w:r>
                </w:p>
              </w:tc>
              <w:tc>
                <w:tcPr>
                  <w:tcW w:w="873" w:type="pct"/>
                  <w:tcBorders>
                    <w:top w:val="single" w:color="auto" w:sz="4" w:space="0"/>
                    <w:left w:val="single" w:color="auto" w:sz="4" w:space="0"/>
                    <w:bottom w:val="single" w:color="auto" w:sz="4" w:space="0"/>
                    <w:right w:val="single" w:color="auto" w:sz="4" w:space="0"/>
                  </w:tcBorders>
                  <w:vAlign w:val="center"/>
                </w:tcPr>
                <w:p w14:paraId="163882C8">
                  <w:pPr>
                    <w:spacing w:line="320" w:lineRule="exact"/>
                    <w:jc w:val="center"/>
                    <w:rPr>
                      <w:color w:val="auto"/>
                      <w:szCs w:val="21"/>
                    </w:rPr>
                  </w:pPr>
                  <w:r>
                    <w:rPr>
                      <w:rFonts w:hint="eastAsia"/>
                      <w:color w:val="auto"/>
                      <w:szCs w:val="21"/>
                    </w:rPr>
                    <w:t>DA</w:t>
                  </w:r>
                  <w:r>
                    <w:rPr>
                      <w:color w:val="auto"/>
                      <w:szCs w:val="21"/>
                    </w:rPr>
                    <w:t>0</w:t>
                  </w:r>
                  <w:r>
                    <w:rPr>
                      <w:rFonts w:hint="eastAsia"/>
                      <w:color w:val="auto"/>
                      <w:szCs w:val="21"/>
                    </w:rPr>
                    <w:t>0</w:t>
                  </w:r>
                  <w:r>
                    <w:rPr>
                      <w:color w:val="auto"/>
                      <w:szCs w:val="21"/>
                    </w:rPr>
                    <w:t>1</w:t>
                  </w:r>
                  <w:r>
                    <w:rPr>
                      <w:rFonts w:hint="eastAsia"/>
                      <w:color w:val="auto"/>
                      <w:szCs w:val="21"/>
                    </w:rPr>
                    <w:t>排气筒</w:t>
                  </w:r>
                </w:p>
              </w:tc>
              <w:tc>
                <w:tcPr>
                  <w:tcW w:w="761" w:type="pct"/>
                  <w:tcBorders>
                    <w:top w:val="single" w:color="auto" w:sz="4" w:space="0"/>
                    <w:left w:val="single" w:color="auto" w:sz="4" w:space="0"/>
                    <w:bottom w:val="single" w:color="auto" w:sz="4" w:space="0"/>
                    <w:right w:val="single" w:color="auto" w:sz="4" w:space="0"/>
                  </w:tcBorders>
                  <w:vAlign w:val="center"/>
                </w:tcPr>
                <w:p w14:paraId="10FDF99E">
                  <w:pPr>
                    <w:spacing w:line="320" w:lineRule="exact"/>
                    <w:ind w:left="-105" w:leftChars="-50" w:right="-105" w:rightChars="-50"/>
                    <w:jc w:val="center"/>
                    <w:rPr>
                      <w:color w:val="auto"/>
                      <w:szCs w:val="21"/>
                    </w:rPr>
                  </w:pPr>
                  <w:r>
                    <w:rPr>
                      <w:color w:val="auto"/>
                      <w:szCs w:val="21"/>
                    </w:rPr>
                    <w:t>VOC</w:t>
                  </w:r>
                  <w:r>
                    <w:rPr>
                      <w:color w:val="auto"/>
                      <w:szCs w:val="21"/>
                      <w:vertAlign w:val="subscript"/>
                    </w:rPr>
                    <w:t>S</w:t>
                  </w:r>
                </w:p>
              </w:tc>
              <w:tc>
                <w:tcPr>
                  <w:tcW w:w="579" w:type="pct"/>
                  <w:tcBorders>
                    <w:top w:val="single" w:color="auto" w:sz="4" w:space="0"/>
                    <w:left w:val="single" w:color="auto" w:sz="4" w:space="0"/>
                    <w:bottom w:val="single" w:color="auto" w:sz="4" w:space="0"/>
                    <w:right w:val="single" w:color="auto" w:sz="4" w:space="0"/>
                  </w:tcBorders>
                  <w:vAlign w:val="center"/>
                </w:tcPr>
                <w:p w14:paraId="7A5DD665">
                  <w:pPr>
                    <w:spacing w:line="320" w:lineRule="exact"/>
                    <w:ind w:left="-105" w:leftChars="-50" w:right="-105" w:rightChars="-50"/>
                    <w:jc w:val="center"/>
                    <w:rPr>
                      <w:color w:val="auto"/>
                      <w:szCs w:val="21"/>
                    </w:rPr>
                  </w:pPr>
                  <w:r>
                    <w:rPr>
                      <w:color w:val="auto"/>
                      <w:szCs w:val="21"/>
                    </w:rPr>
                    <w:t>1次/年</w:t>
                  </w:r>
                </w:p>
              </w:tc>
              <w:tc>
                <w:tcPr>
                  <w:tcW w:w="2199" w:type="pct"/>
                  <w:vMerge w:val="restart"/>
                  <w:tcBorders>
                    <w:top w:val="single" w:color="auto" w:sz="4" w:space="0"/>
                    <w:left w:val="single" w:color="auto" w:sz="4" w:space="0"/>
                    <w:right w:val="nil"/>
                  </w:tcBorders>
                  <w:vAlign w:val="center"/>
                </w:tcPr>
                <w:p w14:paraId="7CF6E323">
                  <w:pPr>
                    <w:spacing w:line="320" w:lineRule="exact"/>
                    <w:ind w:left="-105" w:leftChars="-50" w:right="-105" w:rightChars="-50"/>
                    <w:jc w:val="center"/>
                    <w:rPr>
                      <w:color w:val="auto"/>
                      <w:szCs w:val="21"/>
                    </w:rPr>
                  </w:pPr>
                  <w:r>
                    <w:rPr>
                      <w:rFonts w:hint="eastAsia"/>
                      <w:color w:val="auto"/>
                      <w:kern w:val="0"/>
                      <w:szCs w:val="21"/>
                    </w:rPr>
                    <w:t>《</w:t>
                  </w:r>
                  <w:r>
                    <w:rPr>
                      <w:color w:val="auto"/>
                      <w:szCs w:val="21"/>
                    </w:rPr>
                    <w:t>四川省固定污染源大气挥发性有机物排放标准》（DB51/2377-2017）表3标准限值</w:t>
                  </w:r>
                </w:p>
              </w:tc>
            </w:tr>
            <w:tr w14:paraId="5EB3C7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1" w:type="pct"/>
                  <w:vMerge w:val="continue"/>
                  <w:tcBorders>
                    <w:left w:val="nil"/>
                    <w:right w:val="single" w:color="auto" w:sz="4" w:space="0"/>
                  </w:tcBorders>
                  <w:vAlign w:val="center"/>
                </w:tcPr>
                <w:p w14:paraId="67D27A57">
                  <w:pPr>
                    <w:spacing w:line="320" w:lineRule="exact"/>
                    <w:ind w:left="-105" w:leftChars="-50" w:right="-105" w:rightChars="-50"/>
                    <w:jc w:val="center"/>
                    <w:rPr>
                      <w:color w:val="auto"/>
                      <w:szCs w:val="21"/>
                    </w:rPr>
                  </w:pPr>
                </w:p>
              </w:tc>
              <w:tc>
                <w:tcPr>
                  <w:tcW w:w="393" w:type="pct"/>
                  <w:vMerge w:val="continue"/>
                  <w:tcBorders>
                    <w:left w:val="nil"/>
                    <w:right w:val="single" w:color="auto" w:sz="4" w:space="0"/>
                  </w:tcBorders>
                  <w:vAlign w:val="center"/>
                </w:tcPr>
                <w:p w14:paraId="10AC37EC">
                  <w:pPr>
                    <w:spacing w:line="320" w:lineRule="exact"/>
                    <w:ind w:left="-105" w:leftChars="-50" w:right="-105" w:rightChars="-50"/>
                    <w:jc w:val="center"/>
                    <w:rPr>
                      <w:color w:val="auto"/>
                      <w:szCs w:val="21"/>
                    </w:rPr>
                  </w:pPr>
                </w:p>
              </w:tc>
              <w:tc>
                <w:tcPr>
                  <w:tcW w:w="873" w:type="pct"/>
                  <w:tcBorders>
                    <w:top w:val="single" w:color="auto" w:sz="4" w:space="0"/>
                    <w:left w:val="single" w:color="auto" w:sz="4" w:space="0"/>
                    <w:bottom w:val="single" w:color="auto" w:sz="4" w:space="0"/>
                    <w:right w:val="single" w:color="auto" w:sz="4" w:space="0"/>
                  </w:tcBorders>
                  <w:vAlign w:val="center"/>
                </w:tcPr>
                <w:p w14:paraId="39EA03D2">
                  <w:pPr>
                    <w:spacing w:line="320" w:lineRule="exact"/>
                    <w:jc w:val="center"/>
                    <w:rPr>
                      <w:color w:val="auto"/>
                      <w:szCs w:val="21"/>
                    </w:rPr>
                  </w:pPr>
                  <w:r>
                    <w:rPr>
                      <w:rFonts w:hint="eastAsia"/>
                      <w:color w:val="auto"/>
                      <w:szCs w:val="21"/>
                    </w:rPr>
                    <w:t>DA002排气筒</w:t>
                  </w:r>
                </w:p>
              </w:tc>
              <w:tc>
                <w:tcPr>
                  <w:tcW w:w="761" w:type="pct"/>
                  <w:tcBorders>
                    <w:top w:val="single" w:color="auto" w:sz="4" w:space="0"/>
                    <w:left w:val="single" w:color="auto" w:sz="4" w:space="0"/>
                    <w:bottom w:val="single" w:color="auto" w:sz="4" w:space="0"/>
                    <w:right w:val="single" w:color="auto" w:sz="4" w:space="0"/>
                  </w:tcBorders>
                  <w:vAlign w:val="center"/>
                </w:tcPr>
                <w:p w14:paraId="61A153C6">
                  <w:pPr>
                    <w:spacing w:line="320" w:lineRule="exact"/>
                    <w:ind w:left="-105" w:leftChars="-50" w:right="-105" w:rightChars="-50"/>
                    <w:jc w:val="center"/>
                    <w:rPr>
                      <w:color w:val="auto"/>
                      <w:szCs w:val="21"/>
                    </w:rPr>
                  </w:pPr>
                  <w:r>
                    <w:rPr>
                      <w:color w:val="auto"/>
                      <w:szCs w:val="21"/>
                    </w:rPr>
                    <w:t>VOC</w:t>
                  </w:r>
                  <w:r>
                    <w:rPr>
                      <w:color w:val="auto"/>
                      <w:szCs w:val="21"/>
                      <w:vertAlign w:val="subscript"/>
                    </w:rPr>
                    <w:t>S</w:t>
                  </w:r>
                </w:p>
              </w:tc>
              <w:tc>
                <w:tcPr>
                  <w:tcW w:w="579" w:type="pct"/>
                  <w:tcBorders>
                    <w:top w:val="single" w:color="auto" w:sz="4" w:space="0"/>
                    <w:left w:val="single" w:color="auto" w:sz="4" w:space="0"/>
                    <w:bottom w:val="single" w:color="auto" w:sz="4" w:space="0"/>
                    <w:right w:val="single" w:color="auto" w:sz="4" w:space="0"/>
                  </w:tcBorders>
                  <w:vAlign w:val="center"/>
                </w:tcPr>
                <w:p w14:paraId="0517AD86">
                  <w:pPr>
                    <w:spacing w:line="320" w:lineRule="exact"/>
                    <w:ind w:left="-105" w:leftChars="-50" w:right="-105" w:rightChars="-50"/>
                    <w:jc w:val="center"/>
                    <w:rPr>
                      <w:color w:val="auto"/>
                      <w:szCs w:val="21"/>
                    </w:rPr>
                  </w:pPr>
                  <w:r>
                    <w:rPr>
                      <w:color w:val="auto"/>
                      <w:szCs w:val="21"/>
                    </w:rPr>
                    <w:t>1次/年</w:t>
                  </w:r>
                </w:p>
              </w:tc>
              <w:tc>
                <w:tcPr>
                  <w:tcW w:w="2199" w:type="pct"/>
                  <w:vMerge w:val="continue"/>
                  <w:tcBorders>
                    <w:left w:val="single" w:color="auto" w:sz="4" w:space="0"/>
                    <w:right w:val="nil"/>
                  </w:tcBorders>
                  <w:vAlign w:val="center"/>
                </w:tcPr>
                <w:p w14:paraId="786891F1">
                  <w:pPr>
                    <w:spacing w:line="320" w:lineRule="exact"/>
                    <w:ind w:left="-105" w:leftChars="-50" w:right="-105" w:rightChars="-50"/>
                    <w:jc w:val="center"/>
                    <w:rPr>
                      <w:color w:val="auto"/>
                      <w:kern w:val="0"/>
                      <w:szCs w:val="21"/>
                    </w:rPr>
                  </w:pPr>
                </w:p>
              </w:tc>
            </w:tr>
            <w:tr w14:paraId="78274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1" w:type="pct"/>
                  <w:vMerge w:val="continue"/>
                  <w:tcBorders>
                    <w:left w:val="nil"/>
                    <w:right w:val="single" w:color="auto" w:sz="4" w:space="0"/>
                  </w:tcBorders>
                  <w:vAlign w:val="center"/>
                </w:tcPr>
                <w:p w14:paraId="31F7A58D">
                  <w:pPr>
                    <w:spacing w:line="320" w:lineRule="exact"/>
                    <w:ind w:left="-105" w:leftChars="-50" w:right="-105" w:rightChars="-50"/>
                    <w:jc w:val="center"/>
                    <w:rPr>
                      <w:color w:val="auto"/>
                      <w:szCs w:val="21"/>
                    </w:rPr>
                  </w:pPr>
                </w:p>
              </w:tc>
              <w:tc>
                <w:tcPr>
                  <w:tcW w:w="393" w:type="pct"/>
                  <w:vMerge w:val="continue"/>
                  <w:tcBorders>
                    <w:left w:val="nil"/>
                    <w:right w:val="single" w:color="auto" w:sz="4" w:space="0"/>
                  </w:tcBorders>
                  <w:vAlign w:val="center"/>
                </w:tcPr>
                <w:p w14:paraId="0496E818">
                  <w:pPr>
                    <w:spacing w:line="320" w:lineRule="exact"/>
                    <w:ind w:left="-105" w:leftChars="-50" w:right="-105" w:rightChars="-50"/>
                    <w:jc w:val="center"/>
                    <w:rPr>
                      <w:color w:val="auto"/>
                      <w:szCs w:val="21"/>
                    </w:rPr>
                  </w:pPr>
                </w:p>
              </w:tc>
              <w:tc>
                <w:tcPr>
                  <w:tcW w:w="873" w:type="pct"/>
                  <w:tcBorders>
                    <w:top w:val="single" w:color="auto" w:sz="4" w:space="0"/>
                    <w:left w:val="single" w:color="auto" w:sz="4" w:space="0"/>
                    <w:bottom w:val="single" w:color="auto" w:sz="4" w:space="0"/>
                    <w:right w:val="single" w:color="auto" w:sz="4" w:space="0"/>
                  </w:tcBorders>
                  <w:vAlign w:val="center"/>
                </w:tcPr>
                <w:p w14:paraId="2C529A57">
                  <w:pPr>
                    <w:spacing w:line="320" w:lineRule="exact"/>
                    <w:jc w:val="center"/>
                    <w:rPr>
                      <w:color w:val="auto"/>
                      <w:szCs w:val="21"/>
                    </w:rPr>
                  </w:pPr>
                  <w:r>
                    <w:rPr>
                      <w:rFonts w:hint="eastAsia"/>
                      <w:color w:val="auto"/>
                      <w:szCs w:val="21"/>
                    </w:rPr>
                    <w:t>DA003排气筒</w:t>
                  </w:r>
                </w:p>
              </w:tc>
              <w:tc>
                <w:tcPr>
                  <w:tcW w:w="761" w:type="pct"/>
                  <w:tcBorders>
                    <w:top w:val="single" w:color="auto" w:sz="4" w:space="0"/>
                    <w:left w:val="single" w:color="auto" w:sz="4" w:space="0"/>
                    <w:bottom w:val="single" w:color="auto" w:sz="4" w:space="0"/>
                    <w:right w:val="single" w:color="auto" w:sz="4" w:space="0"/>
                  </w:tcBorders>
                  <w:vAlign w:val="center"/>
                </w:tcPr>
                <w:p w14:paraId="77F7C93A">
                  <w:pPr>
                    <w:spacing w:line="320" w:lineRule="exact"/>
                    <w:ind w:left="-105" w:leftChars="-50" w:right="-105" w:rightChars="-50"/>
                    <w:jc w:val="center"/>
                    <w:rPr>
                      <w:color w:val="auto"/>
                      <w:szCs w:val="21"/>
                    </w:rPr>
                  </w:pPr>
                  <w:r>
                    <w:rPr>
                      <w:color w:val="auto"/>
                      <w:szCs w:val="21"/>
                    </w:rPr>
                    <w:t>VOC</w:t>
                  </w:r>
                  <w:r>
                    <w:rPr>
                      <w:color w:val="auto"/>
                      <w:szCs w:val="21"/>
                      <w:vertAlign w:val="subscript"/>
                    </w:rPr>
                    <w:t>S</w:t>
                  </w:r>
                </w:p>
              </w:tc>
              <w:tc>
                <w:tcPr>
                  <w:tcW w:w="579" w:type="pct"/>
                  <w:tcBorders>
                    <w:top w:val="single" w:color="auto" w:sz="4" w:space="0"/>
                    <w:left w:val="single" w:color="auto" w:sz="4" w:space="0"/>
                    <w:bottom w:val="single" w:color="auto" w:sz="4" w:space="0"/>
                    <w:right w:val="single" w:color="auto" w:sz="4" w:space="0"/>
                  </w:tcBorders>
                  <w:vAlign w:val="center"/>
                </w:tcPr>
                <w:p w14:paraId="77EFBD2A">
                  <w:pPr>
                    <w:spacing w:line="320" w:lineRule="exact"/>
                    <w:ind w:left="-105" w:leftChars="-50" w:right="-105" w:rightChars="-50"/>
                    <w:jc w:val="center"/>
                    <w:rPr>
                      <w:color w:val="auto"/>
                      <w:szCs w:val="21"/>
                    </w:rPr>
                  </w:pPr>
                  <w:r>
                    <w:rPr>
                      <w:color w:val="auto"/>
                      <w:szCs w:val="21"/>
                    </w:rPr>
                    <w:t>1次/年</w:t>
                  </w:r>
                </w:p>
              </w:tc>
              <w:tc>
                <w:tcPr>
                  <w:tcW w:w="2199" w:type="pct"/>
                  <w:vMerge w:val="continue"/>
                  <w:tcBorders>
                    <w:left w:val="single" w:color="auto" w:sz="4" w:space="0"/>
                    <w:right w:val="nil"/>
                  </w:tcBorders>
                  <w:vAlign w:val="center"/>
                </w:tcPr>
                <w:p w14:paraId="4338E147">
                  <w:pPr>
                    <w:spacing w:line="320" w:lineRule="exact"/>
                    <w:ind w:left="-105" w:leftChars="-50" w:right="-105" w:rightChars="-50"/>
                    <w:jc w:val="center"/>
                    <w:rPr>
                      <w:color w:val="auto"/>
                      <w:kern w:val="0"/>
                      <w:szCs w:val="21"/>
                    </w:rPr>
                  </w:pPr>
                </w:p>
              </w:tc>
            </w:tr>
            <w:tr w14:paraId="22468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1" w:type="pct"/>
                  <w:vMerge w:val="continue"/>
                  <w:tcBorders>
                    <w:left w:val="nil"/>
                    <w:right w:val="single" w:color="auto" w:sz="4" w:space="0"/>
                  </w:tcBorders>
                  <w:vAlign w:val="center"/>
                </w:tcPr>
                <w:p w14:paraId="4B7AF368">
                  <w:pPr>
                    <w:spacing w:line="320" w:lineRule="exact"/>
                    <w:ind w:left="-105" w:leftChars="-50" w:right="-105" w:rightChars="-50"/>
                    <w:jc w:val="center"/>
                    <w:rPr>
                      <w:color w:val="auto"/>
                      <w:szCs w:val="21"/>
                    </w:rPr>
                  </w:pPr>
                </w:p>
              </w:tc>
              <w:tc>
                <w:tcPr>
                  <w:tcW w:w="393" w:type="pct"/>
                  <w:tcBorders>
                    <w:left w:val="nil"/>
                    <w:right w:val="single" w:color="auto" w:sz="4" w:space="0"/>
                  </w:tcBorders>
                  <w:vAlign w:val="center"/>
                </w:tcPr>
                <w:p w14:paraId="46D8AEAE">
                  <w:pPr>
                    <w:spacing w:line="320" w:lineRule="exact"/>
                    <w:ind w:left="-105" w:leftChars="-50" w:right="-105" w:rightChars="-50"/>
                    <w:jc w:val="center"/>
                    <w:rPr>
                      <w:color w:val="auto"/>
                      <w:szCs w:val="21"/>
                    </w:rPr>
                  </w:pPr>
                  <w:r>
                    <w:rPr>
                      <w:color w:val="auto"/>
                      <w:szCs w:val="21"/>
                    </w:rPr>
                    <w:t>无组织</w:t>
                  </w:r>
                </w:p>
              </w:tc>
              <w:tc>
                <w:tcPr>
                  <w:tcW w:w="873" w:type="pct"/>
                  <w:tcBorders>
                    <w:top w:val="single" w:color="auto" w:sz="4" w:space="0"/>
                    <w:left w:val="single" w:color="auto" w:sz="4" w:space="0"/>
                    <w:bottom w:val="single" w:color="auto" w:sz="4" w:space="0"/>
                    <w:right w:val="single" w:color="auto" w:sz="4" w:space="0"/>
                  </w:tcBorders>
                  <w:vAlign w:val="center"/>
                </w:tcPr>
                <w:p w14:paraId="01B21125">
                  <w:pPr>
                    <w:spacing w:line="320" w:lineRule="exact"/>
                    <w:jc w:val="center"/>
                    <w:rPr>
                      <w:color w:val="auto"/>
                      <w:szCs w:val="21"/>
                    </w:rPr>
                  </w:pPr>
                  <w:r>
                    <w:rPr>
                      <w:color w:val="auto"/>
                      <w:szCs w:val="21"/>
                    </w:rPr>
                    <w:t>厂区外上风向1个点、下风向3个点</w:t>
                  </w:r>
                </w:p>
              </w:tc>
              <w:tc>
                <w:tcPr>
                  <w:tcW w:w="761" w:type="pct"/>
                  <w:tcBorders>
                    <w:top w:val="single" w:color="auto" w:sz="4" w:space="0"/>
                    <w:left w:val="single" w:color="auto" w:sz="4" w:space="0"/>
                    <w:bottom w:val="single" w:color="auto" w:sz="4" w:space="0"/>
                    <w:right w:val="single" w:color="auto" w:sz="4" w:space="0"/>
                  </w:tcBorders>
                  <w:vAlign w:val="center"/>
                </w:tcPr>
                <w:p w14:paraId="27487A4E">
                  <w:pPr>
                    <w:spacing w:line="320" w:lineRule="exact"/>
                    <w:ind w:left="-105" w:leftChars="-50" w:right="-105" w:rightChars="-50"/>
                    <w:jc w:val="center"/>
                    <w:rPr>
                      <w:color w:val="auto"/>
                      <w:szCs w:val="21"/>
                    </w:rPr>
                  </w:pPr>
                  <w:r>
                    <w:rPr>
                      <w:color w:val="auto"/>
                      <w:szCs w:val="21"/>
                    </w:rPr>
                    <w:t>VOC</w:t>
                  </w:r>
                  <w:r>
                    <w:rPr>
                      <w:color w:val="auto"/>
                      <w:szCs w:val="21"/>
                      <w:vertAlign w:val="subscript"/>
                    </w:rPr>
                    <w:t>S</w:t>
                  </w:r>
                </w:p>
              </w:tc>
              <w:tc>
                <w:tcPr>
                  <w:tcW w:w="579" w:type="pct"/>
                  <w:tcBorders>
                    <w:top w:val="single" w:color="auto" w:sz="4" w:space="0"/>
                    <w:left w:val="single" w:color="auto" w:sz="4" w:space="0"/>
                    <w:bottom w:val="single" w:color="auto" w:sz="4" w:space="0"/>
                    <w:right w:val="single" w:color="auto" w:sz="4" w:space="0"/>
                  </w:tcBorders>
                  <w:vAlign w:val="center"/>
                </w:tcPr>
                <w:p w14:paraId="2288CF38">
                  <w:pPr>
                    <w:spacing w:line="320" w:lineRule="exact"/>
                    <w:ind w:left="-105" w:leftChars="-50" w:right="-105" w:rightChars="-50"/>
                    <w:jc w:val="center"/>
                    <w:rPr>
                      <w:color w:val="auto"/>
                      <w:szCs w:val="21"/>
                    </w:rPr>
                  </w:pPr>
                  <w:r>
                    <w:rPr>
                      <w:color w:val="auto"/>
                      <w:szCs w:val="21"/>
                    </w:rPr>
                    <w:t>1次/年</w:t>
                  </w:r>
                </w:p>
              </w:tc>
              <w:tc>
                <w:tcPr>
                  <w:tcW w:w="2199" w:type="pct"/>
                  <w:tcBorders>
                    <w:left w:val="single" w:color="auto" w:sz="4" w:space="0"/>
                    <w:right w:val="nil"/>
                  </w:tcBorders>
                  <w:vAlign w:val="center"/>
                </w:tcPr>
                <w:p w14:paraId="75824965">
                  <w:pPr>
                    <w:spacing w:line="320" w:lineRule="exact"/>
                    <w:jc w:val="center"/>
                    <w:rPr>
                      <w:color w:val="auto"/>
                      <w:szCs w:val="21"/>
                    </w:rPr>
                  </w:pPr>
                  <w:r>
                    <w:rPr>
                      <w:color w:val="auto"/>
                      <w:szCs w:val="21"/>
                    </w:rPr>
                    <w:t>《四川省固定污染源大气挥发性有机物排放标准》（DB51/2377-2017）表5中排放限值</w:t>
                  </w:r>
                </w:p>
              </w:tc>
            </w:tr>
            <w:tr w14:paraId="614EB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1" w:type="pct"/>
                  <w:vMerge w:val="continue"/>
                  <w:tcBorders>
                    <w:left w:val="nil"/>
                    <w:right w:val="single" w:color="auto" w:sz="4" w:space="0"/>
                  </w:tcBorders>
                  <w:vAlign w:val="center"/>
                </w:tcPr>
                <w:p w14:paraId="07D279EA">
                  <w:pPr>
                    <w:spacing w:line="320" w:lineRule="exact"/>
                    <w:ind w:left="-105" w:leftChars="-50" w:right="-105" w:rightChars="-50"/>
                    <w:jc w:val="center"/>
                    <w:rPr>
                      <w:color w:val="auto"/>
                      <w:szCs w:val="21"/>
                    </w:rPr>
                  </w:pPr>
                </w:p>
              </w:tc>
              <w:tc>
                <w:tcPr>
                  <w:tcW w:w="393" w:type="pct"/>
                  <w:tcBorders>
                    <w:left w:val="nil"/>
                    <w:right w:val="single" w:color="auto" w:sz="4" w:space="0"/>
                  </w:tcBorders>
                  <w:vAlign w:val="center"/>
                </w:tcPr>
                <w:p w14:paraId="309BADB9">
                  <w:pPr>
                    <w:spacing w:line="320" w:lineRule="exact"/>
                    <w:ind w:left="-105" w:leftChars="-50" w:right="-105" w:rightChars="-50"/>
                    <w:jc w:val="center"/>
                    <w:rPr>
                      <w:color w:val="auto"/>
                      <w:szCs w:val="21"/>
                    </w:rPr>
                  </w:pPr>
                  <w:r>
                    <w:rPr>
                      <w:color w:val="auto"/>
                      <w:szCs w:val="21"/>
                    </w:rPr>
                    <w:t>无组织</w:t>
                  </w:r>
                </w:p>
              </w:tc>
              <w:tc>
                <w:tcPr>
                  <w:tcW w:w="873" w:type="pct"/>
                  <w:tcBorders>
                    <w:top w:val="single" w:color="auto" w:sz="4" w:space="0"/>
                    <w:left w:val="single" w:color="auto" w:sz="4" w:space="0"/>
                    <w:bottom w:val="single" w:color="auto" w:sz="12" w:space="0"/>
                    <w:right w:val="single" w:color="auto" w:sz="4" w:space="0"/>
                  </w:tcBorders>
                  <w:vAlign w:val="center"/>
                </w:tcPr>
                <w:p w14:paraId="5F645005">
                  <w:pPr>
                    <w:spacing w:line="320" w:lineRule="exact"/>
                    <w:jc w:val="center"/>
                    <w:rPr>
                      <w:color w:val="auto"/>
                      <w:szCs w:val="21"/>
                    </w:rPr>
                  </w:pPr>
                  <w:r>
                    <w:rPr>
                      <w:color w:val="auto"/>
                      <w:szCs w:val="21"/>
                    </w:rPr>
                    <w:t>厂区内VOC</w:t>
                  </w:r>
                  <w:r>
                    <w:rPr>
                      <w:color w:val="auto"/>
                      <w:szCs w:val="21"/>
                      <w:vertAlign w:val="subscript"/>
                    </w:rPr>
                    <w:t>S</w:t>
                  </w:r>
                  <w:r>
                    <w:rPr>
                      <w:color w:val="auto"/>
                      <w:szCs w:val="21"/>
                    </w:rPr>
                    <w:t>无组织排放监控点</w:t>
                  </w:r>
                </w:p>
              </w:tc>
              <w:tc>
                <w:tcPr>
                  <w:tcW w:w="761" w:type="pct"/>
                  <w:tcBorders>
                    <w:top w:val="single" w:color="auto" w:sz="4" w:space="0"/>
                    <w:left w:val="single" w:color="auto" w:sz="4" w:space="0"/>
                    <w:bottom w:val="single" w:color="auto" w:sz="12" w:space="0"/>
                    <w:right w:val="single" w:color="auto" w:sz="4" w:space="0"/>
                  </w:tcBorders>
                  <w:vAlign w:val="center"/>
                </w:tcPr>
                <w:p w14:paraId="265ECA67">
                  <w:pPr>
                    <w:spacing w:line="320" w:lineRule="exact"/>
                    <w:ind w:left="-105" w:leftChars="-50" w:right="-105" w:rightChars="-50"/>
                    <w:jc w:val="center"/>
                    <w:rPr>
                      <w:color w:val="auto"/>
                      <w:szCs w:val="21"/>
                    </w:rPr>
                  </w:pPr>
                  <w:r>
                    <w:rPr>
                      <w:color w:val="auto"/>
                      <w:szCs w:val="21"/>
                    </w:rPr>
                    <w:t>NMHC</w:t>
                  </w:r>
                </w:p>
              </w:tc>
              <w:tc>
                <w:tcPr>
                  <w:tcW w:w="579" w:type="pct"/>
                  <w:tcBorders>
                    <w:top w:val="single" w:color="auto" w:sz="4" w:space="0"/>
                    <w:left w:val="single" w:color="auto" w:sz="4" w:space="0"/>
                    <w:bottom w:val="single" w:color="auto" w:sz="12" w:space="0"/>
                    <w:right w:val="single" w:color="auto" w:sz="4" w:space="0"/>
                  </w:tcBorders>
                  <w:vAlign w:val="center"/>
                </w:tcPr>
                <w:p w14:paraId="1D878B31">
                  <w:pPr>
                    <w:spacing w:line="320" w:lineRule="exact"/>
                    <w:ind w:left="-105" w:leftChars="-50" w:right="-105" w:rightChars="-50"/>
                    <w:jc w:val="center"/>
                    <w:rPr>
                      <w:color w:val="auto"/>
                      <w:szCs w:val="21"/>
                    </w:rPr>
                  </w:pPr>
                  <w:r>
                    <w:rPr>
                      <w:color w:val="auto"/>
                      <w:szCs w:val="21"/>
                    </w:rPr>
                    <w:t>1次/年</w:t>
                  </w:r>
                </w:p>
              </w:tc>
              <w:tc>
                <w:tcPr>
                  <w:tcW w:w="2199" w:type="pct"/>
                  <w:tcBorders>
                    <w:left w:val="single" w:color="auto" w:sz="4" w:space="0"/>
                    <w:bottom w:val="single" w:color="auto" w:sz="12" w:space="0"/>
                    <w:right w:val="nil"/>
                  </w:tcBorders>
                  <w:vAlign w:val="center"/>
                </w:tcPr>
                <w:p w14:paraId="73F38BFF">
                  <w:pPr>
                    <w:spacing w:line="320" w:lineRule="exact"/>
                    <w:jc w:val="center"/>
                    <w:rPr>
                      <w:color w:val="auto"/>
                      <w:szCs w:val="21"/>
                    </w:rPr>
                  </w:pPr>
                  <w:r>
                    <w:rPr>
                      <w:color w:val="auto"/>
                      <w:szCs w:val="21"/>
                    </w:rPr>
                    <w:t>《挥发性有机物无组织排放标准》（GB37822-2019）附录A表A.1</w:t>
                  </w:r>
                  <w:r>
                    <w:rPr>
                      <w:rFonts w:hint="eastAsia"/>
                      <w:color w:val="auto"/>
                      <w:szCs w:val="21"/>
                    </w:rPr>
                    <w:t>特别排放限值</w:t>
                  </w:r>
                </w:p>
              </w:tc>
            </w:tr>
          </w:tbl>
          <w:p w14:paraId="2320031D">
            <w:pPr>
              <w:jc w:val="center"/>
              <w:rPr>
                <w:b/>
                <w:snapToGrid w:val="0"/>
                <w:color w:val="auto"/>
                <w:spacing w:val="4"/>
                <w:szCs w:val="21"/>
                <w:highlight w:val="yellow"/>
              </w:rPr>
            </w:pPr>
          </w:p>
          <w:p w14:paraId="79FBD31E">
            <w:pPr>
              <w:widowControl/>
              <w:spacing w:line="360" w:lineRule="auto"/>
              <w:textAlignment w:val="bottom"/>
              <w:rPr>
                <w:bCs/>
                <w:color w:val="auto"/>
                <w:spacing w:val="-10"/>
                <w:kern w:val="0"/>
                <w:sz w:val="24"/>
              </w:rPr>
            </w:pPr>
          </w:p>
        </w:tc>
      </w:tr>
    </w:tbl>
    <w:p w14:paraId="522BFC2B">
      <w:pPr>
        <w:pStyle w:val="21"/>
        <w:jc w:val="center"/>
        <w:outlineLvl w:val="0"/>
        <w:rPr>
          <w:rFonts w:ascii="Times New Roman" w:hAnsi="Times New Roman" w:eastAsia="黑体"/>
          <w:snapToGrid w:val="0"/>
          <w:color w:val="auto"/>
          <w:sz w:val="30"/>
          <w:szCs w:val="30"/>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5"/>
        <w:tblW w:w="92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491"/>
      </w:tblGrid>
      <w:tr w14:paraId="0ABCF3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46" w:type="dxa"/>
            <w:tcMar>
              <w:left w:w="28" w:type="dxa"/>
              <w:right w:w="28" w:type="dxa"/>
            </w:tcMar>
            <w:vAlign w:val="center"/>
          </w:tcPr>
          <w:p w14:paraId="083792D8">
            <w:pPr>
              <w:adjustRightInd w:val="0"/>
              <w:snapToGrid w:val="0"/>
              <w:jc w:val="center"/>
              <w:rPr>
                <w:bCs/>
                <w:color w:val="auto"/>
                <w:szCs w:val="21"/>
              </w:rPr>
            </w:pPr>
            <w:r>
              <w:rPr>
                <w:bCs/>
                <w:color w:val="auto"/>
                <w:szCs w:val="21"/>
              </w:rPr>
              <w:t>运营</w:t>
            </w:r>
          </w:p>
          <w:p w14:paraId="72A7DA2B">
            <w:pPr>
              <w:adjustRightInd w:val="0"/>
              <w:snapToGrid w:val="0"/>
              <w:jc w:val="center"/>
              <w:rPr>
                <w:bCs/>
                <w:color w:val="auto"/>
                <w:szCs w:val="21"/>
              </w:rPr>
            </w:pPr>
            <w:r>
              <w:rPr>
                <w:bCs/>
                <w:color w:val="auto"/>
                <w:szCs w:val="21"/>
              </w:rPr>
              <w:t>期环</w:t>
            </w:r>
          </w:p>
          <w:p w14:paraId="1B0B6F6A">
            <w:pPr>
              <w:adjustRightInd w:val="0"/>
              <w:snapToGrid w:val="0"/>
              <w:jc w:val="center"/>
              <w:rPr>
                <w:bCs/>
                <w:color w:val="auto"/>
                <w:szCs w:val="21"/>
              </w:rPr>
            </w:pPr>
            <w:r>
              <w:rPr>
                <w:bCs/>
                <w:color w:val="auto"/>
                <w:szCs w:val="21"/>
              </w:rPr>
              <w:t>境影</w:t>
            </w:r>
          </w:p>
          <w:p w14:paraId="7FCC2DF6">
            <w:pPr>
              <w:adjustRightInd w:val="0"/>
              <w:snapToGrid w:val="0"/>
              <w:jc w:val="center"/>
              <w:rPr>
                <w:bCs/>
                <w:color w:val="auto"/>
                <w:szCs w:val="21"/>
              </w:rPr>
            </w:pPr>
            <w:r>
              <w:rPr>
                <w:bCs/>
                <w:color w:val="auto"/>
                <w:szCs w:val="21"/>
              </w:rPr>
              <w:t>响和</w:t>
            </w:r>
          </w:p>
          <w:p w14:paraId="22B5F44E">
            <w:pPr>
              <w:adjustRightInd w:val="0"/>
              <w:snapToGrid w:val="0"/>
              <w:jc w:val="center"/>
              <w:rPr>
                <w:bCs/>
                <w:color w:val="auto"/>
                <w:szCs w:val="21"/>
              </w:rPr>
            </w:pPr>
            <w:r>
              <w:rPr>
                <w:bCs/>
                <w:color w:val="auto"/>
                <w:szCs w:val="21"/>
              </w:rPr>
              <w:t>保护</w:t>
            </w:r>
          </w:p>
          <w:p w14:paraId="4446C7C6">
            <w:pPr>
              <w:adjustRightInd w:val="0"/>
              <w:snapToGrid w:val="0"/>
              <w:jc w:val="center"/>
              <w:rPr>
                <w:bCs/>
                <w:color w:val="auto"/>
                <w:szCs w:val="21"/>
              </w:rPr>
            </w:pPr>
            <w:r>
              <w:rPr>
                <w:bCs/>
                <w:color w:val="auto"/>
                <w:szCs w:val="21"/>
              </w:rPr>
              <w:t>措施</w:t>
            </w:r>
          </w:p>
        </w:tc>
        <w:tc>
          <w:tcPr>
            <w:tcW w:w="8491" w:type="dxa"/>
            <w:vAlign w:val="center"/>
          </w:tcPr>
          <w:p w14:paraId="1E904E89">
            <w:pPr>
              <w:spacing w:line="360" w:lineRule="auto"/>
              <w:ind w:firstLine="463" w:firstLineChars="192"/>
              <w:rPr>
                <w:b/>
                <w:color w:val="auto"/>
                <w:sz w:val="24"/>
              </w:rPr>
            </w:pPr>
            <w:bookmarkStart w:id="33" w:name="_Hlk179582146"/>
            <w:r>
              <w:rPr>
                <w:rFonts w:hint="eastAsia"/>
                <w:b/>
                <w:color w:val="auto"/>
                <w:sz w:val="24"/>
              </w:rPr>
              <w:t>（</w:t>
            </w:r>
            <w:r>
              <w:rPr>
                <w:rFonts w:hint="eastAsia"/>
                <w:b/>
                <w:color w:val="auto"/>
                <w:sz w:val="24"/>
                <w:lang w:val="en-US" w:eastAsia="zh-CN"/>
              </w:rPr>
              <w:t>2</w:t>
            </w:r>
            <w:r>
              <w:rPr>
                <w:rFonts w:hint="eastAsia"/>
                <w:b/>
                <w:color w:val="auto"/>
                <w:sz w:val="24"/>
              </w:rPr>
              <w:t>）废气污染物来源、源强核算及治理措施</w:t>
            </w:r>
          </w:p>
          <w:p w14:paraId="766ABA21">
            <w:pPr>
              <w:spacing w:line="360" w:lineRule="auto"/>
              <w:ind w:firstLine="480" w:firstLineChars="200"/>
              <w:rPr>
                <w:rFonts w:hint="default" w:ascii="Times New Roman" w:hAnsi="Times New Roman" w:eastAsia="宋体" w:cs="Times New Roman"/>
                <w:color w:val="auto"/>
                <w:kern w:val="0"/>
                <w:sz w:val="24"/>
                <w:lang w:eastAsia="zh-CN"/>
              </w:rPr>
            </w:pPr>
            <w:r>
              <w:rPr>
                <w:rFonts w:hint="default" w:ascii="Times New Roman" w:hAnsi="Times New Roman" w:cs="Times New Roman"/>
                <w:color w:val="auto"/>
                <w:sz w:val="24"/>
              </w:rPr>
              <w:t>本项目生产过程中产生废气主要为：①</w:t>
            </w:r>
            <w:r>
              <w:rPr>
                <w:rFonts w:hint="default" w:ascii="Times New Roman" w:hAnsi="Times New Roman" w:cs="Times New Roman"/>
                <w:color w:val="auto"/>
                <w:sz w:val="24"/>
                <w:lang w:val="en-US" w:eastAsia="zh-CN"/>
              </w:rPr>
              <w:t>1#车间注塑、烫金有机废气</w:t>
            </w:r>
            <w:r>
              <w:rPr>
                <w:rFonts w:hint="default" w:ascii="Times New Roman" w:hAnsi="Times New Roman" w:cs="Times New Roman"/>
                <w:color w:val="auto"/>
                <w:sz w:val="24"/>
              </w:rPr>
              <w:t>，②</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#生产车间水性粘合剂、覆膜</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UV油墨、</w:t>
            </w:r>
            <w:bookmarkStart w:id="34" w:name="OLE_LINK31"/>
            <w:r>
              <w:rPr>
                <w:rFonts w:hint="default" w:ascii="Times New Roman" w:hAnsi="Times New Roman" w:cs="Times New Roman"/>
                <w:color w:val="auto"/>
                <w:sz w:val="24"/>
                <w:lang w:val="en-US" w:eastAsia="zh-CN"/>
              </w:rPr>
              <w:t>水性喷墨</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丝网版清洁</w:t>
            </w:r>
            <w:bookmarkEnd w:id="34"/>
            <w:r>
              <w:rPr>
                <w:rFonts w:hint="default" w:ascii="Times New Roman" w:hAnsi="Times New Roman" w:cs="Times New Roman"/>
                <w:color w:val="auto"/>
                <w:sz w:val="24"/>
                <w:highlight w:val="none"/>
              </w:rPr>
              <w:t>有机废气，</w:t>
            </w:r>
            <w:r>
              <w:rPr>
                <w:rFonts w:hint="default" w:ascii="Times New Roman" w:hAnsi="Times New Roman" w:cs="Times New Roman"/>
                <w:color w:val="auto"/>
                <w:sz w:val="24"/>
                <w:lang w:val="en-US" w:eastAsia="zh-CN"/>
              </w:rPr>
              <w:t>③</w:t>
            </w:r>
            <w:r>
              <w:rPr>
                <w:rFonts w:hint="default" w:ascii="Times New Roman" w:hAnsi="Times New Roman" w:cs="Times New Roman"/>
                <w:color w:val="auto"/>
                <w:sz w:val="24"/>
              </w:rPr>
              <w:t>食堂油烟、</w:t>
            </w:r>
            <w:r>
              <w:rPr>
                <w:rFonts w:hint="default" w:ascii="Times New Roman" w:hAnsi="Times New Roman" w:cs="Times New Roman"/>
                <w:color w:val="auto"/>
                <w:sz w:val="24"/>
                <w:lang w:val="en-US" w:eastAsia="zh-CN"/>
              </w:rPr>
              <w:t>④</w:t>
            </w:r>
            <w:r>
              <w:rPr>
                <w:rFonts w:hint="default" w:ascii="Times New Roman" w:hAnsi="Times New Roman" w:cs="Times New Roman"/>
                <w:color w:val="auto"/>
                <w:sz w:val="24"/>
              </w:rPr>
              <w:t>危废暂存间废气</w:t>
            </w:r>
            <w:r>
              <w:rPr>
                <w:rFonts w:hint="default" w:ascii="Times New Roman" w:hAnsi="Times New Roman" w:eastAsia="宋体" w:cs="Times New Roman"/>
                <w:color w:val="auto"/>
                <w:kern w:val="0"/>
                <w:sz w:val="24"/>
                <w:lang w:eastAsia="zh-CN"/>
              </w:rPr>
              <w:t>。</w:t>
            </w:r>
            <w:bookmarkEnd w:id="33"/>
            <w:bookmarkStart w:id="35" w:name="_Hlk179582181"/>
            <w:r>
              <w:rPr>
                <w:rFonts w:hint="default" w:ascii="Times New Roman" w:hAnsi="Times New Roman" w:eastAsia="宋体" w:cs="Times New Roman"/>
                <w:color w:val="auto"/>
                <w:kern w:val="0"/>
                <w:sz w:val="24"/>
                <w:lang w:eastAsia="zh-CN"/>
              </w:rPr>
              <w:t>项目年工作300天，日均工作</w:t>
            </w:r>
            <w:r>
              <w:rPr>
                <w:rFonts w:hint="eastAsia" w:ascii="Times New Roman" w:hAnsi="Times New Roman" w:cs="Times New Roman"/>
                <w:color w:val="auto"/>
                <w:kern w:val="0"/>
                <w:sz w:val="24"/>
                <w:lang w:val="en-US" w:eastAsia="zh-CN"/>
              </w:rPr>
              <w:t>16</w:t>
            </w:r>
            <w:r>
              <w:rPr>
                <w:rFonts w:hint="default" w:ascii="Times New Roman" w:hAnsi="Times New Roman" w:eastAsia="宋体" w:cs="Times New Roman"/>
                <w:color w:val="auto"/>
                <w:kern w:val="0"/>
                <w:sz w:val="24"/>
                <w:lang w:eastAsia="zh-CN"/>
              </w:rPr>
              <w:t>h。</w:t>
            </w:r>
          </w:p>
          <w:p w14:paraId="75695760">
            <w:pPr>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①</w:t>
            </w:r>
            <w:r>
              <w:rPr>
                <w:rFonts w:hint="default" w:ascii="Times New Roman" w:hAnsi="Times New Roman" w:cs="Times New Roman"/>
                <w:b/>
                <w:color w:val="auto"/>
                <w:sz w:val="24"/>
                <w:lang w:val="en-US" w:eastAsia="zh-CN"/>
              </w:rPr>
              <w:t>1#车间注塑、烫金有机废气</w:t>
            </w:r>
          </w:p>
          <w:p w14:paraId="56F76CBF">
            <w:pPr>
              <w:adjustRightInd w:val="0"/>
              <w:snapToGrid w:val="0"/>
              <w:spacing w:line="360" w:lineRule="auto"/>
              <w:ind w:firstLine="482" w:firstLineChars="200"/>
              <w:rPr>
                <w:rFonts w:hint="default" w:ascii="Times New Roman" w:hAnsi="Times New Roman" w:cs="Times New Roman"/>
                <w:color w:val="auto"/>
                <w:sz w:val="24"/>
                <w:szCs w:val="24"/>
                <w:lang w:val="en-US" w:eastAsia="zh-CN"/>
              </w:rPr>
            </w:pPr>
            <w:r>
              <w:rPr>
                <w:rFonts w:hint="eastAsia"/>
                <w:b/>
                <w:bCs/>
                <w:color w:val="auto"/>
                <w:sz w:val="24"/>
                <w:szCs w:val="18"/>
              </w:rPr>
              <w:t>注塑工序有机废气</w:t>
            </w:r>
            <w:r>
              <w:rPr>
                <w:rFonts w:hint="eastAsia"/>
                <w:b/>
                <w:bCs/>
                <w:color w:val="auto"/>
                <w:sz w:val="24"/>
                <w:szCs w:val="18"/>
                <w:lang w:val="en-US" w:eastAsia="zh-CN"/>
              </w:rPr>
              <w:t>来源</w:t>
            </w:r>
            <w:r>
              <w:rPr>
                <w:rFonts w:hint="eastAsia"/>
                <w:b/>
                <w:bCs/>
                <w:color w:val="auto"/>
                <w:sz w:val="24"/>
                <w:szCs w:val="18"/>
                <w:lang w:eastAsia="zh-CN"/>
              </w:rPr>
              <w:t>：</w:t>
            </w:r>
            <w:r>
              <w:rPr>
                <w:rFonts w:hint="eastAsia"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lang w:val="en-US" w:eastAsia="zh-CN"/>
              </w:rPr>
              <w:t>注塑工序有机废气产生量</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本项目干燥废气和注塑废气的产生点位均为注塑机。项目使用的PET热分解温度＞250℃，干燥温度为85℃，注塑成型温度为120℃，因此干燥和注塑成型工序不会使以上塑料分解，但塑料单体会在高温下的挥发，产生一定量的有机废气VOCs。</w:t>
            </w:r>
          </w:p>
          <w:p w14:paraId="4B93326E">
            <w:pPr>
              <w:adjustRightInd w:val="0"/>
              <w:snapToGrid w:val="0"/>
              <w:spacing w:line="360" w:lineRule="auto"/>
              <w:ind w:firstLine="482" w:firstLineChars="200"/>
              <w:rPr>
                <w:rFonts w:hint="eastAsia"/>
                <w:color w:val="auto"/>
                <w:sz w:val="24"/>
                <w:highlight w:val="yellow"/>
              </w:rPr>
            </w:pPr>
            <w:r>
              <w:rPr>
                <w:rFonts w:hint="eastAsia"/>
                <w:b/>
                <w:bCs/>
                <w:color w:val="auto"/>
                <w:sz w:val="24"/>
                <w:lang w:val="en-US" w:eastAsia="zh-CN"/>
              </w:rPr>
              <w:t>源强核算：</w:t>
            </w:r>
            <w:r>
              <w:rPr>
                <w:rFonts w:hint="eastAsia"/>
                <w:color w:val="auto"/>
                <w:sz w:val="24"/>
              </w:rPr>
              <w:t>本项目挥发性有机物（以非甲烷总烃计）产污系数依据</w:t>
            </w:r>
            <w:r>
              <w:rPr>
                <w:rFonts w:ascii="Times New Roman" w:hAnsi="Times New Roman" w:eastAsia="宋体" w:cs="Times New Roman"/>
                <w:bCs/>
                <w:snapToGrid w:val="0"/>
                <w:color w:val="auto"/>
                <w:sz w:val="24"/>
              </w:rPr>
              <w:t>根据</w:t>
            </w:r>
            <w:r>
              <w:rPr>
                <w:rFonts w:hint="eastAsia" w:ascii="Times New Roman" w:hAnsi="Times New Roman" w:eastAsia="宋体" w:cs="Times New Roman"/>
                <w:bCs/>
                <w:snapToGrid w:val="0"/>
                <w:color w:val="auto"/>
                <w:sz w:val="24"/>
              </w:rPr>
              <w:t>《排放源统计调查产排污核算方法和系数手册》中《292塑料制品行业系数手册》“</w:t>
            </w:r>
            <w:r>
              <w:rPr>
                <w:rFonts w:hint="eastAsia" w:ascii="Times New Roman" w:hAnsi="Times New Roman" w:eastAsia="宋体" w:cs="Times New Roman"/>
                <w:bCs/>
                <w:snapToGrid w:val="0"/>
                <w:color w:val="auto"/>
                <w:sz w:val="24"/>
                <w:lang w:val="en-US" w:eastAsia="zh-CN"/>
              </w:rPr>
              <w:t>292</w:t>
            </w:r>
            <w:r>
              <w:rPr>
                <w:rFonts w:hint="eastAsia" w:cs="Times New Roman"/>
                <w:bCs/>
                <w:snapToGrid w:val="0"/>
                <w:color w:val="auto"/>
                <w:sz w:val="24"/>
                <w:lang w:val="en-US" w:eastAsia="zh-CN"/>
              </w:rPr>
              <w:t>6</w:t>
            </w:r>
            <w:r>
              <w:rPr>
                <w:rFonts w:ascii="宋体" w:hAnsi="宋体" w:eastAsia="宋体" w:cs="宋体"/>
                <w:color w:val="auto"/>
                <w:sz w:val="24"/>
                <w:szCs w:val="24"/>
              </w:rPr>
              <w:t>塑料包装箱及容器制造行业系数表</w:t>
            </w:r>
            <w:r>
              <w:rPr>
                <w:rFonts w:hint="eastAsia" w:ascii="Times New Roman" w:hAnsi="Times New Roman" w:eastAsia="宋体" w:cs="Times New Roman"/>
                <w:bCs/>
                <w:snapToGrid w:val="0"/>
                <w:color w:val="auto"/>
                <w:sz w:val="24"/>
                <w:lang w:val="en-US" w:eastAsia="zh-CN"/>
              </w:rPr>
              <w:t>-配料-混合-挤出/注塑工艺</w:t>
            </w:r>
            <w:r>
              <w:rPr>
                <w:rFonts w:hint="eastAsia" w:ascii="Times New Roman" w:hAnsi="Times New Roman" w:eastAsia="宋体" w:cs="Times New Roman"/>
                <w:bCs/>
                <w:snapToGrid w:val="0"/>
                <w:color w:val="auto"/>
                <w:sz w:val="24"/>
              </w:rPr>
              <w:t>”塑料包装箱及容器的挥发性有机物产污系数2.70千克/吨-产</w:t>
            </w:r>
            <w:r>
              <w:rPr>
                <w:rFonts w:hint="eastAsia" w:ascii="Times New Roman" w:hAnsi="Times New Roman" w:eastAsia="宋体" w:cs="Times New Roman"/>
                <w:bCs/>
                <w:snapToGrid w:val="0"/>
                <w:color w:val="auto"/>
                <w:sz w:val="24"/>
                <w:highlight w:val="none"/>
              </w:rPr>
              <w:t>品</w:t>
            </w:r>
            <w:r>
              <w:rPr>
                <w:rFonts w:ascii="Times New Roman" w:hAnsi="Times New Roman" w:eastAsia="宋体" w:cs="Times New Roman"/>
                <w:color w:val="auto"/>
                <w:sz w:val="24"/>
                <w:szCs w:val="18"/>
                <w:highlight w:val="none"/>
              </w:rPr>
              <w:t>。</w:t>
            </w:r>
            <w:r>
              <w:rPr>
                <w:rFonts w:ascii="Times New Roman" w:hAnsi="Times New Roman" w:eastAsia="宋体" w:cs="Times New Roman"/>
                <w:color w:val="auto"/>
                <w:spacing w:val="2"/>
                <w:sz w:val="24"/>
                <w:highlight w:val="none"/>
              </w:rPr>
              <w:t>本</w:t>
            </w:r>
            <w:r>
              <w:rPr>
                <w:rFonts w:hint="eastAsia" w:cs="Times New Roman"/>
                <w:color w:val="auto"/>
                <w:spacing w:val="2"/>
                <w:sz w:val="24"/>
                <w:highlight w:val="none"/>
                <w:lang w:val="en-US" w:eastAsia="zh-CN"/>
              </w:rPr>
              <w:t>次新增塑料产品50</w:t>
            </w:r>
            <w:r>
              <w:rPr>
                <w:rFonts w:ascii="Times New Roman" w:hAnsi="Times New Roman" w:eastAsia="宋体" w:cs="Times New Roman"/>
                <w:color w:val="auto"/>
                <w:spacing w:val="2"/>
                <w:sz w:val="24"/>
                <w:highlight w:val="none"/>
              </w:rPr>
              <w:t>t/a</w:t>
            </w:r>
            <w:r>
              <w:rPr>
                <w:rFonts w:hint="eastAsia"/>
                <w:color w:val="auto"/>
                <w:sz w:val="24"/>
                <w:highlight w:val="none"/>
              </w:rPr>
              <w:t>，</w:t>
            </w:r>
            <w:r>
              <w:rPr>
                <w:rFonts w:ascii="Times New Roman" w:hAnsi="Times New Roman" w:eastAsia="宋体" w:cs="Times New Roman"/>
                <w:color w:val="auto"/>
                <w:spacing w:val="2"/>
                <w:sz w:val="24"/>
                <w:highlight w:val="none"/>
              </w:rPr>
              <w:t>则有机废气产生量为</w:t>
            </w:r>
            <w:r>
              <w:rPr>
                <w:rFonts w:hint="eastAsia" w:cs="Times New Roman"/>
                <w:color w:val="auto"/>
                <w:spacing w:val="2"/>
                <w:sz w:val="24"/>
                <w:highlight w:val="none"/>
                <w:lang w:val="en-US" w:eastAsia="zh-CN"/>
              </w:rPr>
              <w:t>2.7×50×10</w:t>
            </w:r>
            <w:r>
              <w:rPr>
                <w:rFonts w:hint="eastAsia" w:cs="Times New Roman"/>
                <w:color w:val="auto"/>
                <w:spacing w:val="2"/>
                <w:sz w:val="24"/>
                <w:highlight w:val="none"/>
                <w:vertAlign w:val="superscript"/>
                <w:lang w:val="en-US" w:eastAsia="zh-CN"/>
              </w:rPr>
              <w:t>-3</w:t>
            </w:r>
            <w:r>
              <w:rPr>
                <w:rFonts w:hint="eastAsia" w:cs="Times New Roman"/>
                <w:color w:val="auto"/>
                <w:spacing w:val="2"/>
                <w:sz w:val="24"/>
                <w:highlight w:val="none"/>
                <w:lang w:val="en-US" w:eastAsia="zh-CN"/>
              </w:rPr>
              <w:t>=0.135t</w:t>
            </w:r>
            <w:r>
              <w:rPr>
                <w:rFonts w:ascii="Times New Roman" w:hAnsi="Times New Roman" w:eastAsia="宋体" w:cs="Times New Roman"/>
                <w:color w:val="auto"/>
                <w:spacing w:val="2"/>
                <w:sz w:val="24"/>
                <w:highlight w:val="none"/>
              </w:rPr>
              <w:t>/a</w:t>
            </w:r>
            <w:r>
              <w:rPr>
                <w:rFonts w:hint="eastAsia"/>
                <w:color w:val="auto"/>
                <w:sz w:val="24"/>
                <w:highlight w:val="none"/>
              </w:rPr>
              <w:t>。</w:t>
            </w:r>
          </w:p>
          <w:p w14:paraId="2EC30B32">
            <w:pPr>
              <w:adjustRightInd w:val="0"/>
              <w:snapToGrid w:val="0"/>
              <w:spacing w:line="360" w:lineRule="auto"/>
              <w:ind w:firstLine="482" w:firstLineChars="200"/>
              <w:rPr>
                <w:rFonts w:hint="eastAsia" w:ascii="Times New Roman" w:hAnsi="Times New Roman" w:eastAsia="宋体" w:cs="Times New Roman"/>
                <w:bCs/>
                <w:snapToGrid w:val="0"/>
                <w:color w:val="auto"/>
                <w:sz w:val="24"/>
              </w:rPr>
            </w:pPr>
            <w:r>
              <w:rPr>
                <w:rFonts w:hint="eastAsia"/>
                <w:b/>
                <w:bCs/>
                <w:color w:val="auto"/>
                <w:sz w:val="24"/>
                <w:lang w:val="en-US" w:eastAsia="zh-CN"/>
              </w:rPr>
              <w:t>烫金有机废气来源：</w:t>
            </w:r>
            <w:r>
              <w:rPr>
                <w:rFonts w:hint="eastAsia"/>
                <w:b w:val="0"/>
                <w:bCs w:val="0"/>
                <w:color w:val="auto"/>
                <w:sz w:val="24"/>
                <w:lang w:val="en-US" w:eastAsia="zh-CN"/>
              </w:rPr>
              <w:t>本项目建成后，厂区烫金总量不变，现有车间设置12台烫金机，本项目拟将其中5台迁至2#车间</w:t>
            </w:r>
            <w:r>
              <w:rPr>
                <w:rFonts w:hint="eastAsia"/>
                <w:b/>
                <w:bCs/>
                <w:color w:val="auto"/>
                <w:sz w:val="24"/>
                <w:lang w:val="en-US" w:eastAsia="zh-CN"/>
              </w:rPr>
              <w:t>，</w:t>
            </w:r>
            <w:r>
              <w:rPr>
                <w:rFonts w:hint="eastAsia" w:ascii="Times New Roman" w:hAnsi="Times New Roman" w:eastAsia="宋体" w:cs="Times New Roman"/>
                <w:bCs/>
                <w:snapToGrid w:val="0"/>
                <w:color w:val="auto"/>
                <w:sz w:val="24"/>
              </w:rPr>
              <w:t>电化铝箔通常由多层材料构成，基材通常为PE树脂，其次是有机硅树脂层、染料层、电化铝箔薄膜层、热塑树脂层。采取电加热至90~120℃，不额外使用胶粘剂。因此，该过程产生的废气主要为树脂材料在高温下产生游离的有机单体。</w:t>
            </w:r>
          </w:p>
          <w:p w14:paraId="0BD6A721">
            <w:pPr>
              <w:adjustRightInd w:val="0"/>
              <w:snapToGrid w:val="0"/>
              <w:spacing w:line="360" w:lineRule="auto"/>
              <w:ind w:firstLine="482" w:firstLineChars="200"/>
              <w:rPr>
                <w:rFonts w:hint="default" w:eastAsia="宋体"/>
                <w:b/>
                <w:bCs/>
                <w:color w:val="auto"/>
                <w:sz w:val="24"/>
                <w:lang w:val="en-US" w:eastAsia="zh-CN"/>
              </w:rPr>
            </w:pPr>
            <w:r>
              <w:rPr>
                <w:rFonts w:hint="eastAsia"/>
                <w:b/>
                <w:bCs/>
                <w:color w:val="auto"/>
                <w:sz w:val="24"/>
                <w:lang w:val="en-US" w:eastAsia="zh-CN"/>
              </w:rPr>
              <w:t>源强核算：</w:t>
            </w:r>
            <w:r>
              <w:rPr>
                <w:rFonts w:hint="eastAsia"/>
                <w:b w:val="0"/>
                <w:bCs w:val="0"/>
                <w:color w:val="auto"/>
                <w:sz w:val="24"/>
                <w:lang w:val="en-US" w:eastAsia="zh-CN"/>
              </w:rPr>
              <w:t>烫金有机废气</w:t>
            </w:r>
            <w:r>
              <w:rPr>
                <w:rFonts w:hint="eastAsia" w:ascii="Times New Roman" w:hAnsi="Times New Roman" w:eastAsia="宋体" w:cs="Times New Roman"/>
                <w:bCs/>
                <w:snapToGrid w:val="0"/>
                <w:color w:val="auto"/>
                <w:sz w:val="24"/>
              </w:rPr>
              <w:t>参考《空气污染物排放和控制手册》（美国国家环保局），熔融树脂在无控制措施时，非甲烷总烃的排放系数为0.35kg/t。</w:t>
            </w:r>
            <w:r>
              <w:rPr>
                <w:rFonts w:hint="eastAsia" w:ascii="Times New Roman" w:hAnsi="Times New Roman" w:eastAsia="宋体" w:cs="Times New Roman"/>
                <w:bCs/>
                <w:snapToGrid w:val="0"/>
                <w:color w:val="auto"/>
                <w:sz w:val="24"/>
                <w:lang w:val="en-US" w:eastAsia="zh-CN"/>
              </w:rPr>
              <w:t>1#车间</w:t>
            </w:r>
            <w:r>
              <w:rPr>
                <w:rFonts w:hint="eastAsia" w:ascii="Times New Roman" w:hAnsi="Times New Roman" w:eastAsia="宋体" w:cs="Times New Roman"/>
                <w:bCs/>
                <w:snapToGrid w:val="0"/>
                <w:color w:val="auto"/>
                <w:sz w:val="24"/>
              </w:rPr>
              <w:t>电化铝箔</w:t>
            </w:r>
            <w:r>
              <w:rPr>
                <w:rFonts w:hint="eastAsia" w:ascii="Times New Roman" w:hAnsi="Times New Roman" w:eastAsia="宋体" w:cs="Times New Roman"/>
                <w:bCs/>
                <w:snapToGrid w:val="0"/>
                <w:color w:val="auto"/>
                <w:sz w:val="24"/>
                <w:lang w:val="en-US" w:eastAsia="zh-CN"/>
              </w:rPr>
              <w:t>使用量为3t/a。</w:t>
            </w:r>
            <w:r>
              <w:rPr>
                <w:rFonts w:ascii="Times New Roman" w:hAnsi="Times New Roman" w:eastAsia="宋体" w:cs="Times New Roman"/>
                <w:color w:val="auto"/>
                <w:spacing w:val="2"/>
                <w:sz w:val="24"/>
                <w:highlight w:val="none"/>
              </w:rPr>
              <w:t>则有机废气产生量为</w:t>
            </w:r>
            <w:r>
              <w:rPr>
                <w:rFonts w:hint="eastAsia" w:cs="Times New Roman"/>
                <w:color w:val="auto"/>
                <w:spacing w:val="2"/>
                <w:sz w:val="24"/>
                <w:highlight w:val="none"/>
                <w:lang w:val="en-US" w:eastAsia="zh-CN"/>
              </w:rPr>
              <w:t>0.35×3×10</w:t>
            </w:r>
            <w:r>
              <w:rPr>
                <w:rFonts w:hint="eastAsia" w:cs="Times New Roman"/>
                <w:color w:val="auto"/>
                <w:spacing w:val="2"/>
                <w:sz w:val="24"/>
                <w:highlight w:val="none"/>
                <w:vertAlign w:val="superscript"/>
                <w:lang w:val="en-US" w:eastAsia="zh-CN"/>
              </w:rPr>
              <w:t>-3</w:t>
            </w:r>
            <w:r>
              <w:rPr>
                <w:rFonts w:hint="eastAsia" w:cs="Times New Roman"/>
                <w:color w:val="auto"/>
                <w:spacing w:val="2"/>
                <w:sz w:val="24"/>
                <w:highlight w:val="none"/>
                <w:lang w:val="en-US" w:eastAsia="zh-CN"/>
              </w:rPr>
              <w:t>=0.0011t</w:t>
            </w:r>
            <w:r>
              <w:rPr>
                <w:rFonts w:ascii="Times New Roman" w:hAnsi="Times New Roman" w:eastAsia="宋体" w:cs="Times New Roman"/>
                <w:color w:val="auto"/>
                <w:spacing w:val="2"/>
                <w:sz w:val="24"/>
                <w:highlight w:val="none"/>
              </w:rPr>
              <w:t>/a</w:t>
            </w:r>
            <w:r>
              <w:rPr>
                <w:rFonts w:hint="eastAsia"/>
                <w:color w:val="auto"/>
                <w:sz w:val="24"/>
                <w:highlight w:val="none"/>
              </w:rPr>
              <w:t>。</w:t>
            </w:r>
          </w:p>
          <w:p w14:paraId="70FDF6D6">
            <w:pPr>
              <w:spacing w:line="360" w:lineRule="auto"/>
              <w:ind w:firstLine="482" w:firstLineChars="200"/>
              <w:rPr>
                <w:color w:val="auto"/>
                <w:sz w:val="24"/>
              </w:rPr>
            </w:pPr>
            <w:r>
              <w:rPr>
                <w:rFonts w:hint="eastAsia"/>
                <w:b/>
                <w:bCs/>
                <w:color w:val="auto"/>
                <w:sz w:val="24"/>
              </w:rPr>
              <w:t>治理措施</w:t>
            </w:r>
            <w:r>
              <w:rPr>
                <w:rFonts w:hint="eastAsia"/>
                <w:color w:val="auto"/>
                <w:sz w:val="24"/>
              </w:rPr>
              <w:t>：</w:t>
            </w:r>
          </w:p>
          <w:p w14:paraId="61EB8B4A">
            <w:pPr>
              <w:spacing w:line="360" w:lineRule="auto"/>
              <w:ind w:firstLine="480" w:firstLineChars="200"/>
              <w:rPr>
                <w:rFonts w:hint="eastAsia" w:eastAsia="宋体"/>
                <w:b/>
                <w:bCs/>
                <w:color w:val="auto"/>
                <w:sz w:val="24"/>
                <w:szCs w:val="24"/>
                <w:lang w:val="en-US" w:eastAsia="zh-CN"/>
              </w:rPr>
            </w:pPr>
            <w:r>
              <w:rPr>
                <w:rFonts w:hint="eastAsia" w:ascii="Times New Roman" w:hAnsi="Times New Roman" w:eastAsia="宋体" w:cs="Times New Roman"/>
                <w:color w:val="auto"/>
                <w:sz w:val="24"/>
                <w:szCs w:val="24"/>
                <w:lang w:eastAsia="zh-CN"/>
              </w:rPr>
              <w:t>据工程分析及</w:t>
            </w:r>
            <w:r>
              <w:rPr>
                <w:rFonts w:hint="eastAsia" w:cs="Times New Roman"/>
                <w:color w:val="auto"/>
                <w:sz w:val="24"/>
                <w:szCs w:val="24"/>
                <w:lang w:val="en-US" w:eastAsia="zh-CN"/>
              </w:rPr>
              <w:t>现有</w:t>
            </w:r>
            <w:r>
              <w:rPr>
                <w:rFonts w:hint="eastAsia" w:ascii="Times New Roman" w:hAnsi="Times New Roman" w:eastAsia="宋体" w:cs="Times New Roman"/>
                <w:color w:val="auto"/>
                <w:sz w:val="24"/>
                <w:szCs w:val="24"/>
                <w:lang w:eastAsia="zh-CN"/>
              </w:rPr>
              <w:t>项目运行实际，项目</w:t>
            </w:r>
            <w:r>
              <w:rPr>
                <w:rFonts w:hint="eastAsia" w:ascii="Times New Roman" w:hAnsi="Times New Roman" w:cs="Times New Roman"/>
                <w:color w:val="auto"/>
                <w:sz w:val="24"/>
                <w:szCs w:val="24"/>
                <w:lang w:val="en-US" w:eastAsia="zh-CN"/>
              </w:rPr>
              <w:t>注塑过程</w:t>
            </w:r>
            <w:r>
              <w:rPr>
                <w:rFonts w:hint="eastAsia" w:ascii="Times New Roman" w:hAnsi="Times New Roman" w:eastAsia="宋体" w:cs="Times New Roman"/>
                <w:color w:val="auto"/>
                <w:sz w:val="24"/>
                <w:szCs w:val="24"/>
                <w:lang w:eastAsia="zh-CN"/>
              </w:rPr>
              <w:t>经熔融</w:t>
            </w:r>
            <w:r>
              <w:rPr>
                <w:rFonts w:hint="eastAsia" w:ascii="Times New Roman" w:hAnsi="Times New Roman" w:cs="Times New Roman"/>
                <w:color w:val="auto"/>
                <w:sz w:val="24"/>
                <w:szCs w:val="24"/>
                <w:lang w:val="en-US" w:eastAsia="zh-CN"/>
              </w:rPr>
              <w:t>注塑</w:t>
            </w:r>
            <w:r>
              <w:rPr>
                <w:rFonts w:hint="eastAsia" w:ascii="Times New Roman" w:hAnsi="Times New Roman" w:eastAsia="宋体" w:cs="Times New Roman"/>
                <w:color w:val="auto"/>
                <w:sz w:val="24"/>
                <w:szCs w:val="24"/>
                <w:lang w:eastAsia="zh-CN"/>
              </w:rPr>
              <w:t>、定型脱模等一系列过程后有机废气温度</w:t>
            </w:r>
            <w:r>
              <w:rPr>
                <w:rFonts w:hint="eastAsia" w:ascii="Times New Roman" w:hAnsi="Times New Roman" w:cs="Times New Roman"/>
                <w:color w:val="auto"/>
                <w:sz w:val="24"/>
                <w:szCs w:val="24"/>
                <w:lang w:eastAsia="zh-CN"/>
              </w:rPr>
              <w:t>降至</w:t>
            </w:r>
            <w:r>
              <w:rPr>
                <w:rFonts w:hint="eastAsia" w:ascii="Times New Roman" w:hAnsi="Times New Roman" w:cs="Times New Roman"/>
                <w:color w:val="auto"/>
                <w:sz w:val="24"/>
                <w:szCs w:val="24"/>
                <w:lang w:val="en-US" w:eastAsia="zh-CN"/>
              </w:rPr>
              <w:t>30℃左右。</w:t>
            </w:r>
            <w:r>
              <w:rPr>
                <w:rFonts w:hint="default" w:ascii="Times New Roman" w:hAnsi="Times New Roman" w:eastAsia="宋体" w:cs="Times New Roman"/>
                <w:color w:val="auto"/>
                <w:sz w:val="24"/>
                <w:szCs w:val="24"/>
                <w:lang w:eastAsia="zh-CN"/>
              </w:rPr>
              <w:t>环评要求</w:t>
            </w:r>
            <w:r>
              <w:rPr>
                <w:rFonts w:hint="eastAsia" w:ascii="Times New Roman" w:hAnsi="Times New Roman" w:eastAsia="宋体" w:cs="Times New Roman"/>
                <w:color w:val="auto"/>
                <w:sz w:val="24"/>
                <w:szCs w:val="24"/>
                <w:lang w:eastAsia="zh-CN"/>
              </w:rPr>
              <w:t>在</w:t>
            </w:r>
            <w:r>
              <w:rPr>
                <w:rFonts w:hint="default" w:ascii="Times New Roman" w:hAnsi="Times New Roman" w:cs="Times New Roman"/>
                <w:color w:val="auto"/>
                <w:sz w:val="24"/>
                <w:szCs w:val="24"/>
                <w:lang w:val="en-US" w:eastAsia="zh-CN"/>
              </w:rPr>
              <w:t>新增的</w:t>
            </w:r>
            <w:r>
              <w:rPr>
                <w:rFonts w:hint="eastAsia" w:cs="Times New Roman"/>
                <w:color w:val="auto"/>
                <w:sz w:val="24"/>
                <w:szCs w:val="24"/>
                <w:lang w:val="en-US" w:eastAsia="zh-CN"/>
              </w:rPr>
              <w:t>1</w:t>
            </w:r>
            <w:r>
              <w:rPr>
                <w:rFonts w:hint="default" w:ascii="Times New Roman" w:hAnsi="Times New Roman" w:cs="Times New Roman"/>
                <w:color w:val="auto"/>
                <w:sz w:val="24"/>
                <w:szCs w:val="24"/>
                <w:lang w:val="en-US" w:eastAsia="zh-CN"/>
              </w:rPr>
              <w:t>台</w:t>
            </w:r>
            <w:r>
              <w:rPr>
                <w:rFonts w:hint="eastAsia" w:ascii="Times New Roman" w:hAnsi="Times New Roman" w:cs="Times New Roman"/>
                <w:color w:val="auto"/>
                <w:sz w:val="24"/>
                <w:szCs w:val="24"/>
                <w:lang w:val="en-US" w:eastAsia="zh-CN"/>
              </w:rPr>
              <w:t>注塑机</w:t>
            </w:r>
            <w:r>
              <w:rPr>
                <w:rFonts w:hint="eastAsia" w:cs="Times New Roman"/>
                <w:color w:val="auto"/>
                <w:sz w:val="24"/>
                <w:szCs w:val="24"/>
                <w:lang w:val="en-US" w:eastAsia="zh-CN"/>
              </w:rPr>
              <w:t>挤</w:t>
            </w:r>
            <w:r>
              <w:rPr>
                <w:rFonts w:hint="eastAsia"/>
                <w:color w:val="auto"/>
                <w:sz w:val="24"/>
                <w:szCs w:val="24"/>
              </w:rPr>
              <w:t>出口</w:t>
            </w:r>
            <w:r>
              <w:rPr>
                <w:color w:val="auto"/>
                <w:sz w:val="24"/>
                <w:szCs w:val="24"/>
              </w:rPr>
              <w:t>上方分别设置集气罩</w:t>
            </w:r>
            <w:r>
              <w:rPr>
                <w:rFonts w:hint="eastAsia" w:cs="Times New Roman"/>
                <w:color w:val="auto"/>
                <w:sz w:val="24"/>
                <w:szCs w:val="24"/>
                <w:lang w:val="en-US" w:eastAsia="zh-CN"/>
              </w:rPr>
              <w:t>（</w:t>
            </w:r>
            <w:r>
              <w:rPr>
                <w:rFonts w:hint="eastAsia" w:ascii="Times New Roman" w:hAnsi="Times New Roman" w:eastAsia="宋体" w:cs="Times New Roman"/>
                <w:bCs/>
                <w:iCs/>
                <w:color w:val="auto"/>
                <w:sz w:val="24"/>
                <w:szCs w:val="24"/>
                <w:lang w:val="en-US" w:eastAsia="zh-CN"/>
              </w:rPr>
              <w:t>集气罩尺寸：</w:t>
            </w:r>
            <w:r>
              <w:rPr>
                <w:rFonts w:ascii="Times New Roman" w:hAnsi="Times New Roman" w:eastAsia="宋体" w:cs="Times New Roman"/>
                <w:color w:val="auto"/>
                <w:sz w:val="24"/>
                <w:szCs w:val="24"/>
              </w:rPr>
              <w:t>0.5m×0.5m</w:t>
            </w:r>
            <w:r>
              <w:rPr>
                <w:rFonts w:hint="eastAsia" w:ascii="Times New Roman" w:hAnsi="Times New Roman" w:eastAsia="宋体" w:cs="Times New Roman"/>
                <w:color w:val="auto"/>
                <w:sz w:val="24"/>
                <w:szCs w:val="24"/>
                <w:lang w:eastAsia="zh-CN"/>
              </w:rPr>
              <w:t>，</w:t>
            </w:r>
            <w:r>
              <w:rPr>
                <w:rFonts w:hint="eastAsia"/>
                <w:color w:val="auto"/>
                <w:sz w:val="24"/>
                <w:szCs w:val="24"/>
                <w:lang w:eastAsia="zh-CN"/>
              </w:rPr>
              <w:t>收集效率按</w:t>
            </w:r>
            <w:r>
              <w:rPr>
                <w:rFonts w:hint="eastAsia"/>
                <w:color w:val="auto"/>
                <w:sz w:val="24"/>
                <w:szCs w:val="24"/>
                <w:lang w:val="en-US" w:eastAsia="zh-CN"/>
              </w:rPr>
              <w:t>90%</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w:t>
            </w:r>
            <w:r>
              <w:rPr>
                <w:rFonts w:hint="eastAsia"/>
                <w:bCs/>
                <w:color w:val="auto"/>
                <w:sz w:val="24"/>
                <w:szCs w:val="24"/>
                <w:lang w:val="en-US" w:eastAsia="zh-CN"/>
              </w:rPr>
              <w:t>本</w:t>
            </w:r>
            <w:r>
              <w:rPr>
                <w:rFonts w:hint="eastAsia"/>
                <w:bCs/>
                <w:color w:val="auto"/>
                <w:sz w:val="24"/>
                <w:szCs w:val="24"/>
              </w:rPr>
              <w:t>次评价对现有工程</w:t>
            </w:r>
            <w:r>
              <w:rPr>
                <w:rFonts w:hint="eastAsia"/>
                <w:bCs/>
                <w:color w:val="auto"/>
                <w:sz w:val="24"/>
                <w:szCs w:val="24"/>
                <w:lang w:val="en-US" w:eastAsia="zh-CN"/>
              </w:rPr>
              <w:t>1#车间烫金</w:t>
            </w:r>
            <w:r>
              <w:rPr>
                <w:rFonts w:hint="eastAsia"/>
                <w:bCs/>
                <w:color w:val="auto"/>
                <w:sz w:val="24"/>
                <w:szCs w:val="24"/>
              </w:rPr>
              <w:t>废气采取“以新带老”措施，要求对</w:t>
            </w:r>
            <w:r>
              <w:rPr>
                <w:rFonts w:hint="eastAsia"/>
                <w:bCs/>
                <w:color w:val="auto"/>
                <w:sz w:val="24"/>
                <w:szCs w:val="24"/>
                <w:lang w:val="en-US" w:eastAsia="zh-CN"/>
              </w:rPr>
              <w:t>烫金机</w:t>
            </w:r>
            <w:r>
              <w:rPr>
                <w:rFonts w:hint="eastAsia"/>
                <w:bCs/>
                <w:color w:val="auto"/>
                <w:sz w:val="24"/>
                <w:szCs w:val="24"/>
              </w:rPr>
              <w:t>增设集尘罩</w:t>
            </w:r>
            <w:r>
              <w:rPr>
                <w:rFonts w:hint="eastAsia"/>
                <w:bCs/>
                <w:color w:val="auto"/>
                <w:sz w:val="24"/>
                <w:szCs w:val="24"/>
                <w:lang w:eastAsia="zh-CN"/>
              </w:rPr>
              <w:t>（</w:t>
            </w:r>
            <w:r>
              <w:rPr>
                <w:rFonts w:hint="eastAsia"/>
                <w:bCs/>
                <w:color w:val="auto"/>
                <w:sz w:val="24"/>
                <w:szCs w:val="24"/>
                <w:lang w:val="en-US" w:eastAsia="zh-CN"/>
              </w:rPr>
              <w:t>7个集气罩。集气罩尺寸为</w:t>
            </w:r>
            <w:r>
              <w:rPr>
                <w:rFonts w:hint="eastAsia"/>
                <w:color w:val="auto"/>
                <w:sz w:val="24"/>
                <w:szCs w:val="24"/>
                <w:lang w:val="en-US" w:eastAsia="zh-CN"/>
              </w:rPr>
              <w:t>0.6</w:t>
            </w:r>
            <w:r>
              <w:rPr>
                <w:rFonts w:hint="eastAsia"/>
                <w:color w:val="auto"/>
                <w:sz w:val="24"/>
                <w:szCs w:val="24"/>
              </w:rPr>
              <w:t>m×</w:t>
            </w:r>
            <w:r>
              <w:rPr>
                <w:rFonts w:hint="eastAsia"/>
                <w:color w:val="auto"/>
                <w:sz w:val="24"/>
                <w:szCs w:val="24"/>
                <w:lang w:val="en-US" w:eastAsia="zh-CN"/>
              </w:rPr>
              <w:t>0.6</w:t>
            </w:r>
            <w:r>
              <w:rPr>
                <w:rFonts w:hint="eastAsia"/>
                <w:color w:val="auto"/>
                <w:sz w:val="24"/>
                <w:szCs w:val="24"/>
              </w:rPr>
              <w:t>m</w:t>
            </w:r>
            <w:r>
              <w:rPr>
                <w:rFonts w:hint="eastAsia"/>
                <w:bCs/>
                <w:color w:val="auto"/>
                <w:sz w:val="24"/>
                <w:szCs w:val="24"/>
                <w:lang w:eastAsia="zh-CN"/>
              </w:rPr>
              <w:t>）</w:t>
            </w:r>
            <w:r>
              <w:rPr>
                <w:rFonts w:hint="eastAsia"/>
                <w:bCs/>
                <w:color w:val="auto"/>
                <w:sz w:val="24"/>
                <w:szCs w:val="24"/>
              </w:rPr>
              <w:t>，</w:t>
            </w:r>
            <w:r>
              <w:rPr>
                <w:rFonts w:hint="eastAsia"/>
                <w:bCs/>
                <w:color w:val="auto"/>
                <w:sz w:val="24"/>
                <w:szCs w:val="24"/>
                <w:lang w:val="en-US" w:eastAsia="zh-CN"/>
              </w:rPr>
              <w:t>注塑有机废气和</w:t>
            </w:r>
            <w:r>
              <w:rPr>
                <w:rFonts w:hint="eastAsia"/>
                <w:color w:val="auto"/>
                <w:sz w:val="24"/>
                <w:szCs w:val="24"/>
                <w:lang w:val="en-US" w:eastAsia="zh-CN"/>
              </w:rPr>
              <w:t>烫金有机废气经</w:t>
            </w:r>
            <w:r>
              <w:rPr>
                <w:rFonts w:hint="eastAsia"/>
                <w:color w:val="auto"/>
                <w:sz w:val="24"/>
                <w:szCs w:val="24"/>
              </w:rPr>
              <w:t>集气罩收集后与</w:t>
            </w:r>
            <w:r>
              <w:rPr>
                <w:rFonts w:hint="eastAsia"/>
                <w:color w:val="auto"/>
                <w:sz w:val="24"/>
                <w:szCs w:val="24"/>
                <w:lang w:val="en-US" w:eastAsia="zh-CN"/>
              </w:rPr>
              <w:t>现有工程废气（注塑、</w:t>
            </w:r>
            <w:r>
              <w:rPr>
                <w:rFonts w:hint="default" w:ascii="Times New Roman" w:hAnsi="Times New Roman" w:cs="Times New Roman"/>
                <w:color w:val="auto"/>
                <w:sz w:val="24"/>
                <w:szCs w:val="24"/>
                <w:lang w:val="en-US" w:eastAsia="zh-CN"/>
              </w:rPr>
              <w:t>丝印/热转印</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胶粘</w:t>
            </w:r>
            <w:r>
              <w:rPr>
                <w:rFonts w:hint="eastAsia"/>
                <w:color w:val="auto"/>
                <w:sz w:val="24"/>
                <w:szCs w:val="24"/>
                <w:lang w:val="en-US" w:eastAsia="zh-CN"/>
              </w:rPr>
              <w:t>）一起进入</w:t>
            </w:r>
            <w:r>
              <w:rPr>
                <w:rFonts w:hint="eastAsia"/>
                <w:color w:val="auto"/>
                <w:sz w:val="24"/>
                <w:szCs w:val="24"/>
              </w:rPr>
              <w:t>两级活性炭吸附装置（TA</w:t>
            </w:r>
            <w:r>
              <w:rPr>
                <w:color w:val="auto"/>
                <w:sz w:val="24"/>
                <w:szCs w:val="24"/>
              </w:rPr>
              <w:t>00</w:t>
            </w:r>
            <w:r>
              <w:rPr>
                <w:rFonts w:hint="eastAsia"/>
                <w:color w:val="auto"/>
                <w:sz w:val="24"/>
                <w:szCs w:val="24"/>
                <w:lang w:val="en-US" w:eastAsia="zh-CN"/>
              </w:rPr>
              <w:t>1</w:t>
            </w:r>
            <w:r>
              <w:rPr>
                <w:rFonts w:hint="eastAsia"/>
                <w:color w:val="auto"/>
                <w:sz w:val="24"/>
                <w:szCs w:val="24"/>
              </w:rPr>
              <w:t>）</w:t>
            </w:r>
            <w:r>
              <w:rPr>
                <w:rFonts w:hint="eastAsia"/>
                <w:color w:val="auto"/>
                <w:sz w:val="24"/>
                <w:szCs w:val="24"/>
                <w:lang w:eastAsia="zh-CN"/>
              </w:rPr>
              <w:t>（</w:t>
            </w:r>
            <w:r>
              <w:rPr>
                <w:rFonts w:hint="eastAsia"/>
                <w:color w:val="auto"/>
                <w:sz w:val="24"/>
                <w:szCs w:val="24"/>
                <w:lang w:val="en-US" w:eastAsia="zh-CN"/>
              </w:rPr>
              <w:t>含风冷装置</w:t>
            </w:r>
            <w:r>
              <w:rPr>
                <w:rFonts w:hint="eastAsia"/>
                <w:color w:val="auto"/>
                <w:sz w:val="24"/>
                <w:szCs w:val="24"/>
                <w:lang w:eastAsia="zh-CN"/>
              </w:rPr>
              <w:t>）</w:t>
            </w:r>
            <w:r>
              <w:rPr>
                <w:rFonts w:hint="eastAsia"/>
                <w:color w:val="auto"/>
                <w:sz w:val="24"/>
                <w:szCs w:val="24"/>
              </w:rPr>
              <w:t>处理后通过15</w:t>
            </w:r>
            <w:r>
              <w:rPr>
                <w:color w:val="auto"/>
                <w:sz w:val="24"/>
                <w:szCs w:val="24"/>
              </w:rPr>
              <w:t>m排气筒</w:t>
            </w:r>
            <w:r>
              <w:rPr>
                <w:rFonts w:hint="eastAsia"/>
                <w:color w:val="auto"/>
                <w:sz w:val="24"/>
                <w:szCs w:val="24"/>
              </w:rPr>
              <w:t>（</w:t>
            </w:r>
            <w:r>
              <w:rPr>
                <w:color w:val="auto"/>
                <w:sz w:val="24"/>
                <w:szCs w:val="24"/>
              </w:rPr>
              <w:t>DA0</w:t>
            </w:r>
            <w:r>
              <w:rPr>
                <w:rFonts w:hint="eastAsia"/>
                <w:color w:val="auto"/>
                <w:sz w:val="24"/>
                <w:szCs w:val="24"/>
              </w:rPr>
              <w:t>01）</w:t>
            </w:r>
            <w:r>
              <w:rPr>
                <w:color w:val="auto"/>
                <w:sz w:val="24"/>
                <w:szCs w:val="24"/>
              </w:rPr>
              <w:t>排放</w:t>
            </w:r>
            <w:r>
              <w:rPr>
                <w:rFonts w:hint="eastAsia"/>
                <w:color w:val="auto"/>
                <w:sz w:val="24"/>
                <w:szCs w:val="24"/>
              </w:rPr>
              <w:t>。</w:t>
            </w:r>
            <w:r>
              <w:rPr>
                <w:rFonts w:hint="eastAsia"/>
                <w:color w:val="auto"/>
                <w:sz w:val="24"/>
                <w:szCs w:val="24"/>
                <w:lang w:val="en-US" w:eastAsia="zh-CN"/>
              </w:rPr>
              <w:t>有机</w:t>
            </w:r>
            <w:r>
              <w:rPr>
                <w:rFonts w:hint="eastAsia"/>
                <w:color w:val="auto"/>
                <w:sz w:val="24"/>
                <w:szCs w:val="24"/>
              </w:rPr>
              <w:t>废气收集效率按90%计，有机废气去除效率按</w:t>
            </w:r>
            <w:r>
              <w:rPr>
                <w:rFonts w:hint="eastAsia"/>
                <w:color w:val="auto"/>
                <w:sz w:val="24"/>
                <w:szCs w:val="24"/>
                <w:lang w:val="en-US" w:eastAsia="zh-CN"/>
              </w:rPr>
              <w:t>90</w:t>
            </w:r>
            <w:r>
              <w:rPr>
                <w:rFonts w:hint="eastAsia"/>
                <w:color w:val="auto"/>
                <w:sz w:val="24"/>
                <w:szCs w:val="24"/>
              </w:rPr>
              <w:t>%计</w:t>
            </w:r>
            <w:r>
              <w:rPr>
                <w:rFonts w:hint="eastAsia"/>
                <w:color w:val="auto"/>
                <w:sz w:val="24"/>
                <w:szCs w:val="24"/>
                <w:lang w:eastAsia="zh-CN"/>
              </w:rPr>
              <w:t>，</w:t>
            </w:r>
            <w:r>
              <w:rPr>
                <w:rFonts w:hint="eastAsia"/>
                <w:color w:val="auto"/>
                <w:sz w:val="24"/>
                <w:szCs w:val="24"/>
              </w:rPr>
              <w:t>风机风量为</w:t>
            </w:r>
            <w:r>
              <w:rPr>
                <w:rFonts w:hint="eastAsia"/>
                <w:color w:val="auto"/>
                <w:sz w:val="24"/>
                <w:szCs w:val="24"/>
                <w:lang w:val="en-US" w:eastAsia="zh-CN"/>
              </w:rPr>
              <w:t>3</w:t>
            </w:r>
            <w:r>
              <w:rPr>
                <w:rFonts w:hint="eastAsia"/>
                <w:color w:val="auto"/>
                <w:sz w:val="24"/>
                <w:szCs w:val="24"/>
              </w:rPr>
              <w:t>0000m</w:t>
            </w:r>
            <w:r>
              <w:rPr>
                <w:rFonts w:hint="eastAsia"/>
                <w:color w:val="auto"/>
                <w:sz w:val="24"/>
                <w:szCs w:val="24"/>
                <w:vertAlign w:val="superscript"/>
              </w:rPr>
              <w:t>3</w:t>
            </w:r>
            <w:r>
              <w:rPr>
                <w:rFonts w:hint="eastAsia"/>
                <w:color w:val="auto"/>
                <w:sz w:val="24"/>
                <w:szCs w:val="24"/>
              </w:rPr>
              <w:t>/h</w:t>
            </w:r>
            <w:r>
              <w:rPr>
                <w:rFonts w:hint="eastAsia"/>
                <w:color w:val="auto"/>
                <w:sz w:val="24"/>
                <w:szCs w:val="24"/>
                <w:lang w:eastAsia="zh-CN"/>
              </w:rPr>
              <w:t>。</w:t>
            </w:r>
          </w:p>
          <w:p w14:paraId="0A842995">
            <w:pPr>
              <w:autoSpaceDE w:val="0"/>
              <w:autoSpaceDN w:val="0"/>
              <w:adjustRightInd w:val="0"/>
              <w:snapToGrid w:val="0"/>
              <w:spacing w:line="360" w:lineRule="auto"/>
              <w:ind w:firstLine="482" w:firstLineChars="200"/>
              <w:rPr>
                <w:color w:val="auto"/>
                <w:sz w:val="24"/>
              </w:rPr>
            </w:pPr>
            <w:r>
              <w:rPr>
                <w:rFonts w:hint="eastAsia"/>
                <w:b/>
                <w:bCs/>
                <w:color w:val="auto"/>
                <w:sz w:val="24"/>
              </w:rPr>
              <w:t>风量核算：</w:t>
            </w:r>
            <w:r>
              <w:rPr>
                <w:rFonts w:hint="eastAsia"/>
                <w:color w:val="auto"/>
                <w:sz w:val="24"/>
              </w:rPr>
              <w:t>本次评价根据按《环境工程设计技术手册》（2002 年版）进行计算</w:t>
            </w:r>
            <w:r>
              <w:rPr>
                <w:rFonts w:hint="eastAsia"/>
                <w:color w:val="auto"/>
                <w:sz w:val="24"/>
                <w:lang w:eastAsia="zh-CN"/>
              </w:rPr>
              <w:t>，</w:t>
            </w:r>
            <w:r>
              <w:rPr>
                <w:rFonts w:hint="eastAsia"/>
                <w:color w:val="auto"/>
                <w:sz w:val="24"/>
              </w:rPr>
              <w:t>集气罩风量计算公式如下：</w:t>
            </w:r>
          </w:p>
          <w:p w14:paraId="37BC46FC">
            <w:pPr>
              <w:autoSpaceDE w:val="0"/>
              <w:autoSpaceDN w:val="0"/>
              <w:adjustRightInd w:val="0"/>
              <w:snapToGrid w:val="0"/>
              <w:spacing w:line="360" w:lineRule="auto"/>
              <w:ind w:firstLine="420" w:firstLineChars="200"/>
              <w:rPr>
                <w:color w:val="auto"/>
                <w:sz w:val="24"/>
              </w:rPr>
            </w:pPr>
            <w:r>
              <w:rPr>
                <w:color w:val="auto"/>
              </w:rPr>
              <w:drawing>
                <wp:inline distT="0" distB="0" distL="0" distR="0">
                  <wp:extent cx="2313305" cy="326390"/>
                  <wp:effectExtent l="0" t="0" r="1079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2420060" cy="341586"/>
                          </a:xfrm>
                          <a:prstGeom prst="rect">
                            <a:avLst/>
                          </a:prstGeom>
                        </pic:spPr>
                      </pic:pic>
                    </a:graphicData>
                  </a:graphic>
                </wp:inline>
              </w:drawing>
            </w:r>
          </w:p>
          <w:p w14:paraId="6A7C09BE">
            <w:pPr>
              <w:autoSpaceDE w:val="0"/>
              <w:autoSpaceDN w:val="0"/>
              <w:adjustRightInd w:val="0"/>
              <w:snapToGrid w:val="0"/>
              <w:spacing w:line="360" w:lineRule="auto"/>
              <w:ind w:firstLine="480" w:firstLineChars="200"/>
              <w:rPr>
                <w:color w:val="auto"/>
                <w:sz w:val="24"/>
              </w:rPr>
            </w:pPr>
            <w:r>
              <w:rPr>
                <w:color w:val="auto"/>
                <w:sz w:val="24"/>
              </w:rPr>
              <w:t>式中：Q—集气罩风量，m</w:t>
            </w:r>
            <w:r>
              <w:rPr>
                <w:color w:val="auto"/>
                <w:sz w:val="24"/>
                <w:vertAlign w:val="superscript"/>
              </w:rPr>
              <w:t>3</w:t>
            </w:r>
            <w:r>
              <w:rPr>
                <w:color w:val="auto"/>
                <w:sz w:val="24"/>
              </w:rPr>
              <w:t>/h；</w:t>
            </w:r>
          </w:p>
          <w:p w14:paraId="741653D4">
            <w:pPr>
              <w:autoSpaceDE w:val="0"/>
              <w:autoSpaceDN w:val="0"/>
              <w:adjustRightInd w:val="0"/>
              <w:snapToGrid w:val="0"/>
              <w:spacing w:line="360" w:lineRule="auto"/>
              <w:ind w:firstLine="1200" w:firstLineChars="500"/>
              <w:rPr>
                <w:color w:val="auto"/>
                <w:sz w:val="24"/>
              </w:rPr>
            </w:pPr>
            <w:r>
              <w:rPr>
                <w:color w:val="auto"/>
                <w:sz w:val="24"/>
              </w:rPr>
              <w:t>X—控制点距集气罩的距离，m，本次取0.2m</w:t>
            </w:r>
          </w:p>
          <w:p w14:paraId="329A699F">
            <w:pPr>
              <w:autoSpaceDE w:val="0"/>
              <w:autoSpaceDN w:val="0"/>
              <w:adjustRightInd w:val="0"/>
              <w:snapToGrid w:val="0"/>
              <w:spacing w:line="360" w:lineRule="auto"/>
              <w:ind w:firstLine="1200" w:firstLineChars="500"/>
              <w:rPr>
                <w:color w:val="auto"/>
                <w:sz w:val="24"/>
                <w:vertAlign w:val="superscript"/>
              </w:rPr>
            </w:pPr>
            <w:r>
              <w:rPr>
                <w:color w:val="auto"/>
                <w:sz w:val="24"/>
              </w:rPr>
              <w:t>F—集气罩面积，m</w:t>
            </w:r>
            <w:r>
              <w:rPr>
                <w:color w:val="auto"/>
                <w:sz w:val="24"/>
                <w:vertAlign w:val="superscript"/>
              </w:rPr>
              <w:t>2</w:t>
            </w:r>
          </w:p>
          <w:p w14:paraId="5DF430BA">
            <w:pPr>
              <w:autoSpaceDE w:val="0"/>
              <w:autoSpaceDN w:val="0"/>
              <w:adjustRightInd w:val="0"/>
              <w:snapToGrid w:val="0"/>
              <w:spacing w:line="360" w:lineRule="auto"/>
              <w:ind w:firstLine="1200" w:firstLineChars="500"/>
              <w:rPr>
                <w:color w:val="auto"/>
                <w:sz w:val="24"/>
              </w:rPr>
            </w:pPr>
            <w:r>
              <w:rPr>
                <w:color w:val="auto"/>
                <w:sz w:val="24"/>
              </w:rPr>
              <w:t>Vx—集气罩罩面风速，取0.5m/s</w:t>
            </w:r>
          </w:p>
          <w:p w14:paraId="78A352F4">
            <w:pPr>
              <w:pStyle w:val="102"/>
              <w:numPr>
                <w:ilvl w:val="0"/>
                <w:numId w:val="0"/>
              </w:numPr>
              <w:spacing w:before="120" w:beforeLines="50" w:after="0" w:afterLines="0"/>
              <w:ind w:leftChars="0"/>
              <w:jc w:val="center"/>
              <w:rPr>
                <w:color w:val="auto"/>
                <w:sz w:val="24"/>
              </w:rPr>
            </w:pPr>
            <w:r>
              <w:rPr>
                <w:rFonts w:hint="eastAsia"/>
                <w:color w:val="auto"/>
                <w:lang w:val="en-US" w:eastAsia="zh-CN"/>
              </w:rPr>
              <w:t>表4-4  扩建后1#车间</w:t>
            </w:r>
            <w:r>
              <w:rPr>
                <w:rFonts w:hint="eastAsia"/>
                <w:color w:val="auto"/>
              </w:rPr>
              <w:t>集气罩理论风量核算结果一览表</w:t>
            </w:r>
          </w:p>
          <w:tbl>
            <w:tblPr>
              <w:tblStyle w:val="25"/>
              <w:tblW w:w="8282" w:type="dxa"/>
              <w:jc w:val="center"/>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127"/>
              <w:gridCol w:w="963"/>
              <w:gridCol w:w="832"/>
              <w:gridCol w:w="1236"/>
              <w:gridCol w:w="1122"/>
              <w:gridCol w:w="1072"/>
              <w:gridCol w:w="830"/>
              <w:gridCol w:w="1100"/>
            </w:tblGrid>
            <w:tr w14:paraId="6DF2C031">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20" w:hRule="atLeast"/>
                <w:jc w:val="center"/>
              </w:trPr>
              <w:tc>
                <w:tcPr>
                  <w:tcW w:w="681" w:type="pct"/>
                  <w:noWrap w:val="0"/>
                  <w:vAlign w:val="center"/>
                </w:tcPr>
                <w:p w14:paraId="07C08AAA">
                  <w:pPr>
                    <w:pStyle w:val="101"/>
                    <w:rPr>
                      <w:rFonts w:hint="eastAsia"/>
                      <w:b/>
                      <w:bCs/>
                      <w:color w:val="auto"/>
                    </w:rPr>
                  </w:pPr>
                  <w:r>
                    <w:rPr>
                      <w:rFonts w:hint="eastAsia"/>
                      <w:b/>
                      <w:bCs/>
                      <w:color w:val="auto"/>
                    </w:rPr>
                    <w:t>污染物名称</w:t>
                  </w:r>
                </w:p>
              </w:tc>
              <w:tc>
                <w:tcPr>
                  <w:tcW w:w="581" w:type="pct"/>
                  <w:noWrap w:val="0"/>
                  <w:vAlign w:val="center"/>
                </w:tcPr>
                <w:p w14:paraId="3B996F0A">
                  <w:pPr>
                    <w:pStyle w:val="101"/>
                    <w:rPr>
                      <w:rFonts w:hint="eastAsia"/>
                      <w:b/>
                      <w:bCs/>
                      <w:color w:val="auto"/>
                    </w:rPr>
                  </w:pPr>
                  <w:r>
                    <w:rPr>
                      <w:rFonts w:hint="eastAsia"/>
                      <w:b/>
                      <w:bCs/>
                      <w:color w:val="auto"/>
                    </w:rPr>
                    <w:t>废气收集方式</w:t>
                  </w:r>
                </w:p>
              </w:tc>
              <w:tc>
                <w:tcPr>
                  <w:tcW w:w="502" w:type="pct"/>
                  <w:noWrap w:val="0"/>
                  <w:vAlign w:val="center"/>
                </w:tcPr>
                <w:p w14:paraId="59C4E63A">
                  <w:pPr>
                    <w:pStyle w:val="101"/>
                    <w:rPr>
                      <w:rFonts w:hint="eastAsia"/>
                      <w:b/>
                      <w:bCs/>
                      <w:color w:val="auto"/>
                    </w:rPr>
                  </w:pPr>
                  <w:r>
                    <w:rPr>
                      <w:rFonts w:hint="eastAsia"/>
                      <w:b/>
                      <w:bCs/>
                      <w:color w:val="auto"/>
                    </w:rPr>
                    <w:t>核算方式</w:t>
                  </w:r>
                </w:p>
              </w:tc>
              <w:tc>
                <w:tcPr>
                  <w:tcW w:w="746" w:type="pct"/>
                  <w:noWrap w:val="0"/>
                  <w:vAlign w:val="center"/>
                </w:tcPr>
                <w:p w14:paraId="2CF1806A">
                  <w:pPr>
                    <w:pStyle w:val="101"/>
                    <w:rPr>
                      <w:b/>
                      <w:bCs/>
                      <w:color w:val="auto"/>
                    </w:rPr>
                  </w:pPr>
                  <w:r>
                    <w:rPr>
                      <w:rFonts w:hint="eastAsia"/>
                      <w:b/>
                      <w:bCs/>
                      <w:color w:val="auto"/>
                    </w:rPr>
                    <w:t>集气罩至污染源的距离</w:t>
                  </w:r>
                </w:p>
              </w:tc>
              <w:tc>
                <w:tcPr>
                  <w:tcW w:w="677" w:type="pct"/>
                  <w:noWrap w:val="0"/>
                  <w:vAlign w:val="center"/>
                </w:tcPr>
                <w:p w14:paraId="40106E1D">
                  <w:pPr>
                    <w:pStyle w:val="101"/>
                    <w:rPr>
                      <w:b/>
                      <w:bCs/>
                      <w:color w:val="auto"/>
                    </w:rPr>
                  </w:pPr>
                  <w:r>
                    <w:rPr>
                      <w:rFonts w:hint="eastAsia"/>
                      <w:b/>
                      <w:bCs/>
                      <w:color w:val="auto"/>
                    </w:rPr>
                    <w:t>集气罩口总面积</w:t>
                  </w:r>
                </w:p>
              </w:tc>
              <w:tc>
                <w:tcPr>
                  <w:tcW w:w="647" w:type="pct"/>
                  <w:noWrap w:val="0"/>
                  <w:vAlign w:val="center"/>
                </w:tcPr>
                <w:p w14:paraId="0D5311CE">
                  <w:pPr>
                    <w:pStyle w:val="101"/>
                    <w:rPr>
                      <w:rFonts w:hint="eastAsia"/>
                      <w:b/>
                      <w:bCs/>
                      <w:color w:val="auto"/>
                    </w:rPr>
                  </w:pPr>
                  <w:r>
                    <w:rPr>
                      <w:rFonts w:hint="eastAsia"/>
                      <w:b/>
                      <w:bCs/>
                      <w:color w:val="auto"/>
                    </w:rPr>
                    <w:t>控制风速</w:t>
                  </w:r>
                </w:p>
              </w:tc>
              <w:tc>
                <w:tcPr>
                  <w:tcW w:w="499" w:type="pct"/>
                  <w:noWrap w:val="0"/>
                  <w:vAlign w:val="center"/>
                </w:tcPr>
                <w:p w14:paraId="28A89E51">
                  <w:pPr>
                    <w:pStyle w:val="101"/>
                    <w:rPr>
                      <w:rFonts w:hint="eastAsia"/>
                      <w:b/>
                      <w:bCs/>
                      <w:color w:val="auto"/>
                    </w:rPr>
                  </w:pPr>
                  <w:r>
                    <w:rPr>
                      <w:rFonts w:hint="eastAsia"/>
                      <w:b/>
                      <w:bCs/>
                      <w:color w:val="auto"/>
                    </w:rPr>
                    <w:t>设备数量</w:t>
                  </w:r>
                </w:p>
              </w:tc>
              <w:tc>
                <w:tcPr>
                  <w:tcW w:w="664" w:type="pct"/>
                  <w:noWrap w:val="0"/>
                  <w:vAlign w:val="center"/>
                </w:tcPr>
                <w:p w14:paraId="732FC67E">
                  <w:pPr>
                    <w:pStyle w:val="101"/>
                    <w:rPr>
                      <w:b/>
                      <w:bCs/>
                      <w:color w:val="auto"/>
                    </w:rPr>
                  </w:pPr>
                  <w:r>
                    <w:rPr>
                      <w:rFonts w:hint="eastAsia"/>
                      <w:b/>
                      <w:bCs/>
                      <w:color w:val="auto"/>
                    </w:rPr>
                    <w:t>风量</w:t>
                  </w:r>
                </w:p>
              </w:tc>
            </w:tr>
            <w:tr w14:paraId="5B96D4AA">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681" w:type="pct"/>
                  <w:noWrap w:val="0"/>
                  <w:vAlign w:val="center"/>
                </w:tcPr>
                <w:p w14:paraId="0F053879">
                  <w:pPr>
                    <w:pStyle w:val="101"/>
                    <w:rPr>
                      <w:rFonts w:hint="eastAsia"/>
                      <w:color w:val="auto"/>
                    </w:rPr>
                  </w:pPr>
                  <w:r>
                    <w:rPr>
                      <w:rFonts w:hint="eastAsia"/>
                      <w:color w:val="auto"/>
                      <w:lang w:val="en-US" w:eastAsia="zh-CN"/>
                    </w:rPr>
                    <w:t>注塑机</w:t>
                  </w:r>
                </w:p>
              </w:tc>
              <w:tc>
                <w:tcPr>
                  <w:tcW w:w="581" w:type="pct"/>
                  <w:noWrap w:val="0"/>
                  <w:vAlign w:val="center"/>
                </w:tcPr>
                <w:p w14:paraId="01B257B1">
                  <w:pPr>
                    <w:pStyle w:val="101"/>
                    <w:rPr>
                      <w:rFonts w:hint="eastAsia"/>
                      <w:color w:val="auto"/>
                    </w:rPr>
                  </w:pPr>
                  <w:r>
                    <w:rPr>
                      <w:rFonts w:hint="eastAsia"/>
                      <w:color w:val="auto"/>
                    </w:rPr>
                    <w:t>集气罩</w:t>
                  </w:r>
                </w:p>
              </w:tc>
              <w:tc>
                <w:tcPr>
                  <w:tcW w:w="502" w:type="pct"/>
                  <w:noWrap w:val="0"/>
                  <w:vAlign w:val="center"/>
                </w:tcPr>
                <w:p w14:paraId="188964CE">
                  <w:pPr>
                    <w:pStyle w:val="101"/>
                    <w:rPr>
                      <w:rFonts w:hint="eastAsia"/>
                      <w:color w:val="auto"/>
                    </w:rPr>
                  </w:pPr>
                  <w:r>
                    <w:rPr>
                      <w:rFonts w:hint="eastAsia"/>
                      <w:color w:val="auto"/>
                    </w:rPr>
                    <w:t>控制风速</w:t>
                  </w:r>
                </w:p>
              </w:tc>
              <w:tc>
                <w:tcPr>
                  <w:tcW w:w="746" w:type="pct"/>
                  <w:noWrap w:val="0"/>
                  <w:vAlign w:val="center"/>
                </w:tcPr>
                <w:p w14:paraId="55A55543">
                  <w:pPr>
                    <w:pStyle w:val="101"/>
                    <w:rPr>
                      <w:rFonts w:hint="eastAsia"/>
                      <w:color w:val="auto"/>
                    </w:rPr>
                  </w:pPr>
                  <w:r>
                    <w:rPr>
                      <w:rFonts w:hint="eastAsia"/>
                      <w:color w:val="auto"/>
                    </w:rPr>
                    <w:t>0.</w:t>
                  </w:r>
                  <w:r>
                    <w:rPr>
                      <w:rFonts w:hint="eastAsia"/>
                      <w:color w:val="auto"/>
                      <w:lang w:val="en-US" w:eastAsia="zh-CN"/>
                    </w:rPr>
                    <w:t>2</w:t>
                  </w:r>
                  <w:r>
                    <w:rPr>
                      <w:rFonts w:hint="eastAsia"/>
                      <w:color w:val="auto"/>
                    </w:rPr>
                    <w:t>m</w:t>
                  </w:r>
                </w:p>
              </w:tc>
              <w:tc>
                <w:tcPr>
                  <w:tcW w:w="677" w:type="pct"/>
                  <w:noWrap w:val="0"/>
                  <w:vAlign w:val="center"/>
                </w:tcPr>
                <w:p w14:paraId="01413A46">
                  <w:pPr>
                    <w:pStyle w:val="101"/>
                    <w:rPr>
                      <w:rFonts w:hint="eastAsia"/>
                      <w:color w:val="auto"/>
                    </w:rPr>
                  </w:pPr>
                  <w:r>
                    <w:rPr>
                      <w:rFonts w:hint="eastAsia"/>
                      <w:color w:val="auto"/>
                      <w:lang w:val="en-US" w:eastAsia="zh-CN"/>
                    </w:rPr>
                    <w:t>0.5</w:t>
                  </w:r>
                  <w:r>
                    <w:rPr>
                      <w:rFonts w:hint="eastAsia"/>
                      <w:color w:val="auto"/>
                    </w:rPr>
                    <w:t>m×0.</w:t>
                  </w:r>
                  <w:r>
                    <w:rPr>
                      <w:rFonts w:hint="eastAsia"/>
                      <w:color w:val="auto"/>
                      <w:lang w:val="en-US" w:eastAsia="zh-CN"/>
                    </w:rPr>
                    <w:t>5</w:t>
                  </w:r>
                  <w:r>
                    <w:rPr>
                      <w:rFonts w:hint="eastAsia"/>
                      <w:color w:val="auto"/>
                    </w:rPr>
                    <w:t>m</w:t>
                  </w:r>
                </w:p>
              </w:tc>
              <w:tc>
                <w:tcPr>
                  <w:tcW w:w="647" w:type="pct"/>
                  <w:noWrap w:val="0"/>
                  <w:vAlign w:val="center"/>
                </w:tcPr>
                <w:p w14:paraId="22B09B09">
                  <w:pPr>
                    <w:pStyle w:val="101"/>
                    <w:rPr>
                      <w:rFonts w:hint="eastAsia"/>
                      <w:color w:val="auto"/>
                    </w:rPr>
                  </w:pPr>
                  <w:r>
                    <w:rPr>
                      <w:rFonts w:hint="eastAsia"/>
                      <w:color w:val="auto"/>
                    </w:rPr>
                    <w:t>0.</w:t>
                  </w:r>
                  <w:r>
                    <w:rPr>
                      <w:rFonts w:hint="eastAsia"/>
                      <w:color w:val="auto"/>
                      <w:lang w:val="en-US" w:eastAsia="zh-CN"/>
                    </w:rPr>
                    <w:t>5</w:t>
                  </w:r>
                  <w:r>
                    <w:rPr>
                      <w:rFonts w:hint="eastAsia"/>
                      <w:color w:val="auto"/>
                    </w:rPr>
                    <w:t>m/s</w:t>
                  </w:r>
                </w:p>
              </w:tc>
              <w:tc>
                <w:tcPr>
                  <w:tcW w:w="499" w:type="pct"/>
                  <w:noWrap w:val="0"/>
                  <w:vAlign w:val="center"/>
                </w:tcPr>
                <w:p w14:paraId="19B2299D">
                  <w:pPr>
                    <w:pStyle w:val="101"/>
                    <w:rPr>
                      <w:rFonts w:hint="eastAsia"/>
                      <w:color w:val="auto"/>
                    </w:rPr>
                  </w:pPr>
                  <w:r>
                    <w:rPr>
                      <w:rFonts w:hint="eastAsia"/>
                      <w:color w:val="auto"/>
                      <w:lang w:val="en-US" w:eastAsia="zh-CN"/>
                    </w:rPr>
                    <w:t>12</w:t>
                  </w:r>
                  <w:r>
                    <w:rPr>
                      <w:rFonts w:hint="eastAsia"/>
                      <w:color w:val="auto"/>
                    </w:rPr>
                    <w:t>台</w:t>
                  </w:r>
                </w:p>
              </w:tc>
              <w:tc>
                <w:tcPr>
                  <w:tcW w:w="664" w:type="pct"/>
                  <w:noWrap w:val="0"/>
                  <w:vAlign w:val="center"/>
                </w:tcPr>
                <w:p w14:paraId="0E73AA90">
                  <w:pPr>
                    <w:pStyle w:val="101"/>
                    <w:rPr>
                      <w:color w:val="auto"/>
                    </w:rPr>
                  </w:pPr>
                  <w:r>
                    <w:rPr>
                      <w:rFonts w:hint="eastAsia"/>
                      <w:color w:val="auto"/>
                      <w:lang w:val="en-US" w:eastAsia="zh-CN"/>
                    </w:rPr>
                    <w:t>10530</w:t>
                  </w:r>
                  <w:r>
                    <w:rPr>
                      <w:rFonts w:hint="eastAsia"/>
                      <w:color w:val="auto"/>
                    </w:rPr>
                    <w:t xml:space="preserve"> m</w:t>
                  </w:r>
                  <w:r>
                    <w:rPr>
                      <w:rFonts w:hint="eastAsia"/>
                      <w:color w:val="auto"/>
                      <w:vertAlign w:val="superscript"/>
                    </w:rPr>
                    <w:t>3</w:t>
                  </w:r>
                  <w:r>
                    <w:rPr>
                      <w:rFonts w:hint="eastAsia"/>
                      <w:color w:val="auto"/>
                    </w:rPr>
                    <w:t>/h</w:t>
                  </w:r>
                </w:p>
              </w:tc>
            </w:tr>
            <w:tr w14:paraId="41406F9F">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6" w:hRule="atLeast"/>
                <w:jc w:val="center"/>
              </w:trPr>
              <w:tc>
                <w:tcPr>
                  <w:tcW w:w="681" w:type="pct"/>
                  <w:tcBorders>
                    <w:bottom w:val="single" w:color="auto" w:sz="4" w:space="0"/>
                  </w:tcBorders>
                  <w:noWrap w:val="0"/>
                  <w:vAlign w:val="center"/>
                </w:tcPr>
                <w:p w14:paraId="53C8EDB0">
                  <w:pPr>
                    <w:pStyle w:val="101"/>
                    <w:rPr>
                      <w:rFonts w:hint="eastAsia"/>
                      <w:color w:val="auto"/>
                    </w:rPr>
                  </w:pPr>
                  <w:r>
                    <w:rPr>
                      <w:rFonts w:hint="eastAsia"/>
                      <w:color w:val="auto"/>
                      <w:lang w:val="en-US" w:eastAsia="zh-CN"/>
                    </w:rPr>
                    <w:t>热转印机</w:t>
                  </w:r>
                </w:p>
              </w:tc>
              <w:tc>
                <w:tcPr>
                  <w:tcW w:w="581" w:type="pct"/>
                  <w:tcBorders>
                    <w:bottom w:val="single" w:color="auto" w:sz="4" w:space="0"/>
                  </w:tcBorders>
                  <w:noWrap w:val="0"/>
                  <w:vAlign w:val="center"/>
                </w:tcPr>
                <w:p w14:paraId="774D9426">
                  <w:pPr>
                    <w:pStyle w:val="101"/>
                    <w:rPr>
                      <w:rFonts w:hint="eastAsia"/>
                      <w:color w:val="auto"/>
                    </w:rPr>
                  </w:pPr>
                  <w:r>
                    <w:rPr>
                      <w:rFonts w:hint="eastAsia"/>
                      <w:color w:val="auto"/>
                    </w:rPr>
                    <w:t>集气罩</w:t>
                  </w:r>
                </w:p>
              </w:tc>
              <w:tc>
                <w:tcPr>
                  <w:tcW w:w="502" w:type="pct"/>
                  <w:tcBorders>
                    <w:bottom w:val="single" w:color="auto" w:sz="4" w:space="0"/>
                  </w:tcBorders>
                  <w:noWrap w:val="0"/>
                  <w:vAlign w:val="center"/>
                </w:tcPr>
                <w:p w14:paraId="650BB250">
                  <w:pPr>
                    <w:pStyle w:val="101"/>
                    <w:rPr>
                      <w:rFonts w:hint="eastAsia"/>
                      <w:color w:val="auto"/>
                    </w:rPr>
                  </w:pPr>
                  <w:r>
                    <w:rPr>
                      <w:rFonts w:hint="eastAsia"/>
                      <w:color w:val="auto"/>
                    </w:rPr>
                    <w:t>控制风速</w:t>
                  </w:r>
                </w:p>
              </w:tc>
              <w:tc>
                <w:tcPr>
                  <w:tcW w:w="746" w:type="pct"/>
                  <w:tcBorders>
                    <w:bottom w:val="single" w:color="auto" w:sz="4" w:space="0"/>
                  </w:tcBorders>
                  <w:noWrap w:val="0"/>
                  <w:vAlign w:val="center"/>
                </w:tcPr>
                <w:p w14:paraId="6369CC02">
                  <w:pPr>
                    <w:pStyle w:val="101"/>
                    <w:rPr>
                      <w:rFonts w:hint="eastAsia"/>
                      <w:color w:val="auto"/>
                    </w:rPr>
                  </w:pPr>
                  <w:r>
                    <w:rPr>
                      <w:rFonts w:hint="eastAsia"/>
                      <w:color w:val="auto"/>
                    </w:rPr>
                    <w:t>0.</w:t>
                  </w:r>
                  <w:r>
                    <w:rPr>
                      <w:rFonts w:hint="eastAsia"/>
                      <w:color w:val="auto"/>
                      <w:lang w:val="en-US" w:eastAsia="zh-CN"/>
                    </w:rPr>
                    <w:t>2</w:t>
                  </w:r>
                  <w:r>
                    <w:rPr>
                      <w:rFonts w:hint="eastAsia"/>
                      <w:color w:val="auto"/>
                    </w:rPr>
                    <w:t>m</w:t>
                  </w:r>
                </w:p>
              </w:tc>
              <w:tc>
                <w:tcPr>
                  <w:tcW w:w="677" w:type="pct"/>
                  <w:tcBorders>
                    <w:bottom w:val="single" w:color="auto" w:sz="4" w:space="0"/>
                  </w:tcBorders>
                  <w:noWrap w:val="0"/>
                  <w:vAlign w:val="center"/>
                </w:tcPr>
                <w:p w14:paraId="01EC1109">
                  <w:pPr>
                    <w:pStyle w:val="101"/>
                    <w:rPr>
                      <w:color w:val="auto"/>
                    </w:rPr>
                  </w:pPr>
                  <w:r>
                    <w:rPr>
                      <w:rFonts w:hint="eastAsia"/>
                      <w:color w:val="auto"/>
                    </w:rPr>
                    <w:t>1.0m×1.0m</w:t>
                  </w:r>
                </w:p>
              </w:tc>
              <w:tc>
                <w:tcPr>
                  <w:tcW w:w="647" w:type="pct"/>
                  <w:tcBorders>
                    <w:bottom w:val="single" w:color="auto" w:sz="4" w:space="0"/>
                  </w:tcBorders>
                  <w:noWrap w:val="0"/>
                  <w:vAlign w:val="center"/>
                </w:tcPr>
                <w:p w14:paraId="688BD5AE">
                  <w:pPr>
                    <w:pStyle w:val="101"/>
                    <w:rPr>
                      <w:rFonts w:hint="eastAsia"/>
                      <w:color w:val="auto"/>
                    </w:rPr>
                  </w:pPr>
                  <w:r>
                    <w:rPr>
                      <w:rFonts w:hint="eastAsia"/>
                      <w:color w:val="auto"/>
                    </w:rPr>
                    <w:t>0.</w:t>
                  </w:r>
                  <w:r>
                    <w:rPr>
                      <w:rFonts w:hint="eastAsia"/>
                      <w:color w:val="auto"/>
                      <w:lang w:val="en-US" w:eastAsia="zh-CN"/>
                    </w:rPr>
                    <w:t>5</w:t>
                  </w:r>
                  <w:r>
                    <w:rPr>
                      <w:rFonts w:hint="eastAsia"/>
                      <w:color w:val="auto"/>
                    </w:rPr>
                    <w:t>m/s</w:t>
                  </w:r>
                </w:p>
              </w:tc>
              <w:tc>
                <w:tcPr>
                  <w:tcW w:w="499" w:type="pct"/>
                  <w:tcBorders>
                    <w:bottom w:val="single" w:color="auto" w:sz="4" w:space="0"/>
                  </w:tcBorders>
                  <w:noWrap w:val="0"/>
                  <w:vAlign w:val="center"/>
                </w:tcPr>
                <w:p w14:paraId="016C6538">
                  <w:pPr>
                    <w:pStyle w:val="101"/>
                    <w:rPr>
                      <w:rFonts w:hint="eastAsia"/>
                      <w:color w:val="auto"/>
                    </w:rPr>
                  </w:pPr>
                  <w:r>
                    <w:rPr>
                      <w:rFonts w:hint="eastAsia"/>
                      <w:color w:val="auto"/>
                      <w:lang w:val="en-US" w:eastAsia="zh-CN"/>
                    </w:rPr>
                    <w:t>4</w:t>
                  </w:r>
                  <w:r>
                    <w:rPr>
                      <w:rFonts w:hint="eastAsia"/>
                      <w:color w:val="auto"/>
                    </w:rPr>
                    <w:t>台</w:t>
                  </w:r>
                </w:p>
              </w:tc>
              <w:tc>
                <w:tcPr>
                  <w:tcW w:w="664" w:type="pct"/>
                  <w:tcBorders>
                    <w:bottom w:val="single" w:color="auto" w:sz="4" w:space="0"/>
                  </w:tcBorders>
                  <w:noWrap w:val="0"/>
                  <w:vAlign w:val="center"/>
                </w:tcPr>
                <w:p w14:paraId="3CEE2DE9">
                  <w:pPr>
                    <w:pStyle w:val="101"/>
                    <w:rPr>
                      <w:rFonts w:hint="eastAsia"/>
                      <w:color w:val="auto"/>
                    </w:rPr>
                  </w:pPr>
                  <w:r>
                    <w:rPr>
                      <w:rFonts w:hint="eastAsia"/>
                      <w:color w:val="auto"/>
                    </w:rPr>
                    <w:t xml:space="preserve"> </w:t>
                  </w:r>
                  <w:r>
                    <w:rPr>
                      <w:rFonts w:hint="eastAsia"/>
                      <w:color w:val="auto"/>
                      <w:lang w:val="en-US" w:eastAsia="zh-CN"/>
                    </w:rPr>
                    <w:t>1890</w:t>
                  </w:r>
                  <w:r>
                    <w:rPr>
                      <w:rFonts w:hint="eastAsia"/>
                      <w:color w:val="auto"/>
                    </w:rPr>
                    <w:t>m</w:t>
                  </w:r>
                  <w:r>
                    <w:rPr>
                      <w:rFonts w:hint="eastAsia"/>
                      <w:color w:val="auto"/>
                      <w:vertAlign w:val="superscript"/>
                    </w:rPr>
                    <w:t>3</w:t>
                  </w:r>
                  <w:r>
                    <w:rPr>
                      <w:rFonts w:hint="eastAsia"/>
                      <w:color w:val="auto"/>
                    </w:rPr>
                    <w:t>/h</w:t>
                  </w:r>
                </w:p>
              </w:tc>
            </w:tr>
            <w:tr w14:paraId="17455254">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73" w:hRule="atLeast"/>
                <w:jc w:val="center"/>
              </w:trPr>
              <w:tc>
                <w:tcPr>
                  <w:tcW w:w="681" w:type="pct"/>
                  <w:tcBorders>
                    <w:top w:val="single" w:color="auto" w:sz="4" w:space="0"/>
                    <w:bottom w:val="single" w:color="auto" w:sz="4" w:space="0"/>
                  </w:tcBorders>
                  <w:noWrap w:val="0"/>
                  <w:vAlign w:val="center"/>
                </w:tcPr>
                <w:p w14:paraId="4A3E24D7">
                  <w:pPr>
                    <w:pStyle w:val="101"/>
                    <w:rPr>
                      <w:rFonts w:hint="default"/>
                      <w:color w:val="auto"/>
                      <w:lang w:val="en-US" w:eastAsia="zh-CN"/>
                    </w:rPr>
                  </w:pPr>
                  <w:r>
                    <w:rPr>
                      <w:rFonts w:hint="eastAsia"/>
                      <w:color w:val="auto"/>
                      <w:lang w:val="en-US" w:eastAsia="zh-CN"/>
                    </w:rPr>
                    <w:t>丝印机</w:t>
                  </w:r>
                </w:p>
              </w:tc>
              <w:tc>
                <w:tcPr>
                  <w:tcW w:w="581" w:type="pct"/>
                  <w:tcBorders>
                    <w:top w:val="single" w:color="auto" w:sz="4" w:space="0"/>
                    <w:bottom w:val="single" w:color="auto" w:sz="4" w:space="0"/>
                  </w:tcBorders>
                  <w:noWrap w:val="0"/>
                  <w:vAlign w:val="center"/>
                </w:tcPr>
                <w:p w14:paraId="75C2D1C7">
                  <w:pPr>
                    <w:pStyle w:val="101"/>
                    <w:rPr>
                      <w:rFonts w:hint="eastAsia"/>
                      <w:color w:val="auto"/>
                    </w:rPr>
                  </w:pPr>
                  <w:r>
                    <w:rPr>
                      <w:rFonts w:hint="eastAsia"/>
                      <w:color w:val="auto"/>
                    </w:rPr>
                    <w:t>集气罩</w:t>
                  </w:r>
                </w:p>
              </w:tc>
              <w:tc>
                <w:tcPr>
                  <w:tcW w:w="502" w:type="pct"/>
                  <w:tcBorders>
                    <w:top w:val="single" w:color="auto" w:sz="4" w:space="0"/>
                    <w:bottom w:val="single" w:color="auto" w:sz="4" w:space="0"/>
                  </w:tcBorders>
                  <w:noWrap w:val="0"/>
                  <w:vAlign w:val="center"/>
                </w:tcPr>
                <w:p w14:paraId="27881BF6">
                  <w:pPr>
                    <w:pStyle w:val="101"/>
                    <w:rPr>
                      <w:rFonts w:hint="eastAsia"/>
                      <w:color w:val="auto"/>
                    </w:rPr>
                  </w:pPr>
                  <w:r>
                    <w:rPr>
                      <w:rFonts w:hint="eastAsia"/>
                      <w:color w:val="auto"/>
                    </w:rPr>
                    <w:t>控制风速</w:t>
                  </w:r>
                </w:p>
              </w:tc>
              <w:tc>
                <w:tcPr>
                  <w:tcW w:w="746" w:type="pct"/>
                  <w:tcBorders>
                    <w:top w:val="single" w:color="auto" w:sz="4" w:space="0"/>
                    <w:bottom w:val="single" w:color="auto" w:sz="4" w:space="0"/>
                  </w:tcBorders>
                  <w:noWrap w:val="0"/>
                  <w:vAlign w:val="center"/>
                </w:tcPr>
                <w:p w14:paraId="1A2D5FBA">
                  <w:pPr>
                    <w:pStyle w:val="101"/>
                    <w:rPr>
                      <w:rFonts w:hint="eastAsia"/>
                      <w:color w:val="auto"/>
                    </w:rPr>
                  </w:pPr>
                  <w:r>
                    <w:rPr>
                      <w:rFonts w:hint="eastAsia"/>
                      <w:color w:val="auto"/>
                    </w:rPr>
                    <w:t>0.</w:t>
                  </w:r>
                  <w:r>
                    <w:rPr>
                      <w:rFonts w:hint="eastAsia"/>
                      <w:color w:val="auto"/>
                      <w:lang w:val="en-US" w:eastAsia="zh-CN"/>
                    </w:rPr>
                    <w:t>2</w:t>
                  </w:r>
                  <w:r>
                    <w:rPr>
                      <w:rFonts w:hint="eastAsia"/>
                      <w:color w:val="auto"/>
                    </w:rPr>
                    <w:t>m</w:t>
                  </w:r>
                </w:p>
              </w:tc>
              <w:tc>
                <w:tcPr>
                  <w:tcW w:w="1122" w:type="dxa"/>
                  <w:tcBorders>
                    <w:top w:val="single" w:color="auto" w:sz="4" w:space="0"/>
                    <w:bottom w:val="single" w:color="auto" w:sz="4" w:space="0"/>
                  </w:tcBorders>
                  <w:noWrap w:val="0"/>
                  <w:vAlign w:val="center"/>
                </w:tcPr>
                <w:p w14:paraId="13E84B98">
                  <w:pPr>
                    <w:pStyle w:val="101"/>
                    <w:rPr>
                      <w:rFonts w:hint="eastAsia"/>
                      <w:color w:val="auto"/>
                    </w:rPr>
                  </w:pPr>
                  <w:r>
                    <w:rPr>
                      <w:rFonts w:hint="eastAsia"/>
                      <w:color w:val="auto"/>
                      <w:lang w:val="en-US" w:eastAsia="zh-CN"/>
                    </w:rPr>
                    <w:t>0.8</w:t>
                  </w:r>
                  <w:r>
                    <w:rPr>
                      <w:rFonts w:hint="eastAsia"/>
                      <w:color w:val="auto"/>
                    </w:rPr>
                    <w:t>m×</w:t>
                  </w:r>
                  <w:r>
                    <w:rPr>
                      <w:rFonts w:hint="eastAsia"/>
                      <w:color w:val="auto"/>
                      <w:lang w:val="en-US" w:eastAsia="zh-CN"/>
                    </w:rPr>
                    <w:t>0.5</w:t>
                  </w:r>
                  <w:r>
                    <w:rPr>
                      <w:rFonts w:hint="eastAsia"/>
                      <w:color w:val="auto"/>
                    </w:rPr>
                    <w:t>m</w:t>
                  </w:r>
                </w:p>
              </w:tc>
              <w:tc>
                <w:tcPr>
                  <w:tcW w:w="1072" w:type="dxa"/>
                  <w:tcBorders>
                    <w:top w:val="single" w:color="auto" w:sz="4" w:space="0"/>
                    <w:bottom w:val="single" w:color="auto" w:sz="4" w:space="0"/>
                  </w:tcBorders>
                  <w:noWrap w:val="0"/>
                  <w:vAlign w:val="center"/>
                </w:tcPr>
                <w:p w14:paraId="32A4BDE9">
                  <w:pPr>
                    <w:pStyle w:val="101"/>
                    <w:rPr>
                      <w:rFonts w:hint="eastAsia"/>
                      <w:color w:val="auto"/>
                    </w:rPr>
                  </w:pPr>
                  <w:r>
                    <w:rPr>
                      <w:rFonts w:hint="eastAsia"/>
                      <w:color w:val="auto"/>
                    </w:rPr>
                    <w:t>0.</w:t>
                  </w:r>
                  <w:r>
                    <w:rPr>
                      <w:rFonts w:hint="eastAsia"/>
                      <w:color w:val="auto"/>
                      <w:lang w:val="en-US" w:eastAsia="zh-CN"/>
                    </w:rPr>
                    <w:t>5</w:t>
                  </w:r>
                  <w:r>
                    <w:rPr>
                      <w:rFonts w:hint="eastAsia"/>
                      <w:color w:val="auto"/>
                    </w:rPr>
                    <w:t>m/s</w:t>
                  </w:r>
                </w:p>
              </w:tc>
              <w:tc>
                <w:tcPr>
                  <w:tcW w:w="499" w:type="pct"/>
                  <w:tcBorders>
                    <w:top w:val="single" w:color="auto" w:sz="4" w:space="0"/>
                    <w:bottom w:val="single" w:color="auto" w:sz="4" w:space="0"/>
                  </w:tcBorders>
                  <w:noWrap w:val="0"/>
                  <w:vAlign w:val="center"/>
                </w:tcPr>
                <w:p w14:paraId="14AEA4D9">
                  <w:pPr>
                    <w:pStyle w:val="101"/>
                    <w:rPr>
                      <w:rFonts w:hint="eastAsia"/>
                      <w:color w:val="auto"/>
                      <w:lang w:val="en-US" w:eastAsia="zh-CN"/>
                    </w:rPr>
                  </w:pPr>
                  <w:r>
                    <w:rPr>
                      <w:rFonts w:hint="eastAsia"/>
                      <w:color w:val="auto"/>
                      <w:lang w:val="en-US" w:eastAsia="zh-CN"/>
                    </w:rPr>
                    <w:t>1</w:t>
                  </w:r>
                  <w:r>
                    <w:rPr>
                      <w:rFonts w:hint="eastAsia"/>
                      <w:color w:val="auto"/>
                    </w:rPr>
                    <w:t>台</w:t>
                  </w:r>
                </w:p>
              </w:tc>
              <w:tc>
                <w:tcPr>
                  <w:tcW w:w="664" w:type="pct"/>
                  <w:tcBorders>
                    <w:top w:val="single" w:color="auto" w:sz="4" w:space="0"/>
                    <w:bottom w:val="single" w:color="auto" w:sz="4" w:space="0"/>
                  </w:tcBorders>
                  <w:noWrap w:val="0"/>
                  <w:vAlign w:val="center"/>
                </w:tcPr>
                <w:p w14:paraId="38DF991D">
                  <w:pPr>
                    <w:pStyle w:val="101"/>
                    <w:rPr>
                      <w:rFonts w:hint="eastAsia"/>
                      <w:color w:val="auto"/>
                    </w:rPr>
                  </w:pPr>
                  <w:r>
                    <w:rPr>
                      <w:rFonts w:hint="eastAsia"/>
                      <w:color w:val="auto"/>
                    </w:rPr>
                    <w:t xml:space="preserve"> </w:t>
                  </w:r>
                  <w:r>
                    <w:rPr>
                      <w:rFonts w:hint="eastAsia"/>
                      <w:color w:val="auto"/>
                      <w:lang w:val="en-US" w:eastAsia="zh-CN"/>
                    </w:rPr>
                    <w:t>1080</w:t>
                  </w:r>
                  <w:r>
                    <w:rPr>
                      <w:rFonts w:hint="eastAsia"/>
                      <w:color w:val="auto"/>
                    </w:rPr>
                    <w:t>m</w:t>
                  </w:r>
                  <w:r>
                    <w:rPr>
                      <w:rFonts w:hint="eastAsia"/>
                      <w:color w:val="auto"/>
                      <w:vertAlign w:val="superscript"/>
                    </w:rPr>
                    <w:t>3</w:t>
                  </w:r>
                  <w:r>
                    <w:rPr>
                      <w:rFonts w:hint="eastAsia"/>
                      <w:color w:val="auto"/>
                    </w:rPr>
                    <w:t>/h</w:t>
                  </w:r>
                </w:p>
              </w:tc>
            </w:tr>
            <w:tr w14:paraId="3E7F6901">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72" w:hRule="atLeast"/>
                <w:jc w:val="center"/>
              </w:trPr>
              <w:tc>
                <w:tcPr>
                  <w:tcW w:w="681" w:type="pct"/>
                  <w:tcBorders>
                    <w:top w:val="single" w:color="auto" w:sz="4" w:space="0"/>
                    <w:bottom w:val="single" w:color="auto" w:sz="4" w:space="0"/>
                  </w:tcBorders>
                  <w:noWrap w:val="0"/>
                  <w:vAlign w:val="center"/>
                </w:tcPr>
                <w:p w14:paraId="0FFF0287">
                  <w:pPr>
                    <w:pStyle w:val="101"/>
                    <w:rPr>
                      <w:rFonts w:hint="eastAsia"/>
                      <w:color w:val="auto"/>
                    </w:rPr>
                  </w:pPr>
                  <w:r>
                    <w:rPr>
                      <w:rFonts w:hint="eastAsia"/>
                      <w:color w:val="auto"/>
                      <w:lang w:val="en-US" w:eastAsia="zh-CN"/>
                    </w:rPr>
                    <w:t>过胶机</w:t>
                  </w:r>
                </w:p>
              </w:tc>
              <w:tc>
                <w:tcPr>
                  <w:tcW w:w="581" w:type="pct"/>
                  <w:tcBorders>
                    <w:top w:val="single" w:color="auto" w:sz="4" w:space="0"/>
                    <w:bottom w:val="single" w:color="auto" w:sz="4" w:space="0"/>
                  </w:tcBorders>
                  <w:noWrap w:val="0"/>
                  <w:vAlign w:val="center"/>
                </w:tcPr>
                <w:p w14:paraId="181FD7D3">
                  <w:pPr>
                    <w:pStyle w:val="101"/>
                    <w:rPr>
                      <w:rFonts w:hint="eastAsia"/>
                      <w:color w:val="auto"/>
                    </w:rPr>
                  </w:pPr>
                  <w:r>
                    <w:rPr>
                      <w:rFonts w:hint="eastAsia"/>
                      <w:color w:val="auto"/>
                    </w:rPr>
                    <w:t>集气罩</w:t>
                  </w:r>
                </w:p>
              </w:tc>
              <w:tc>
                <w:tcPr>
                  <w:tcW w:w="502" w:type="pct"/>
                  <w:tcBorders>
                    <w:top w:val="single" w:color="auto" w:sz="4" w:space="0"/>
                    <w:bottom w:val="single" w:color="auto" w:sz="4" w:space="0"/>
                  </w:tcBorders>
                  <w:noWrap w:val="0"/>
                  <w:vAlign w:val="center"/>
                </w:tcPr>
                <w:p w14:paraId="572786EB">
                  <w:pPr>
                    <w:pStyle w:val="101"/>
                    <w:rPr>
                      <w:rFonts w:hint="eastAsia"/>
                      <w:color w:val="auto"/>
                    </w:rPr>
                  </w:pPr>
                  <w:r>
                    <w:rPr>
                      <w:rFonts w:hint="eastAsia"/>
                      <w:color w:val="auto"/>
                    </w:rPr>
                    <w:t>控制风速</w:t>
                  </w:r>
                </w:p>
              </w:tc>
              <w:tc>
                <w:tcPr>
                  <w:tcW w:w="746" w:type="pct"/>
                  <w:tcBorders>
                    <w:top w:val="single" w:color="auto" w:sz="4" w:space="0"/>
                    <w:bottom w:val="single" w:color="auto" w:sz="4" w:space="0"/>
                  </w:tcBorders>
                  <w:noWrap w:val="0"/>
                  <w:vAlign w:val="center"/>
                </w:tcPr>
                <w:p w14:paraId="6AA4E1EB">
                  <w:pPr>
                    <w:pStyle w:val="101"/>
                    <w:rPr>
                      <w:rFonts w:hint="eastAsia"/>
                      <w:color w:val="auto"/>
                    </w:rPr>
                  </w:pPr>
                  <w:r>
                    <w:rPr>
                      <w:rFonts w:hint="eastAsia"/>
                      <w:color w:val="auto"/>
                    </w:rPr>
                    <w:t>0.</w:t>
                  </w:r>
                  <w:r>
                    <w:rPr>
                      <w:rFonts w:hint="eastAsia"/>
                      <w:color w:val="auto"/>
                      <w:lang w:val="en-US" w:eastAsia="zh-CN"/>
                    </w:rPr>
                    <w:t>2</w:t>
                  </w:r>
                  <w:r>
                    <w:rPr>
                      <w:rFonts w:hint="eastAsia"/>
                      <w:color w:val="auto"/>
                    </w:rPr>
                    <w:t>m</w:t>
                  </w:r>
                </w:p>
              </w:tc>
              <w:tc>
                <w:tcPr>
                  <w:tcW w:w="677" w:type="pct"/>
                  <w:tcBorders>
                    <w:top w:val="single" w:color="auto" w:sz="4" w:space="0"/>
                    <w:bottom w:val="single" w:color="auto" w:sz="4" w:space="0"/>
                  </w:tcBorders>
                  <w:noWrap w:val="0"/>
                  <w:vAlign w:val="center"/>
                </w:tcPr>
                <w:p w14:paraId="0DAC6C4D">
                  <w:pPr>
                    <w:pStyle w:val="101"/>
                    <w:rPr>
                      <w:rFonts w:hint="eastAsia"/>
                      <w:color w:val="auto"/>
                    </w:rPr>
                  </w:pPr>
                  <w:r>
                    <w:rPr>
                      <w:rFonts w:hint="eastAsia"/>
                      <w:color w:val="auto"/>
                      <w:lang w:val="en-US" w:eastAsia="zh-CN"/>
                    </w:rPr>
                    <w:t>0.8</w:t>
                  </w:r>
                  <w:r>
                    <w:rPr>
                      <w:rFonts w:hint="eastAsia"/>
                      <w:color w:val="auto"/>
                    </w:rPr>
                    <w:t>m×</w:t>
                  </w:r>
                  <w:r>
                    <w:rPr>
                      <w:rFonts w:hint="eastAsia"/>
                      <w:color w:val="auto"/>
                      <w:lang w:val="en-US" w:eastAsia="zh-CN"/>
                    </w:rPr>
                    <w:t>0.5</w:t>
                  </w:r>
                  <w:r>
                    <w:rPr>
                      <w:rFonts w:hint="eastAsia"/>
                      <w:color w:val="auto"/>
                    </w:rPr>
                    <w:t>m</w:t>
                  </w:r>
                </w:p>
              </w:tc>
              <w:tc>
                <w:tcPr>
                  <w:tcW w:w="647" w:type="pct"/>
                  <w:tcBorders>
                    <w:top w:val="single" w:color="auto" w:sz="4" w:space="0"/>
                    <w:bottom w:val="single" w:color="auto" w:sz="4" w:space="0"/>
                  </w:tcBorders>
                  <w:noWrap w:val="0"/>
                  <w:vAlign w:val="center"/>
                </w:tcPr>
                <w:p w14:paraId="202BDA1B">
                  <w:pPr>
                    <w:pStyle w:val="101"/>
                    <w:rPr>
                      <w:rFonts w:hint="eastAsia"/>
                      <w:color w:val="auto"/>
                    </w:rPr>
                  </w:pPr>
                  <w:r>
                    <w:rPr>
                      <w:rFonts w:hint="eastAsia"/>
                      <w:color w:val="auto"/>
                    </w:rPr>
                    <w:t>0.</w:t>
                  </w:r>
                  <w:r>
                    <w:rPr>
                      <w:rFonts w:hint="eastAsia"/>
                      <w:color w:val="auto"/>
                      <w:lang w:val="en-US" w:eastAsia="zh-CN"/>
                    </w:rPr>
                    <w:t>5</w:t>
                  </w:r>
                  <w:r>
                    <w:rPr>
                      <w:rFonts w:hint="eastAsia"/>
                      <w:color w:val="auto"/>
                    </w:rPr>
                    <w:t>m/s</w:t>
                  </w:r>
                </w:p>
              </w:tc>
              <w:tc>
                <w:tcPr>
                  <w:tcW w:w="499" w:type="pct"/>
                  <w:tcBorders>
                    <w:top w:val="single" w:color="auto" w:sz="4" w:space="0"/>
                    <w:bottom w:val="single" w:color="auto" w:sz="4" w:space="0"/>
                  </w:tcBorders>
                  <w:noWrap w:val="0"/>
                  <w:vAlign w:val="center"/>
                </w:tcPr>
                <w:p w14:paraId="01046E74">
                  <w:pPr>
                    <w:pStyle w:val="101"/>
                    <w:rPr>
                      <w:rFonts w:hint="eastAsia"/>
                      <w:color w:val="auto"/>
                    </w:rPr>
                  </w:pPr>
                  <w:r>
                    <w:rPr>
                      <w:rFonts w:hint="eastAsia"/>
                      <w:color w:val="auto"/>
                      <w:lang w:val="en-US" w:eastAsia="zh-CN"/>
                    </w:rPr>
                    <w:t>3</w:t>
                  </w:r>
                  <w:r>
                    <w:rPr>
                      <w:rFonts w:hint="eastAsia"/>
                      <w:color w:val="auto"/>
                    </w:rPr>
                    <w:t>台</w:t>
                  </w:r>
                </w:p>
              </w:tc>
              <w:tc>
                <w:tcPr>
                  <w:tcW w:w="664" w:type="pct"/>
                  <w:tcBorders>
                    <w:top w:val="single" w:color="auto" w:sz="4" w:space="0"/>
                    <w:bottom w:val="single" w:color="auto" w:sz="4" w:space="0"/>
                  </w:tcBorders>
                  <w:noWrap w:val="0"/>
                  <w:vAlign w:val="center"/>
                </w:tcPr>
                <w:p w14:paraId="25B2CDBB">
                  <w:pPr>
                    <w:pStyle w:val="101"/>
                    <w:rPr>
                      <w:rFonts w:hint="eastAsia"/>
                      <w:color w:val="auto"/>
                    </w:rPr>
                  </w:pPr>
                  <w:r>
                    <w:rPr>
                      <w:rFonts w:hint="eastAsia"/>
                      <w:color w:val="auto"/>
                      <w:lang w:val="en-US" w:eastAsia="zh-CN"/>
                    </w:rPr>
                    <w:t>3240</w:t>
                  </w:r>
                  <w:r>
                    <w:rPr>
                      <w:rFonts w:hint="eastAsia"/>
                      <w:color w:val="auto"/>
                    </w:rPr>
                    <w:t xml:space="preserve"> m</w:t>
                  </w:r>
                  <w:r>
                    <w:rPr>
                      <w:rFonts w:hint="eastAsia"/>
                      <w:color w:val="auto"/>
                      <w:vertAlign w:val="superscript"/>
                    </w:rPr>
                    <w:t>3</w:t>
                  </w:r>
                  <w:r>
                    <w:rPr>
                      <w:rFonts w:hint="eastAsia"/>
                      <w:color w:val="auto"/>
                    </w:rPr>
                    <w:t>/h</w:t>
                  </w:r>
                </w:p>
              </w:tc>
            </w:tr>
            <w:tr w14:paraId="341325EC">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57" w:hRule="atLeast"/>
                <w:jc w:val="center"/>
              </w:trPr>
              <w:tc>
                <w:tcPr>
                  <w:tcW w:w="681" w:type="pct"/>
                  <w:tcBorders>
                    <w:top w:val="single" w:color="auto" w:sz="4" w:space="0"/>
                    <w:bottom w:val="single" w:color="auto" w:sz="4" w:space="0"/>
                  </w:tcBorders>
                  <w:noWrap w:val="0"/>
                  <w:vAlign w:val="center"/>
                </w:tcPr>
                <w:p w14:paraId="05176F88">
                  <w:pPr>
                    <w:pStyle w:val="101"/>
                    <w:rPr>
                      <w:rFonts w:hint="eastAsia"/>
                      <w:color w:val="auto"/>
                    </w:rPr>
                  </w:pPr>
                  <w:r>
                    <w:rPr>
                      <w:rFonts w:hint="eastAsia"/>
                      <w:color w:val="auto"/>
                      <w:lang w:val="en-US" w:eastAsia="zh-CN"/>
                    </w:rPr>
                    <w:t>烫金机</w:t>
                  </w:r>
                </w:p>
              </w:tc>
              <w:tc>
                <w:tcPr>
                  <w:tcW w:w="963" w:type="dxa"/>
                  <w:tcBorders>
                    <w:top w:val="single" w:color="auto" w:sz="4" w:space="0"/>
                    <w:bottom w:val="single" w:color="auto" w:sz="4" w:space="0"/>
                  </w:tcBorders>
                  <w:noWrap w:val="0"/>
                  <w:vAlign w:val="center"/>
                </w:tcPr>
                <w:p w14:paraId="31342BC4">
                  <w:pPr>
                    <w:pStyle w:val="101"/>
                    <w:rPr>
                      <w:rFonts w:hint="eastAsia"/>
                      <w:color w:val="auto"/>
                    </w:rPr>
                  </w:pPr>
                  <w:r>
                    <w:rPr>
                      <w:rFonts w:hint="eastAsia"/>
                      <w:color w:val="auto"/>
                    </w:rPr>
                    <w:t>集气罩</w:t>
                  </w:r>
                </w:p>
              </w:tc>
              <w:tc>
                <w:tcPr>
                  <w:tcW w:w="832" w:type="dxa"/>
                  <w:tcBorders>
                    <w:top w:val="single" w:color="auto" w:sz="4" w:space="0"/>
                    <w:bottom w:val="single" w:color="auto" w:sz="4" w:space="0"/>
                  </w:tcBorders>
                  <w:noWrap w:val="0"/>
                  <w:vAlign w:val="center"/>
                </w:tcPr>
                <w:p w14:paraId="1BD21D30">
                  <w:pPr>
                    <w:pStyle w:val="101"/>
                    <w:rPr>
                      <w:rFonts w:hint="eastAsia"/>
                      <w:color w:val="auto"/>
                    </w:rPr>
                  </w:pPr>
                  <w:r>
                    <w:rPr>
                      <w:rFonts w:hint="eastAsia"/>
                      <w:color w:val="auto"/>
                    </w:rPr>
                    <w:t>控制风速</w:t>
                  </w:r>
                </w:p>
              </w:tc>
              <w:tc>
                <w:tcPr>
                  <w:tcW w:w="1236" w:type="dxa"/>
                  <w:tcBorders>
                    <w:top w:val="single" w:color="auto" w:sz="4" w:space="0"/>
                    <w:bottom w:val="single" w:color="auto" w:sz="4" w:space="0"/>
                  </w:tcBorders>
                  <w:noWrap w:val="0"/>
                  <w:vAlign w:val="center"/>
                </w:tcPr>
                <w:p w14:paraId="3D82472F">
                  <w:pPr>
                    <w:pStyle w:val="101"/>
                    <w:rPr>
                      <w:rFonts w:hint="eastAsia"/>
                      <w:color w:val="auto"/>
                    </w:rPr>
                  </w:pPr>
                  <w:r>
                    <w:rPr>
                      <w:rFonts w:hint="eastAsia"/>
                      <w:color w:val="auto"/>
                    </w:rPr>
                    <w:t>0.</w:t>
                  </w:r>
                  <w:r>
                    <w:rPr>
                      <w:rFonts w:hint="eastAsia"/>
                      <w:color w:val="auto"/>
                      <w:lang w:val="en-US" w:eastAsia="zh-CN"/>
                    </w:rPr>
                    <w:t>2</w:t>
                  </w:r>
                  <w:r>
                    <w:rPr>
                      <w:rFonts w:hint="eastAsia"/>
                      <w:color w:val="auto"/>
                    </w:rPr>
                    <w:t>m</w:t>
                  </w:r>
                </w:p>
              </w:tc>
              <w:tc>
                <w:tcPr>
                  <w:tcW w:w="1122" w:type="dxa"/>
                  <w:tcBorders>
                    <w:top w:val="single" w:color="auto" w:sz="4" w:space="0"/>
                    <w:bottom w:val="single" w:color="auto" w:sz="4" w:space="0"/>
                  </w:tcBorders>
                  <w:noWrap w:val="0"/>
                  <w:vAlign w:val="center"/>
                </w:tcPr>
                <w:p w14:paraId="7B0A6A6C">
                  <w:pPr>
                    <w:pStyle w:val="101"/>
                    <w:rPr>
                      <w:rFonts w:hint="eastAsia"/>
                      <w:color w:val="auto"/>
                    </w:rPr>
                  </w:pPr>
                  <w:r>
                    <w:rPr>
                      <w:rFonts w:hint="eastAsia"/>
                      <w:color w:val="auto"/>
                      <w:lang w:val="en-US" w:eastAsia="zh-CN"/>
                    </w:rPr>
                    <w:t>0.6</w:t>
                  </w:r>
                  <w:r>
                    <w:rPr>
                      <w:rFonts w:hint="eastAsia"/>
                      <w:color w:val="auto"/>
                    </w:rPr>
                    <w:t>m×0.</w:t>
                  </w:r>
                  <w:r>
                    <w:rPr>
                      <w:rFonts w:hint="eastAsia"/>
                      <w:color w:val="auto"/>
                      <w:lang w:val="en-US" w:eastAsia="zh-CN"/>
                    </w:rPr>
                    <w:t>6</w:t>
                  </w:r>
                  <w:r>
                    <w:rPr>
                      <w:rFonts w:hint="eastAsia"/>
                      <w:color w:val="auto"/>
                    </w:rPr>
                    <w:t>m</w:t>
                  </w:r>
                </w:p>
              </w:tc>
              <w:tc>
                <w:tcPr>
                  <w:tcW w:w="1072" w:type="dxa"/>
                  <w:tcBorders>
                    <w:top w:val="single" w:color="auto" w:sz="4" w:space="0"/>
                    <w:bottom w:val="single" w:color="auto" w:sz="4" w:space="0"/>
                  </w:tcBorders>
                  <w:noWrap w:val="0"/>
                  <w:vAlign w:val="center"/>
                </w:tcPr>
                <w:p w14:paraId="1E494568">
                  <w:pPr>
                    <w:pStyle w:val="101"/>
                    <w:rPr>
                      <w:rFonts w:hint="eastAsia"/>
                      <w:color w:val="auto"/>
                    </w:rPr>
                  </w:pPr>
                  <w:r>
                    <w:rPr>
                      <w:rFonts w:hint="eastAsia"/>
                      <w:color w:val="auto"/>
                    </w:rPr>
                    <w:t>0.</w:t>
                  </w:r>
                  <w:r>
                    <w:rPr>
                      <w:rFonts w:hint="eastAsia"/>
                      <w:color w:val="auto"/>
                      <w:lang w:val="en-US" w:eastAsia="zh-CN"/>
                    </w:rPr>
                    <w:t>5</w:t>
                  </w:r>
                  <w:r>
                    <w:rPr>
                      <w:rFonts w:hint="eastAsia"/>
                      <w:color w:val="auto"/>
                    </w:rPr>
                    <w:t>m/s</w:t>
                  </w:r>
                </w:p>
              </w:tc>
              <w:tc>
                <w:tcPr>
                  <w:tcW w:w="830" w:type="dxa"/>
                  <w:tcBorders>
                    <w:top w:val="single" w:color="auto" w:sz="4" w:space="0"/>
                    <w:bottom w:val="single" w:color="auto" w:sz="4" w:space="0"/>
                  </w:tcBorders>
                  <w:noWrap w:val="0"/>
                  <w:vAlign w:val="center"/>
                </w:tcPr>
                <w:p w14:paraId="1BCF0595">
                  <w:pPr>
                    <w:pStyle w:val="101"/>
                    <w:rPr>
                      <w:rFonts w:hint="eastAsia"/>
                      <w:color w:val="auto"/>
                    </w:rPr>
                  </w:pPr>
                  <w:r>
                    <w:rPr>
                      <w:rFonts w:hint="eastAsia"/>
                      <w:color w:val="auto"/>
                      <w:lang w:val="en-US" w:eastAsia="zh-CN"/>
                    </w:rPr>
                    <w:t>7</w:t>
                  </w:r>
                  <w:r>
                    <w:rPr>
                      <w:rFonts w:hint="eastAsia"/>
                      <w:color w:val="auto"/>
                    </w:rPr>
                    <w:t>台</w:t>
                  </w:r>
                </w:p>
              </w:tc>
              <w:tc>
                <w:tcPr>
                  <w:tcW w:w="1100" w:type="dxa"/>
                  <w:tcBorders>
                    <w:top w:val="single" w:color="auto" w:sz="4" w:space="0"/>
                    <w:bottom w:val="single" w:color="auto" w:sz="4" w:space="0"/>
                  </w:tcBorders>
                  <w:noWrap w:val="0"/>
                  <w:vAlign w:val="center"/>
                </w:tcPr>
                <w:p w14:paraId="698FE997">
                  <w:pPr>
                    <w:pStyle w:val="101"/>
                    <w:rPr>
                      <w:rFonts w:hint="eastAsia"/>
                      <w:color w:val="auto"/>
                    </w:rPr>
                  </w:pPr>
                  <w:r>
                    <w:rPr>
                      <w:rFonts w:hint="eastAsia"/>
                      <w:color w:val="auto"/>
                    </w:rPr>
                    <w:t xml:space="preserve"> </w:t>
                  </w:r>
                  <w:r>
                    <w:rPr>
                      <w:rFonts w:hint="eastAsia"/>
                      <w:color w:val="auto"/>
                      <w:lang w:val="en-US" w:eastAsia="zh-CN"/>
                    </w:rPr>
                    <w:t>7182</w:t>
                  </w:r>
                  <w:r>
                    <w:rPr>
                      <w:rFonts w:hint="eastAsia"/>
                      <w:color w:val="auto"/>
                    </w:rPr>
                    <w:t xml:space="preserve"> m</w:t>
                  </w:r>
                  <w:r>
                    <w:rPr>
                      <w:rFonts w:hint="eastAsia"/>
                      <w:color w:val="auto"/>
                      <w:vertAlign w:val="superscript"/>
                    </w:rPr>
                    <w:t>3</w:t>
                  </w:r>
                  <w:r>
                    <w:rPr>
                      <w:rFonts w:hint="eastAsia"/>
                      <w:color w:val="auto"/>
                    </w:rPr>
                    <w:t>/h</w:t>
                  </w:r>
                </w:p>
              </w:tc>
            </w:tr>
            <w:tr w14:paraId="490F599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4335" w:type="pct"/>
                  <w:gridSpan w:val="7"/>
                  <w:tcBorders>
                    <w:top w:val="single" w:color="auto" w:sz="4" w:space="0"/>
                    <w:left w:val="nil"/>
                    <w:bottom w:val="single" w:color="auto" w:sz="4" w:space="0"/>
                  </w:tcBorders>
                  <w:noWrap w:val="0"/>
                  <w:vAlign w:val="center"/>
                </w:tcPr>
                <w:p w14:paraId="66EA5E32">
                  <w:pPr>
                    <w:pStyle w:val="101"/>
                    <w:rPr>
                      <w:rFonts w:hint="default"/>
                      <w:color w:val="auto"/>
                      <w:lang w:val="en-US"/>
                    </w:rPr>
                  </w:pPr>
                  <w:r>
                    <w:rPr>
                      <w:rFonts w:hint="eastAsia"/>
                      <w:color w:val="auto"/>
                      <w:lang w:val="en-US" w:eastAsia="zh-CN"/>
                    </w:rPr>
                    <w:t>合计</w:t>
                  </w:r>
                </w:p>
              </w:tc>
              <w:tc>
                <w:tcPr>
                  <w:tcW w:w="664" w:type="pct"/>
                  <w:tcBorders>
                    <w:top w:val="single" w:color="auto" w:sz="4" w:space="0"/>
                    <w:bottom w:val="single" w:color="auto" w:sz="4" w:space="0"/>
                    <w:right w:val="nil"/>
                  </w:tcBorders>
                  <w:noWrap w:val="0"/>
                  <w:vAlign w:val="center"/>
                </w:tcPr>
                <w:p w14:paraId="0D66CA2D">
                  <w:pPr>
                    <w:pStyle w:val="101"/>
                    <w:rPr>
                      <w:rFonts w:hint="default" w:eastAsia="宋体"/>
                      <w:color w:val="auto"/>
                      <w:lang w:val="en-US" w:eastAsia="zh-CN"/>
                    </w:rPr>
                  </w:pPr>
                  <w:r>
                    <w:rPr>
                      <w:rFonts w:hint="eastAsia"/>
                      <w:color w:val="auto"/>
                      <w:lang w:val="en-US" w:eastAsia="zh-CN"/>
                    </w:rPr>
                    <w:t>23922</w:t>
                  </w:r>
                  <w:r>
                    <w:rPr>
                      <w:rFonts w:hint="eastAsia"/>
                      <w:color w:val="auto"/>
                    </w:rPr>
                    <w:t>m</w:t>
                  </w:r>
                  <w:r>
                    <w:rPr>
                      <w:rFonts w:hint="eastAsia"/>
                      <w:color w:val="auto"/>
                      <w:vertAlign w:val="superscript"/>
                    </w:rPr>
                    <w:t>3</w:t>
                  </w:r>
                  <w:r>
                    <w:rPr>
                      <w:rFonts w:hint="eastAsia"/>
                      <w:color w:val="auto"/>
                    </w:rPr>
                    <w:t>/h</w:t>
                  </w:r>
                </w:p>
              </w:tc>
            </w:tr>
          </w:tbl>
          <w:p w14:paraId="38A240A1">
            <w:pPr>
              <w:spacing w:line="360" w:lineRule="auto"/>
              <w:ind w:firstLine="465"/>
              <w:rPr>
                <w:color w:val="auto"/>
                <w:sz w:val="24"/>
              </w:rPr>
            </w:pPr>
            <w:r>
              <w:rPr>
                <w:rFonts w:hint="eastAsia"/>
                <w:color w:val="auto"/>
                <w:sz w:val="24"/>
                <w:lang w:val="en-US" w:eastAsia="zh-CN"/>
              </w:rPr>
              <w:t>通过核算，1#车间收集风量理论值为23922m</w:t>
            </w:r>
            <w:r>
              <w:rPr>
                <w:rFonts w:hint="eastAsia"/>
                <w:color w:val="auto"/>
                <w:sz w:val="24"/>
                <w:vertAlign w:val="superscript"/>
                <w:lang w:val="en-US" w:eastAsia="zh-CN"/>
              </w:rPr>
              <w:t>3</w:t>
            </w:r>
            <w:r>
              <w:rPr>
                <w:rFonts w:hint="eastAsia"/>
                <w:color w:val="auto"/>
                <w:sz w:val="24"/>
                <w:lang w:val="en-US" w:eastAsia="zh-CN"/>
              </w:rPr>
              <w:t>/h，</w:t>
            </w:r>
            <w:r>
              <w:rPr>
                <w:rFonts w:hint="eastAsia"/>
                <w:color w:val="auto"/>
                <w:sz w:val="24"/>
              </w:rPr>
              <w:t>现有风机风量约为3000</w:t>
            </w:r>
            <w:r>
              <w:rPr>
                <w:rFonts w:hint="eastAsia"/>
                <w:color w:val="auto"/>
                <w:sz w:val="24"/>
                <w:lang w:val="en-US" w:eastAsia="zh-CN"/>
              </w:rPr>
              <w:t>0</w:t>
            </w:r>
            <w:r>
              <w:rPr>
                <w:rFonts w:hint="eastAsia"/>
                <w:color w:val="auto"/>
                <w:sz w:val="24"/>
              </w:rPr>
              <w:t>m</w:t>
            </w:r>
            <w:r>
              <w:rPr>
                <w:rFonts w:hint="eastAsia"/>
                <w:color w:val="auto"/>
                <w:sz w:val="24"/>
                <w:vertAlign w:val="superscript"/>
              </w:rPr>
              <w:t>3</w:t>
            </w:r>
            <w:r>
              <w:rPr>
                <w:rFonts w:hint="eastAsia"/>
                <w:color w:val="auto"/>
                <w:sz w:val="24"/>
              </w:rPr>
              <w:t>/h</w:t>
            </w:r>
            <w:r>
              <w:rPr>
                <w:rFonts w:hint="eastAsia"/>
                <w:color w:val="auto"/>
                <w:sz w:val="24"/>
                <w:lang w:val="en-US" w:eastAsia="zh-CN"/>
              </w:rPr>
              <w:t>合理可行</w:t>
            </w:r>
            <w:r>
              <w:rPr>
                <w:rFonts w:hint="eastAsia"/>
                <w:color w:val="auto"/>
                <w:kern w:val="0"/>
                <w:sz w:val="24"/>
              </w:rPr>
              <w:t>。</w:t>
            </w:r>
          </w:p>
          <w:p w14:paraId="40C0497A">
            <w:pPr>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②</w:t>
            </w:r>
            <w:r>
              <w:rPr>
                <w:rFonts w:hint="eastAsia" w:cs="Times New Roman"/>
                <w:b/>
                <w:color w:val="auto"/>
                <w:sz w:val="24"/>
                <w:lang w:val="en-US" w:eastAsia="zh-CN"/>
              </w:rPr>
              <w:t>2#车间裱糊、粘合有机废气</w:t>
            </w:r>
          </w:p>
          <w:p w14:paraId="599B5595">
            <w:pPr>
              <w:keepNext w:val="0"/>
              <w:keepLines w:val="0"/>
              <w:suppressLineNumbers w:val="0"/>
              <w:autoSpaceDE w:val="0"/>
              <w:autoSpaceDN w:val="0"/>
              <w:adjustRightInd w:val="0"/>
              <w:spacing w:before="0" w:beforeAutospacing="0" w:after="0" w:afterAutospacing="0" w:line="360" w:lineRule="auto"/>
              <w:ind w:right="0" w:firstLine="482" w:firstLineChars="200"/>
              <w:jc w:val="left"/>
              <w:rPr>
                <w:rFonts w:hint="default" w:eastAsia="宋体"/>
                <w:color w:val="auto"/>
                <w:sz w:val="24"/>
                <w:szCs w:val="24"/>
                <w:lang w:val="en-US" w:eastAsia="zh-CN"/>
              </w:rPr>
            </w:pPr>
            <w:r>
              <w:rPr>
                <w:rFonts w:hint="eastAsia"/>
                <w:b/>
                <w:bCs/>
                <w:color w:val="auto"/>
                <w:sz w:val="24"/>
                <w:szCs w:val="24"/>
                <w:lang w:val="en-US" w:eastAsia="zh-CN"/>
              </w:rPr>
              <w:t>来源：</w:t>
            </w:r>
            <w:r>
              <w:rPr>
                <w:rFonts w:hint="eastAsia"/>
                <w:color w:val="auto"/>
                <w:lang w:val="en-US" w:eastAsia="zh-CN"/>
              </w:rPr>
              <w:t>本</w:t>
            </w:r>
            <w:r>
              <w:rPr>
                <w:rFonts w:hint="eastAsia"/>
                <w:color w:val="auto"/>
                <w:sz w:val="24"/>
                <w:szCs w:val="24"/>
                <w:lang w:val="en-US" w:eastAsia="zh-CN"/>
              </w:rPr>
              <w:t>项目印纸</w:t>
            </w:r>
            <w:r>
              <w:rPr>
                <w:rFonts w:hint="eastAsia"/>
                <w:color w:val="auto"/>
                <w:sz w:val="24"/>
                <w:szCs w:val="24"/>
              </w:rPr>
              <w:t>烫金</w:t>
            </w:r>
            <w:r>
              <w:rPr>
                <w:rFonts w:hint="eastAsia"/>
                <w:color w:val="auto"/>
                <w:sz w:val="24"/>
                <w:szCs w:val="24"/>
                <w:lang w:val="en-US" w:eastAsia="zh-CN"/>
              </w:rPr>
              <w:t>模切</w:t>
            </w:r>
            <w:r>
              <w:rPr>
                <w:rFonts w:hint="eastAsia"/>
                <w:color w:val="auto"/>
                <w:sz w:val="24"/>
                <w:szCs w:val="24"/>
              </w:rPr>
              <w:t>过后，在</w:t>
            </w:r>
            <w:r>
              <w:rPr>
                <w:rFonts w:hint="eastAsia"/>
                <w:color w:val="auto"/>
                <w:sz w:val="24"/>
                <w:szCs w:val="24"/>
                <w:highlight w:val="none"/>
                <w:lang w:val="en-US" w:eastAsia="zh-CN"/>
              </w:rPr>
              <w:t>全自动</w:t>
            </w:r>
            <w:r>
              <w:rPr>
                <w:rFonts w:hint="eastAsia"/>
                <w:color w:val="auto"/>
                <w:sz w:val="24"/>
                <w:szCs w:val="24"/>
                <w:highlight w:val="none"/>
              </w:rPr>
              <w:t>包装生产</w:t>
            </w:r>
            <w:r>
              <w:rPr>
                <w:rFonts w:hint="eastAsia"/>
                <w:color w:val="auto"/>
                <w:sz w:val="24"/>
                <w:szCs w:val="24"/>
              </w:rPr>
              <w:t>线上进行上胶，将烫金</w:t>
            </w:r>
            <w:r>
              <w:rPr>
                <w:rFonts w:hint="eastAsia"/>
                <w:color w:val="auto"/>
                <w:sz w:val="24"/>
                <w:szCs w:val="24"/>
                <w:lang w:val="en-US" w:eastAsia="zh-CN"/>
              </w:rPr>
              <w:t>模切</w:t>
            </w:r>
            <w:r>
              <w:rPr>
                <w:rFonts w:hint="eastAsia"/>
                <w:color w:val="auto"/>
                <w:sz w:val="24"/>
                <w:szCs w:val="24"/>
              </w:rPr>
              <w:t>后的半成品承印表皮下衬垫一层工业纸板</w:t>
            </w:r>
            <w:r>
              <w:rPr>
                <w:rFonts w:hint="eastAsia"/>
                <w:color w:val="auto"/>
                <w:sz w:val="24"/>
                <w:szCs w:val="24"/>
                <w:highlight w:val="none"/>
              </w:rPr>
              <w:t>，并通过</w:t>
            </w:r>
            <w:r>
              <w:rPr>
                <w:rFonts w:hint="eastAsia"/>
                <w:color w:val="auto"/>
                <w:sz w:val="24"/>
                <w:szCs w:val="24"/>
                <w:highlight w:val="none"/>
                <w:lang w:val="en-US" w:eastAsia="zh-CN"/>
              </w:rPr>
              <w:t>全自动</w:t>
            </w:r>
            <w:r>
              <w:rPr>
                <w:rFonts w:hint="eastAsia"/>
                <w:color w:val="auto"/>
                <w:sz w:val="24"/>
                <w:szCs w:val="24"/>
                <w:highlight w:val="none"/>
              </w:rPr>
              <w:t>包装生产线的压泡机将气泡挤出，而后对边缘粘合成型。</w:t>
            </w:r>
            <w:r>
              <w:rPr>
                <w:rFonts w:hint="eastAsia"/>
                <w:color w:val="auto"/>
                <w:sz w:val="24"/>
                <w:szCs w:val="24"/>
                <w:lang w:val="en-US" w:eastAsia="zh-CN"/>
              </w:rPr>
              <w:t>塑纸包装盒的印纸经裱糊成型后还需和</w:t>
            </w:r>
            <w:r>
              <w:rPr>
                <w:rFonts w:hint="eastAsia"/>
                <w:color w:val="auto"/>
                <w:spacing w:val="-1"/>
                <w:sz w:val="24"/>
                <w:szCs w:val="24"/>
                <w:highlight w:val="none"/>
                <w:lang w:val="en-US" w:eastAsia="zh-CN"/>
              </w:rPr>
              <w:t>注塑件粘合成塑纸包装盒，此过程在人工组装线进行。</w:t>
            </w:r>
          </w:p>
          <w:p w14:paraId="6B38C90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right="0" w:firstLine="482" w:firstLineChars="200"/>
              <w:jc w:val="left"/>
              <w:textAlignment w:val="auto"/>
              <w:rPr>
                <w:rFonts w:hint="default"/>
                <w:color w:val="auto"/>
                <w:sz w:val="24"/>
                <w:szCs w:val="24"/>
                <w:lang w:val="en-US" w:eastAsia="zh-CN"/>
              </w:rPr>
            </w:pPr>
            <w:r>
              <w:rPr>
                <w:rFonts w:hint="eastAsia"/>
                <w:b/>
                <w:bCs/>
                <w:color w:val="auto"/>
                <w:sz w:val="24"/>
                <w:szCs w:val="24"/>
                <w:lang w:val="en-US" w:eastAsia="zh-CN"/>
              </w:rPr>
              <w:t>源强核算：</w:t>
            </w:r>
            <w:r>
              <w:rPr>
                <w:rFonts w:hint="eastAsia"/>
                <w:color w:val="auto"/>
                <w:sz w:val="24"/>
                <w:szCs w:val="24"/>
                <w:lang w:val="en-US" w:eastAsia="zh-CN"/>
              </w:rPr>
              <w:t>根据企业提供的检测报告（附件8），本项目使用的水性胶粘剂挥发性有机物（VOC）含量为4g/L。水性胶粘剂相对密度按0.983g/cm</w:t>
            </w:r>
            <w:r>
              <w:rPr>
                <w:rFonts w:hint="eastAsia"/>
                <w:color w:val="auto"/>
                <w:sz w:val="24"/>
                <w:szCs w:val="24"/>
                <w:vertAlign w:val="superscript"/>
                <w:lang w:val="en-US" w:eastAsia="zh-CN"/>
              </w:rPr>
              <w:t>3</w:t>
            </w:r>
            <w:r>
              <w:rPr>
                <w:rFonts w:hint="eastAsia"/>
                <w:color w:val="auto"/>
                <w:sz w:val="24"/>
                <w:szCs w:val="24"/>
                <w:vertAlign w:val="baseline"/>
                <w:lang w:val="en-US" w:eastAsia="zh-CN"/>
              </w:rPr>
              <w:t>（983g</w:t>
            </w:r>
            <w:r>
              <w:rPr>
                <w:rFonts w:hint="eastAsia"/>
                <w:color w:val="auto"/>
                <w:sz w:val="24"/>
                <w:szCs w:val="24"/>
                <w:lang w:val="en-US" w:eastAsia="zh-CN"/>
              </w:rPr>
              <w:t>/L</w:t>
            </w:r>
            <w:r>
              <w:rPr>
                <w:rFonts w:hint="eastAsia"/>
                <w:color w:val="auto"/>
                <w:sz w:val="24"/>
                <w:szCs w:val="24"/>
                <w:vertAlign w:val="baseline"/>
                <w:lang w:val="en-US" w:eastAsia="zh-CN"/>
              </w:rPr>
              <w:t>）</w:t>
            </w:r>
            <w:r>
              <w:rPr>
                <w:rFonts w:hint="eastAsia"/>
                <w:color w:val="auto"/>
                <w:sz w:val="24"/>
                <w:szCs w:val="24"/>
                <w:lang w:val="en-US" w:eastAsia="zh-CN"/>
              </w:rPr>
              <w:t>计。水性胶粘剂用量为24.5t/a，则水性胶粘剂有机废气产生量为</w:t>
            </w:r>
            <w:r>
              <w:rPr>
                <w:rFonts w:hint="eastAsia" w:cs="Times New Roman"/>
                <w:snapToGrid w:val="0"/>
                <w:color w:val="auto"/>
                <w:sz w:val="24"/>
                <w:highlight w:val="none"/>
                <w:lang w:val="en-US" w:eastAsia="zh-CN"/>
              </w:rPr>
              <w:t>24.5</w:t>
            </w:r>
            <w:r>
              <w:rPr>
                <w:rFonts w:hint="default" w:ascii="Times New Roman" w:hAnsi="Times New Roman" w:cs="Times New Roman"/>
                <w:snapToGrid w:val="0"/>
                <w:color w:val="auto"/>
                <w:sz w:val="24"/>
                <w:highlight w:val="none"/>
              </w:rPr>
              <w:t>×</w:t>
            </w:r>
            <w:r>
              <w:rPr>
                <w:rFonts w:hint="eastAsia" w:cs="Times New Roman"/>
                <w:snapToGrid w:val="0"/>
                <w:color w:val="auto"/>
                <w:sz w:val="24"/>
                <w:highlight w:val="none"/>
                <w:lang w:val="en-US" w:eastAsia="zh-CN"/>
              </w:rPr>
              <w:t>4</w:t>
            </w:r>
            <w:r>
              <w:rPr>
                <w:rFonts w:hint="default" w:ascii="Times New Roman" w:hAnsi="Times New Roman" w:cs="Times New Roman"/>
                <w:snapToGrid w:val="0"/>
                <w:color w:val="auto"/>
                <w:sz w:val="24"/>
                <w:highlight w:val="none"/>
              </w:rPr>
              <w:t>/</w:t>
            </w:r>
            <w:r>
              <w:rPr>
                <w:rFonts w:hint="eastAsia" w:cs="Times New Roman"/>
                <w:snapToGrid w:val="0"/>
                <w:color w:val="auto"/>
                <w:sz w:val="24"/>
                <w:highlight w:val="none"/>
                <w:lang w:val="en-US" w:eastAsia="zh-CN"/>
              </w:rPr>
              <w:t>983</w:t>
            </w:r>
            <w:r>
              <w:rPr>
                <w:rFonts w:hint="default" w:ascii="Times New Roman" w:hAnsi="Times New Roman" w:cs="Times New Roman"/>
                <w:snapToGrid w:val="0"/>
                <w:color w:val="auto"/>
                <w:sz w:val="24"/>
                <w:highlight w:val="none"/>
              </w:rPr>
              <w:t>=</w:t>
            </w:r>
            <w:r>
              <w:rPr>
                <w:rFonts w:hint="eastAsia" w:cs="Times New Roman"/>
                <w:snapToGrid w:val="0"/>
                <w:color w:val="auto"/>
                <w:sz w:val="24"/>
                <w:highlight w:val="none"/>
                <w:lang w:val="en-US" w:eastAsia="zh-CN"/>
              </w:rPr>
              <w:t>0.0997</w:t>
            </w:r>
            <w:r>
              <w:rPr>
                <w:rFonts w:hint="default" w:ascii="Times New Roman" w:hAnsi="Times New Roman" w:cs="Times New Roman"/>
                <w:snapToGrid w:val="0"/>
                <w:color w:val="auto"/>
                <w:sz w:val="24"/>
                <w:highlight w:val="none"/>
              </w:rPr>
              <w:t>t/a。</w:t>
            </w:r>
          </w:p>
          <w:p w14:paraId="3CB284C7">
            <w:pPr>
              <w:spacing w:line="360" w:lineRule="auto"/>
              <w:ind w:firstLine="482" w:firstLineChars="200"/>
              <w:rPr>
                <w:rFonts w:hint="eastAsia" w:ascii="宋体" w:hAnsi="宋体" w:eastAsia="宋体" w:cs="宋体"/>
                <w:color w:val="auto"/>
                <w:kern w:val="0"/>
                <w:sz w:val="24"/>
                <w:lang w:eastAsia="zh-CN"/>
              </w:rPr>
            </w:pPr>
            <w:r>
              <w:rPr>
                <w:rFonts w:hint="eastAsia"/>
                <w:b/>
                <w:bCs/>
                <w:color w:val="auto"/>
                <w:sz w:val="24"/>
              </w:rPr>
              <w:t>治理措施</w:t>
            </w:r>
            <w:r>
              <w:rPr>
                <w:rFonts w:hint="eastAsia"/>
                <w:color w:val="auto"/>
                <w:sz w:val="24"/>
              </w:rPr>
              <w:t>：</w:t>
            </w:r>
          </w:p>
          <w:p w14:paraId="610EA62C">
            <w:pPr>
              <w:spacing w:line="360" w:lineRule="auto"/>
              <w:ind w:firstLine="480" w:firstLineChars="200"/>
              <w:rPr>
                <w:rFonts w:hint="eastAsia" w:eastAsia="宋体"/>
                <w:b/>
                <w:bCs/>
                <w:color w:val="auto"/>
                <w:sz w:val="24"/>
                <w:szCs w:val="24"/>
                <w:highlight w:val="yellow"/>
                <w:lang w:val="en-US" w:eastAsia="zh-CN"/>
              </w:rPr>
            </w:pPr>
            <w:r>
              <w:rPr>
                <w:rFonts w:hint="eastAsia"/>
                <w:color w:val="auto"/>
                <w:sz w:val="24"/>
                <w:szCs w:val="24"/>
                <w:highlight w:val="none"/>
              </w:rPr>
              <w:t>裱糊工序位于</w:t>
            </w:r>
            <w:r>
              <w:rPr>
                <w:rFonts w:hint="eastAsia"/>
                <w:color w:val="auto"/>
                <w:sz w:val="24"/>
                <w:szCs w:val="24"/>
                <w:highlight w:val="none"/>
                <w:lang w:val="en-US" w:eastAsia="zh-CN"/>
              </w:rPr>
              <w:t>2#车间</w:t>
            </w:r>
            <w:r>
              <w:rPr>
                <w:rFonts w:hint="eastAsia"/>
                <w:color w:val="auto"/>
                <w:sz w:val="24"/>
                <w:szCs w:val="24"/>
                <w:highlight w:val="none"/>
              </w:rPr>
              <w:t>，采取全自动包装生产线进行裱糊成型，</w:t>
            </w:r>
            <w:r>
              <w:rPr>
                <w:rFonts w:hint="eastAsia"/>
                <w:color w:val="auto"/>
                <w:sz w:val="24"/>
                <w:szCs w:val="24"/>
                <w:highlight w:val="none"/>
                <w:lang w:val="en-US" w:eastAsia="zh-CN"/>
              </w:rPr>
              <w:t>共有3条</w:t>
            </w:r>
            <w:r>
              <w:rPr>
                <w:rFonts w:hint="eastAsia"/>
                <w:color w:val="auto"/>
                <w:sz w:val="24"/>
                <w:szCs w:val="24"/>
                <w:highlight w:val="none"/>
              </w:rPr>
              <w:t>全自动包装生产线</w:t>
            </w:r>
            <w:r>
              <w:rPr>
                <w:rFonts w:hint="eastAsia"/>
                <w:color w:val="auto"/>
                <w:sz w:val="24"/>
                <w:szCs w:val="24"/>
                <w:highlight w:val="none"/>
                <w:lang w:eastAsia="zh-CN"/>
              </w:rPr>
              <w:t>，</w:t>
            </w:r>
            <w:r>
              <w:rPr>
                <w:rFonts w:hint="eastAsia"/>
                <w:color w:val="auto"/>
                <w:sz w:val="24"/>
                <w:szCs w:val="24"/>
                <w:highlight w:val="none"/>
                <w:lang w:val="en-US" w:eastAsia="zh-CN"/>
              </w:rPr>
              <w:t>每条生产线</w:t>
            </w:r>
            <w:r>
              <w:rPr>
                <w:rFonts w:hint="eastAsia"/>
                <w:color w:val="auto"/>
                <w:sz w:val="24"/>
                <w:szCs w:val="24"/>
                <w:highlight w:val="none"/>
              </w:rPr>
              <w:t>共有3台上胶机，上胶装置设置于密闭罩进行，并且自带上抽风管道。</w:t>
            </w:r>
            <w:r>
              <w:rPr>
                <w:rFonts w:hint="eastAsia"/>
                <w:color w:val="auto"/>
                <w:sz w:val="24"/>
                <w:szCs w:val="24"/>
                <w:highlight w:val="none"/>
                <w:lang w:val="en-US" w:eastAsia="zh-CN"/>
              </w:rPr>
              <w:t>塑纸包装盒须在人工组装线粘合。共有2条人工组装线，每条人工组装线有1台上胶机，</w:t>
            </w:r>
            <w:r>
              <w:rPr>
                <w:rFonts w:hint="eastAsia"/>
                <w:color w:val="auto"/>
                <w:sz w:val="24"/>
                <w:szCs w:val="24"/>
                <w:highlight w:val="none"/>
              </w:rPr>
              <w:t>上胶装置设置于密闭罩进行，并且自带上抽风管道。废气经抽风管道收集引至两级活性炭吸附装置（TA00</w:t>
            </w:r>
            <w:r>
              <w:rPr>
                <w:rFonts w:hint="eastAsia"/>
                <w:color w:val="auto"/>
                <w:sz w:val="24"/>
                <w:szCs w:val="24"/>
                <w:highlight w:val="none"/>
                <w:lang w:val="en-US" w:eastAsia="zh-CN"/>
              </w:rPr>
              <w:t>2</w:t>
            </w:r>
            <w:r>
              <w:rPr>
                <w:rFonts w:hint="eastAsia"/>
                <w:color w:val="auto"/>
                <w:sz w:val="24"/>
                <w:szCs w:val="24"/>
                <w:highlight w:val="none"/>
              </w:rPr>
              <w:t>）+</w:t>
            </w:r>
            <w:r>
              <w:rPr>
                <w:rFonts w:hint="eastAsia"/>
                <w:color w:val="auto"/>
                <w:sz w:val="24"/>
                <w:szCs w:val="24"/>
                <w:highlight w:val="none"/>
                <w:lang w:val="en-US" w:eastAsia="zh-CN"/>
              </w:rPr>
              <w:t>15</w:t>
            </w:r>
            <w:r>
              <w:rPr>
                <w:rFonts w:hint="eastAsia"/>
                <w:color w:val="auto"/>
                <w:sz w:val="24"/>
                <w:szCs w:val="24"/>
                <w:highlight w:val="none"/>
              </w:rPr>
              <w:t>m排气筒（DA00</w:t>
            </w:r>
            <w:r>
              <w:rPr>
                <w:rFonts w:hint="eastAsia"/>
                <w:color w:val="auto"/>
                <w:sz w:val="24"/>
                <w:szCs w:val="24"/>
                <w:highlight w:val="none"/>
                <w:lang w:val="en-US" w:eastAsia="zh-CN"/>
              </w:rPr>
              <w:t>2</w:t>
            </w:r>
            <w:r>
              <w:rPr>
                <w:rFonts w:hint="eastAsia"/>
                <w:color w:val="auto"/>
                <w:sz w:val="24"/>
                <w:szCs w:val="24"/>
                <w:highlight w:val="none"/>
              </w:rPr>
              <w:t>）排放。</w:t>
            </w:r>
            <w:r>
              <w:rPr>
                <w:rFonts w:hint="eastAsia"/>
                <w:color w:val="auto"/>
                <w:sz w:val="24"/>
                <w:szCs w:val="24"/>
                <w:highlight w:val="none"/>
                <w:lang w:val="en-US" w:eastAsia="zh-CN"/>
              </w:rPr>
              <w:t>有机</w:t>
            </w:r>
            <w:r>
              <w:rPr>
                <w:rFonts w:hint="eastAsia"/>
                <w:color w:val="auto"/>
                <w:sz w:val="24"/>
                <w:szCs w:val="24"/>
                <w:highlight w:val="none"/>
              </w:rPr>
              <w:t>废气收集效率按90%计，有机废气去除效率按</w:t>
            </w:r>
            <w:r>
              <w:rPr>
                <w:rFonts w:hint="eastAsia"/>
                <w:color w:val="auto"/>
                <w:sz w:val="24"/>
                <w:szCs w:val="24"/>
                <w:highlight w:val="none"/>
                <w:lang w:val="en-US" w:eastAsia="zh-CN"/>
              </w:rPr>
              <w:t>90</w:t>
            </w:r>
            <w:r>
              <w:rPr>
                <w:rFonts w:hint="eastAsia"/>
                <w:color w:val="auto"/>
                <w:sz w:val="24"/>
                <w:szCs w:val="24"/>
                <w:highlight w:val="none"/>
              </w:rPr>
              <w:t>%计</w:t>
            </w:r>
            <w:r>
              <w:rPr>
                <w:rFonts w:hint="eastAsia"/>
                <w:color w:val="auto"/>
                <w:sz w:val="24"/>
                <w:szCs w:val="24"/>
                <w:highlight w:val="none"/>
                <w:lang w:eastAsia="zh-CN"/>
              </w:rPr>
              <w:t>，</w:t>
            </w:r>
            <w:r>
              <w:rPr>
                <w:rFonts w:hint="eastAsia"/>
                <w:color w:val="auto"/>
                <w:sz w:val="24"/>
                <w:szCs w:val="24"/>
                <w:highlight w:val="none"/>
              </w:rPr>
              <w:t>风机风量为</w:t>
            </w:r>
            <w:r>
              <w:rPr>
                <w:rFonts w:hint="eastAsia"/>
                <w:color w:val="auto"/>
                <w:sz w:val="24"/>
                <w:szCs w:val="24"/>
                <w:highlight w:val="none"/>
                <w:lang w:val="en-US" w:eastAsia="zh-CN"/>
              </w:rPr>
              <w:t>8000</w:t>
            </w:r>
            <w:r>
              <w:rPr>
                <w:rFonts w:hint="eastAsia"/>
                <w:color w:val="auto"/>
                <w:sz w:val="24"/>
                <w:szCs w:val="24"/>
                <w:highlight w:val="none"/>
              </w:rPr>
              <w:t>m</w:t>
            </w:r>
            <w:r>
              <w:rPr>
                <w:rFonts w:hint="eastAsia"/>
                <w:color w:val="auto"/>
                <w:sz w:val="24"/>
                <w:szCs w:val="24"/>
                <w:highlight w:val="none"/>
                <w:vertAlign w:val="superscript"/>
              </w:rPr>
              <w:t>3</w:t>
            </w:r>
            <w:r>
              <w:rPr>
                <w:rFonts w:hint="eastAsia"/>
                <w:color w:val="auto"/>
                <w:sz w:val="24"/>
                <w:szCs w:val="24"/>
                <w:highlight w:val="none"/>
              </w:rPr>
              <w:t>/h</w:t>
            </w:r>
            <w:r>
              <w:rPr>
                <w:rFonts w:hint="eastAsia"/>
                <w:color w:val="auto"/>
                <w:sz w:val="24"/>
                <w:szCs w:val="24"/>
                <w:highlight w:val="none"/>
                <w:lang w:eastAsia="zh-CN"/>
              </w:rPr>
              <w:t>。</w:t>
            </w:r>
          </w:p>
          <w:p w14:paraId="5754DBDD">
            <w:pPr>
              <w:pStyle w:val="103"/>
              <w:ind w:firstLine="482"/>
              <w:jc w:val="both"/>
              <w:rPr>
                <w:rFonts w:hint="eastAsia"/>
                <w:b/>
                <w:bCs/>
                <w:color w:val="auto"/>
                <w:sz w:val="24"/>
                <w:lang w:eastAsia="zh-CN"/>
              </w:rPr>
            </w:pPr>
            <w:r>
              <w:rPr>
                <w:rFonts w:hint="eastAsia"/>
                <w:b/>
                <w:bCs/>
                <w:color w:val="auto"/>
                <w:sz w:val="24"/>
              </w:rPr>
              <w:t>风量核算</w:t>
            </w:r>
            <w:r>
              <w:rPr>
                <w:rFonts w:hint="eastAsia"/>
                <w:b/>
                <w:bCs/>
                <w:color w:val="auto"/>
                <w:sz w:val="24"/>
                <w:lang w:eastAsia="zh-CN"/>
              </w:rPr>
              <w:t>：</w:t>
            </w:r>
          </w:p>
          <w:p w14:paraId="1636A278">
            <w:pPr>
              <w:pStyle w:val="103"/>
              <w:ind w:firstLine="482"/>
              <w:jc w:val="both"/>
              <w:rPr>
                <w:color w:val="auto"/>
                <w:szCs w:val="24"/>
              </w:rPr>
            </w:pPr>
            <w:r>
              <w:rPr>
                <w:rFonts w:hint="eastAsia"/>
                <w:b/>
                <w:bCs/>
                <w:color w:val="auto"/>
                <w:szCs w:val="24"/>
              </w:rPr>
              <w:t>密闭罩风量设置原则：</w:t>
            </w:r>
            <w:r>
              <w:rPr>
                <w:rFonts w:hint="eastAsia"/>
                <w:b w:val="0"/>
                <w:bCs w:val="0"/>
                <w:color w:val="auto"/>
                <w:szCs w:val="24"/>
              </w:rPr>
              <w:t>密</w:t>
            </w:r>
            <w:r>
              <w:rPr>
                <w:rFonts w:hint="eastAsia"/>
                <w:color w:val="auto"/>
                <w:szCs w:val="24"/>
              </w:rPr>
              <w:t>闭罩风量计算按照，D3.1密闭罩及通风柜风量计算公式：</w:t>
            </w:r>
          </w:p>
          <w:p w14:paraId="070C5EF4">
            <w:pPr>
              <w:pStyle w:val="103"/>
              <w:ind w:firstLine="0" w:firstLineChars="0"/>
              <w:jc w:val="center"/>
              <w:rPr>
                <w:color w:val="auto"/>
                <w:szCs w:val="24"/>
              </w:rPr>
            </w:pPr>
            <w:r>
              <w:rPr>
                <w:rFonts w:ascii="Cambria Math" w:hAnsi="Cambria Math" w:cs="Cambria Math"/>
                <w:color w:val="auto"/>
                <w:szCs w:val="24"/>
              </w:rPr>
              <w:t>𝐿</w:t>
            </w:r>
            <w:r>
              <w:rPr>
                <w:color w:val="auto"/>
                <w:szCs w:val="24"/>
              </w:rPr>
              <w:t xml:space="preserve"> = </w:t>
            </w:r>
            <w:r>
              <w:rPr>
                <w:rFonts w:ascii="Cambria Math" w:hAnsi="Cambria Math" w:cs="Cambria Math"/>
                <w:color w:val="auto"/>
                <w:szCs w:val="24"/>
              </w:rPr>
              <w:t>𝑣</w:t>
            </w:r>
            <w:r>
              <w:rPr>
                <w:color w:val="auto"/>
                <w:szCs w:val="24"/>
              </w:rPr>
              <w:t xml:space="preserve"> × </w:t>
            </w:r>
            <w:r>
              <w:rPr>
                <w:rFonts w:ascii="Cambria Math" w:hAnsi="Cambria Math" w:cs="Cambria Math"/>
                <w:color w:val="auto"/>
                <w:szCs w:val="24"/>
              </w:rPr>
              <w:t>𝐹</w:t>
            </w:r>
            <w:r>
              <w:rPr>
                <w:color w:val="auto"/>
                <w:szCs w:val="24"/>
              </w:rPr>
              <w:t xml:space="preserve"> × </w:t>
            </w:r>
            <w:r>
              <w:rPr>
                <w:rFonts w:ascii="Cambria Math" w:hAnsi="Cambria Math" w:cs="Cambria Math"/>
                <w:color w:val="auto"/>
                <w:szCs w:val="24"/>
              </w:rPr>
              <w:t>𝛽</w:t>
            </w:r>
            <w:r>
              <w:rPr>
                <w:color w:val="auto"/>
                <w:szCs w:val="24"/>
              </w:rPr>
              <w:t xml:space="preserve"> × 3600</w:t>
            </w:r>
          </w:p>
          <w:p w14:paraId="49183317">
            <w:pPr>
              <w:pStyle w:val="103"/>
              <w:ind w:firstLine="480"/>
              <w:rPr>
                <w:rFonts w:hint="eastAsia"/>
                <w:color w:val="auto"/>
                <w:szCs w:val="24"/>
              </w:rPr>
            </w:pPr>
            <w:r>
              <w:rPr>
                <w:rFonts w:hint="eastAsia"/>
                <w:color w:val="auto"/>
                <w:szCs w:val="24"/>
              </w:rPr>
              <w:t xml:space="preserve">    式中：</w:t>
            </w:r>
            <w:r>
              <w:rPr>
                <w:rFonts w:hint="eastAsia"/>
                <w:i/>
                <w:iCs/>
                <w:color w:val="auto"/>
                <w:szCs w:val="24"/>
              </w:rPr>
              <w:t>L</w:t>
            </w:r>
            <w:r>
              <w:rPr>
                <w:rFonts w:hint="eastAsia"/>
                <w:color w:val="auto"/>
                <w:szCs w:val="24"/>
              </w:rPr>
              <w:t>——密闭罩及通风柜的计算风量，m</w:t>
            </w:r>
            <w:r>
              <w:rPr>
                <w:color w:val="auto"/>
                <w:szCs w:val="24"/>
                <w:vertAlign w:val="superscript"/>
              </w:rPr>
              <w:t>3</w:t>
            </w:r>
            <w:r>
              <w:rPr>
                <w:rFonts w:hint="eastAsia"/>
                <w:color w:val="auto"/>
                <w:szCs w:val="24"/>
              </w:rPr>
              <w:t>/h；</w:t>
            </w:r>
          </w:p>
          <w:p w14:paraId="2A018712">
            <w:pPr>
              <w:pStyle w:val="103"/>
              <w:ind w:firstLine="1680" w:firstLineChars="700"/>
              <w:rPr>
                <w:rFonts w:hint="eastAsia"/>
                <w:color w:val="auto"/>
                <w:szCs w:val="24"/>
              </w:rPr>
            </w:pPr>
            <w:r>
              <w:rPr>
                <w:rFonts w:hint="eastAsia"/>
                <w:i/>
                <w:iCs/>
                <w:color w:val="auto"/>
                <w:szCs w:val="24"/>
              </w:rPr>
              <w:t>v</w:t>
            </w:r>
            <w:r>
              <w:rPr>
                <w:rFonts w:hint="eastAsia"/>
                <w:color w:val="auto"/>
                <w:szCs w:val="24"/>
              </w:rPr>
              <w:t>——操作口平均风速，m/s。一般取0.4~0.6；</w:t>
            </w:r>
          </w:p>
          <w:p w14:paraId="580F4BB9">
            <w:pPr>
              <w:pStyle w:val="103"/>
              <w:ind w:firstLine="1680" w:firstLineChars="700"/>
              <w:rPr>
                <w:color w:val="auto"/>
                <w:szCs w:val="24"/>
              </w:rPr>
            </w:pPr>
            <w:r>
              <w:rPr>
                <w:rFonts w:hint="eastAsia"/>
                <w:color w:val="auto"/>
                <w:szCs w:val="24"/>
              </w:rPr>
              <w:t>F——操作口面积，m</w:t>
            </w:r>
            <w:r>
              <w:rPr>
                <w:color w:val="auto"/>
                <w:szCs w:val="24"/>
                <w:vertAlign w:val="superscript"/>
              </w:rPr>
              <w:t>2</w:t>
            </w:r>
            <w:r>
              <w:rPr>
                <w:rFonts w:hint="eastAsia"/>
                <w:color w:val="auto"/>
                <w:szCs w:val="24"/>
              </w:rPr>
              <w:t>；</w:t>
            </w:r>
          </w:p>
          <w:p w14:paraId="16C56D25">
            <w:pPr>
              <w:pStyle w:val="103"/>
              <w:ind w:firstLine="1680" w:firstLineChars="700"/>
              <w:rPr>
                <w:rFonts w:hint="eastAsia"/>
                <w:color w:val="auto"/>
                <w:szCs w:val="24"/>
              </w:rPr>
            </w:pPr>
            <w:r>
              <w:rPr>
                <w:i/>
                <w:iCs/>
                <w:color w:val="auto"/>
              </w:rPr>
              <w:t>β</w:t>
            </w:r>
            <w:r>
              <w:rPr>
                <w:color w:val="auto"/>
              </w:rPr>
              <w:t>——安全系数，一般取1.05~1.1。</w:t>
            </w:r>
          </w:p>
          <w:p w14:paraId="05042929">
            <w:pPr>
              <w:pStyle w:val="102"/>
              <w:numPr>
                <w:ilvl w:val="0"/>
                <w:numId w:val="0"/>
              </w:numPr>
              <w:spacing w:before="120" w:beforeLines="50" w:after="0" w:afterLines="0"/>
              <w:ind w:leftChars="0"/>
              <w:jc w:val="center"/>
              <w:rPr>
                <w:color w:val="auto"/>
              </w:rPr>
            </w:pPr>
            <w:r>
              <w:rPr>
                <w:rFonts w:hint="eastAsia"/>
                <w:color w:val="auto"/>
                <w:lang w:val="en-US" w:eastAsia="zh-CN"/>
              </w:rPr>
              <w:t xml:space="preserve">表4-5 </w:t>
            </w:r>
            <w:r>
              <w:rPr>
                <w:rFonts w:hint="eastAsia"/>
                <w:color w:val="auto"/>
              </w:rPr>
              <w:t>密闭罩理论风量核算结果一览表</w:t>
            </w:r>
          </w:p>
          <w:tbl>
            <w:tblPr>
              <w:tblStyle w:val="25"/>
              <w:tblW w:w="4998" w:type="pct"/>
              <w:jc w:val="center"/>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507"/>
              <w:gridCol w:w="1174"/>
              <w:gridCol w:w="1104"/>
              <w:gridCol w:w="1104"/>
              <w:gridCol w:w="964"/>
              <w:gridCol w:w="1107"/>
              <w:gridCol w:w="1312"/>
            </w:tblGrid>
            <w:tr w14:paraId="372F029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20" w:hRule="atLeast"/>
                <w:jc w:val="center"/>
              </w:trPr>
              <w:tc>
                <w:tcPr>
                  <w:tcW w:w="911" w:type="pct"/>
                  <w:noWrap w:val="0"/>
                  <w:vAlign w:val="center"/>
                </w:tcPr>
                <w:p w14:paraId="27481FC9">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b/>
                      <w:bCs/>
                      <w:color w:val="auto"/>
                    </w:rPr>
                  </w:pPr>
                  <w:r>
                    <w:rPr>
                      <w:rFonts w:hint="eastAsia"/>
                      <w:b/>
                      <w:bCs/>
                      <w:color w:val="auto"/>
                    </w:rPr>
                    <w:t>污染物名称</w:t>
                  </w:r>
                </w:p>
              </w:tc>
              <w:tc>
                <w:tcPr>
                  <w:tcW w:w="709" w:type="pct"/>
                  <w:noWrap w:val="0"/>
                  <w:vAlign w:val="center"/>
                </w:tcPr>
                <w:p w14:paraId="3DF40773">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b/>
                      <w:bCs/>
                      <w:color w:val="auto"/>
                    </w:rPr>
                  </w:pPr>
                  <w:r>
                    <w:rPr>
                      <w:rFonts w:hint="eastAsia"/>
                      <w:b/>
                      <w:bCs/>
                      <w:color w:val="auto"/>
                    </w:rPr>
                    <w:t>废气收集方式</w:t>
                  </w:r>
                </w:p>
              </w:tc>
              <w:tc>
                <w:tcPr>
                  <w:tcW w:w="667" w:type="pct"/>
                  <w:noWrap w:val="0"/>
                  <w:vAlign w:val="center"/>
                </w:tcPr>
                <w:p w14:paraId="0F7D97A8">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b/>
                      <w:bCs/>
                      <w:color w:val="auto"/>
                    </w:rPr>
                  </w:pPr>
                  <w:r>
                    <w:rPr>
                      <w:rFonts w:hint="eastAsia"/>
                      <w:b/>
                      <w:bCs/>
                      <w:color w:val="auto"/>
                    </w:rPr>
                    <w:t>核算方式</w:t>
                  </w:r>
                </w:p>
              </w:tc>
              <w:tc>
                <w:tcPr>
                  <w:tcW w:w="667" w:type="pct"/>
                  <w:noWrap w:val="0"/>
                  <w:vAlign w:val="center"/>
                </w:tcPr>
                <w:p w14:paraId="07C1DE4F">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b/>
                      <w:bCs/>
                      <w:color w:val="auto"/>
                    </w:rPr>
                  </w:pPr>
                  <w:r>
                    <w:rPr>
                      <w:rFonts w:hint="eastAsia"/>
                      <w:b/>
                      <w:bCs/>
                      <w:color w:val="auto"/>
                    </w:rPr>
                    <w:t>风柜面积</w:t>
                  </w:r>
                </w:p>
              </w:tc>
              <w:tc>
                <w:tcPr>
                  <w:tcW w:w="583" w:type="pct"/>
                  <w:noWrap w:val="0"/>
                  <w:vAlign w:val="center"/>
                </w:tcPr>
                <w:p w14:paraId="3134E597">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b/>
                      <w:bCs/>
                      <w:color w:val="auto"/>
                    </w:rPr>
                  </w:pPr>
                  <w:r>
                    <w:rPr>
                      <w:rFonts w:hint="eastAsia"/>
                      <w:b/>
                      <w:bCs/>
                      <w:color w:val="auto"/>
                    </w:rPr>
                    <w:t>平均风速</w:t>
                  </w:r>
                </w:p>
              </w:tc>
              <w:tc>
                <w:tcPr>
                  <w:tcW w:w="667" w:type="pct"/>
                  <w:noWrap w:val="0"/>
                  <w:vAlign w:val="center"/>
                </w:tcPr>
                <w:p w14:paraId="6D8E9E87">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b/>
                      <w:bCs/>
                      <w:color w:val="auto"/>
                    </w:rPr>
                  </w:pPr>
                  <w:r>
                    <w:rPr>
                      <w:rFonts w:hint="eastAsia"/>
                      <w:b/>
                      <w:bCs/>
                      <w:color w:val="auto"/>
                    </w:rPr>
                    <w:t>设备数量</w:t>
                  </w:r>
                </w:p>
              </w:tc>
              <w:tc>
                <w:tcPr>
                  <w:tcW w:w="793" w:type="pct"/>
                  <w:noWrap w:val="0"/>
                  <w:vAlign w:val="center"/>
                </w:tcPr>
                <w:p w14:paraId="31D14581">
                  <w:pPr>
                    <w:pStyle w:val="101"/>
                    <w:keepNext w:val="0"/>
                    <w:keepLines w:val="0"/>
                    <w:pageBreakBefore w:val="0"/>
                    <w:widowControl w:val="0"/>
                    <w:kinsoku/>
                    <w:wordWrap/>
                    <w:overflowPunct/>
                    <w:topLinePunct w:val="0"/>
                    <w:autoSpaceDE/>
                    <w:autoSpaceDN/>
                    <w:bidi w:val="0"/>
                    <w:adjustRightInd/>
                    <w:snapToGrid/>
                    <w:spacing w:line="300" w:lineRule="auto"/>
                    <w:textAlignment w:val="auto"/>
                    <w:rPr>
                      <w:b/>
                      <w:bCs/>
                      <w:color w:val="auto"/>
                    </w:rPr>
                  </w:pPr>
                  <w:r>
                    <w:rPr>
                      <w:rFonts w:hint="eastAsia"/>
                      <w:b/>
                      <w:bCs/>
                      <w:color w:val="auto"/>
                    </w:rPr>
                    <w:t>风量</w:t>
                  </w:r>
                </w:p>
              </w:tc>
            </w:tr>
            <w:tr w14:paraId="69892AEC">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911" w:type="pct"/>
                  <w:noWrap w:val="0"/>
                  <w:vAlign w:val="center"/>
                </w:tcPr>
                <w:p w14:paraId="647BE85F">
                  <w:pPr>
                    <w:pStyle w:val="101"/>
                    <w:rPr>
                      <w:rFonts w:hint="default"/>
                      <w:color w:val="auto"/>
                      <w:lang w:val="en-US" w:eastAsia="zh-CN"/>
                    </w:rPr>
                  </w:pPr>
                  <w:r>
                    <w:rPr>
                      <w:rFonts w:hint="eastAsia"/>
                      <w:color w:val="auto"/>
                      <w:lang w:val="en-US" w:eastAsia="zh-CN"/>
                    </w:rPr>
                    <w:t>人工组装线</w:t>
                  </w:r>
                </w:p>
              </w:tc>
              <w:tc>
                <w:tcPr>
                  <w:tcW w:w="709" w:type="pct"/>
                  <w:noWrap w:val="0"/>
                  <w:vAlign w:val="center"/>
                </w:tcPr>
                <w:p w14:paraId="36E1359A">
                  <w:pPr>
                    <w:pStyle w:val="101"/>
                    <w:rPr>
                      <w:rFonts w:hint="eastAsia"/>
                      <w:color w:val="auto"/>
                      <w:lang w:val="en-US" w:eastAsia="zh-CN"/>
                    </w:rPr>
                  </w:pPr>
                  <w:r>
                    <w:rPr>
                      <w:rFonts w:hint="eastAsia"/>
                      <w:color w:val="auto"/>
                      <w:lang w:val="en-US" w:eastAsia="zh-CN"/>
                    </w:rPr>
                    <w:t>密闭罩</w:t>
                  </w:r>
                </w:p>
              </w:tc>
              <w:tc>
                <w:tcPr>
                  <w:tcW w:w="667" w:type="pct"/>
                  <w:noWrap w:val="0"/>
                  <w:vAlign w:val="center"/>
                </w:tcPr>
                <w:p w14:paraId="636BC634">
                  <w:pPr>
                    <w:pStyle w:val="101"/>
                    <w:rPr>
                      <w:rFonts w:hint="eastAsia"/>
                      <w:color w:val="auto"/>
                      <w:lang w:val="en-US" w:eastAsia="zh-CN"/>
                    </w:rPr>
                  </w:pPr>
                  <w:r>
                    <w:rPr>
                      <w:rFonts w:hint="eastAsia"/>
                      <w:color w:val="auto"/>
                      <w:lang w:val="en-US" w:eastAsia="zh-CN"/>
                    </w:rPr>
                    <w:t>控制风速</w:t>
                  </w:r>
                </w:p>
              </w:tc>
              <w:tc>
                <w:tcPr>
                  <w:tcW w:w="667" w:type="pct"/>
                  <w:noWrap w:val="0"/>
                  <w:vAlign w:val="center"/>
                </w:tcPr>
                <w:p w14:paraId="4FEAE9D2">
                  <w:pPr>
                    <w:pStyle w:val="101"/>
                    <w:rPr>
                      <w:rFonts w:hint="eastAsia"/>
                      <w:color w:val="auto"/>
                      <w:lang w:val="en-US" w:eastAsia="zh-CN"/>
                    </w:rPr>
                  </w:pPr>
                  <w:r>
                    <w:rPr>
                      <w:rFonts w:hint="eastAsia"/>
                      <w:color w:val="auto"/>
                      <w:lang w:val="en-US" w:eastAsia="zh-CN"/>
                    </w:rPr>
                    <w:t>0.8m×0.5m</w:t>
                  </w:r>
                </w:p>
              </w:tc>
              <w:tc>
                <w:tcPr>
                  <w:tcW w:w="583" w:type="pct"/>
                  <w:noWrap w:val="0"/>
                  <w:vAlign w:val="center"/>
                </w:tcPr>
                <w:p w14:paraId="3831BCD7">
                  <w:pPr>
                    <w:pStyle w:val="101"/>
                    <w:rPr>
                      <w:rFonts w:hint="eastAsia"/>
                      <w:color w:val="auto"/>
                      <w:lang w:val="en-US" w:eastAsia="zh-CN"/>
                    </w:rPr>
                  </w:pPr>
                  <w:r>
                    <w:rPr>
                      <w:rFonts w:hint="eastAsia"/>
                      <w:color w:val="auto"/>
                      <w:lang w:val="en-US" w:eastAsia="zh-CN"/>
                    </w:rPr>
                    <w:t>0.5m/s</w:t>
                  </w:r>
                </w:p>
              </w:tc>
              <w:tc>
                <w:tcPr>
                  <w:tcW w:w="667" w:type="pct"/>
                  <w:noWrap w:val="0"/>
                  <w:vAlign w:val="center"/>
                </w:tcPr>
                <w:p w14:paraId="457AD025">
                  <w:pPr>
                    <w:pStyle w:val="101"/>
                    <w:rPr>
                      <w:rFonts w:hint="eastAsia"/>
                      <w:color w:val="auto"/>
                      <w:lang w:val="en-US" w:eastAsia="zh-CN"/>
                    </w:rPr>
                  </w:pPr>
                  <w:r>
                    <w:rPr>
                      <w:rFonts w:hint="eastAsia"/>
                      <w:color w:val="auto"/>
                      <w:lang w:val="en-US" w:eastAsia="zh-CN"/>
                    </w:rPr>
                    <w:t>2台</w:t>
                  </w:r>
                </w:p>
              </w:tc>
              <w:tc>
                <w:tcPr>
                  <w:tcW w:w="793" w:type="pct"/>
                  <w:noWrap w:val="0"/>
                  <w:vAlign w:val="center"/>
                </w:tcPr>
                <w:p w14:paraId="23C2AE47">
                  <w:pPr>
                    <w:pStyle w:val="101"/>
                    <w:rPr>
                      <w:rFonts w:hint="eastAsia"/>
                      <w:color w:val="auto"/>
                      <w:lang w:val="en-US" w:eastAsia="zh-CN"/>
                    </w:rPr>
                  </w:pPr>
                  <w:r>
                    <w:rPr>
                      <w:rFonts w:hint="eastAsia"/>
                      <w:color w:val="auto"/>
                      <w:lang w:val="en-US" w:eastAsia="zh-CN"/>
                    </w:rPr>
                    <w:t>1440m</w:t>
                  </w:r>
                  <w:r>
                    <w:rPr>
                      <w:rFonts w:hint="eastAsia"/>
                      <w:color w:val="auto"/>
                      <w:vertAlign w:val="superscript"/>
                      <w:lang w:val="en-US" w:eastAsia="zh-CN"/>
                    </w:rPr>
                    <w:t>3</w:t>
                  </w:r>
                  <w:r>
                    <w:rPr>
                      <w:rFonts w:hint="eastAsia"/>
                      <w:color w:val="auto"/>
                      <w:lang w:val="en-US" w:eastAsia="zh-CN"/>
                    </w:rPr>
                    <w:t>/h</w:t>
                  </w:r>
                </w:p>
              </w:tc>
            </w:tr>
            <w:tr w14:paraId="5214334A">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911" w:type="pct"/>
                  <w:noWrap w:val="0"/>
                  <w:vAlign w:val="center"/>
                </w:tcPr>
                <w:p w14:paraId="2DD89487">
                  <w:pPr>
                    <w:pStyle w:val="101"/>
                    <w:rPr>
                      <w:rFonts w:hint="default"/>
                      <w:color w:val="auto"/>
                      <w:lang w:val="en-US" w:eastAsia="zh-CN"/>
                    </w:rPr>
                  </w:pPr>
                  <w:r>
                    <w:rPr>
                      <w:rFonts w:hint="eastAsia"/>
                      <w:color w:val="auto"/>
                      <w:lang w:val="en-US" w:eastAsia="zh-CN"/>
                    </w:rPr>
                    <w:t>全自动包装生产线</w:t>
                  </w:r>
                </w:p>
              </w:tc>
              <w:tc>
                <w:tcPr>
                  <w:tcW w:w="709" w:type="pct"/>
                  <w:noWrap w:val="0"/>
                  <w:vAlign w:val="center"/>
                </w:tcPr>
                <w:p w14:paraId="1D1CA959">
                  <w:pPr>
                    <w:pStyle w:val="101"/>
                    <w:rPr>
                      <w:rFonts w:hint="eastAsia"/>
                      <w:color w:val="auto"/>
                      <w:lang w:val="en-US" w:eastAsia="zh-CN"/>
                    </w:rPr>
                  </w:pPr>
                  <w:r>
                    <w:rPr>
                      <w:rFonts w:hint="eastAsia"/>
                      <w:color w:val="auto"/>
                      <w:lang w:val="en-US" w:eastAsia="zh-CN"/>
                    </w:rPr>
                    <w:t>密闭罩</w:t>
                  </w:r>
                </w:p>
              </w:tc>
              <w:tc>
                <w:tcPr>
                  <w:tcW w:w="667" w:type="pct"/>
                  <w:noWrap w:val="0"/>
                  <w:vAlign w:val="center"/>
                </w:tcPr>
                <w:p w14:paraId="0BEE8478">
                  <w:pPr>
                    <w:pStyle w:val="101"/>
                    <w:rPr>
                      <w:rFonts w:hint="eastAsia"/>
                      <w:color w:val="auto"/>
                      <w:lang w:val="en-US" w:eastAsia="zh-CN"/>
                    </w:rPr>
                  </w:pPr>
                  <w:r>
                    <w:rPr>
                      <w:rFonts w:hint="eastAsia"/>
                      <w:color w:val="auto"/>
                      <w:lang w:val="en-US" w:eastAsia="zh-CN"/>
                    </w:rPr>
                    <w:t>控制风速</w:t>
                  </w:r>
                </w:p>
              </w:tc>
              <w:tc>
                <w:tcPr>
                  <w:tcW w:w="667" w:type="pct"/>
                  <w:noWrap w:val="0"/>
                  <w:vAlign w:val="center"/>
                </w:tcPr>
                <w:p w14:paraId="65279860">
                  <w:pPr>
                    <w:pStyle w:val="101"/>
                    <w:rPr>
                      <w:rFonts w:hint="eastAsia"/>
                      <w:color w:val="auto"/>
                      <w:lang w:val="en-US" w:eastAsia="zh-CN"/>
                    </w:rPr>
                  </w:pPr>
                  <w:r>
                    <w:rPr>
                      <w:rFonts w:hint="eastAsia"/>
                      <w:color w:val="auto"/>
                      <w:lang w:val="en-US" w:eastAsia="zh-CN"/>
                    </w:rPr>
                    <w:t>0.8m×0.5m</w:t>
                  </w:r>
                </w:p>
              </w:tc>
              <w:tc>
                <w:tcPr>
                  <w:tcW w:w="583" w:type="pct"/>
                  <w:noWrap w:val="0"/>
                  <w:vAlign w:val="center"/>
                </w:tcPr>
                <w:p w14:paraId="1FAEB495">
                  <w:pPr>
                    <w:pStyle w:val="101"/>
                    <w:rPr>
                      <w:rFonts w:hint="eastAsia"/>
                      <w:color w:val="auto"/>
                      <w:lang w:val="en-US" w:eastAsia="zh-CN"/>
                    </w:rPr>
                  </w:pPr>
                  <w:r>
                    <w:rPr>
                      <w:rFonts w:hint="eastAsia"/>
                      <w:color w:val="auto"/>
                      <w:lang w:val="en-US" w:eastAsia="zh-CN"/>
                    </w:rPr>
                    <w:t>0.5m/s</w:t>
                  </w:r>
                </w:p>
              </w:tc>
              <w:tc>
                <w:tcPr>
                  <w:tcW w:w="667" w:type="pct"/>
                  <w:noWrap w:val="0"/>
                  <w:vAlign w:val="center"/>
                </w:tcPr>
                <w:p w14:paraId="1E5C89F1">
                  <w:pPr>
                    <w:pStyle w:val="101"/>
                    <w:rPr>
                      <w:rFonts w:hint="eastAsia"/>
                      <w:color w:val="auto"/>
                      <w:lang w:val="en-US" w:eastAsia="zh-CN"/>
                    </w:rPr>
                  </w:pPr>
                  <w:r>
                    <w:rPr>
                      <w:rFonts w:hint="eastAsia"/>
                      <w:color w:val="auto"/>
                      <w:lang w:val="en-US" w:eastAsia="zh-CN"/>
                    </w:rPr>
                    <w:t>9台</w:t>
                  </w:r>
                </w:p>
              </w:tc>
              <w:tc>
                <w:tcPr>
                  <w:tcW w:w="793" w:type="pct"/>
                  <w:noWrap w:val="0"/>
                  <w:vAlign w:val="center"/>
                </w:tcPr>
                <w:p w14:paraId="6E6D6AAB">
                  <w:pPr>
                    <w:pStyle w:val="101"/>
                    <w:rPr>
                      <w:rFonts w:hint="default"/>
                      <w:color w:val="auto"/>
                      <w:lang w:val="en-US" w:eastAsia="zh-CN"/>
                    </w:rPr>
                  </w:pPr>
                  <w:r>
                    <w:rPr>
                      <w:rFonts w:hint="eastAsia"/>
                      <w:color w:val="auto"/>
                      <w:lang w:val="en-US" w:eastAsia="zh-CN"/>
                    </w:rPr>
                    <w:t>6480m</w:t>
                  </w:r>
                  <w:r>
                    <w:rPr>
                      <w:rFonts w:hint="eastAsia"/>
                      <w:color w:val="auto"/>
                      <w:vertAlign w:val="superscript"/>
                      <w:lang w:val="en-US" w:eastAsia="zh-CN"/>
                    </w:rPr>
                    <w:t>3</w:t>
                  </w:r>
                  <w:r>
                    <w:rPr>
                      <w:rFonts w:hint="eastAsia"/>
                      <w:color w:val="auto"/>
                      <w:lang w:val="en-US" w:eastAsia="zh-CN"/>
                    </w:rPr>
                    <w:t>/h</w:t>
                  </w:r>
                </w:p>
              </w:tc>
            </w:tr>
            <w:tr w14:paraId="289B8666">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4206" w:type="pct"/>
                  <w:gridSpan w:val="6"/>
                  <w:noWrap w:val="0"/>
                  <w:vAlign w:val="center"/>
                </w:tcPr>
                <w:p w14:paraId="7D3ED891">
                  <w:pPr>
                    <w:pStyle w:val="101"/>
                    <w:rPr>
                      <w:rFonts w:hint="default"/>
                      <w:color w:val="auto"/>
                      <w:lang w:val="en-US" w:eastAsia="zh-CN"/>
                    </w:rPr>
                  </w:pPr>
                  <w:r>
                    <w:rPr>
                      <w:rFonts w:hint="eastAsia"/>
                      <w:color w:val="auto"/>
                      <w:lang w:val="en-US" w:eastAsia="zh-CN"/>
                    </w:rPr>
                    <w:t>合计</w:t>
                  </w:r>
                </w:p>
              </w:tc>
              <w:tc>
                <w:tcPr>
                  <w:tcW w:w="793" w:type="pct"/>
                  <w:noWrap w:val="0"/>
                  <w:vAlign w:val="center"/>
                </w:tcPr>
                <w:p w14:paraId="6E0DCD38">
                  <w:pPr>
                    <w:pStyle w:val="101"/>
                    <w:rPr>
                      <w:rFonts w:hint="default"/>
                      <w:color w:val="auto"/>
                      <w:lang w:val="en-US" w:eastAsia="zh-CN"/>
                    </w:rPr>
                  </w:pPr>
                  <w:r>
                    <w:rPr>
                      <w:rFonts w:hint="eastAsia"/>
                      <w:color w:val="auto"/>
                      <w:lang w:val="en-US" w:eastAsia="zh-CN"/>
                    </w:rPr>
                    <w:t>7920m</w:t>
                  </w:r>
                  <w:r>
                    <w:rPr>
                      <w:rFonts w:hint="eastAsia"/>
                      <w:color w:val="auto"/>
                      <w:vertAlign w:val="superscript"/>
                      <w:lang w:val="en-US" w:eastAsia="zh-CN"/>
                    </w:rPr>
                    <w:t>3</w:t>
                  </w:r>
                  <w:r>
                    <w:rPr>
                      <w:rFonts w:hint="eastAsia"/>
                      <w:color w:val="auto"/>
                      <w:lang w:val="en-US" w:eastAsia="zh-CN"/>
                    </w:rPr>
                    <w:t>/h</w:t>
                  </w:r>
                </w:p>
              </w:tc>
            </w:tr>
          </w:tbl>
          <w:p w14:paraId="58E31385">
            <w:pPr>
              <w:keepNext w:val="0"/>
              <w:keepLines w:val="0"/>
              <w:suppressLineNumbers w:val="0"/>
              <w:adjustRightInd w:val="0"/>
              <w:spacing w:before="0" w:beforeAutospacing="0" w:after="0" w:afterAutospacing="0" w:line="360" w:lineRule="auto"/>
              <w:ind w:left="0" w:right="0" w:firstLine="480" w:firstLineChars="200"/>
              <w:rPr>
                <w:color w:val="auto"/>
                <w:sz w:val="24"/>
              </w:rPr>
            </w:pPr>
            <w:r>
              <w:rPr>
                <w:rFonts w:hint="eastAsia"/>
                <w:color w:val="auto"/>
                <w:kern w:val="0"/>
                <w:sz w:val="24"/>
              </w:rPr>
              <w:t>综上，</w:t>
            </w:r>
            <w:r>
              <w:rPr>
                <w:rFonts w:hint="eastAsia" w:cs="Times New Roman"/>
                <w:b w:val="0"/>
                <w:bCs/>
                <w:color w:val="auto"/>
                <w:sz w:val="24"/>
                <w:lang w:val="en-US" w:eastAsia="zh-CN"/>
              </w:rPr>
              <w:t>裱糊、粘合有机废气生产线</w:t>
            </w:r>
            <w:r>
              <w:rPr>
                <w:rFonts w:hint="eastAsia"/>
                <w:b w:val="0"/>
                <w:bCs/>
                <w:color w:val="auto"/>
                <w:kern w:val="0"/>
                <w:sz w:val="24"/>
              </w:rPr>
              <w:t>合计所需风</w:t>
            </w:r>
            <w:r>
              <w:rPr>
                <w:rFonts w:hint="eastAsia"/>
                <w:color w:val="auto"/>
                <w:kern w:val="0"/>
                <w:sz w:val="24"/>
              </w:rPr>
              <w:t>量为：</w:t>
            </w:r>
            <w:r>
              <w:rPr>
                <w:rFonts w:hint="eastAsia"/>
                <w:color w:val="auto"/>
                <w:kern w:val="0"/>
                <w:sz w:val="24"/>
                <w:lang w:val="en-US" w:eastAsia="zh-CN"/>
              </w:rPr>
              <w:t>7920m</w:t>
            </w:r>
            <w:r>
              <w:rPr>
                <w:rFonts w:hint="eastAsia"/>
                <w:color w:val="auto"/>
                <w:kern w:val="0"/>
                <w:sz w:val="24"/>
                <w:vertAlign w:val="superscript"/>
                <w:lang w:val="en-US" w:eastAsia="zh-CN"/>
              </w:rPr>
              <w:t>3</w:t>
            </w:r>
            <w:r>
              <w:rPr>
                <w:rFonts w:hint="eastAsia"/>
                <w:color w:val="auto"/>
                <w:kern w:val="0"/>
                <w:sz w:val="24"/>
                <w:lang w:val="en-US" w:eastAsia="zh-CN"/>
              </w:rPr>
              <w:t>/h</w:t>
            </w:r>
            <w:r>
              <w:rPr>
                <w:rFonts w:hint="eastAsia"/>
                <w:color w:val="auto"/>
                <w:sz w:val="24"/>
              </w:rPr>
              <w:t>。</w:t>
            </w:r>
            <w:r>
              <w:rPr>
                <w:color w:val="auto"/>
                <w:sz w:val="24"/>
              </w:rPr>
              <w:t>本项目拟设置风机风量为</w:t>
            </w:r>
            <w:r>
              <w:rPr>
                <w:rFonts w:hint="eastAsia"/>
                <w:color w:val="auto"/>
                <w:sz w:val="24"/>
                <w:lang w:val="en-US" w:eastAsia="zh-CN"/>
              </w:rPr>
              <w:t>8000</w:t>
            </w:r>
            <w:r>
              <w:rPr>
                <w:color w:val="auto"/>
                <w:sz w:val="24"/>
              </w:rPr>
              <w:t>m</w:t>
            </w:r>
            <w:r>
              <w:rPr>
                <w:color w:val="auto"/>
                <w:sz w:val="24"/>
                <w:vertAlign w:val="superscript"/>
              </w:rPr>
              <w:t>3</w:t>
            </w:r>
            <w:r>
              <w:rPr>
                <w:color w:val="auto"/>
                <w:sz w:val="24"/>
              </w:rPr>
              <w:t>/h，可满足要求。</w:t>
            </w:r>
          </w:p>
          <w:p w14:paraId="44809BEE">
            <w:pPr>
              <w:pStyle w:val="15"/>
              <w:widowControl w:val="0"/>
              <w:numPr>
                <w:ilvl w:val="0"/>
                <w:numId w:val="0"/>
              </w:numPr>
              <w:spacing w:after="0" w:line="360" w:lineRule="auto"/>
              <w:ind w:firstLine="482" w:firstLineChars="200"/>
              <w:jc w:val="both"/>
              <w:rPr>
                <w:rFonts w:hint="default" w:ascii="Times New Roman" w:hAnsi="Times New Roman" w:eastAsia="宋体" w:cs="Times New Roman"/>
                <w:b/>
                <w:color w:val="auto"/>
                <w:sz w:val="24"/>
                <w:lang w:val="en-US" w:eastAsia="zh-CN"/>
              </w:rPr>
            </w:pPr>
            <w:r>
              <w:rPr>
                <w:rFonts w:hint="default" w:ascii="Times New Roman" w:hAnsi="Times New Roman" w:cs="Times New Roman"/>
                <w:b/>
                <w:bCs/>
                <w:color w:val="auto"/>
                <w:sz w:val="24"/>
                <w:szCs w:val="24"/>
                <w:lang w:eastAsia="zh-CN"/>
              </w:rPr>
              <w:t>③</w:t>
            </w:r>
            <w:r>
              <w:rPr>
                <w:rFonts w:hint="eastAsia" w:cs="Times New Roman"/>
                <w:b/>
                <w:bCs/>
                <w:color w:val="auto"/>
                <w:kern w:val="2"/>
                <w:sz w:val="24"/>
                <w:szCs w:val="24"/>
                <w:lang w:val="en-US" w:eastAsia="zh-CN"/>
              </w:rPr>
              <w:t>2#车间覆膜、烫金、打码、</w:t>
            </w:r>
            <w:r>
              <w:rPr>
                <w:rFonts w:hint="eastAsia"/>
                <w:b/>
                <w:bCs/>
                <w:color w:val="auto"/>
                <w:sz w:val="24"/>
              </w:rPr>
              <w:t>UV油墨、</w:t>
            </w:r>
            <w:r>
              <w:rPr>
                <w:rFonts w:hint="eastAsia"/>
                <w:b/>
                <w:bCs/>
                <w:color w:val="auto"/>
                <w:sz w:val="24"/>
                <w:lang w:val="en-US" w:eastAsia="zh-CN"/>
              </w:rPr>
              <w:t>上光油、</w:t>
            </w:r>
            <w:r>
              <w:rPr>
                <w:rFonts w:hint="eastAsia"/>
                <w:b/>
                <w:bCs/>
                <w:color w:val="auto"/>
                <w:sz w:val="24"/>
              </w:rPr>
              <w:t>丝网版清洁有机废气</w:t>
            </w:r>
          </w:p>
          <w:p w14:paraId="094B5A5B">
            <w:pPr>
              <w:pStyle w:val="15"/>
              <w:spacing w:after="0" w:line="360" w:lineRule="auto"/>
              <w:ind w:left="0" w:leftChars="0" w:firstLine="482" w:firstLineChars="200"/>
              <w:jc w:val="both"/>
              <w:rPr>
                <w:rFonts w:hint="default" w:ascii="Times New Roman" w:hAnsi="Times New Roman" w:cs="Times New Roman"/>
                <w:b/>
                <w:bCs/>
                <w:color w:val="auto"/>
                <w:sz w:val="24"/>
                <w:szCs w:val="18"/>
              </w:rPr>
            </w:pPr>
            <w:r>
              <w:rPr>
                <w:rFonts w:hint="eastAsia" w:ascii="Times New Roman" w:hAnsi="Times New Roman" w:cs="Times New Roman"/>
                <w:b/>
                <w:bCs/>
                <w:color w:val="auto"/>
                <w:sz w:val="24"/>
                <w:lang w:val="en-US" w:eastAsia="zh-CN"/>
              </w:rPr>
              <w:t>覆膜有机废气</w:t>
            </w:r>
            <w:r>
              <w:rPr>
                <w:rFonts w:hint="default" w:ascii="Times New Roman" w:hAnsi="Times New Roman" w:cs="Times New Roman"/>
                <w:b/>
                <w:bCs/>
                <w:color w:val="auto"/>
                <w:sz w:val="24"/>
                <w:lang w:val="en-US" w:eastAsia="zh-CN"/>
              </w:rPr>
              <w:t>来源：</w:t>
            </w:r>
            <w:r>
              <w:rPr>
                <w:rFonts w:hint="default" w:ascii="Times New Roman" w:hAnsi="Times New Roman" w:cs="Times New Roman"/>
                <w:b w:val="0"/>
                <w:bCs w:val="0"/>
                <w:color w:val="auto"/>
                <w:sz w:val="24"/>
                <w:lang w:val="en-US" w:eastAsia="zh-CN"/>
              </w:rPr>
              <w:t>在UV印刷品上涂水性干式覆膜胶，通过覆膜机将PP 膜覆在产品上，以提高印刷图案的光泽度及持久度，覆膜工序在常温下进行。水性干式覆膜胶</w:t>
            </w:r>
            <w:r>
              <w:rPr>
                <w:rFonts w:hint="default" w:ascii="Times New Roman" w:hAnsi="Times New Roman" w:cs="Times New Roman"/>
                <w:color w:val="auto"/>
                <w:sz w:val="24"/>
              </w:rPr>
              <w:t>使用过程中</w:t>
            </w:r>
            <w:r>
              <w:rPr>
                <w:rFonts w:hint="default" w:ascii="Times New Roman" w:hAnsi="Times New Roman" w:cs="Times New Roman"/>
                <w:color w:val="auto"/>
                <w:sz w:val="24"/>
                <w:lang w:val="en-US" w:eastAsia="zh-CN"/>
              </w:rPr>
              <w:t>会</w:t>
            </w:r>
            <w:r>
              <w:rPr>
                <w:rFonts w:hint="default" w:ascii="Times New Roman" w:hAnsi="Times New Roman" w:cs="Times New Roman"/>
                <w:color w:val="auto"/>
                <w:sz w:val="24"/>
              </w:rPr>
              <w:t>产生有机废气。</w:t>
            </w:r>
          </w:p>
          <w:p w14:paraId="55A9F66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right="0" w:firstLine="482" w:firstLineChars="200"/>
              <w:jc w:val="left"/>
              <w:textAlignment w:val="auto"/>
              <w:rPr>
                <w:color w:val="auto"/>
                <w:sz w:val="24"/>
              </w:rPr>
            </w:pPr>
            <w:r>
              <w:rPr>
                <w:rFonts w:hint="eastAsia" w:ascii="宋体" w:hAnsi="宋体" w:cs="宋体"/>
                <w:b/>
                <w:bCs/>
                <w:color w:val="auto"/>
                <w:kern w:val="0"/>
                <w:sz w:val="24"/>
                <w:lang w:val="en-US" w:eastAsia="zh-CN"/>
              </w:rPr>
              <w:t>源强核算：</w:t>
            </w:r>
            <w:r>
              <w:rPr>
                <w:color w:val="auto"/>
                <w:sz w:val="24"/>
              </w:rPr>
              <w:t>根据建设单位</w:t>
            </w:r>
            <w:r>
              <w:rPr>
                <w:rFonts w:hint="eastAsia"/>
                <w:color w:val="auto"/>
                <w:sz w:val="24"/>
              </w:rPr>
              <w:t>提供的</w:t>
            </w:r>
            <w:r>
              <w:rPr>
                <w:rFonts w:hint="eastAsia" w:ascii="宋体" w:hAnsi="宋体" w:cs="宋体"/>
                <w:b w:val="0"/>
                <w:bCs w:val="0"/>
                <w:color w:val="auto"/>
                <w:kern w:val="0"/>
                <w:sz w:val="24"/>
                <w:lang w:val="en-US" w:eastAsia="zh-CN"/>
              </w:rPr>
              <w:t>水性干式覆膜胶</w:t>
            </w:r>
            <w:r>
              <w:rPr>
                <w:rFonts w:hint="eastAsia"/>
                <w:color w:val="auto"/>
                <w:sz w:val="24"/>
              </w:rPr>
              <w:t>检测报告（附件</w:t>
            </w:r>
            <w:r>
              <w:rPr>
                <w:rFonts w:hint="eastAsia"/>
                <w:color w:val="auto"/>
                <w:sz w:val="24"/>
                <w:lang w:val="en-US" w:eastAsia="zh-CN"/>
              </w:rPr>
              <w:t>9</w:t>
            </w:r>
            <w:r>
              <w:rPr>
                <w:rFonts w:hint="eastAsia"/>
                <w:color w:val="auto"/>
                <w:sz w:val="24"/>
              </w:rPr>
              <w:t>），本项目使用的水性干式覆膜胶中挥发性有机</w:t>
            </w:r>
            <w:r>
              <w:rPr>
                <w:rFonts w:hint="eastAsia"/>
                <w:color w:val="auto"/>
                <w:sz w:val="24"/>
                <w:lang w:val="en-US" w:eastAsia="zh-CN"/>
              </w:rPr>
              <w:t>化合物</w:t>
            </w:r>
            <w:r>
              <w:rPr>
                <w:rFonts w:hint="eastAsia"/>
                <w:color w:val="auto"/>
                <w:sz w:val="24"/>
              </w:rPr>
              <w:t>（VOC）的含量为10g/L。相对密度按1.0g/cm</w:t>
            </w:r>
            <w:r>
              <w:rPr>
                <w:rFonts w:hint="eastAsia"/>
                <w:color w:val="auto"/>
                <w:sz w:val="24"/>
                <w:vertAlign w:val="superscript"/>
              </w:rPr>
              <w:t>3</w:t>
            </w:r>
            <w:r>
              <w:rPr>
                <w:rFonts w:hint="eastAsia"/>
                <w:b w:val="0"/>
                <w:bCs w:val="0"/>
                <w:color w:val="auto"/>
                <w:sz w:val="24"/>
                <w:vertAlign w:val="baseline"/>
                <w:lang w:eastAsia="zh-CN"/>
              </w:rPr>
              <w:t>（</w:t>
            </w:r>
            <w:r>
              <w:rPr>
                <w:rFonts w:hint="eastAsia"/>
                <w:b w:val="0"/>
                <w:bCs w:val="0"/>
                <w:color w:val="auto"/>
                <w:sz w:val="24"/>
                <w:vertAlign w:val="baseline"/>
                <w:lang w:val="en-US" w:eastAsia="zh-CN"/>
              </w:rPr>
              <w:t>1000g/L</w:t>
            </w:r>
            <w:r>
              <w:rPr>
                <w:rFonts w:hint="eastAsia"/>
                <w:b w:val="0"/>
                <w:bCs w:val="0"/>
                <w:color w:val="auto"/>
                <w:sz w:val="24"/>
                <w:vertAlign w:val="baseline"/>
                <w:lang w:eastAsia="zh-CN"/>
              </w:rPr>
              <w:t>）</w:t>
            </w:r>
            <w:r>
              <w:rPr>
                <w:rFonts w:hint="eastAsia"/>
                <w:color w:val="auto"/>
                <w:sz w:val="24"/>
              </w:rPr>
              <w:t>计，</w:t>
            </w:r>
            <w:r>
              <w:rPr>
                <w:rFonts w:hint="eastAsia" w:ascii="宋体" w:hAnsi="宋体" w:cs="宋体"/>
                <w:b w:val="0"/>
                <w:bCs w:val="0"/>
                <w:color w:val="auto"/>
                <w:kern w:val="0"/>
                <w:sz w:val="24"/>
                <w:lang w:val="en-US" w:eastAsia="zh-CN"/>
              </w:rPr>
              <w:t>水性干式覆膜胶</w:t>
            </w:r>
            <w:r>
              <w:rPr>
                <w:rFonts w:hint="eastAsia"/>
                <w:color w:val="auto"/>
                <w:sz w:val="24"/>
                <w:lang w:val="en-US" w:eastAsia="zh-CN"/>
              </w:rPr>
              <w:t>用量为19.5t/a，</w:t>
            </w:r>
            <w:r>
              <w:rPr>
                <w:rFonts w:hint="eastAsia"/>
                <w:color w:val="auto"/>
                <w:sz w:val="24"/>
              </w:rPr>
              <w:t>因此，水性干式覆膜胶有机废气产生量为</w:t>
            </w:r>
            <w:r>
              <w:rPr>
                <w:rFonts w:hint="eastAsia" w:cs="Times New Roman"/>
                <w:snapToGrid w:val="0"/>
                <w:color w:val="auto"/>
                <w:sz w:val="24"/>
                <w:highlight w:val="none"/>
                <w:lang w:val="en-US" w:eastAsia="zh-CN"/>
              </w:rPr>
              <w:t>19.5</w:t>
            </w:r>
            <w:r>
              <w:rPr>
                <w:rFonts w:hint="default" w:ascii="Times New Roman" w:hAnsi="Times New Roman" w:cs="Times New Roman"/>
                <w:snapToGrid w:val="0"/>
                <w:color w:val="auto"/>
                <w:sz w:val="24"/>
                <w:highlight w:val="none"/>
              </w:rPr>
              <w:t>×</w:t>
            </w:r>
            <w:r>
              <w:rPr>
                <w:rFonts w:hint="eastAsia" w:cs="Times New Roman"/>
                <w:snapToGrid w:val="0"/>
                <w:color w:val="auto"/>
                <w:sz w:val="24"/>
                <w:highlight w:val="none"/>
                <w:lang w:val="en-US" w:eastAsia="zh-CN"/>
              </w:rPr>
              <w:t>10</w:t>
            </w:r>
            <w:r>
              <w:rPr>
                <w:rFonts w:hint="default" w:ascii="Times New Roman" w:hAnsi="Times New Roman" w:cs="Times New Roman"/>
                <w:snapToGrid w:val="0"/>
                <w:color w:val="auto"/>
                <w:sz w:val="24"/>
                <w:highlight w:val="none"/>
              </w:rPr>
              <w:t>/</w:t>
            </w:r>
            <w:r>
              <w:rPr>
                <w:rFonts w:hint="eastAsia" w:cs="Times New Roman"/>
                <w:snapToGrid w:val="0"/>
                <w:color w:val="auto"/>
                <w:sz w:val="24"/>
                <w:highlight w:val="none"/>
                <w:lang w:val="en-US" w:eastAsia="zh-CN"/>
              </w:rPr>
              <w:t>1000</w:t>
            </w:r>
            <w:r>
              <w:rPr>
                <w:rFonts w:hint="default" w:ascii="Times New Roman" w:hAnsi="Times New Roman" w:cs="Times New Roman"/>
                <w:snapToGrid w:val="0"/>
                <w:color w:val="auto"/>
                <w:sz w:val="24"/>
                <w:highlight w:val="none"/>
              </w:rPr>
              <w:t>=</w:t>
            </w:r>
            <w:r>
              <w:rPr>
                <w:rFonts w:hint="eastAsia" w:cs="Times New Roman"/>
                <w:snapToGrid w:val="0"/>
                <w:color w:val="auto"/>
                <w:sz w:val="24"/>
                <w:highlight w:val="none"/>
                <w:lang w:val="en-US" w:eastAsia="zh-CN"/>
              </w:rPr>
              <w:t>0.195</w:t>
            </w:r>
            <w:r>
              <w:rPr>
                <w:rFonts w:hint="default" w:ascii="Times New Roman" w:hAnsi="Times New Roman" w:cs="Times New Roman"/>
                <w:snapToGrid w:val="0"/>
                <w:color w:val="auto"/>
                <w:sz w:val="24"/>
                <w:highlight w:val="none"/>
              </w:rPr>
              <w:t>t/a</w:t>
            </w:r>
            <w:r>
              <w:rPr>
                <w:rFonts w:hint="eastAsia"/>
                <w:color w:val="auto"/>
                <w:sz w:val="24"/>
              </w:rPr>
              <w:t>。</w:t>
            </w:r>
          </w:p>
          <w:p w14:paraId="1D3FED10">
            <w:pPr>
              <w:pStyle w:val="15"/>
              <w:spacing w:after="0" w:line="360" w:lineRule="auto"/>
              <w:ind w:left="0" w:leftChars="0" w:firstLine="480"/>
              <w:jc w:val="both"/>
              <w:rPr>
                <w:rFonts w:hint="default" w:ascii="Times New Roman" w:hAnsi="Times New Roman" w:cs="Times New Roman"/>
                <w:b w:val="0"/>
                <w:bCs w:val="0"/>
                <w:color w:val="auto"/>
                <w:sz w:val="24"/>
                <w:lang w:val="en-US" w:eastAsia="zh-CN"/>
              </w:rPr>
            </w:pPr>
            <w:r>
              <w:rPr>
                <w:rFonts w:hint="eastAsia" w:cs="Times New Roman"/>
                <w:b/>
                <w:bCs/>
                <w:color w:val="auto"/>
                <w:sz w:val="24"/>
                <w:lang w:val="en-US" w:eastAsia="zh-CN"/>
              </w:rPr>
              <w:t>烫金</w:t>
            </w:r>
            <w:r>
              <w:rPr>
                <w:rFonts w:hint="eastAsia" w:ascii="Times New Roman" w:hAnsi="Times New Roman" w:cs="Times New Roman"/>
                <w:b/>
                <w:bCs/>
                <w:color w:val="auto"/>
                <w:sz w:val="24"/>
                <w:lang w:val="en-US" w:eastAsia="zh-CN"/>
              </w:rPr>
              <w:t>有机废气</w:t>
            </w:r>
            <w:r>
              <w:rPr>
                <w:rFonts w:hint="default" w:ascii="Times New Roman" w:hAnsi="Times New Roman" w:cs="Times New Roman"/>
                <w:b/>
                <w:bCs/>
                <w:color w:val="auto"/>
                <w:sz w:val="24"/>
                <w:lang w:val="en-US" w:eastAsia="zh-CN"/>
              </w:rPr>
              <w:t>来源</w:t>
            </w:r>
            <w:r>
              <w:rPr>
                <w:rFonts w:hint="eastAsia" w:cs="Times New Roman"/>
                <w:b/>
                <w:bCs/>
                <w:color w:val="auto"/>
                <w:sz w:val="24"/>
                <w:lang w:val="en-US" w:eastAsia="zh-CN"/>
              </w:rPr>
              <w:t>：</w:t>
            </w:r>
            <w:r>
              <w:rPr>
                <w:rFonts w:hint="default" w:ascii="Times New Roman" w:hAnsi="Times New Roman" w:cs="Times New Roman"/>
                <w:b w:val="0"/>
                <w:bCs w:val="0"/>
                <w:color w:val="auto"/>
                <w:sz w:val="24"/>
                <w:lang w:val="en-US" w:eastAsia="zh-CN"/>
              </w:rPr>
              <w:t>本项目建成后，2#车间拟设置5台烫金机</w:t>
            </w:r>
            <w:r>
              <w:rPr>
                <w:rFonts w:hint="default" w:ascii="Times New Roman" w:hAnsi="Times New Roman" w:cs="Times New Roman"/>
                <w:b/>
                <w:bCs/>
                <w:color w:val="auto"/>
                <w:sz w:val="24"/>
                <w:lang w:val="en-US" w:eastAsia="zh-CN"/>
              </w:rPr>
              <w:t>，</w:t>
            </w:r>
            <w:r>
              <w:rPr>
                <w:rFonts w:hint="default" w:ascii="Times New Roman" w:hAnsi="Times New Roman" w:eastAsia="宋体" w:cs="Times New Roman"/>
                <w:bCs/>
                <w:snapToGrid w:val="0"/>
                <w:color w:val="auto"/>
                <w:sz w:val="24"/>
              </w:rPr>
              <w:t>电化铝箔通常由多层材料构成，基材通常为PE树脂，其次是有机硅树脂层、染料层、电化铝箔薄膜层、热塑树脂层。采取电加热至90~120℃，不额外使用胶粘剂。因此，该过程产生的废气主要为树脂材料在高温下产生游离的有机单体。</w:t>
            </w:r>
          </w:p>
          <w:p w14:paraId="16A02FB0">
            <w:pPr>
              <w:adjustRightInd w:val="0"/>
              <w:snapToGrid w:val="0"/>
              <w:spacing w:line="360" w:lineRule="auto"/>
              <w:ind w:firstLine="482" w:firstLineChars="200"/>
              <w:rPr>
                <w:rFonts w:hint="default" w:eastAsia="宋体"/>
                <w:b/>
                <w:bCs/>
                <w:color w:val="auto"/>
                <w:sz w:val="24"/>
                <w:lang w:val="en-US" w:eastAsia="zh-CN"/>
              </w:rPr>
            </w:pPr>
            <w:r>
              <w:rPr>
                <w:rFonts w:hint="eastAsia" w:cs="Times New Roman"/>
                <w:b/>
                <w:bCs/>
                <w:color w:val="auto"/>
                <w:kern w:val="2"/>
                <w:sz w:val="24"/>
                <w:szCs w:val="24"/>
                <w:lang w:val="en-US" w:eastAsia="zh-CN"/>
              </w:rPr>
              <w:t>源强核算：</w:t>
            </w:r>
            <w:r>
              <w:rPr>
                <w:rFonts w:hint="eastAsia"/>
                <w:b w:val="0"/>
                <w:bCs w:val="0"/>
                <w:color w:val="auto"/>
                <w:sz w:val="24"/>
                <w:lang w:val="en-US" w:eastAsia="zh-CN"/>
              </w:rPr>
              <w:t>烫金有机废气</w:t>
            </w:r>
            <w:r>
              <w:rPr>
                <w:rFonts w:hint="eastAsia" w:ascii="Times New Roman" w:hAnsi="Times New Roman" w:eastAsia="宋体" w:cs="Times New Roman"/>
                <w:bCs/>
                <w:snapToGrid w:val="0"/>
                <w:color w:val="auto"/>
                <w:sz w:val="24"/>
              </w:rPr>
              <w:t>参考《空气污染物排放和控制手册》（美国国家环保局），熔融树脂在无控制措施时，非甲烷总烃的排放系数为0.35kg/t。</w:t>
            </w:r>
            <w:r>
              <w:rPr>
                <w:rFonts w:hint="eastAsia" w:cs="Times New Roman"/>
                <w:bCs/>
                <w:snapToGrid w:val="0"/>
                <w:color w:val="auto"/>
                <w:sz w:val="24"/>
                <w:lang w:val="en-US" w:eastAsia="zh-CN"/>
              </w:rPr>
              <w:t>2</w:t>
            </w:r>
            <w:r>
              <w:rPr>
                <w:rFonts w:hint="eastAsia" w:ascii="Times New Roman" w:hAnsi="Times New Roman" w:eastAsia="宋体" w:cs="Times New Roman"/>
                <w:bCs/>
                <w:snapToGrid w:val="0"/>
                <w:color w:val="auto"/>
                <w:sz w:val="24"/>
                <w:lang w:val="en-US" w:eastAsia="zh-CN"/>
              </w:rPr>
              <w:t>#车间</w:t>
            </w:r>
            <w:r>
              <w:rPr>
                <w:rFonts w:hint="eastAsia" w:ascii="Times New Roman" w:hAnsi="Times New Roman" w:eastAsia="宋体" w:cs="Times New Roman"/>
                <w:bCs/>
                <w:snapToGrid w:val="0"/>
                <w:color w:val="auto"/>
                <w:sz w:val="24"/>
              </w:rPr>
              <w:t>电化铝箔</w:t>
            </w:r>
            <w:r>
              <w:rPr>
                <w:rFonts w:hint="eastAsia" w:ascii="Times New Roman" w:hAnsi="Times New Roman" w:eastAsia="宋体" w:cs="Times New Roman"/>
                <w:bCs/>
                <w:snapToGrid w:val="0"/>
                <w:color w:val="auto"/>
                <w:sz w:val="24"/>
                <w:lang w:val="en-US" w:eastAsia="zh-CN"/>
              </w:rPr>
              <w:t>使用量为</w:t>
            </w:r>
            <w:r>
              <w:rPr>
                <w:rFonts w:hint="eastAsia" w:cs="Times New Roman"/>
                <w:bCs/>
                <w:snapToGrid w:val="0"/>
                <w:color w:val="auto"/>
                <w:sz w:val="24"/>
                <w:lang w:val="en-US" w:eastAsia="zh-CN"/>
              </w:rPr>
              <w:t>2</w:t>
            </w:r>
            <w:r>
              <w:rPr>
                <w:rFonts w:hint="eastAsia" w:ascii="Times New Roman" w:hAnsi="Times New Roman" w:eastAsia="宋体" w:cs="Times New Roman"/>
                <w:bCs/>
                <w:snapToGrid w:val="0"/>
                <w:color w:val="auto"/>
                <w:sz w:val="24"/>
                <w:lang w:val="en-US" w:eastAsia="zh-CN"/>
              </w:rPr>
              <w:t>t/a。</w:t>
            </w:r>
            <w:r>
              <w:rPr>
                <w:rFonts w:ascii="Times New Roman" w:hAnsi="Times New Roman" w:eastAsia="宋体" w:cs="Times New Roman"/>
                <w:color w:val="auto"/>
                <w:spacing w:val="2"/>
                <w:sz w:val="24"/>
                <w:highlight w:val="none"/>
              </w:rPr>
              <w:t>则有机废气产生量为</w:t>
            </w:r>
            <w:r>
              <w:rPr>
                <w:rFonts w:hint="eastAsia" w:cs="Times New Roman"/>
                <w:color w:val="auto"/>
                <w:spacing w:val="2"/>
                <w:sz w:val="24"/>
                <w:highlight w:val="none"/>
                <w:lang w:val="en-US" w:eastAsia="zh-CN"/>
              </w:rPr>
              <w:t>0.35×2×10</w:t>
            </w:r>
            <w:r>
              <w:rPr>
                <w:rFonts w:hint="eastAsia" w:cs="Times New Roman"/>
                <w:color w:val="auto"/>
                <w:spacing w:val="2"/>
                <w:sz w:val="24"/>
                <w:highlight w:val="none"/>
                <w:vertAlign w:val="superscript"/>
                <w:lang w:val="en-US" w:eastAsia="zh-CN"/>
              </w:rPr>
              <w:t>-3</w:t>
            </w:r>
            <w:r>
              <w:rPr>
                <w:rFonts w:hint="eastAsia" w:cs="Times New Roman"/>
                <w:color w:val="auto"/>
                <w:spacing w:val="2"/>
                <w:sz w:val="24"/>
                <w:highlight w:val="none"/>
                <w:lang w:val="en-US" w:eastAsia="zh-CN"/>
              </w:rPr>
              <w:t>=0.0007t</w:t>
            </w:r>
            <w:r>
              <w:rPr>
                <w:rFonts w:ascii="Times New Roman" w:hAnsi="Times New Roman" w:eastAsia="宋体" w:cs="Times New Roman"/>
                <w:color w:val="auto"/>
                <w:spacing w:val="2"/>
                <w:sz w:val="24"/>
                <w:highlight w:val="none"/>
              </w:rPr>
              <w:t>/a</w:t>
            </w:r>
            <w:r>
              <w:rPr>
                <w:rFonts w:hint="eastAsia"/>
                <w:color w:val="auto"/>
                <w:sz w:val="24"/>
                <w:highlight w:val="none"/>
              </w:rPr>
              <w:t>。</w:t>
            </w:r>
          </w:p>
          <w:p w14:paraId="1A47AE02">
            <w:pPr>
              <w:widowControl/>
              <w:spacing w:line="360" w:lineRule="auto"/>
              <w:ind w:firstLine="482" w:firstLineChars="200"/>
              <w:jc w:val="left"/>
              <w:rPr>
                <w:rFonts w:hint="eastAsia" w:cs="Times New Roman"/>
                <w:b w:val="0"/>
                <w:bCs w:val="0"/>
                <w:color w:val="auto"/>
                <w:kern w:val="2"/>
                <w:sz w:val="24"/>
                <w:szCs w:val="24"/>
                <w:lang w:val="en-US" w:eastAsia="zh-CN"/>
              </w:rPr>
            </w:pPr>
            <w:r>
              <w:rPr>
                <w:rFonts w:hint="eastAsia" w:cs="Times New Roman"/>
                <w:b/>
                <w:bCs/>
                <w:color w:val="auto"/>
                <w:kern w:val="2"/>
                <w:sz w:val="24"/>
                <w:szCs w:val="24"/>
                <w:lang w:val="en-US" w:eastAsia="zh-CN"/>
              </w:rPr>
              <w:t>打码有机废气来源：</w:t>
            </w:r>
            <w:r>
              <w:rPr>
                <w:rFonts w:hint="eastAsia" w:cs="Times New Roman"/>
                <w:b w:val="0"/>
                <w:bCs w:val="0"/>
                <w:color w:val="auto"/>
                <w:kern w:val="2"/>
                <w:sz w:val="24"/>
                <w:szCs w:val="24"/>
                <w:lang w:val="en-US" w:eastAsia="zh-CN"/>
              </w:rPr>
              <w:t>本项目部分产品需要根据客户需求在喷防伪码，采用自动喷码机喷码，此过程使用的水性喷墨，水性喷墨会有有机废气产生。</w:t>
            </w:r>
          </w:p>
          <w:p w14:paraId="531343E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right="0" w:firstLine="482" w:firstLineChars="200"/>
              <w:jc w:val="left"/>
              <w:textAlignment w:val="auto"/>
              <w:rPr>
                <w:color w:val="auto"/>
                <w:sz w:val="24"/>
              </w:rPr>
            </w:pPr>
            <w:r>
              <w:rPr>
                <w:rFonts w:hint="eastAsia" w:cs="Times New Roman"/>
                <w:b/>
                <w:bCs/>
                <w:color w:val="auto"/>
                <w:kern w:val="2"/>
                <w:sz w:val="24"/>
                <w:szCs w:val="24"/>
                <w:lang w:val="en-US" w:eastAsia="zh-CN"/>
              </w:rPr>
              <w:t>源强核算：</w:t>
            </w:r>
            <w:r>
              <w:rPr>
                <w:color w:val="auto"/>
                <w:sz w:val="24"/>
              </w:rPr>
              <w:t>据建设单位</w:t>
            </w:r>
            <w:r>
              <w:rPr>
                <w:rFonts w:hint="eastAsia"/>
                <w:color w:val="auto"/>
                <w:sz w:val="24"/>
              </w:rPr>
              <w:t>提供的</w:t>
            </w:r>
            <w:r>
              <w:rPr>
                <w:rFonts w:hint="eastAsia" w:ascii="宋体" w:hAnsi="宋体" w:cs="宋体"/>
                <w:b w:val="0"/>
                <w:bCs w:val="0"/>
                <w:color w:val="auto"/>
                <w:kern w:val="0"/>
                <w:sz w:val="24"/>
                <w:lang w:val="en-US" w:eastAsia="zh-CN"/>
              </w:rPr>
              <w:t>水性喷墨</w:t>
            </w:r>
            <w:r>
              <w:rPr>
                <w:rFonts w:hint="eastAsia"/>
                <w:color w:val="auto"/>
                <w:sz w:val="24"/>
              </w:rPr>
              <w:t>检测报告（附件</w:t>
            </w:r>
            <w:r>
              <w:rPr>
                <w:rFonts w:hint="eastAsia"/>
                <w:color w:val="auto"/>
                <w:sz w:val="24"/>
                <w:lang w:val="en-US" w:eastAsia="zh-CN"/>
              </w:rPr>
              <w:t>12</w:t>
            </w:r>
            <w:r>
              <w:rPr>
                <w:rFonts w:hint="eastAsia"/>
                <w:color w:val="auto"/>
                <w:sz w:val="24"/>
              </w:rPr>
              <w:t>）</w:t>
            </w:r>
            <w:r>
              <w:rPr>
                <w:rFonts w:hint="eastAsia"/>
                <w:color w:val="auto"/>
                <w:sz w:val="24"/>
                <w:lang w:eastAsia="zh-CN"/>
              </w:rPr>
              <w:t>，</w:t>
            </w:r>
            <w:r>
              <w:rPr>
                <w:rFonts w:hint="eastAsia"/>
                <w:color w:val="auto"/>
                <w:sz w:val="24"/>
                <w:lang w:val="en-US" w:eastAsia="zh-CN"/>
              </w:rPr>
              <w:t>本项目使用的水性喷墨中的挥发性有机化学物（VOCs）的含量为1.1%。</w:t>
            </w:r>
            <w:r>
              <w:rPr>
                <w:rFonts w:hint="eastAsia" w:ascii="宋体" w:hAnsi="宋体" w:cs="宋体"/>
                <w:b w:val="0"/>
                <w:bCs w:val="0"/>
                <w:color w:val="auto"/>
                <w:kern w:val="0"/>
                <w:sz w:val="24"/>
                <w:lang w:val="en-US" w:eastAsia="zh-CN"/>
              </w:rPr>
              <w:t>水性喷墨</w:t>
            </w:r>
            <w:r>
              <w:rPr>
                <w:rFonts w:hint="eastAsia"/>
                <w:color w:val="auto"/>
                <w:sz w:val="24"/>
                <w:lang w:val="en-US" w:eastAsia="zh-CN"/>
              </w:rPr>
              <w:t>用量为0.08t/a，</w:t>
            </w:r>
            <w:r>
              <w:rPr>
                <w:rFonts w:hint="eastAsia"/>
                <w:color w:val="auto"/>
                <w:sz w:val="24"/>
              </w:rPr>
              <w:t>因此，水性</w:t>
            </w:r>
            <w:r>
              <w:rPr>
                <w:rFonts w:hint="eastAsia"/>
                <w:color w:val="auto"/>
                <w:sz w:val="24"/>
                <w:lang w:val="en-US" w:eastAsia="zh-CN"/>
              </w:rPr>
              <w:t>喷墨</w:t>
            </w:r>
            <w:r>
              <w:rPr>
                <w:rFonts w:hint="eastAsia"/>
                <w:color w:val="auto"/>
                <w:sz w:val="24"/>
              </w:rPr>
              <w:t>有机废气产生量为</w:t>
            </w:r>
            <w:r>
              <w:rPr>
                <w:rFonts w:hint="eastAsia" w:cs="Times New Roman"/>
                <w:snapToGrid w:val="0"/>
                <w:color w:val="auto"/>
                <w:sz w:val="24"/>
                <w:highlight w:val="none"/>
                <w:lang w:val="en-US" w:eastAsia="zh-CN"/>
              </w:rPr>
              <w:t>0.08</w:t>
            </w:r>
            <w:r>
              <w:rPr>
                <w:rFonts w:hint="default" w:ascii="Times New Roman" w:hAnsi="Times New Roman" w:cs="Times New Roman"/>
                <w:snapToGrid w:val="0"/>
                <w:color w:val="auto"/>
                <w:sz w:val="24"/>
                <w:highlight w:val="none"/>
              </w:rPr>
              <w:t>×</w:t>
            </w:r>
            <w:r>
              <w:rPr>
                <w:rFonts w:hint="eastAsia" w:cs="Times New Roman"/>
                <w:snapToGrid w:val="0"/>
                <w:color w:val="auto"/>
                <w:sz w:val="24"/>
                <w:highlight w:val="none"/>
                <w:lang w:val="en-US" w:eastAsia="zh-CN"/>
              </w:rPr>
              <w:t>1.1%</w:t>
            </w:r>
            <w:r>
              <w:rPr>
                <w:rFonts w:hint="default" w:ascii="Times New Roman" w:hAnsi="Times New Roman" w:cs="Times New Roman"/>
                <w:snapToGrid w:val="0"/>
                <w:color w:val="auto"/>
                <w:sz w:val="24"/>
                <w:highlight w:val="none"/>
              </w:rPr>
              <w:t>=</w:t>
            </w:r>
            <w:r>
              <w:rPr>
                <w:rFonts w:hint="eastAsia" w:cs="Times New Roman"/>
                <w:snapToGrid w:val="0"/>
                <w:color w:val="auto"/>
                <w:sz w:val="24"/>
                <w:highlight w:val="none"/>
                <w:lang w:val="en-US" w:eastAsia="zh-CN"/>
              </w:rPr>
              <w:t>0.0009</w:t>
            </w:r>
            <w:r>
              <w:rPr>
                <w:rFonts w:hint="default" w:ascii="Times New Roman" w:hAnsi="Times New Roman" w:cs="Times New Roman"/>
                <w:snapToGrid w:val="0"/>
                <w:color w:val="auto"/>
                <w:sz w:val="24"/>
                <w:highlight w:val="none"/>
              </w:rPr>
              <w:t>t/a</w:t>
            </w:r>
            <w:r>
              <w:rPr>
                <w:rFonts w:hint="eastAsia"/>
                <w:color w:val="auto"/>
                <w:sz w:val="24"/>
              </w:rPr>
              <w:t>。</w:t>
            </w:r>
          </w:p>
          <w:p w14:paraId="720F7F4D">
            <w:pPr>
              <w:pStyle w:val="15"/>
              <w:widowControl w:val="0"/>
              <w:numPr>
                <w:ilvl w:val="0"/>
                <w:numId w:val="0"/>
              </w:numPr>
              <w:spacing w:after="0" w:line="360" w:lineRule="auto"/>
              <w:ind w:firstLine="482" w:firstLineChars="200"/>
              <w:jc w:val="both"/>
              <w:rPr>
                <w:rFonts w:hint="default" w:ascii="Times New Roman" w:hAnsi="Times New Roman" w:cs="Times New Roman"/>
                <w:color w:val="auto"/>
                <w:sz w:val="24"/>
                <w:szCs w:val="18"/>
              </w:rPr>
            </w:pPr>
            <w:r>
              <w:rPr>
                <w:rFonts w:hint="eastAsia"/>
                <w:b/>
                <w:bCs/>
                <w:color w:val="auto"/>
                <w:sz w:val="24"/>
              </w:rPr>
              <w:t>UV油墨</w:t>
            </w:r>
            <w:r>
              <w:rPr>
                <w:rFonts w:hint="eastAsia"/>
                <w:b/>
                <w:bCs/>
                <w:color w:val="auto"/>
                <w:sz w:val="24"/>
                <w:lang w:val="en-US" w:eastAsia="zh-CN"/>
              </w:rPr>
              <w:t>及</w:t>
            </w:r>
            <w:r>
              <w:rPr>
                <w:rFonts w:hint="eastAsia"/>
                <w:b/>
                <w:bCs/>
                <w:color w:val="auto"/>
                <w:sz w:val="24"/>
              </w:rPr>
              <w:t>丝网版清洁有机废气</w:t>
            </w:r>
            <w:r>
              <w:rPr>
                <w:rFonts w:hint="eastAsia"/>
                <w:b/>
                <w:bCs/>
                <w:color w:val="auto"/>
                <w:sz w:val="24"/>
                <w:lang w:eastAsia="zh-CN"/>
              </w:rPr>
              <w:t>：</w:t>
            </w:r>
            <w:r>
              <w:rPr>
                <w:rFonts w:hint="default" w:ascii="Times New Roman" w:hAnsi="Times New Roman" w:cs="Times New Roman"/>
                <w:b w:val="0"/>
                <w:bCs w:val="0"/>
                <w:color w:val="auto"/>
                <w:sz w:val="24"/>
                <w:lang w:val="en-US" w:eastAsia="zh-CN"/>
              </w:rPr>
              <w:t>UV印刷及</w:t>
            </w:r>
            <w:r>
              <w:rPr>
                <w:rFonts w:hint="default" w:ascii="Times New Roman" w:hAnsi="Times New Roman" w:cs="Times New Roman"/>
                <w:b w:val="0"/>
                <w:bCs w:val="0"/>
                <w:color w:val="auto"/>
                <w:sz w:val="24"/>
              </w:rPr>
              <w:t>丝网印刷过程中使用的UV油墨会挥发有机废气产生；</w:t>
            </w:r>
            <w:r>
              <w:rPr>
                <w:rFonts w:hint="default" w:ascii="Times New Roman" w:hAnsi="Times New Roman" w:cs="Times New Roman"/>
                <w:color w:val="auto"/>
                <w:sz w:val="24"/>
                <w:szCs w:val="18"/>
              </w:rPr>
              <w:t>丝网版使用久了油墨、杂质会堵塞网孔，用棉布蘸取少量酒精对网版表面进行擦拭清洁过程酒精挥发产生有机废气。</w:t>
            </w:r>
            <w:r>
              <w:rPr>
                <w:rFonts w:hint="eastAsia"/>
                <w:color w:val="auto"/>
                <w:sz w:val="24"/>
                <w:lang w:val="en-US" w:eastAsia="zh-CN"/>
              </w:rPr>
              <w:t>本项目</w:t>
            </w:r>
            <w:r>
              <w:rPr>
                <w:rFonts w:hint="eastAsia"/>
                <w:color w:val="auto"/>
                <w:sz w:val="24"/>
              </w:rPr>
              <w:t>利用打样机在</w:t>
            </w:r>
            <w:r>
              <w:rPr>
                <w:rFonts w:hint="eastAsia"/>
                <w:color w:val="auto"/>
                <w:sz w:val="24"/>
                <w:lang w:val="en-US" w:eastAsia="zh-CN"/>
              </w:rPr>
              <w:t>纸制品上</w:t>
            </w:r>
            <w:r>
              <w:rPr>
                <w:rFonts w:hint="eastAsia"/>
                <w:color w:val="auto"/>
                <w:sz w:val="24"/>
              </w:rPr>
              <w:t>进行印刷，本项目使用的打样机属于UV打印机，是一种高科技的免制版全彩色数码印刷机，采用UV印刷工艺，使用UV油墨印刷，利用紫外光线干燥</w:t>
            </w:r>
            <w:r>
              <w:rPr>
                <w:rFonts w:hint="eastAsia"/>
                <w:color w:val="auto"/>
                <w:sz w:val="24"/>
                <w:lang w:eastAsia="zh-CN"/>
              </w:rPr>
              <w:t>。</w:t>
            </w:r>
          </w:p>
          <w:p w14:paraId="11BD0739">
            <w:pPr>
              <w:pStyle w:val="15"/>
              <w:spacing w:after="0" w:line="360" w:lineRule="auto"/>
              <w:ind w:left="0" w:leftChars="0" w:firstLine="480"/>
              <w:jc w:val="both"/>
              <w:rPr>
                <w:color w:val="auto"/>
                <w:sz w:val="24"/>
              </w:rPr>
            </w:pPr>
            <w:r>
              <w:rPr>
                <w:rFonts w:hint="eastAsia"/>
                <w:b/>
                <w:bCs/>
                <w:color w:val="auto"/>
                <w:sz w:val="24"/>
                <w:lang w:val="en-US" w:eastAsia="zh-CN"/>
              </w:rPr>
              <w:t>源强：</w:t>
            </w:r>
            <w:r>
              <w:rPr>
                <w:rFonts w:hint="eastAsia"/>
                <w:b w:val="0"/>
                <w:bCs w:val="0"/>
                <w:color w:val="auto"/>
                <w:sz w:val="24"/>
                <w:lang w:val="en-US" w:eastAsia="zh-CN"/>
              </w:rPr>
              <w:t>uv油墨：</w:t>
            </w:r>
            <w:r>
              <w:rPr>
                <w:color w:val="auto"/>
                <w:sz w:val="24"/>
              </w:rPr>
              <w:t>根据建设单位</w:t>
            </w:r>
            <w:r>
              <w:rPr>
                <w:rFonts w:hint="eastAsia"/>
                <w:color w:val="auto"/>
                <w:sz w:val="24"/>
              </w:rPr>
              <w:t>提供的UV</w:t>
            </w:r>
            <w:r>
              <w:rPr>
                <w:rFonts w:hint="eastAsia"/>
                <w:color w:val="auto"/>
                <w:sz w:val="24"/>
                <w:lang w:val="en-US" w:eastAsia="zh-CN"/>
              </w:rPr>
              <w:t>油墨的</w:t>
            </w:r>
            <w:r>
              <w:rPr>
                <w:rFonts w:hint="eastAsia"/>
                <w:color w:val="auto"/>
                <w:sz w:val="24"/>
              </w:rPr>
              <w:t>物质安全资料表及VOC检测报告（附件</w:t>
            </w:r>
            <w:r>
              <w:rPr>
                <w:rFonts w:hint="eastAsia"/>
                <w:color w:val="auto"/>
                <w:sz w:val="24"/>
                <w:lang w:val="en-US" w:eastAsia="zh-CN"/>
              </w:rPr>
              <w:t>11</w:t>
            </w:r>
            <w:r>
              <w:rPr>
                <w:rFonts w:hint="eastAsia"/>
                <w:color w:val="auto"/>
                <w:sz w:val="24"/>
              </w:rPr>
              <w:t>），UV油墨有机化合物未检出，检出限为0.1%，按检出限计，</w:t>
            </w:r>
            <w:r>
              <w:rPr>
                <w:rFonts w:hint="eastAsia"/>
                <w:color w:val="auto"/>
                <w:sz w:val="24"/>
                <w:lang w:val="en-US" w:eastAsia="zh-CN"/>
              </w:rPr>
              <w:t>则丝印及UV印刷</w:t>
            </w:r>
            <w:r>
              <w:rPr>
                <w:rFonts w:hint="eastAsia"/>
                <w:color w:val="auto"/>
                <w:sz w:val="24"/>
              </w:rPr>
              <w:t>UV油墨用量为</w:t>
            </w:r>
            <w:r>
              <w:rPr>
                <w:rFonts w:hint="eastAsia"/>
                <w:color w:val="auto"/>
                <w:sz w:val="24"/>
                <w:lang w:val="en-US" w:eastAsia="zh-CN"/>
              </w:rPr>
              <w:t>6.5</w:t>
            </w:r>
            <w:r>
              <w:rPr>
                <w:rFonts w:hint="eastAsia"/>
                <w:color w:val="auto"/>
                <w:sz w:val="24"/>
              </w:rPr>
              <w:t>t/a，</w:t>
            </w:r>
            <w:r>
              <w:rPr>
                <w:rFonts w:hint="eastAsia"/>
                <w:color w:val="auto"/>
                <w:sz w:val="24"/>
                <w:lang w:val="en-US" w:eastAsia="zh-CN"/>
              </w:rPr>
              <w:t>打样</w:t>
            </w:r>
            <w:r>
              <w:rPr>
                <w:rFonts w:hint="eastAsia"/>
                <w:color w:val="auto"/>
                <w:sz w:val="24"/>
              </w:rPr>
              <w:t>UV油墨用量为</w:t>
            </w:r>
            <w:r>
              <w:rPr>
                <w:rFonts w:hint="eastAsia"/>
                <w:color w:val="auto"/>
                <w:sz w:val="24"/>
                <w:lang w:val="en-US" w:eastAsia="zh-CN"/>
              </w:rPr>
              <w:t>0.75</w:t>
            </w:r>
            <w:r>
              <w:rPr>
                <w:rFonts w:hint="eastAsia"/>
                <w:color w:val="auto"/>
                <w:sz w:val="24"/>
              </w:rPr>
              <w:t>t/a</w:t>
            </w:r>
            <w:r>
              <w:rPr>
                <w:rFonts w:hint="eastAsia"/>
                <w:color w:val="auto"/>
                <w:sz w:val="24"/>
                <w:lang w:val="en-US" w:eastAsia="zh-CN"/>
              </w:rPr>
              <w:t xml:space="preserve"> ，本项目UV油墨用量共7.25</w:t>
            </w:r>
            <w:r>
              <w:rPr>
                <w:rFonts w:hint="eastAsia"/>
                <w:color w:val="auto"/>
                <w:sz w:val="24"/>
              </w:rPr>
              <w:t>t/a</w:t>
            </w:r>
            <w:r>
              <w:rPr>
                <w:rFonts w:hint="eastAsia"/>
                <w:color w:val="auto"/>
                <w:sz w:val="24"/>
                <w:lang w:eastAsia="zh-CN"/>
              </w:rPr>
              <w:t>，</w:t>
            </w:r>
            <w:r>
              <w:rPr>
                <w:rFonts w:hint="eastAsia"/>
                <w:color w:val="auto"/>
                <w:sz w:val="24"/>
              </w:rPr>
              <w:t>因此，</w:t>
            </w:r>
            <w:r>
              <w:rPr>
                <w:rFonts w:hint="eastAsia"/>
                <w:color w:val="auto"/>
                <w:sz w:val="24"/>
                <w:lang w:val="en-US" w:eastAsia="zh-CN"/>
              </w:rPr>
              <w:t>UV油墨</w:t>
            </w:r>
            <w:r>
              <w:rPr>
                <w:rFonts w:hint="eastAsia"/>
                <w:color w:val="auto"/>
                <w:sz w:val="24"/>
              </w:rPr>
              <w:t>有机废气产生量为</w:t>
            </w:r>
            <w:r>
              <w:rPr>
                <w:rFonts w:hint="eastAsia"/>
                <w:color w:val="auto"/>
                <w:sz w:val="24"/>
                <w:lang w:val="en-US" w:eastAsia="zh-CN"/>
              </w:rPr>
              <w:t>7.25×0.1%=0.0073</w:t>
            </w:r>
            <w:r>
              <w:rPr>
                <w:rFonts w:hint="eastAsia"/>
                <w:color w:val="auto"/>
                <w:sz w:val="24"/>
              </w:rPr>
              <w:t>t/a。</w:t>
            </w:r>
          </w:p>
          <w:p w14:paraId="456A783A">
            <w:pPr>
              <w:pStyle w:val="15"/>
              <w:spacing w:after="0" w:line="360" w:lineRule="auto"/>
              <w:ind w:left="0" w:leftChars="0" w:firstLine="480"/>
              <w:jc w:val="both"/>
              <w:rPr>
                <w:color w:val="auto"/>
                <w:sz w:val="24"/>
              </w:rPr>
            </w:pPr>
            <w:r>
              <w:rPr>
                <w:rFonts w:hint="eastAsia"/>
                <w:color w:val="auto"/>
                <w:sz w:val="24"/>
              </w:rPr>
              <w:t>丝网版清洁有机废气：</w:t>
            </w:r>
            <w:r>
              <w:rPr>
                <w:color w:val="auto"/>
                <w:sz w:val="24"/>
              </w:rPr>
              <w:t>根据建设单位</w:t>
            </w:r>
            <w:r>
              <w:rPr>
                <w:rFonts w:hint="eastAsia"/>
                <w:color w:val="auto"/>
                <w:sz w:val="24"/>
              </w:rPr>
              <w:t>提供资料，丝网版清洁过程酒精使用量为0.04t/a，酒精按照全部挥发考虑，因此，丝网版清洁有机废气产生量为0.04t/a。</w:t>
            </w:r>
          </w:p>
          <w:p w14:paraId="5F95C0F0">
            <w:pPr>
              <w:pStyle w:val="15"/>
              <w:spacing w:after="0" w:line="360" w:lineRule="auto"/>
              <w:ind w:left="0" w:leftChars="0" w:firstLine="480"/>
              <w:jc w:val="both"/>
              <w:rPr>
                <w:rFonts w:hint="default" w:ascii="Times New Roman" w:hAnsi="Times New Roman" w:eastAsia="宋体" w:cs="Times New Roman"/>
                <w:bCs/>
                <w:snapToGrid w:val="0"/>
                <w:color w:val="auto"/>
                <w:sz w:val="24"/>
                <w:lang w:val="en-US" w:eastAsia="zh-CN"/>
              </w:rPr>
            </w:pPr>
            <w:r>
              <w:rPr>
                <w:rFonts w:hint="eastAsia" w:cs="Times New Roman"/>
                <w:b/>
                <w:bCs w:val="0"/>
                <w:snapToGrid w:val="0"/>
                <w:color w:val="auto"/>
                <w:sz w:val="24"/>
                <w:lang w:val="en-US" w:eastAsia="zh-CN"/>
              </w:rPr>
              <w:t>上光油有机废气来源：</w:t>
            </w:r>
            <w:r>
              <w:rPr>
                <w:rFonts w:hint="eastAsia" w:cs="Times New Roman"/>
                <w:b w:val="0"/>
                <w:bCs/>
                <w:snapToGrid w:val="0"/>
                <w:color w:val="auto"/>
                <w:sz w:val="24"/>
                <w:lang w:val="en-US" w:eastAsia="zh-CN"/>
              </w:rPr>
              <w:t>本项目</w:t>
            </w:r>
            <w:r>
              <w:rPr>
                <w:rFonts w:hint="eastAsia" w:ascii="Times New Roman" w:hAnsi="Times New Roman" w:eastAsia="宋体" w:cs="Times New Roman"/>
                <w:b w:val="0"/>
                <w:bCs/>
                <w:snapToGrid w:val="0"/>
                <w:color w:val="auto"/>
                <w:sz w:val="24"/>
                <w:lang w:val="en-US" w:eastAsia="zh-CN"/>
              </w:rPr>
              <w:t>在</w:t>
            </w:r>
            <w:r>
              <w:rPr>
                <w:rFonts w:hint="eastAsia" w:ascii="Times New Roman" w:hAnsi="Times New Roman" w:eastAsia="宋体" w:cs="Times New Roman"/>
                <w:bCs/>
                <w:snapToGrid w:val="0"/>
                <w:color w:val="auto"/>
                <w:sz w:val="24"/>
                <w:lang w:val="en-US" w:eastAsia="zh-CN"/>
              </w:rPr>
              <w:t>logo或图案表面布局上光，与周边图案相比显得鲜艳、亮丽、立体感强，能产生独特的艺术效果，局部上光使用光油在局部丝印机上进行，光油会有挥发有机废气产生</w:t>
            </w:r>
            <w:r>
              <w:rPr>
                <w:rFonts w:hint="eastAsia" w:cs="Times New Roman"/>
                <w:bCs/>
                <w:snapToGrid w:val="0"/>
                <w:color w:val="auto"/>
                <w:sz w:val="24"/>
                <w:lang w:val="en-US" w:eastAsia="zh-CN"/>
              </w:rPr>
              <w:t>。</w:t>
            </w:r>
          </w:p>
          <w:p w14:paraId="07901BA7">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sz w:val="24"/>
                <w:highlight w:val="none"/>
                <w:u w:val="none"/>
                <w:lang w:val="en-US"/>
              </w:rPr>
            </w:pPr>
            <w:r>
              <w:rPr>
                <w:rFonts w:hint="eastAsia"/>
                <w:b/>
                <w:bCs/>
                <w:color w:val="auto"/>
                <w:sz w:val="24"/>
                <w:szCs w:val="24"/>
                <w:lang w:val="en-US" w:eastAsia="zh-CN"/>
              </w:rPr>
              <w:t>源强：</w:t>
            </w:r>
            <w:r>
              <w:rPr>
                <w:rFonts w:hint="eastAsia"/>
                <w:color w:val="auto"/>
                <w:sz w:val="24"/>
                <w:szCs w:val="24"/>
              </w:rPr>
              <w:t>根据水性光油有机化合物检测报告可知</w:t>
            </w:r>
            <w:r>
              <w:rPr>
                <w:rFonts w:hint="eastAsia"/>
                <w:color w:val="auto"/>
                <w:sz w:val="24"/>
                <w:szCs w:val="24"/>
                <w:lang w:eastAsia="zh-CN"/>
              </w:rPr>
              <w:t>（</w:t>
            </w:r>
            <w:r>
              <w:rPr>
                <w:rFonts w:hint="eastAsia"/>
                <w:color w:val="auto"/>
                <w:sz w:val="24"/>
                <w:szCs w:val="24"/>
                <w:lang w:val="en-US" w:eastAsia="zh-CN"/>
              </w:rPr>
              <w:t>附件10</w:t>
            </w:r>
            <w:r>
              <w:rPr>
                <w:rFonts w:hint="eastAsia"/>
                <w:color w:val="auto"/>
                <w:sz w:val="24"/>
                <w:szCs w:val="24"/>
                <w:lang w:eastAsia="zh-CN"/>
              </w:rPr>
              <w:t>）</w:t>
            </w:r>
            <w:r>
              <w:rPr>
                <w:rFonts w:hint="eastAsia"/>
                <w:color w:val="auto"/>
                <w:sz w:val="24"/>
                <w:szCs w:val="24"/>
              </w:rPr>
              <w:t>：本项目使用的水性光油中挥发性有机化合物含量为37g/L。水性光油平均密度1.03g/cm</w:t>
            </w:r>
            <w:r>
              <w:rPr>
                <w:rFonts w:hint="eastAsia"/>
                <w:color w:val="auto"/>
                <w:sz w:val="24"/>
                <w:szCs w:val="24"/>
                <w:vertAlign w:val="superscript"/>
              </w:rPr>
              <w:t>3</w:t>
            </w:r>
            <w:r>
              <w:rPr>
                <w:rFonts w:hint="eastAsia"/>
                <w:b w:val="0"/>
                <w:bCs w:val="0"/>
                <w:color w:val="auto"/>
                <w:sz w:val="24"/>
                <w:szCs w:val="24"/>
                <w:vertAlign w:val="baseline"/>
                <w:lang w:eastAsia="zh-CN"/>
              </w:rPr>
              <w:t>（</w:t>
            </w:r>
            <w:r>
              <w:rPr>
                <w:rFonts w:hint="eastAsia"/>
                <w:b w:val="0"/>
                <w:bCs w:val="0"/>
                <w:color w:val="auto"/>
                <w:sz w:val="24"/>
                <w:szCs w:val="24"/>
                <w:vertAlign w:val="baseline"/>
                <w:lang w:val="en-US" w:eastAsia="zh-CN"/>
              </w:rPr>
              <w:t>1030g/L</w:t>
            </w:r>
            <w:r>
              <w:rPr>
                <w:rFonts w:hint="eastAsia"/>
                <w:b w:val="0"/>
                <w:bCs w:val="0"/>
                <w:color w:val="auto"/>
                <w:sz w:val="24"/>
                <w:szCs w:val="24"/>
                <w:vertAlign w:val="baseline"/>
                <w:lang w:eastAsia="zh-CN"/>
              </w:rPr>
              <w:t>）</w:t>
            </w:r>
            <w:r>
              <w:rPr>
                <w:rFonts w:hint="eastAsia"/>
                <w:color w:val="auto"/>
                <w:sz w:val="24"/>
                <w:szCs w:val="24"/>
              </w:rPr>
              <w:t>。</w:t>
            </w:r>
            <w:r>
              <w:rPr>
                <w:rFonts w:hint="eastAsia"/>
                <w:color w:val="auto"/>
                <w:sz w:val="24"/>
                <w:szCs w:val="24"/>
                <w:lang w:val="en-US" w:eastAsia="zh-CN"/>
              </w:rPr>
              <w:t>本项目水性光油用量为0.8</w:t>
            </w:r>
            <w:r>
              <w:rPr>
                <w:rFonts w:hint="eastAsia"/>
                <w:color w:val="auto"/>
                <w:sz w:val="24"/>
              </w:rPr>
              <w:t>t/a</w:t>
            </w:r>
            <w:r>
              <w:rPr>
                <w:rFonts w:hint="eastAsia"/>
                <w:color w:val="auto"/>
                <w:sz w:val="24"/>
                <w:lang w:eastAsia="zh-CN"/>
              </w:rPr>
              <w:t>，</w:t>
            </w:r>
            <w:r>
              <w:rPr>
                <w:rFonts w:hint="eastAsia"/>
                <w:color w:val="auto"/>
                <w:sz w:val="24"/>
              </w:rPr>
              <w:t>因此，水性</w:t>
            </w:r>
            <w:r>
              <w:rPr>
                <w:rFonts w:hint="eastAsia"/>
                <w:color w:val="auto"/>
                <w:sz w:val="24"/>
                <w:lang w:val="en-US" w:eastAsia="zh-CN"/>
              </w:rPr>
              <w:t>光油</w:t>
            </w:r>
            <w:r>
              <w:rPr>
                <w:rFonts w:hint="eastAsia"/>
                <w:color w:val="auto"/>
                <w:sz w:val="24"/>
              </w:rPr>
              <w:t>有机废气产生量为</w:t>
            </w:r>
            <w:r>
              <w:rPr>
                <w:rFonts w:hint="eastAsia" w:cs="Times New Roman"/>
                <w:snapToGrid w:val="0"/>
                <w:color w:val="auto"/>
                <w:sz w:val="24"/>
                <w:highlight w:val="none"/>
                <w:lang w:val="en-US" w:eastAsia="zh-CN"/>
              </w:rPr>
              <w:t>0.8</w:t>
            </w:r>
            <w:r>
              <w:rPr>
                <w:rFonts w:hint="default" w:ascii="Times New Roman" w:hAnsi="Times New Roman" w:cs="Times New Roman"/>
                <w:snapToGrid w:val="0"/>
                <w:color w:val="auto"/>
                <w:sz w:val="24"/>
                <w:highlight w:val="none"/>
              </w:rPr>
              <w:t>×</w:t>
            </w:r>
            <w:r>
              <w:rPr>
                <w:rFonts w:hint="eastAsia" w:cs="Times New Roman"/>
                <w:snapToGrid w:val="0"/>
                <w:color w:val="auto"/>
                <w:sz w:val="24"/>
                <w:highlight w:val="none"/>
                <w:lang w:val="en-US" w:eastAsia="zh-CN"/>
              </w:rPr>
              <w:t>3</w:t>
            </w:r>
            <w:bookmarkEnd w:id="35"/>
            <w:r>
              <w:rPr>
                <w:rFonts w:hint="eastAsia" w:cs="Times New Roman"/>
                <w:snapToGrid w:val="0"/>
                <w:color w:val="auto"/>
                <w:sz w:val="24"/>
                <w:highlight w:val="none"/>
                <w:lang w:val="en-US" w:eastAsia="zh-CN"/>
              </w:rPr>
              <w:t>7/1030=0.0287</w:t>
            </w:r>
            <w:r>
              <w:rPr>
                <w:rFonts w:hint="eastAsia"/>
                <w:color w:val="auto"/>
                <w:sz w:val="24"/>
              </w:rPr>
              <w:t>t/a</w:t>
            </w:r>
          </w:p>
          <w:p w14:paraId="00BAF7F7">
            <w:pPr>
              <w:pStyle w:val="15"/>
              <w:spacing w:after="0" w:line="360" w:lineRule="auto"/>
              <w:ind w:left="0" w:leftChars="0" w:firstLine="480"/>
              <w:jc w:val="both"/>
              <w:rPr>
                <w:color w:val="auto"/>
                <w:sz w:val="24"/>
              </w:rPr>
            </w:pPr>
            <w:r>
              <w:rPr>
                <w:rFonts w:hint="eastAsia"/>
                <w:b/>
                <w:bCs/>
                <w:color w:val="auto"/>
                <w:sz w:val="24"/>
              </w:rPr>
              <w:t>治理措施</w:t>
            </w:r>
            <w:r>
              <w:rPr>
                <w:rFonts w:hint="eastAsia"/>
                <w:color w:val="auto"/>
                <w:sz w:val="24"/>
              </w:rPr>
              <w:t>：</w:t>
            </w:r>
          </w:p>
          <w:p w14:paraId="77492F22">
            <w:pPr>
              <w:spacing w:line="360" w:lineRule="auto"/>
              <w:ind w:firstLine="480" w:firstLineChars="200"/>
              <w:rPr>
                <w:b/>
                <w:bCs/>
                <w:color w:val="auto"/>
                <w:sz w:val="24"/>
                <w:szCs w:val="18"/>
                <w:highlight w:val="yellow"/>
              </w:rPr>
            </w:pPr>
            <w:r>
              <w:rPr>
                <w:rFonts w:hint="eastAsia"/>
                <w:color w:val="auto"/>
                <w:sz w:val="24"/>
              </w:rPr>
              <w:t>在</w:t>
            </w:r>
            <w:r>
              <w:rPr>
                <w:rFonts w:hint="eastAsia"/>
                <w:color w:val="auto"/>
                <w:sz w:val="24"/>
                <w:lang w:val="en-US" w:eastAsia="zh-CN"/>
              </w:rPr>
              <w:t>覆膜机</w:t>
            </w:r>
            <w:r>
              <w:rPr>
                <w:rFonts w:hint="eastAsia"/>
                <w:color w:val="auto"/>
                <w:sz w:val="24"/>
                <w:lang w:eastAsia="zh-CN"/>
              </w:rPr>
              <w:t>、</w:t>
            </w:r>
            <w:r>
              <w:rPr>
                <w:rFonts w:hint="eastAsia"/>
                <w:color w:val="auto"/>
                <w:sz w:val="24"/>
                <w:lang w:val="en-US" w:eastAsia="zh-CN"/>
              </w:rPr>
              <w:t>自动喷码机、打样机、</w:t>
            </w:r>
            <w:r>
              <w:rPr>
                <w:rFonts w:hint="eastAsia"/>
                <w:color w:val="auto"/>
                <w:sz w:val="24"/>
              </w:rPr>
              <w:t>丝网印刷机</w:t>
            </w:r>
            <w:r>
              <w:rPr>
                <w:rFonts w:hint="eastAsia"/>
                <w:color w:val="auto"/>
                <w:sz w:val="24"/>
                <w:lang w:val="en-US" w:eastAsia="zh-CN"/>
              </w:rPr>
              <w:t>及冷烫机</w:t>
            </w:r>
            <w:r>
              <w:rPr>
                <w:rFonts w:hint="eastAsia"/>
                <w:color w:val="auto"/>
                <w:sz w:val="24"/>
              </w:rPr>
              <w:t>上方设置集气罩（共</w:t>
            </w:r>
            <w:r>
              <w:rPr>
                <w:rFonts w:hint="eastAsia"/>
                <w:color w:val="auto"/>
                <w:sz w:val="24"/>
                <w:lang w:val="en-US" w:eastAsia="zh-CN"/>
              </w:rPr>
              <w:t>7</w:t>
            </w:r>
            <w:r>
              <w:rPr>
                <w:rFonts w:hint="eastAsia"/>
                <w:color w:val="auto"/>
                <w:sz w:val="24"/>
              </w:rPr>
              <w:t>个）</w:t>
            </w:r>
            <w:r>
              <w:rPr>
                <w:rFonts w:hint="eastAsia"/>
                <w:color w:val="auto"/>
                <w:sz w:val="24"/>
                <w:lang w:eastAsia="zh-CN"/>
              </w:rPr>
              <w:t>，</w:t>
            </w:r>
            <w:r>
              <w:rPr>
                <w:rFonts w:hint="eastAsia"/>
                <w:color w:val="auto"/>
                <w:sz w:val="24"/>
              </w:rPr>
              <w:t>同时进一步密闭印刷车间，加强管理，</w:t>
            </w:r>
            <w:r>
              <w:rPr>
                <w:rFonts w:hint="eastAsia"/>
                <w:color w:val="auto"/>
                <w:sz w:val="24"/>
                <w:lang w:val="en-US" w:eastAsia="zh-CN"/>
              </w:rPr>
              <w:t>将罗兰印刷机设置在密闭印刷间内，</w:t>
            </w:r>
            <w:r>
              <w:rPr>
                <w:rFonts w:hint="eastAsia"/>
                <w:color w:val="auto"/>
                <w:sz w:val="24"/>
              </w:rPr>
              <w:t>在车间生产过程中，密闭印刷车间，丝网版清洁过程</w:t>
            </w:r>
            <w:r>
              <w:rPr>
                <w:rFonts w:hint="eastAsia"/>
                <w:color w:val="auto"/>
                <w:sz w:val="24"/>
                <w:lang w:val="en-US" w:eastAsia="zh-CN"/>
              </w:rPr>
              <w:t>在丝网版清洁上方设</w:t>
            </w:r>
            <w:r>
              <w:rPr>
                <w:rFonts w:hint="eastAsia"/>
                <w:color w:val="auto"/>
                <w:sz w:val="24"/>
              </w:rPr>
              <w:t>集气罩</w:t>
            </w:r>
            <w:r>
              <w:rPr>
                <w:rFonts w:hint="eastAsia"/>
                <w:color w:val="auto"/>
                <w:sz w:val="24"/>
                <w:lang w:eastAsia="zh-CN"/>
              </w:rPr>
              <w:t>（</w:t>
            </w:r>
            <w:r>
              <w:rPr>
                <w:rFonts w:hint="eastAsia"/>
                <w:color w:val="auto"/>
                <w:sz w:val="24"/>
                <w:lang w:val="en-US" w:eastAsia="zh-CN"/>
              </w:rPr>
              <w:t>1个，1m×1米</w:t>
            </w:r>
            <w:r>
              <w:rPr>
                <w:rFonts w:hint="eastAsia"/>
                <w:color w:val="auto"/>
                <w:sz w:val="24"/>
                <w:lang w:eastAsia="zh-CN"/>
              </w:rPr>
              <w:t>）</w:t>
            </w:r>
            <w:r>
              <w:rPr>
                <w:rFonts w:hint="eastAsia"/>
                <w:color w:val="auto"/>
                <w:sz w:val="24"/>
              </w:rPr>
              <w:t>，</w:t>
            </w:r>
            <w:r>
              <w:rPr>
                <w:rFonts w:hint="eastAsia"/>
                <w:bCs/>
                <w:color w:val="auto"/>
                <w:sz w:val="24"/>
                <w:szCs w:val="24"/>
                <w:lang w:val="en-US" w:eastAsia="zh-CN"/>
              </w:rPr>
              <w:t>烫金机上</w:t>
            </w:r>
            <w:r>
              <w:rPr>
                <w:rFonts w:hint="eastAsia"/>
                <w:bCs/>
                <w:color w:val="auto"/>
                <w:sz w:val="24"/>
                <w:szCs w:val="24"/>
              </w:rPr>
              <w:t>设集尘罩</w:t>
            </w:r>
            <w:r>
              <w:rPr>
                <w:rFonts w:hint="eastAsia"/>
                <w:bCs/>
                <w:color w:val="auto"/>
                <w:sz w:val="24"/>
                <w:szCs w:val="24"/>
                <w:lang w:eastAsia="zh-CN"/>
              </w:rPr>
              <w:t>（</w:t>
            </w:r>
            <w:r>
              <w:rPr>
                <w:rFonts w:hint="eastAsia"/>
                <w:bCs/>
                <w:color w:val="auto"/>
                <w:sz w:val="24"/>
                <w:szCs w:val="24"/>
                <w:lang w:val="en-US" w:eastAsia="zh-CN"/>
              </w:rPr>
              <w:t>5个集气罩。集气罩尺寸为</w:t>
            </w:r>
            <w:r>
              <w:rPr>
                <w:rFonts w:hint="eastAsia"/>
                <w:color w:val="auto"/>
                <w:sz w:val="24"/>
                <w:szCs w:val="24"/>
                <w:lang w:val="en-US" w:eastAsia="zh-CN"/>
              </w:rPr>
              <w:t>0.6</w:t>
            </w:r>
            <w:r>
              <w:rPr>
                <w:rFonts w:hint="eastAsia"/>
                <w:color w:val="auto"/>
                <w:sz w:val="24"/>
                <w:szCs w:val="24"/>
              </w:rPr>
              <w:t>m×</w:t>
            </w:r>
            <w:r>
              <w:rPr>
                <w:rFonts w:hint="eastAsia"/>
                <w:color w:val="auto"/>
                <w:sz w:val="24"/>
                <w:szCs w:val="24"/>
                <w:lang w:val="en-US" w:eastAsia="zh-CN"/>
              </w:rPr>
              <w:t>0.6</w:t>
            </w:r>
            <w:r>
              <w:rPr>
                <w:rFonts w:hint="eastAsia"/>
                <w:color w:val="auto"/>
                <w:sz w:val="24"/>
                <w:szCs w:val="24"/>
              </w:rPr>
              <w:t>m</w:t>
            </w:r>
            <w:r>
              <w:rPr>
                <w:rFonts w:hint="eastAsia"/>
                <w:bCs/>
                <w:color w:val="auto"/>
                <w:sz w:val="24"/>
                <w:szCs w:val="24"/>
                <w:lang w:eastAsia="zh-CN"/>
              </w:rPr>
              <w:t>）</w:t>
            </w:r>
            <w:r>
              <w:rPr>
                <w:rFonts w:hint="eastAsia"/>
                <w:bCs/>
                <w:color w:val="auto"/>
                <w:sz w:val="24"/>
                <w:szCs w:val="24"/>
                <w:highlight w:val="none"/>
                <w:lang w:eastAsia="zh-CN"/>
              </w:rPr>
              <w:t>，</w:t>
            </w:r>
            <w:r>
              <w:rPr>
                <w:rFonts w:hint="eastAsia"/>
                <w:color w:val="auto"/>
                <w:sz w:val="24"/>
                <w:highlight w:val="none"/>
              </w:rPr>
              <w:t>有机废气经集气罩收集后</w:t>
            </w:r>
            <w:r>
              <w:rPr>
                <w:rFonts w:hint="eastAsia"/>
                <w:color w:val="auto"/>
                <w:sz w:val="24"/>
                <w:szCs w:val="24"/>
                <w:highlight w:val="none"/>
              </w:rPr>
              <w:t>引至两级活性炭吸附装置（TA00</w:t>
            </w:r>
            <w:r>
              <w:rPr>
                <w:rFonts w:hint="eastAsia"/>
                <w:color w:val="auto"/>
                <w:sz w:val="24"/>
                <w:szCs w:val="24"/>
                <w:highlight w:val="none"/>
                <w:lang w:val="en-US" w:eastAsia="zh-CN"/>
              </w:rPr>
              <w:t>3</w:t>
            </w:r>
            <w:r>
              <w:rPr>
                <w:rFonts w:hint="eastAsia"/>
                <w:color w:val="auto"/>
                <w:sz w:val="24"/>
                <w:szCs w:val="24"/>
                <w:highlight w:val="none"/>
              </w:rPr>
              <w:t>）+</w:t>
            </w:r>
            <w:r>
              <w:rPr>
                <w:rFonts w:hint="eastAsia"/>
                <w:color w:val="auto"/>
                <w:sz w:val="24"/>
                <w:szCs w:val="24"/>
                <w:highlight w:val="none"/>
                <w:lang w:val="en-US" w:eastAsia="zh-CN"/>
              </w:rPr>
              <w:t>15</w:t>
            </w:r>
            <w:r>
              <w:rPr>
                <w:rFonts w:hint="eastAsia"/>
                <w:color w:val="auto"/>
                <w:sz w:val="24"/>
                <w:szCs w:val="24"/>
                <w:highlight w:val="none"/>
              </w:rPr>
              <w:t>m排气筒（DA00</w:t>
            </w:r>
            <w:r>
              <w:rPr>
                <w:rFonts w:hint="eastAsia"/>
                <w:color w:val="auto"/>
                <w:sz w:val="24"/>
                <w:szCs w:val="24"/>
                <w:highlight w:val="none"/>
                <w:lang w:val="en-US" w:eastAsia="zh-CN"/>
              </w:rPr>
              <w:t>3</w:t>
            </w:r>
            <w:r>
              <w:rPr>
                <w:rFonts w:hint="eastAsia"/>
                <w:color w:val="auto"/>
                <w:sz w:val="24"/>
                <w:szCs w:val="24"/>
                <w:highlight w:val="none"/>
              </w:rPr>
              <w:t>）排放。</w:t>
            </w:r>
            <w:r>
              <w:rPr>
                <w:rFonts w:hint="eastAsia"/>
                <w:color w:val="auto"/>
                <w:sz w:val="24"/>
                <w:szCs w:val="24"/>
                <w:highlight w:val="none"/>
                <w:lang w:val="en-US" w:eastAsia="zh-CN"/>
              </w:rPr>
              <w:t>有机</w:t>
            </w:r>
            <w:r>
              <w:rPr>
                <w:rFonts w:hint="eastAsia"/>
                <w:color w:val="auto"/>
                <w:sz w:val="24"/>
                <w:szCs w:val="24"/>
                <w:highlight w:val="none"/>
              </w:rPr>
              <w:t>废气收集效率按90%计，有机废气去除效率按</w:t>
            </w:r>
            <w:r>
              <w:rPr>
                <w:rFonts w:hint="eastAsia"/>
                <w:color w:val="auto"/>
                <w:sz w:val="24"/>
                <w:szCs w:val="24"/>
                <w:highlight w:val="none"/>
                <w:lang w:val="en-US" w:eastAsia="zh-CN"/>
              </w:rPr>
              <w:t>90</w:t>
            </w:r>
            <w:r>
              <w:rPr>
                <w:rFonts w:hint="eastAsia"/>
                <w:color w:val="auto"/>
                <w:sz w:val="24"/>
                <w:szCs w:val="24"/>
                <w:highlight w:val="none"/>
              </w:rPr>
              <w:t>%计</w:t>
            </w:r>
            <w:r>
              <w:rPr>
                <w:rFonts w:hint="eastAsia"/>
                <w:color w:val="auto"/>
                <w:sz w:val="24"/>
                <w:szCs w:val="24"/>
                <w:highlight w:val="none"/>
                <w:lang w:eastAsia="zh-CN"/>
              </w:rPr>
              <w:t>，</w:t>
            </w:r>
            <w:r>
              <w:rPr>
                <w:rFonts w:hint="eastAsia"/>
                <w:color w:val="auto"/>
                <w:sz w:val="24"/>
                <w:szCs w:val="24"/>
                <w:highlight w:val="none"/>
              </w:rPr>
              <w:t>风机风量为</w:t>
            </w:r>
            <w:r>
              <w:rPr>
                <w:rFonts w:hint="eastAsia"/>
                <w:color w:val="auto"/>
                <w:sz w:val="24"/>
                <w:szCs w:val="24"/>
                <w:highlight w:val="none"/>
                <w:lang w:val="en-US" w:eastAsia="zh-CN"/>
              </w:rPr>
              <w:t>35000</w:t>
            </w:r>
            <w:r>
              <w:rPr>
                <w:rFonts w:hint="eastAsia"/>
                <w:color w:val="auto"/>
                <w:sz w:val="24"/>
                <w:szCs w:val="24"/>
                <w:highlight w:val="none"/>
              </w:rPr>
              <w:t>m</w:t>
            </w:r>
            <w:r>
              <w:rPr>
                <w:rFonts w:hint="eastAsia"/>
                <w:color w:val="auto"/>
                <w:sz w:val="24"/>
                <w:szCs w:val="24"/>
                <w:highlight w:val="none"/>
                <w:vertAlign w:val="superscript"/>
              </w:rPr>
              <w:t>3</w:t>
            </w:r>
            <w:r>
              <w:rPr>
                <w:rFonts w:hint="eastAsia"/>
                <w:color w:val="auto"/>
                <w:sz w:val="24"/>
                <w:szCs w:val="24"/>
                <w:highlight w:val="none"/>
              </w:rPr>
              <w:t>/h</w:t>
            </w:r>
            <w:r>
              <w:rPr>
                <w:rFonts w:hint="eastAsia"/>
                <w:color w:val="auto"/>
                <w:sz w:val="24"/>
                <w:szCs w:val="24"/>
                <w:highlight w:val="none"/>
                <w:lang w:eastAsia="zh-CN"/>
              </w:rPr>
              <w:t>。</w:t>
            </w:r>
          </w:p>
          <w:p w14:paraId="63AF105F">
            <w:pPr>
              <w:pStyle w:val="94"/>
              <w:keepNext w:val="0"/>
              <w:keepLines w:val="0"/>
              <w:suppressLineNumbers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风量核算：</w:t>
            </w:r>
          </w:p>
          <w:p w14:paraId="1D6E847B">
            <w:pPr>
              <w:pStyle w:val="15"/>
              <w:spacing w:after="0" w:line="360" w:lineRule="auto"/>
              <w:ind w:left="0" w:leftChars="0" w:firstLine="480"/>
              <w:jc w:val="both"/>
              <w:rPr>
                <w:rFonts w:hint="eastAsia"/>
                <w:color w:val="auto"/>
                <w:lang w:val="en-US" w:eastAsia="zh-CN"/>
              </w:rPr>
            </w:pPr>
            <w:r>
              <w:rPr>
                <w:rFonts w:hint="eastAsia" w:ascii="Times New Roman" w:hAnsi="Times New Roman" w:eastAsia="宋体" w:cs="Times New Roman"/>
                <w:bCs/>
                <w:snapToGrid w:val="0"/>
                <w:color w:val="auto"/>
                <w:sz w:val="24"/>
                <w:lang w:val="en-US" w:eastAsia="zh-CN"/>
              </w:rPr>
              <w:t>车间换气次数原则：车间换气次数参照《洁净厂房设计规范》（GB50073-2013）进行核算，本项目印刷品为普通印刷品，印刷车间空气洁净等级要求为7级，换气次数要求为15~25次/h。</w:t>
            </w:r>
          </w:p>
          <w:p w14:paraId="2CB02013">
            <w:pPr>
              <w:pStyle w:val="102"/>
              <w:numPr>
                <w:ilvl w:val="0"/>
                <w:numId w:val="0"/>
              </w:numPr>
              <w:spacing w:before="120" w:beforeLines="50" w:after="0" w:afterLines="0"/>
              <w:ind w:leftChars="0"/>
              <w:jc w:val="center"/>
              <w:rPr>
                <w:color w:val="auto"/>
                <w:sz w:val="24"/>
              </w:rPr>
            </w:pPr>
            <w:r>
              <w:rPr>
                <w:rFonts w:hint="eastAsia"/>
                <w:color w:val="auto"/>
                <w:lang w:val="en-US" w:eastAsia="zh-CN"/>
              </w:rPr>
              <w:t>表4-6  2#车间</w:t>
            </w:r>
            <w:r>
              <w:rPr>
                <w:rFonts w:hint="eastAsia"/>
                <w:color w:val="auto"/>
              </w:rPr>
              <w:t>集气罩理论风量核算结果一览表</w:t>
            </w:r>
          </w:p>
          <w:tbl>
            <w:tblPr>
              <w:tblStyle w:val="25"/>
              <w:tblW w:w="4872" w:type="pct"/>
              <w:jc w:val="center"/>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095"/>
              <w:gridCol w:w="936"/>
              <w:gridCol w:w="810"/>
              <w:gridCol w:w="1204"/>
              <w:gridCol w:w="1092"/>
              <w:gridCol w:w="1043"/>
              <w:gridCol w:w="810"/>
              <w:gridCol w:w="1072"/>
            </w:tblGrid>
            <w:tr w14:paraId="3FB5A81D">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20" w:hRule="atLeast"/>
                <w:jc w:val="center"/>
              </w:trPr>
              <w:tc>
                <w:tcPr>
                  <w:tcW w:w="680" w:type="pct"/>
                  <w:noWrap w:val="0"/>
                  <w:vAlign w:val="center"/>
                </w:tcPr>
                <w:p w14:paraId="41BA0799">
                  <w:pPr>
                    <w:pStyle w:val="101"/>
                    <w:rPr>
                      <w:rFonts w:hint="eastAsia"/>
                      <w:b/>
                      <w:bCs/>
                      <w:color w:val="auto"/>
                    </w:rPr>
                  </w:pPr>
                  <w:r>
                    <w:rPr>
                      <w:rFonts w:hint="eastAsia"/>
                      <w:b/>
                      <w:bCs/>
                      <w:color w:val="auto"/>
                    </w:rPr>
                    <w:t>污染物名称</w:t>
                  </w:r>
                </w:p>
              </w:tc>
              <w:tc>
                <w:tcPr>
                  <w:tcW w:w="581" w:type="pct"/>
                  <w:noWrap w:val="0"/>
                  <w:vAlign w:val="center"/>
                </w:tcPr>
                <w:p w14:paraId="4A8502A9">
                  <w:pPr>
                    <w:pStyle w:val="101"/>
                    <w:rPr>
                      <w:rFonts w:hint="eastAsia"/>
                      <w:b/>
                      <w:bCs/>
                      <w:color w:val="auto"/>
                    </w:rPr>
                  </w:pPr>
                  <w:r>
                    <w:rPr>
                      <w:rFonts w:hint="eastAsia"/>
                      <w:b/>
                      <w:bCs/>
                      <w:color w:val="auto"/>
                    </w:rPr>
                    <w:t>废气收集方式</w:t>
                  </w:r>
                </w:p>
              </w:tc>
              <w:tc>
                <w:tcPr>
                  <w:tcW w:w="502" w:type="pct"/>
                  <w:noWrap w:val="0"/>
                  <w:vAlign w:val="center"/>
                </w:tcPr>
                <w:p w14:paraId="3FD381B6">
                  <w:pPr>
                    <w:pStyle w:val="101"/>
                    <w:rPr>
                      <w:rFonts w:hint="eastAsia"/>
                      <w:b/>
                      <w:bCs/>
                      <w:color w:val="auto"/>
                    </w:rPr>
                  </w:pPr>
                  <w:r>
                    <w:rPr>
                      <w:rFonts w:hint="eastAsia"/>
                      <w:b/>
                      <w:bCs/>
                      <w:color w:val="auto"/>
                    </w:rPr>
                    <w:t>核算方式</w:t>
                  </w:r>
                </w:p>
              </w:tc>
              <w:tc>
                <w:tcPr>
                  <w:tcW w:w="746" w:type="pct"/>
                  <w:noWrap w:val="0"/>
                  <w:vAlign w:val="center"/>
                </w:tcPr>
                <w:p w14:paraId="498FFD25">
                  <w:pPr>
                    <w:pStyle w:val="101"/>
                    <w:rPr>
                      <w:b/>
                      <w:bCs/>
                      <w:color w:val="auto"/>
                    </w:rPr>
                  </w:pPr>
                  <w:r>
                    <w:rPr>
                      <w:rFonts w:hint="eastAsia"/>
                      <w:b/>
                      <w:bCs/>
                      <w:color w:val="auto"/>
                    </w:rPr>
                    <w:t>集气罩至污染源的距离</w:t>
                  </w:r>
                </w:p>
              </w:tc>
              <w:tc>
                <w:tcPr>
                  <w:tcW w:w="677" w:type="pct"/>
                  <w:noWrap w:val="0"/>
                  <w:vAlign w:val="center"/>
                </w:tcPr>
                <w:p w14:paraId="11F209CF">
                  <w:pPr>
                    <w:pStyle w:val="101"/>
                    <w:rPr>
                      <w:b/>
                      <w:bCs/>
                      <w:color w:val="auto"/>
                    </w:rPr>
                  </w:pPr>
                  <w:r>
                    <w:rPr>
                      <w:rFonts w:hint="eastAsia"/>
                      <w:b/>
                      <w:bCs/>
                      <w:color w:val="auto"/>
                    </w:rPr>
                    <w:t>集气罩口总面积</w:t>
                  </w:r>
                </w:p>
              </w:tc>
              <w:tc>
                <w:tcPr>
                  <w:tcW w:w="647" w:type="pct"/>
                  <w:noWrap w:val="0"/>
                  <w:vAlign w:val="center"/>
                </w:tcPr>
                <w:p w14:paraId="1432DDBC">
                  <w:pPr>
                    <w:pStyle w:val="101"/>
                    <w:rPr>
                      <w:rFonts w:hint="eastAsia"/>
                      <w:b/>
                      <w:bCs/>
                      <w:color w:val="auto"/>
                    </w:rPr>
                  </w:pPr>
                  <w:r>
                    <w:rPr>
                      <w:rFonts w:hint="eastAsia"/>
                      <w:b/>
                      <w:bCs/>
                      <w:color w:val="auto"/>
                    </w:rPr>
                    <w:t>控制风速</w:t>
                  </w:r>
                </w:p>
              </w:tc>
              <w:tc>
                <w:tcPr>
                  <w:tcW w:w="501" w:type="pct"/>
                  <w:noWrap w:val="0"/>
                  <w:vAlign w:val="center"/>
                </w:tcPr>
                <w:p w14:paraId="0F841066">
                  <w:pPr>
                    <w:pStyle w:val="101"/>
                    <w:rPr>
                      <w:rFonts w:hint="eastAsia"/>
                      <w:b/>
                      <w:bCs/>
                      <w:color w:val="auto"/>
                    </w:rPr>
                  </w:pPr>
                  <w:r>
                    <w:rPr>
                      <w:rFonts w:hint="eastAsia"/>
                      <w:b/>
                      <w:bCs/>
                      <w:color w:val="auto"/>
                    </w:rPr>
                    <w:t>设备数量</w:t>
                  </w:r>
                </w:p>
              </w:tc>
              <w:tc>
                <w:tcPr>
                  <w:tcW w:w="664" w:type="pct"/>
                  <w:noWrap w:val="0"/>
                  <w:vAlign w:val="center"/>
                </w:tcPr>
                <w:p w14:paraId="167C3DA8">
                  <w:pPr>
                    <w:pStyle w:val="101"/>
                    <w:rPr>
                      <w:b/>
                      <w:bCs/>
                      <w:color w:val="auto"/>
                    </w:rPr>
                  </w:pPr>
                  <w:r>
                    <w:rPr>
                      <w:rFonts w:hint="eastAsia"/>
                      <w:b/>
                      <w:bCs/>
                      <w:color w:val="auto"/>
                    </w:rPr>
                    <w:t>风量</w:t>
                  </w:r>
                </w:p>
              </w:tc>
            </w:tr>
            <w:tr w14:paraId="6D5B1612">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72" w:hRule="atLeast"/>
                <w:jc w:val="center"/>
              </w:trPr>
              <w:tc>
                <w:tcPr>
                  <w:tcW w:w="680" w:type="pct"/>
                  <w:tcBorders>
                    <w:top w:val="single" w:color="auto" w:sz="4" w:space="0"/>
                    <w:bottom w:val="single" w:color="auto" w:sz="4" w:space="0"/>
                  </w:tcBorders>
                  <w:noWrap w:val="0"/>
                  <w:vAlign w:val="center"/>
                </w:tcPr>
                <w:p w14:paraId="004952C1">
                  <w:pPr>
                    <w:pStyle w:val="101"/>
                    <w:rPr>
                      <w:rFonts w:hint="default"/>
                      <w:color w:val="auto"/>
                      <w:lang w:val="en-US"/>
                    </w:rPr>
                  </w:pPr>
                  <w:r>
                    <w:rPr>
                      <w:rFonts w:hint="default"/>
                      <w:color w:val="auto"/>
                      <w:lang w:val="en-US"/>
                    </w:rPr>
                    <w:t>丝网版清洁</w:t>
                  </w:r>
                </w:p>
              </w:tc>
              <w:tc>
                <w:tcPr>
                  <w:tcW w:w="581" w:type="pct"/>
                  <w:tcBorders>
                    <w:top w:val="single" w:color="auto" w:sz="4" w:space="0"/>
                    <w:bottom w:val="single" w:color="auto" w:sz="4" w:space="0"/>
                  </w:tcBorders>
                  <w:noWrap w:val="0"/>
                  <w:vAlign w:val="center"/>
                </w:tcPr>
                <w:p w14:paraId="5337E001">
                  <w:pPr>
                    <w:pStyle w:val="101"/>
                    <w:rPr>
                      <w:rFonts w:hint="eastAsia"/>
                      <w:color w:val="auto"/>
                    </w:rPr>
                  </w:pPr>
                  <w:r>
                    <w:rPr>
                      <w:rFonts w:hint="eastAsia"/>
                      <w:color w:val="auto"/>
                    </w:rPr>
                    <w:t>集气罩</w:t>
                  </w:r>
                </w:p>
              </w:tc>
              <w:tc>
                <w:tcPr>
                  <w:tcW w:w="502" w:type="pct"/>
                  <w:tcBorders>
                    <w:top w:val="single" w:color="auto" w:sz="4" w:space="0"/>
                    <w:bottom w:val="single" w:color="auto" w:sz="4" w:space="0"/>
                  </w:tcBorders>
                  <w:noWrap w:val="0"/>
                  <w:vAlign w:val="center"/>
                </w:tcPr>
                <w:p w14:paraId="393E3830">
                  <w:pPr>
                    <w:pStyle w:val="101"/>
                    <w:rPr>
                      <w:rFonts w:hint="eastAsia"/>
                      <w:color w:val="auto"/>
                    </w:rPr>
                  </w:pPr>
                  <w:r>
                    <w:rPr>
                      <w:rFonts w:hint="eastAsia"/>
                      <w:color w:val="auto"/>
                    </w:rPr>
                    <w:t>控制风速</w:t>
                  </w:r>
                </w:p>
              </w:tc>
              <w:tc>
                <w:tcPr>
                  <w:tcW w:w="746" w:type="pct"/>
                  <w:tcBorders>
                    <w:top w:val="single" w:color="auto" w:sz="4" w:space="0"/>
                    <w:bottom w:val="single" w:color="auto" w:sz="4" w:space="0"/>
                  </w:tcBorders>
                  <w:noWrap w:val="0"/>
                  <w:vAlign w:val="center"/>
                </w:tcPr>
                <w:p w14:paraId="7C327D7A">
                  <w:pPr>
                    <w:pStyle w:val="101"/>
                    <w:rPr>
                      <w:rFonts w:hint="eastAsia"/>
                      <w:color w:val="auto"/>
                    </w:rPr>
                  </w:pPr>
                  <w:r>
                    <w:rPr>
                      <w:rFonts w:hint="eastAsia"/>
                      <w:color w:val="auto"/>
                    </w:rPr>
                    <w:t>0.</w:t>
                  </w:r>
                  <w:r>
                    <w:rPr>
                      <w:rFonts w:hint="eastAsia"/>
                      <w:color w:val="auto"/>
                      <w:lang w:val="en-US" w:eastAsia="zh-CN"/>
                    </w:rPr>
                    <w:t>2</w:t>
                  </w:r>
                  <w:r>
                    <w:rPr>
                      <w:rFonts w:hint="eastAsia"/>
                      <w:color w:val="auto"/>
                    </w:rPr>
                    <w:t>m</w:t>
                  </w:r>
                </w:p>
              </w:tc>
              <w:tc>
                <w:tcPr>
                  <w:tcW w:w="677" w:type="pct"/>
                  <w:tcBorders>
                    <w:top w:val="single" w:color="auto" w:sz="4" w:space="0"/>
                    <w:bottom w:val="single" w:color="auto" w:sz="4" w:space="0"/>
                  </w:tcBorders>
                  <w:noWrap w:val="0"/>
                  <w:vAlign w:val="center"/>
                </w:tcPr>
                <w:p w14:paraId="13C1580B">
                  <w:pPr>
                    <w:pStyle w:val="101"/>
                    <w:rPr>
                      <w:rFonts w:hint="eastAsia"/>
                      <w:color w:val="auto"/>
                    </w:rPr>
                  </w:pPr>
                  <w:r>
                    <w:rPr>
                      <w:rFonts w:hint="eastAsia"/>
                      <w:color w:val="auto"/>
                      <w:lang w:val="en-US" w:eastAsia="zh-CN"/>
                    </w:rPr>
                    <w:t>1</w:t>
                  </w:r>
                  <w:r>
                    <w:rPr>
                      <w:rFonts w:hint="eastAsia"/>
                      <w:color w:val="auto"/>
                    </w:rPr>
                    <w:t>m×</w:t>
                  </w:r>
                  <w:r>
                    <w:rPr>
                      <w:rFonts w:hint="eastAsia"/>
                      <w:color w:val="auto"/>
                      <w:lang w:val="en-US" w:eastAsia="zh-CN"/>
                    </w:rPr>
                    <w:t>1</w:t>
                  </w:r>
                  <w:r>
                    <w:rPr>
                      <w:rFonts w:hint="eastAsia"/>
                      <w:color w:val="auto"/>
                    </w:rPr>
                    <w:t>m</w:t>
                  </w:r>
                </w:p>
              </w:tc>
              <w:tc>
                <w:tcPr>
                  <w:tcW w:w="647" w:type="pct"/>
                  <w:tcBorders>
                    <w:top w:val="single" w:color="auto" w:sz="4" w:space="0"/>
                    <w:bottom w:val="single" w:color="auto" w:sz="4" w:space="0"/>
                  </w:tcBorders>
                  <w:noWrap w:val="0"/>
                  <w:vAlign w:val="center"/>
                </w:tcPr>
                <w:p w14:paraId="30F9C958">
                  <w:pPr>
                    <w:pStyle w:val="101"/>
                    <w:rPr>
                      <w:rFonts w:hint="eastAsia"/>
                      <w:color w:val="auto"/>
                    </w:rPr>
                  </w:pPr>
                  <w:r>
                    <w:rPr>
                      <w:rFonts w:hint="eastAsia"/>
                      <w:color w:val="auto"/>
                    </w:rPr>
                    <w:t>0.</w:t>
                  </w:r>
                  <w:r>
                    <w:rPr>
                      <w:rFonts w:hint="eastAsia"/>
                      <w:color w:val="auto"/>
                      <w:lang w:val="en-US" w:eastAsia="zh-CN"/>
                    </w:rPr>
                    <w:t>5</w:t>
                  </w:r>
                  <w:r>
                    <w:rPr>
                      <w:rFonts w:hint="eastAsia"/>
                      <w:color w:val="auto"/>
                    </w:rPr>
                    <w:t>m/s</w:t>
                  </w:r>
                </w:p>
              </w:tc>
              <w:tc>
                <w:tcPr>
                  <w:tcW w:w="501" w:type="pct"/>
                  <w:tcBorders>
                    <w:top w:val="single" w:color="auto" w:sz="4" w:space="0"/>
                    <w:bottom w:val="single" w:color="auto" w:sz="4" w:space="0"/>
                  </w:tcBorders>
                  <w:noWrap w:val="0"/>
                  <w:vAlign w:val="center"/>
                </w:tcPr>
                <w:p w14:paraId="351092B3">
                  <w:pPr>
                    <w:pStyle w:val="101"/>
                    <w:rPr>
                      <w:rFonts w:hint="eastAsia"/>
                      <w:color w:val="auto"/>
                    </w:rPr>
                  </w:pPr>
                  <w:r>
                    <w:rPr>
                      <w:rFonts w:hint="eastAsia"/>
                      <w:color w:val="auto"/>
                      <w:lang w:val="en-US" w:eastAsia="zh-CN"/>
                    </w:rPr>
                    <w:t>3</w:t>
                  </w:r>
                  <w:r>
                    <w:rPr>
                      <w:rFonts w:hint="eastAsia"/>
                      <w:color w:val="auto"/>
                    </w:rPr>
                    <w:t>台</w:t>
                  </w:r>
                </w:p>
              </w:tc>
              <w:tc>
                <w:tcPr>
                  <w:tcW w:w="664" w:type="pct"/>
                  <w:tcBorders>
                    <w:top w:val="single" w:color="auto" w:sz="4" w:space="0"/>
                    <w:bottom w:val="single" w:color="auto" w:sz="4" w:space="0"/>
                  </w:tcBorders>
                  <w:noWrap w:val="0"/>
                  <w:vAlign w:val="center"/>
                </w:tcPr>
                <w:p w14:paraId="4879650A">
                  <w:pPr>
                    <w:pStyle w:val="101"/>
                    <w:rPr>
                      <w:rFonts w:hint="eastAsia"/>
                      <w:color w:val="auto"/>
                    </w:rPr>
                  </w:pPr>
                  <w:r>
                    <w:rPr>
                      <w:rFonts w:hint="eastAsia"/>
                      <w:color w:val="auto"/>
                      <w:lang w:val="en-US" w:eastAsia="zh-CN"/>
                    </w:rPr>
                    <w:t>1890</w:t>
                  </w:r>
                  <w:r>
                    <w:rPr>
                      <w:rFonts w:hint="eastAsia"/>
                      <w:color w:val="auto"/>
                    </w:rPr>
                    <w:t xml:space="preserve"> m</w:t>
                  </w:r>
                  <w:r>
                    <w:rPr>
                      <w:rFonts w:hint="eastAsia"/>
                      <w:color w:val="auto"/>
                      <w:vertAlign w:val="superscript"/>
                    </w:rPr>
                    <w:t>3</w:t>
                  </w:r>
                  <w:r>
                    <w:rPr>
                      <w:rFonts w:hint="eastAsia"/>
                      <w:color w:val="auto"/>
                    </w:rPr>
                    <w:t>/h</w:t>
                  </w:r>
                </w:p>
              </w:tc>
            </w:tr>
            <w:tr w14:paraId="11ACD9E4">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57" w:hRule="atLeast"/>
                <w:jc w:val="center"/>
              </w:trPr>
              <w:tc>
                <w:tcPr>
                  <w:tcW w:w="680" w:type="pct"/>
                  <w:tcBorders>
                    <w:top w:val="single" w:color="auto" w:sz="4" w:space="0"/>
                    <w:bottom w:val="single" w:color="auto" w:sz="4" w:space="0"/>
                  </w:tcBorders>
                  <w:noWrap w:val="0"/>
                  <w:vAlign w:val="center"/>
                </w:tcPr>
                <w:p w14:paraId="443C4261">
                  <w:pPr>
                    <w:pStyle w:val="101"/>
                    <w:rPr>
                      <w:rFonts w:hint="eastAsia"/>
                      <w:color w:val="auto"/>
                    </w:rPr>
                  </w:pPr>
                  <w:r>
                    <w:rPr>
                      <w:rFonts w:hint="eastAsia"/>
                      <w:color w:val="auto"/>
                      <w:lang w:val="en-US" w:eastAsia="zh-CN"/>
                    </w:rPr>
                    <w:t>烫金机</w:t>
                  </w:r>
                </w:p>
              </w:tc>
              <w:tc>
                <w:tcPr>
                  <w:tcW w:w="581" w:type="pct"/>
                  <w:tcBorders>
                    <w:top w:val="single" w:color="auto" w:sz="4" w:space="0"/>
                    <w:bottom w:val="single" w:color="auto" w:sz="4" w:space="0"/>
                  </w:tcBorders>
                  <w:noWrap w:val="0"/>
                  <w:vAlign w:val="center"/>
                </w:tcPr>
                <w:p w14:paraId="43FCE086">
                  <w:pPr>
                    <w:pStyle w:val="101"/>
                    <w:rPr>
                      <w:rFonts w:hint="eastAsia"/>
                      <w:color w:val="auto"/>
                    </w:rPr>
                  </w:pPr>
                  <w:r>
                    <w:rPr>
                      <w:rFonts w:hint="eastAsia"/>
                      <w:color w:val="auto"/>
                    </w:rPr>
                    <w:t>集气罩</w:t>
                  </w:r>
                </w:p>
              </w:tc>
              <w:tc>
                <w:tcPr>
                  <w:tcW w:w="502" w:type="pct"/>
                  <w:tcBorders>
                    <w:top w:val="single" w:color="auto" w:sz="4" w:space="0"/>
                    <w:bottom w:val="single" w:color="auto" w:sz="4" w:space="0"/>
                  </w:tcBorders>
                  <w:noWrap w:val="0"/>
                  <w:vAlign w:val="center"/>
                </w:tcPr>
                <w:p w14:paraId="5308DB28">
                  <w:pPr>
                    <w:pStyle w:val="101"/>
                    <w:rPr>
                      <w:rFonts w:hint="eastAsia"/>
                      <w:color w:val="auto"/>
                    </w:rPr>
                  </w:pPr>
                  <w:r>
                    <w:rPr>
                      <w:rFonts w:hint="eastAsia"/>
                      <w:color w:val="auto"/>
                    </w:rPr>
                    <w:t>控制风速</w:t>
                  </w:r>
                </w:p>
              </w:tc>
              <w:tc>
                <w:tcPr>
                  <w:tcW w:w="746" w:type="pct"/>
                  <w:tcBorders>
                    <w:top w:val="single" w:color="auto" w:sz="4" w:space="0"/>
                    <w:bottom w:val="single" w:color="auto" w:sz="4" w:space="0"/>
                  </w:tcBorders>
                  <w:noWrap w:val="0"/>
                  <w:vAlign w:val="center"/>
                </w:tcPr>
                <w:p w14:paraId="720CF169">
                  <w:pPr>
                    <w:pStyle w:val="101"/>
                    <w:rPr>
                      <w:rFonts w:hint="eastAsia"/>
                      <w:color w:val="auto"/>
                    </w:rPr>
                  </w:pPr>
                  <w:r>
                    <w:rPr>
                      <w:rFonts w:hint="eastAsia"/>
                      <w:color w:val="auto"/>
                    </w:rPr>
                    <w:t>0.</w:t>
                  </w:r>
                  <w:r>
                    <w:rPr>
                      <w:rFonts w:hint="eastAsia"/>
                      <w:color w:val="auto"/>
                      <w:lang w:val="en-US" w:eastAsia="zh-CN"/>
                    </w:rPr>
                    <w:t>2</w:t>
                  </w:r>
                  <w:r>
                    <w:rPr>
                      <w:rFonts w:hint="eastAsia"/>
                      <w:color w:val="auto"/>
                    </w:rPr>
                    <w:t>m</w:t>
                  </w:r>
                </w:p>
              </w:tc>
              <w:tc>
                <w:tcPr>
                  <w:tcW w:w="677" w:type="pct"/>
                  <w:tcBorders>
                    <w:top w:val="single" w:color="auto" w:sz="4" w:space="0"/>
                    <w:bottom w:val="single" w:color="auto" w:sz="4" w:space="0"/>
                  </w:tcBorders>
                  <w:noWrap w:val="0"/>
                  <w:vAlign w:val="center"/>
                </w:tcPr>
                <w:p w14:paraId="5FBCE29C">
                  <w:pPr>
                    <w:pStyle w:val="101"/>
                    <w:rPr>
                      <w:rFonts w:hint="eastAsia"/>
                      <w:color w:val="auto"/>
                    </w:rPr>
                  </w:pPr>
                  <w:r>
                    <w:rPr>
                      <w:rFonts w:hint="eastAsia"/>
                      <w:color w:val="auto"/>
                      <w:lang w:val="en-US" w:eastAsia="zh-CN"/>
                    </w:rPr>
                    <w:t>0.6</w:t>
                  </w:r>
                  <w:r>
                    <w:rPr>
                      <w:rFonts w:hint="eastAsia"/>
                      <w:color w:val="auto"/>
                    </w:rPr>
                    <w:t>m×0.</w:t>
                  </w:r>
                  <w:r>
                    <w:rPr>
                      <w:rFonts w:hint="eastAsia"/>
                      <w:color w:val="auto"/>
                      <w:lang w:val="en-US" w:eastAsia="zh-CN"/>
                    </w:rPr>
                    <w:t>6</w:t>
                  </w:r>
                  <w:r>
                    <w:rPr>
                      <w:rFonts w:hint="eastAsia"/>
                      <w:color w:val="auto"/>
                    </w:rPr>
                    <w:t>m</w:t>
                  </w:r>
                </w:p>
              </w:tc>
              <w:tc>
                <w:tcPr>
                  <w:tcW w:w="647" w:type="pct"/>
                  <w:tcBorders>
                    <w:top w:val="single" w:color="auto" w:sz="4" w:space="0"/>
                    <w:bottom w:val="single" w:color="auto" w:sz="4" w:space="0"/>
                  </w:tcBorders>
                  <w:noWrap w:val="0"/>
                  <w:vAlign w:val="center"/>
                </w:tcPr>
                <w:p w14:paraId="565929F0">
                  <w:pPr>
                    <w:pStyle w:val="101"/>
                    <w:rPr>
                      <w:rFonts w:hint="eastAsia"/>
                      <w:color w:val="auto"/>
                    </w:rPr>
                  </w:pPr>
                  <w:r>
                    <w:rPr>
                      <w:rFonts w:hint="eastAsia"/>
                      <w:color w:val="auto"/>
                    </w:rPr>
                    <w:t>0.</w:t>
                  </w:r>
                  <w:r>
                    <w:rPr>
                      <w:rFonts w:hint="eastAsia"/>
                      <w:color w:val="auto"/>
                      <w:lang w:val="en-US" w:eastAsia="zh-CN"/>
                    </w:rPr>
                    <w:t>5</w:t>
                  </w:r>
                  <w:r>
                    <w:rPr>
                      <w:rFonts w:hint="eastAsia"/>
                      <w:color w:val="auto"/>
                    </w:rPr>
                    <w:t>m/s</w:t>
                  </w:r>
                </w:p>
              </w:tc>
              <w:tc>
                <w:tcPr>
                  <w:tcW w:w="501" w:type="pct"/>
                  <w:tcBorders>
                    <w:top w:val="single" w:color="auto" w:sz="4" w:space="0"/>
                    <w:bottom w:val="single" w:color="auto" w:sz="4" w:space="0"/>
                  </w:tcBorders>
                  <w:noWrap w:val="0"/>
                  <w:vAlign w:val="center"/>
                </w:tcPr>
                <w:p w14:paraId="466E3D16">
                  <w:pPr>
                    <w:pStyle w:val="101"/>
                    <w:rPr>
                      <w:rFonts w:hint="eastAsia"/>
                      <w:color w:val="auto"/>
                    </w:rPr>
                  </w:pPr>
                  <w:r>
                    <w:rPr>
                      <w:rFonts w:hint="eastAsia"/>
                      <w:color w:val="auto"/>
                      <w:lang w:val="en-US" w:eastAsia="zh-CN"/>
                    </w:rPr>
                    <w:t>7</w:t>
                  </w:r>
                  <w:r>
                    <w:rPr>
                      <w:rFonts w:hint="eastAsia"/>
                      <w:color w:val="auto"/>
                    </w:rPr>
                    <w:t>台</w:t>
                  </w:r>
                </w:p>
              </w:tc>
              <w:tc>
                <w:tcPr>
                  <w:tcW w:w="664" w:type="pct"/>
                  <w:tcBorders>
                    <w:top w:val="single" w:color="auto" w:sz="4" w:space="0"/>
                    <w:bottom w:val="single" w:color="auto" w:sz="4" w:space="0"/>
                  </w:tcBorders>
                  <w:noWrap w:val="0"/>
                  <w:vAlign w:val="center"/>
                </w:tcPr>
                <w:p w14:paraId="72EB23CB">
                  <w:pPr>
                    <w:pStyle w:val="101"/>
                    <w:rPr>
                      <w:rFonts w:hint="eastAsia"/>
                      <w:color w:val="auto"/>
                    </w:rPr>
                  </w:pPr>
                  <w:r>
                    <w:rPr>
                      <w:rFonts w:hint="eastAsia"/>
                      <w:color w:val="auto"/>
                    </w:rPr>
                    <w:t xml:space="preserve"> </w:t>
                  </w:r>
                  <w:r>
                    <w:rPr>
                      <w:rFonts w:hint="eastAsia"/>
                      <w:color w:val="auto"/>
                      <w:lang w:val="en-US" w:eastAsia="zh-CN"/>
                    </w:rPr>
                    <w:t>5130</w:t>
                  </w:r>
                  <w:r>
                    <w:rPr>
                      <w:rFonts w:hint="eastAsia"/>
                      <w:color w:val="auto"/>
                    </w:rPr>
                    <w:t xml:space="preserve"> m</w:t>
                  </w:r>
                  <w:r>
                    <w:rPr>
                      <w:rFonts w:hint="eastAsia"/>
                      <w:color w:val="auto"/>
                      <w:vertAlign w:val="superscript"/>
                    </w:rPr>
                    <w:t>3</w:t>
                  </w:r>
                  <w:r>
                    <w:rPr>
                      <w:rFonts w:hint="eastAsia"/>
                      <w:color w:val="auto"/>
                    </w:rPr>
                    <w:t>/h</w:t>
                  </w:r>
                </w:p>
              </w:tc>
            </w:tr>
            <w:tr w14:paraId="262BC568">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4335" w:type="pct"/>
                  <w:gridSpan w:val="7"/>
                  <w:tcBorders>
                    <w:top w:val="single" w:color="auto" w:sz="4" w:space="0"/>
                    <w:left w:val="nil"/>
                    <w:bottom w:val="single" w:color="auto" w:sz="4" w:space="0"/>
                  </w:tcBorders>
                  <w:noWrap w:val="0"/>
                  <w:vAlign w:val="center"/>
                </w:tcPr>
                <w:p w14:paraId="0C7CFF94">
                  <w:pPr>
                    <w:pStyle w:val="101"/>
                    <w:rPr>
                      <w:rFonts w:hint="default"/>
                      <w:color w:val="auto"/>
                      <w:lang w:val="en-US"/>
                    </w:rPr>
                  </w:pPr>
                  <w:r>
                    <w:rPr>
                      <w:rFonts w:hint="eastAsia"/>
                      <w:color w:val="auto"/>
                      <w:lang w:val="en-US" w:eastAsia="zh-CN"/>
                    </w:rPr>
                    <w:t>合计</w:t>
                  </w:r>
                </w:p>
              </w:tc>
              <w:tc>
                <w:tcPr>
                  <w:tcW w:w="664" w:type="pct"/>
                  <w:tcBorders>
                    <w:top w:val="single" w:color="auto" w:sz="4" w:space="0"/>
                    <w:bottom w:val="single" w:color="auto" w:sz="4" w:space="0"/>
                    <w:right w:val="nil"/>
                  </w:tcBorders>
                  <w:noWrap w:val="0"/>
                  <w:vAlign w:val="center"/>
                </w:tcPr>
                <w:p w14:paraId="7B0A0BFC">
                  <w:pPr>
                    <w:pStyle w:val="101"/>
                    <w:rPr>
                      <w:rFonts w:hint="default" w:eastAsia="宋体"/>
                      <w:color w:val="auto"/>
                      <w:lang w:val="en-US" w:eastAsia="zh-CN"/>
                    </w:rPr>
                  </w:pPr>
                  <w:r>
                    <w:rPr>
                      <w:rFonts w:hint="eastAsia"/>
                      <w:color w:val="auto"/>
                      <w:lang w:val="en-US" w:eastAsia="zh-CN"/>
                    </w:rPr>
                    <w:t>7020</w:t>
                  </w:r>
                  <w:r>
                    <w:rPr>
                      <w:rFonts w:hint="eastAsia"/>
                      <w:color w:val="auto"/>
                    </w:rPr>
                    <w:t>m</w:t>
                  </w:r>
                  <w:r>
                    <w:rPr>
                      <w:rFonts w:hint="eastAsia"/>
                      <w:color w:val="auto"/>
                      <w:vertAlign w:val="superscript"/>
                    </w:rPr>
                    <w:t>3</w:t>
                  </w:r>
                  <w:r>
                    <w:rPr>
                      <w:rFonts w:hint="eastAsia"/>
                      <w:color w:val="auto"/>
                    </w:rPr>
                    <w:t>/h</w:t>
                  </w:r>
                </w:p>
              </w:tc>
            </w:tr>
          </w:tbl>
          <w:p w14:paraId="7B2080F2">
            <w:pPr>
              <w:pStyle w:val="102"/>
              <w:numPr>
                <w:ilvl w:val="0"/>
                <w:numId w:val="0"/>
              </w:numPr>
              <w:spacing w:before="24" w:after="24"/>
              <w:ind w:leftChars="0"/>
              <w:jc w:val="center"/>
              <w:rPr>
                <w:color w:val="auto"/>
              </w:rPr>
            </w:pPr>
            <w:r>
              <w:rPr>
                <w:rFonts w:hint="eastAsia"/>
                <w:color w:val="auto"/>
                <w:lang w:val="en-US" w:eastAsia="zh-CN"/>
              </w:rPr>
              <w:t xml:space="preserve">表4-7 </w:t>
            </w:r>
            <w:r>
              <w:rPr>
                <w:rFonts w:hint="eastAsia"/>
                <w:color w:val="auto"/>
              </w:rPr>
              <w:t>印刷间理论风量核算结果一览表</w:t>
            </w:r>
          </w:p>
          <w:tbl>
            <w:tblPr>
              <w:tblStyle w:val="25"/>
              <w:tblW w:w="8312" w:type="dxa"/>
              <w:jc w:val="center"/>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089"/>
              <w:gridCol w:w="1116"/>
              <w:gridCol w:w="1234"/>
              <w:gridCol w:w="933"/>
              <w:gridCol w:w="1636"/>
              <w:gridCol w:w="949"/>
              <w:gridCol w:w="1355"/>
            </w:tblGrid>
            <w:tr w14:paraId="266A58A3">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655" w:type="pct"/>
                  <w:noWrap w:val="0"/>
                  <w:vAlign w:val="center"/>
                </w:tcPr>
                <w:p w14:paraId="54FD5082">
                  <w:pPr>
                    <w:pStyle w:val="101"/>
                    <w:rPr>
                      <w:rFonts w:hint="eastAsia"/>
                      <w:b/>
                      <w:bCs/>
                      <w:color w:val="auto"/>
                    </w:rPr>
                  </w:pPr>
                  <w:r>
                    <w:rPr>
                      <w:rFonts w:hint="eastAsia"/>
                      <w:b/>
                      <w:bCs/>
                      <w:color w:val="auto"/>
                    </w:rPr>
                    <w:t>污染物名称</w:t>
                  </w:r>
                </w:p>
              </w:tc>
              <w:tc>
                <w:tcPr>
                  <w:tcW w:w="671" w:type="pct"/>
                  <w:noWrap w:val="0"/>
                  <w:vAlign w:val="center"/>
                </w:tcPr>
                <w:p w14:paraId="668DB2A9">
                  <w:pPr>
                    <w:pStyle w:val="101"/>
                    <w:rPr>
                      <w:rFonts w:hint="eastAsia"/>
                      <w:b/>
                      <w:bCs/>
                      <w:color w:val="auto"/>
                    </w:rPr>
                  </w:pPr>
                  <w:r>
                    <w:rPr>
                      <w:rFonts w:hint="eastAsia"/>
                      <w:b/>
                      <w:bCs/>
                      <w:color w:val="auto"/>
                    </w:rPr>
                    <w:t>废气收集方式</w:t>
                  </w:r>
                </w:p>
              </w:tc>
              <w:tc>
                <w:tcPr>
                  <w:tcW w:w="742" w:type="pct"/>
                  <w:noWrap w:val="0"/>
                  <w:vAlign w:val="center"/>
                </w:tcPr>
                <w:p w14:paraId="39F75745">
                  <w:pPr>
                    <w:pStyle w:val="101"/>
                    <w:rPr>
                      <w:b/>
                      <w:bCs/>
                      <w:color w:val="auto"/>
                    </w:rPr>
                  </w:pPr>
                  <w:r>
                    <w:rPr>
                      <w:rFonts w:hint="eastAsia"/>
                      <w:b/>
                      <w:bCs/>
                      <w:color w:val="auto"/>
                    </w:rPr>
                    <w:t>核算方式</w:t>
                  </w:r>
                </w:p>
              </w:tc>
              <w:tc>
                <w:tcPr>
                  <w:tcW w:w="561" w:type="pct"/>
                  <w:noWrap w:val="0"/>
                  <w:vAlign w:val="center"/>
                </w:tcPr>
                <w:p w14:paraId="44761152">
                  <w:pPr>
                    <w:pStyle w:val="101"/>
                    <w:rPr>
                      <w:rFonts w:hint="eastAsia"/>
                      <w:b/>
                      <w:bCs/>
                      <w:color w:val="auto"/>
                    </w:rPr>
                  </w:pPr>
                  <w:r>
                    <w:rPr>
                      <w:rFonts w:hint="eastAsia"/>
                      <w:b/>
                      <w:bCs/>
                      <w:color w:val="auto"/>
                    </w:rPr>
                    <w:t>换气次数</w:t>
                  </w:r>
                </w:p>
              </w:tc>
              <w:tc>
                <w:tcPr>
                  <w:tcW w:w="984" w:type="pct"/>
                  <w:noWrap w:val="0"/>
                  <w:vAlign w:val="center"/>
                </w:tcPr>
                <w:p w14:paraId="3B5BAED2">
                  <w:pPr>
                    <w:pStyle w:val="101"/>
                    <w:rPr>
                      <w:b/>
                      <w:bCs/>
                      <w:color w:val="auto"/>
                    </w:rPr>
                  </w:pPr>
                  <w:r>
                    <w:rPr>
                      <w:rFonts w:hint="eastAsia"/>
                      <w:b/>
                      <w:bCs/>
                      <w:color w:val="auto"/>
                    </w:rPr>
                    <w:t>印刷间</w:t>
                  </w:r>
                </w:p>
                <w:p w14:paraId="618C4D3C">
                  <w:pPr>
                    <w:pStyle w:val="101"/>
                    <w:rPr>
                      <w:b/>
                      <w:bCs/>
                      <w:color w:val="auto"/>
                    </w:rPr>
                  </w:pPr>
                  <w:r>
                    <w:rPr>
                      <w:rFonts w:hint="eastAsia"/>
                      <w:b/>
                      <w:bCs/>
                      <w:color w:val="auto"/>
                    </w:rPr>
                    <w:t>尺寸</w:t>
                  </w:r>
                </w:p>
              </w:tc>
              <w:tc>
                <w:tcPr>
                  <w:tcW w:w="570" w:type="pct"/>
                  <w:noWrap w:val="0"/>
                  <w:vAlign w:val="center"/>
                </w:tcPr>
                <w:p w14:paraId="5E91C1CF">
                  <w:pPr>
                    <w:pStyle w:val="101"/>
                    <w:rPr>
                      <w:b/>
                      <w:bCs/>
                      <w:color w:val="auto"/>
                    </w:rPr>
                  </w:pPr>
                  <w:r>
                    <w:rPr>
                      <w:rFonts w:hint="eastAsia"/>
                      <w:b/>
                      <w:bCs/>
                      <w:color w:val="auto"/>
                    </w:rPr>
                    <w:t>印刷间数量</w:t>
                  </w:r>
                </w:p>
              </w:tc>
              <w:tc>
                <w:tcPr>
                  <w:tcW w:w="815" w:type="pct"/>
                  <w:noWrap w:val="0"/>
                  <w:vAlign w:val="center"/>
                </w:tcPr>
                <w:p w14:paraId="4E9FA997">
                  <w:pPr>
                    <w:pStyle w:val="101"/>
                    <w:rPr>
                      <w:rFonts w:hint="eastAsia"/>
                      <w:b/>
                      <w:bCs/>
                      <w:color w:val="auto"/>
                    </w:rPr>
                  </w:pPr>
                  <w:r>
                    <w:rPr>
                      <w:rFonts w:hint="eastAsia"/>
                      <w:b/>
                      <w:bCs/>
                      <w:color w:val="auto"/>
                    </w:rPr>
                    <w:t>风量</w:t>
                  </w:r>
                </w:p>
              </w:tc>
            </w:tr>
            <w:tr w14:paraId="4A280072">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655" w:type="pct"/>
                  <w:tcBorders>
                    <w:bottom w:val="single" w:color="auto" w:sz="4" w:space="0"/>
                  </w:tcBorders>
                  <w:noWrap w:val="0"/>
                  <w:vAlign w:val="center"/>
                </w:tcPr>
                <w:p w14:paraId="65E8329A">
                  <w:pPr>
                    <w:pStyle w:val="101"/>
                    <w:jc w:val="center"/>
                    <w:rPr>
                      <w:rFonts w:hint="default" w:eastAsia="宋体"/>
                      <w:color w:val="auto"/>
                      <w:lang w:val="en-US" w:eastAsia="zh-CN"/>
                    </w:rPr>
                  </w:pPr>
                  <w:r>
                    <w:rPr>
                      <w:rFonts w:hint="eastAsia"/>
                      <w:color w:val="auto"/>
                      <w:lang w:val="en-US" w:eastAsia="zh-CN"/>
                    </w:rPr>
                    <w:t>自动喷码、打样间</w:t>
                  </w:r>
                </w:p>
              </w:tc>
              <w:tc>
                <w:tcPr>
                  <w:tcW w:w="671" w:type="pct"/>
                  <w:tcBorders>
                    <w:bottom w:val="single" w:color="auto" w:sz="4" w:space="0"/>
                  </w:tcBorders>
                  <w:noWrap w:val="0"/>
                  <w:vAlign w:val="center"/>
                </w:tcPr>
                <w:p w14:paraId="514F7CF4">
                  <w:pPr>
                    <w:pStyle w:val="101"/>
                    <w:rPr>
                      <w:color w:val="auto"/>
                    </w:rPr>
                  </w:pPr>
                  <w:r>
                    <w:rPr>
                      <w:rFonts w:hint="eastAsia"/>
                      <w:color w:val="auto"/>
                    </w:rPr>
                    <w:t>车间负压收集</w:t>
                  </w:r>
                </w:p>
              </w:tc>
              <w:tc>
                <w:tcPr>
                  <w:tcW w:w="742" w:type="pct"/>
                  <w:tcBorders>
                    <w:bottom w:val="single" w:color="auto" w:sz="4" w:space="0"/>
                  </w:tcBorders>
                  <w:noWrap w:val="0"/>
                  <w:vAlign w:val="center"/>
                </w:tcPr>
                <w:p w14:paraId="1606E2E5">
                  <w:pPr>
                    <w:pStyle w:val="101"/>
                    <w:rPr>
                      <w:color w:val="auto"/>
                    </w:rPr>
                  </w:pPr>
                  <w:r>
                    <w:rPr>
                      <w:rFonts w:hint="eastAsia"/>
                      <w:color w:val="auto"/>
                    </w:rPr>
                    <w:t>车间换气次数核算</w:t>
                  </w:r>
                </w:p>
              </w:tc>
              <w:tc>
                <w:tcPr>
                  <w:tcW w:w="561" w:type="pct"/>
                  <w:tcBorders>
                    <w:bottom w:val="single" w:color="auto" w:sz="4" w:space="0"/>
                  </w:tcBorders>
                  <w:noWrap w:val="0"/>
                  <w:vAlign w:val="center"/>
                </w:tcPr>
                <w:p w14:paraId="10098C26">
                  <w:pPr>
                    <w:pStyle w:val="101"/>
                    <w:rPr>
                      <w:rFonts w:hint="eastAsia"/>
                      <w:color w:val="auto"/>
                    </w:rPr>
                  </w:pPr>
                  <w:r>
                    <w:rPr>
                      <w:rFonts w:hint="eastAsia"/>
                      <w:color w:val="auto"/>
                      <w:lang w:val="en-US" w:eastAsia="zh-CN"/>
                    </w:rPr>
                    <w:t>15</w:t>
                  </w:r>
                  <w:r>
                    <w:rPr>
                      <w:rFonts w:hint="eastAsia"/>
                      <w:color w:val="auto"/>
                    </w:rPr>
                    <w:t>次/h</w:t>
                  </w:r>
                </w:p>
              </w:tc>
              <w:tc>
                <w:tcPr>
                  <w:tcW w:w="984" w:type="pct"/>
                  <w:tcBorders>
                    <w:bottom w:val="single" w:color="auto" w:sz="4" w:space="0"/>
                  </w:tcBorders>
                  <w:noWrap w:val="0"/>
                  <w:vAlign w:val="center"/>
                </w:tcPr>
                <w:p w14:paraId="49EC7BAD">
                  <w:pPr>
                    <w:pStyle w:val="101"/>
                    <w:rPr>
                      <w:rFonts w:hint="eastAsia"/>
                      <w:b/>
                      <w:bCs/>
                      <w:color w:val="auto"/>
                    </w:rPr>
                  </w:pPr>
                  <w:r>
                    <w:rPr>
                      <w:rFonts w:hint="eastAsia"/>
                      <w:color w:val="auto"/>
                    </w:rPr>
                    <w:t>1</w:t>
                  </w:r>
                  <w:r>
                    <w:rPr>
                      <w:rFonts w:hint="eastAsia"/>
                      <w:color w:val="auto"/>
                      <w:lang w:val="en-US" w:eastAsia="zh-CN"/>
                    </w:rPr>
                    <w:t>9</w:t>
                  </w:r>
                  <w:r>
                    <w:rPr>
                      <w:rFonts w:hint="eastAsia"/>
                      <w:color w:val="auto"/>
                    </w:rPr>
                    <w:t>m×</w:t>
                  </w:r>
                  <w:r>
                    <w:rPr>
                      <w:rFonts w:hint="eastAsia"/>
                      <w:color w:val="auto"/>
                      <w:lang w:val="en-US" w:eastAsia="zh-CN"/>
                    </w:rPr>
                    <w:t>4</w:t>
                  </w:r>
                  <w:r>
                    <w:rPr>
                      <w:rFonts w:hint="eastAsia"/>
                      <w:color w:val="auto"/>
                    </w:rPr>
                    <w:t>m×</w:t>
                  </w:r>
                  <w:r>
                    <w:rPr>
                      <w:rFonts w:hint="eastAsia"/>
                      <w:color w:val="auto"/>
                      <w:lang w:val="en-US" w:eastAsia="zh-CN"/>
                    </w:rPr>
                    <w:t>2.8</w:t>
                  </w:r>
                  <w:r>
                    <w:rPr>
                      <w:rFonts w:hint="eastAsia"/>
                      <w:color w:val="auto"/>
                    </w:rPr>
                    <w:t>m</w:t>
                  </w:r>
                </w:p>
              </w:tc>
              <w:tc>
                <w:tcPr>
                  <w:tcW w:w="570" w:type="pct"/>
                  <w:noWrap w:val="0"/>
                  <w:vAlign w:val="center"/>
                </w:tcPr>
                <w:p w14:paraId="7F59FCA2">
                  <w:pPr>
                    <w:pStyle w:val="101"/>
                    <w:rPr>
                      <w:rFonts w:hint="default" w:eastAsia="宋体"/>
                      <w:color w:val="auto"/>
                      <w:lang w:val="en-US" w:eastAsia="zh-CN"/>
                    </w:rPr>
                  </w:pPr>
                  <w:r>
                    <w:rPr>
                      <w:rFonts w:hint="eastAsia"/>
                      <w:color w:val="auto"/>
                      <w:lang w:val="en-US" w:eastAsia="zh-CN"/>
                    </w:rPr>
                    <w:t>1个</w:t>
                  </w:r>
                </w:p>
              </w:tc>
              <w:tc>
                <w:tcPr>
                  <w:tcW w:w="815" w:type="pct"/>
                  <w:noWrap w:val="0"/>
                  <w:vAlign w:val="center"/>
                </w:tcPr>
                <w:p w14:paraId="28A28CFF">
                  <w:pPr>
                    <w:pStyle w:val="101"/>
                    <w:rPr>
                      <w:rFonts w:hint="eastAsia"/>
                      <w:color w:val="auto"/>
                    </w:rPr>
                  </w:pPr>
                  <w:r>
                    <w:rPr>
                      <w:rFonts w:hint="eastAsia"/>
                      <w:color w:val="auto"/>
                      <w:lang w:val="en-US" w:eastAsia="zh-CN"/>
                    </w:rPr>
                    <w:t>3192</w:t>
                  </w:r>
                  <w:r>
                    <w:rPr>
                      <w:rFonts w:hint="eastAsia"/>
                      <w:color w:val="auto"/>
                    </w:rPr>
                    <w:t xml:space="preserve"> m</w:t>
                  </w:r>
                  <w:r>
                    <w:rPr>
                      <w:rFonts w:hint="eastAsia"/>
                      <w:color w:val="auto"/>
                      <w:vertAlign w:val="superscript"/>
                    </w:rPr>
                    <w:t>3</w:t>
                  </w:r>
                  <w:r>
                    <w:rPr>
                      <w:rFonts w:hint="eastAsia"/>
                      <w:color w:val="auto"/>
                    </w:rPr>
                    <w:t>/h</w:t>
                  </w:r>
                </w:p>
              </w:tc>
            </w:tr>
            <w:tr w14:paraId="737B38C9">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655" w:type="pct"/>
                  <w:tcBorders>
                    <w:top w:val="single" w:color="auto" w:sz="4" w:space="0"/>
                    <w:bottom w:val="single" w:color="auto" w:sz="4" w:space="0"/>
                  </w:tcBorders>
                  <w:noWrap w:val="0"/>
                  <w:vAlign w:val="center"/>
                </w:tcPr>
                <w:p w14:paraId="3BAFDA31">
                  <w:pPr>
                    <w:pStyle w:val="101"/>
                    <w:rPr>
                      <w:rFonts w:hint="default" w:eastAsia="宋体"/>
                      <w:color w:val="auto"/>
                      <w:lang w:val="en-US" w:eastAsia="zh-CN"/>
                    </w:rPr>
                  </w:pPr>
                  <w:r>
                    <w:rPr>
                      <w:rFonts w:hint="eastAsia"/>
                      <w:color w:val="auto"/>
                      <w:lang w:val="en-US" w:eastAsia="zh-CN"/>
                    </w:rPr>
                    <w:t>丝印、覆膜间</w:t>
                  </w:r>
                </w:p>
              </w:tc>
              <w:tc>
                <w:tcPr>
                  <w:tcW w:w="671" w:type="pct"/>
                  <w:tcBorders>
                    <w:top w:val="single" w:color="auto" w:sz="4" w:space="0"/>
                    <w:bottom w:val="single" w:color="auto" w:sz="4" w:space="0"/>
                  </w:tcBorders>
                  <w:noWrap w:val="0"/>
                  <w:vAlign w:val="center"/>
                </w:tcPr>
                <w:p w14:paraId="27B264AB">
                  <w:pPr>
                    <w:pStyle w:val="101"/>
                    <w:rPr>
                      <w:color w:val="auto"/>
                    </w:rPr>
                  </w:pPr>
                  <w:r>
                    <w:rPr>
                      <w:rFonts w:hint="eastAsia"/>
                      <w:color w:val="auto"/>
                    </w:rPr>
                    <w:t>车间负压收集</w:t>
                  </w:r>
                </w:p>
              </w:tc>
              <w:tc>
                <w:tcPr>
                  <w:tcW w:w="742" w:type="pct"/>
                  <w:tcBorders>
                    <w:top w:val="single" w:color="auto" w:sz="4" w:space="0"/>
                    <w:bottom w:val="single" w:color="auto" w:sz="4" w:space="0"/>
                  </w:tcBorders>
                  <w:noWrap w:val="0"/>
                  <w:vAlign w:val="center"/>
                </w:tcPr>
                <w:p w14:paraId="533B16D8">
                  <w:pPr>
                    <w:pStyle w:val="101"/>
                    <w:rPr>
                      <w:rFonts w:hint="eastAsia"/>
                      <w:color w:val="auto"/>
                    </w:rPr>
                  </w:pPr>
                  <w:r>
                    <w:rPr>
                      <w:rFonts w:hint="eastAsia"/>
                      <w:color w:val="auto"/>
                    </w:rPr>
                    <w:t>车间换气次数核算</w:t>
                  </w:r>
                </w:p>
              </w:tc>
              <w:tc>
                <w:tcPr>
                  <w:tcW w:w="561" w:type="pct"/>
                  <w:tcBorders>
                    <w:top w:val="single" w:color="auto" w:sz="4" w:space="0"/>
                    <w:bottom w:val="single" w:color="auto" w:sz="4" w:space="0"/>
                  </w:tcBorders>
                  <w:noWrap w:val="0"/>
                  <w:vAlign w:val="center"/>
                </w:tcPr>
                <w:p w14:paraId="6297166A">
                  <w:pPr>
                    <w:pStyle w:val="101"/>
                    <w:rPr>
                      <w:rFonts w:hint="eastAsia"/>
                      <w:color w:val="auto"/>
                    </w:rPr>
                  </w:pPr>
                  <w:r>
                    <w:rPr>
                      <w:rFonts w:hint="eastAsia"/>
                      <w:color w:val="auto"/>
                      <w:lang w:val="en-US" w:eastAsia="zh-CN"/>
                    </w:rPr>
                    <w:t>15</w:t>
                  </w:r>
                  <w:r>
                    <w:rPr>
                      <w:rFonts w:hint="eastAsia"/>
                      <w:color w:val="auto"/>
                    </w:rPr>
                    <w:t>次/h</w:t>
                  </w:r>
                </w:p>
              </w:tc>
              <w:tc>
                <w:tcPr>
                  <w:tcW w:w="984" w:type="pct"/>
                  <w:tcBorders>
                    <w:top w:val="single" w:color="auto" w:sz="4" w:space="0"/>
                    <w:bottom w:val="single" w:color="auto" w:sz="4" w:space="0"/>
                  </w:tcBorders>
                  <w:noWrap w:val="0"/>
                  <w:vAlign w:val="center"/>
                </w:tcPr>
                <w:p w14:paraId="46E49969">
                  <w:pPr>
                    <w:pStyle w:val="101"/>
                    <w:rPr>
                      <w:rFonts w:hint="default" w:eastAsia="宋体"/>
                      <w:color w:val="auto"/>
                      <w:lang w:val="en-US" w:eastAsia="zh-CN"/>
                    </w:rPr>
                  </w:pPr>
                  <w:r>
                    <w:rPr>
                      <w:rFonts w:hint="eastAsia"/>
                      <w:color w:val="auto"/>
                      <w:lang w:val="en-US" w:eastAsia="zh-CN"/>
                    </w:rPr>
                    <w:t>24m</w:t>
                  </w:r>
                  <w:r>
                    <w:rPr>
                      <w:rFonts w:hint="eastAsia"/>
                      <w:color w:val="auto"/>
                    </w:rPr>
                    <w:t>×</w:t>
                  </w:r>
                  <w:r>
                    <w:rPr>
                      <w:rFonts w:hint="eastAsia"/>
                      <w:color w:val="auto"/>
                      <w:lang w:val="en-US" w:eastAsia="zh-CN"/>
                    </w:rPr>
                    <w:t>16.5</w:t>
                  </w:r>
                  <w:r>
                    <w:rPr>
                      <w:rFonts w:hint="eastAsia"/>
                      <w:color w:val="auto"/>
                    </w:rPr>
                    <w:t>×</w:t>
                  </w:r>
                  <w:r>
                    <w:rPr>
                      <w:rFonts w:hint="eastAsia"/>
                      <w:color w:val="auto"/>
                      <w:lang w:val="en-US" w:eastAsia="zh-CN"/>
                    </w:rPr>
                    <w:t>2.8</w:t>
                  </w:r>
                  <w:r>
                    <w:rPr>
                      <w:rFonts w:hint="eastAsia"/>
                      <w:color w:val="auto"/>
                    </w:rPr>
                    <w:t>m</w:t>
                  </w:r>
                </w:p>
              </w:tc>
              <w:tc>
                <w:tcPr>
                  <w:tcW w:w="570" w:type="pct"/>
                  <w:tcBorders>
                    <w:bottom w:val="single" w:color="auto" w:sz="4" w:space="0"/>
                  </w:tcBorders>
                  <w:noWrap w:val="0"/>
                  <w:vAlign w:val="center"/>
                </w:tcPr>
                <w:p w14:paraId="12606013">
                  <w:pPr>
                    <w:jc w:val="center"/>
                    <w:rPr>
                      <w:rFonts w:hint="eastAsia"/>
                      <w:color w:val="auto"/>
                    </w:rPr>
                  </w:pPr>
                  <w:r>
                    <w:rPr>
                      <w:rFonts w:hint="eastAsia"/>
                      <w:color w:val="auto"/>
                      <w:lang w:val="en-US" w:eastAsia="zh-CN"/>
                    </w:rPr>
                    <w:t>1个</w:t>
                  </w:r>
                </w:p>
              </w:tc>
              <w:tc>
                <w:tcPr>
                  <w:tcW w:w="815" w:type="pct"/>
                  <w:noWrap w:val="0"/>
                  <w:vAlign w:val="center"/>
                </w:tcPr>
                <w:p w14:paraId="041513A9">
                  <w:pPr>
                    <w:pStyle w:val="101"/>
                    <w:rPr>
                      <w:rFonts w:hint="eastAsia"/>
                      <w:color w:val="auto"/>
                    </w:rPr>
                  </w:pPr>
                  <w:r>
                    <w:rPr>
                      <w:rFonts w:hint="eastAsia"/>
                      <w:color w:val="auto"/>
                      <w:lang w:val="en-US" w:eastAsia="zh-CN"/>
                    </w:rPr>
                    <w:t>16632</w:t>
                  </w:r>
                  <w:r>
                    <w:rPr>
                      <w:rFonts w:hint="eastAsia"/>
                      <w:color w:val="auto"/>
                    </w:rPr>
                    <w:t xml:space="preserve"> m</w:t>
                  </w:r>
                  <w:r>
                    <w:rPr>
                      <w:rFonts w:hint="eastAsia"/>
                      <w:color w:val="auto"/>
                      <w:vertAlign w:val="superscript"/>
                    </w:rPr>
                    <w:t>3</w:t>
                  </w:r>
                  <w:r>
                    <w:rPr>
                      <w:rFonts w:hint="eastAsia"/>
                      <w:color w:val="auto"/>
                    </w:rPr>
                    <w:t>/h</w:t>
                  </w:r>
                </w:p>
              </w:tc>
            </w:tr>
            <w:tr w14:paraId="24CB8FE2">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655" w:type="pct"/>
                  <w:tcBorders>
                    <w:top w:val="single" w:color="auto" w:sz="4" w:space="0"/>
                    <w:bottom w:val="single" w:color="auto" w:sz="4" w:space="0"/>
                  </w:tcBorders>
                  <w:noWrap w:val="0"/>
                  <w:vAlign w:val="center"/>
                </w:tcPr>
                <w:p w14:paraId="03D7AE62">
                  <w:pPr>
                    <w:pStyle w:val="101"/>
                    <w:rPr>
                      <w:rFonts w:hint="default" w:eastAsia="宋体"/>
                      <w:color w:val="auto"/>
                      <w:lang w:val="en-US" w:eastAsia="zh-CN"/>
                    </w:rPr>
                  </w:pPr>
                  <w:r>
                    <w:rPr>
                      <w:rFonts w:hint="eastAsia"/>
                      <w:color w:val="auto"/>
                      <w:lang w:val="en-US" w:eastAsia="zh-CN"/>
                    </w:rPr>
                    <w:t>罗兰印刷机间</w:t>
                  </w:r>
                </w:p>
              </w:tc>
              <w:tc>
                <w:tcPr>
                  <w:tcW w:w="671" w:type="pct"/>
                  <w:tcBorders>
                    <w:top w:val="single" w:color="auto" w:sz="4" w:space="0"/>
                    <w:bottom w:val="single" w:color="auto" w:sz="4" w:space="0"/>
                  </w:tcBorders>
                  <w:noWrap w:val="0"/>
                  <w:vAlign w:val="center"/>
                </w:tcPr>
                <w:p w14:paraId="2EDD5188">
                  <w:pPr>
                    <w:pStyle w:val="101"/>
                    <w:rPr>
                      <w:color w:val="auto"/>
                    </w:rPr>
                  </w:pPr>
                  <w:r>
                    <w:rPr>
                      <w:rFonts w:hint="eastAsia"/>
                      <w:color w:val="auto"/>
                    </w:rPr>
                    <w:t>车间负压收集</w:t>
                  </w:r>
                </w:p>
              </w:tc>
              <w:tc>
                <w:tcPr>
                  <w:tcW w:w="742" w:type="pct"/>
                  <w:tcBorders>
                    <w:top w:val="single" w:color="auto" w:sz="4" w:space="0"/>
                    <w:bottom w:val="single" w:color="auto" w:sz="4" w:space="0"/>
                  </w:tcBorders>
                  <w:noWrap w:val="0"/>
                  <w:vAlign w:val="center"/>
                </w:tcPr>
                <w:p w14:paraId="45CB35EF">
                  <w:pPr>
                    <w:pStyle w:val="101"/>
                    <w:rPr>
                      <w:rFonts w:hint="eastAsia"/>
                      <w:color w:val="auto"/>
                    </w:rPr>
                  </w:pPr>
                  <w:r>
                    <w:rPr>
                      <w:rFonts w:hint="eastAsia"/>
                      <w:color w:val="auto"/>
                    </w:rPr>
                    <w:t>车间换气次数核算</w:t>
                  </w:r>
                </w:p>
              </w:tc>
              <w:tc>
                <w:tcPr>
                  <w:tcW w:w="561" w:type="pct"/>
                  <w:tcBorders>
                    <w:top w:val="single" w:color="auto" w:sz="4" w:space="0"/>
                    <w:bottom w:val="single" w:color="auto" w:sz="4" w:space="0"/>
                  </w:tcBorders>
                  <w:noWrap w:val="0"/>
                  <w:vAlign w:val="center"/>
                </w:tcPr>
                <w:p w14:paraId="4039C701">
                  <w:pPr>
                    <w:pStyle w:val="101"/>
                    <w:rPr>
                      <w:rFonts w:hint="eastAsia"/>
                      <w:color w:val="auto"/>
                    </w:rPr>
                  </w:pPr>
                  <w:r>
                    <w:rPr>
                      <w:rFonts w:hint="eastAsia"/>
                      <w:color w:val="auto"/>
                      <w:lang w:val="en-US" w:eastAsia="zh-CN"/>
                    </w:rPr>
                    <w:t>15</w:t>
                  </w:r>
                  <w:r>
                    <w:rPr>
                      <w:rFonts w:hint="eastAsia"/>
                      <w:color w:val="auto"/>
                    </w:rPr>
                    <w:t>次/h</w:t>
                  </w:r>
                </w:p>
              </w:tc>
              <w:tc>
                <w:tcPr>
                  <w:tcW w:w="984" w:type="pct"/>
                  <w:tcBorders>
                    <w:top w:val="single" w:color="auto" w:sz="4" w:space="0"/>
                    <w:bottom w:val="single" w:color="auto" w:sz="4" w:space="0"/>
                  </w:tcBorders>
                  <w:noWrap w:val="0"/>
                  <w:vAlign w:val="center"/>
                </w:tcPr>
                <w:p w14:paraId="32644409">
                  <w:pPr>
                    <w:pStyle w:val="101"/>
                    <w:rPr>
                      <w:rFonts w:hint="eastAsia"/>
                      <w:color w:val="auto"/>
                    </w:rPr>
                  </w:pPr>
                  <w:r>
                    <w:rPr>
                      <w:rFonts w:hint="eastAsia"/>
                      <w:color w:val="auto"/>
                      <w:lang w:val="en-US" w:eastAsia="zh-CN"/>
                    </w:rPr>
                    <w:t>24m</w:t>
                  </w:r>
                  <w:r>
                    <w:rPr>
                      <w:rFonts w:hint="eastAsia"/>
                      <w:color w:val="auto"/>
                    </w:rPr>
                    <w:t>×</w:t>
                  </w:r>
                  <w:r>
                    <w:rPr>
                      <w:rFonts w:hint="eastAsia"/>
                      <w:color w:val="auto"/>
                      <w:lang w:val="en-US" w:eastAsia="zh-CN"/>
                    </w:rPr>
                    <w:t>7.5</w:t>
                  </w:r>
                  <w:r>
                    <w:rPr>
                      <w:rFonts w:hint="eastAsia"/>
                      <w:color w:val="auto"/>
                    </w:rPr>
                    <w:t>×</w:t>
                  </w:r>
                  <w:r>
                    <w:rPr>
                      <w:rFonts w:hint="eastAsia"/>
                      <w:color w:val="auto"/>
                      <w:lang w:val="en-US" w:eastAsia="zh-CN"/>
                    </w:rPr>
                    <w:t>2.8</w:t>
                  </w:r>
                  <w:r>
                    <w:rPr>
                      <w:rFonts w:hint="eastAsia"/>
                      <w:color w:val="auto"/>
                    </w:rPr>
                    <w:t>m</w:t>
                  </w:r>
                </w:p>
              </w:tc>
              <w:tc>
                <w:tcPr>
                  <w:tcW w:w="570" w:type="pct"/>
                  <w:tcBorders>
                    <w:top w:val="single" w:color="auto" w:sz="4" w:space="0"/>
                    <w:bottom w:val="single" w:color="auto" w:sz="4" w:space="0"/>
                  </w:tcBorders>
                  <w:noWrap w:val="0"/>
                  <w:vAlign w:val="center"/>
                </w:tcPr>
                <w:p w14:paraId="73E99478">
                  <w:pPr>
                    <w:jc w:val="center"/>
                    <w:rPr>
                      <w:rFonts w:hint="eastAsia"/>
                      <w:b/>
                      <w:bCs/>
                      <w:color w:val="auto"/>
                    </w:rPr>
                  </w:pPr>
                  <w:r>
                    <w:rPr>
                      <w:rFonts w:hint="eastAsia"/>
                      <w:color w:val="auto"/>
                      <w:lang w:val="en-US" w:eastAsia="zh-CN"/>
                    </w:rPr>
                    <w:t>1个</w:t>
                  </w:r>
                </w:p>
              </w:tc>
              <w:tc>
                <w:tcPr>
                  <w:tcW w:w="815" w:type="pct"/>
                  <w:noWrap w:val="0"/>
                  <w:vAlign w:val="center"/>
                </w:tcPr>
                <w:p w14:paraId="04EEC103">
                  <w:pPr>
                    <w:pStyle w:val="101"/>
                    <w:rPr>
                      <w:rFonts w:hint="default" w:eastAsia="宋体"/>
                      <w:b/>
                      <w:bCs/>
                      <w:color w:val="auto"/>
                      <w:lang w:val="en-US" w:eastAsia="zh-CN"/>
                    </w:rPr>
                  </w:pPr>
                  <w:r>
                    <w:rPr>
                      <w:rFonts w:hint="eastAsia"/>
                      <w:b w:val="0"/>
                      <w:bCs w:val="0"/>
                      <w:color w:val="auto"/>
                      <w:lang w:val="en-US" w:eastAsia="zh-CN"/>
                    </w:rPr>
                    <w:t>7560</w:t>
                  </w:r>
                  <w:r>
                    <w:rPr>
                      <w:rFonts w:hint="eastAsia"/>
                      <w:b w:val="0"/>
                      <w:bCs w:val="0"/>
                      <w:color w:val="auto"/>
                    </w:rPr>
                    <w:t>m</w:t>
                  </w:r>
                  <w:r>
                    <w:rPr>
                      <w:rFonts w:hint="eastAsia"/>
                      <w:b w:val="0"/>
                      <w:bCs w:val="0"/>
                      <w:color w:val="auto"/>
                      <w:vertAlign w:val="superscript"/>
                    </w:rPr>
                    <w:t>3</w:t>
                  </w:r>
                  <w:r>
                    <w:rPr>
                      <w:rFonts w:hint="eastAsia"/>
                      <w:b w:val="0"/>
                      <w:bCs w:val="0"/>
                      <w:color w:val="auto"/>
                    </w:rPr>
                    <w:t>/h</w:t>
                  </w:r>
                </w:p>
              </w:tc>
            </w:tr>
            <w:tr w14:paraId="61312537">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4184" w:type="pct"/>
                  <w:gridSpan w:val="6"/>
                  <w:tcBorders>
                    <w:top w:val="single" w:color="auto" w:sz="4" w:space="0"/>
                    <w:bottom w:val="single" w:color="auto" w:sz="4" w:space="0"/>
                  </w:tcBorders>
                  <w:noWrap w:val="0"/>
                  <w:vAlign w:val="center"/>
                </w:tcPr>
                <w:p w14:paraId="3AFAB241">
                  <w:pPr>
                    <w:pStyle w:val="101"/>
                    <w:rPr>
                      <w:rFonts w:hint="eastAsia"/>
                      <w:b/>
                      <w:bCs/>
                      <w:color w:val="auto"/>
                    </w:rPr>
                  </w:pPr>
                  <w:r>
                    <w:rPr>
                      <w:rFonts w:hint="eastAsia"/>
                      <w:b/>
                      <w:bCs/>
                      <w:color w:val="auto"/>
                    </w:rPr>
                    <w:t>合计</w:t>
                  </w:r>
                </w:p>
              </w:tc>
              <w:tc>
                <w:tcPr>
                  <w:tcW w:w="815" w:type="pct"/>
                  <w:noWrap w:val="0"/>
                  <w:vAlign w:val="center"/>
                </w:tcPr>
                <w:p w14:paraId="63E0715D">
                  <w:pPr>
                    <w:pStyle w:val="101"/>
                    <w:rPr>
                      <w:rFonts w:hint="default" w:eastAsia="宋体"/>
                      <w:b/>
                      <w:bCs/>
                      <w:color w:val="auto"/>
                      <w:lang w:val="en-US" w:eastAsia="zh-CN"/>
                    </w:rPr>
                  </w:pPr>
                  <w:r>
                    <w:rPr>
                      <w:rFonts w:hint="eastAsia"/>
                      <w:b w:val="0"/>
                      <w:bCs w:val="0"/>
                      <w:color w:val="auto"/>
                      <w:lang w:val="en-US" w:eastAsia="zh-CN"/>
                    </w:rPr>
                    <w:t>27384</w:t>
                  </w:r>
                  <w:r>
                    <w:rPr>
                      <w:rFonts w:hint="eastAsia"/>
                      <w:b w:val="0"/>
                      <w:bCs w:val="0"/>
                      <w:color w:val="auto"/>
                    </w:rPr>
                    <w:t>m</w:t>
                  </w:r>
                  <w:r>
                    <w:rPr>
                      <w:rFonts w:hint="eastAsia"/>
                      <w:b w:val="0"/>
                      <w:bCs w:val="0"/>
                      <w:color w:val="auto"/>
                      <w:vertAlign w:val="superscript"/>
                    </w:rPr>
                    <w:t>3</w:t>
                  </w:r>
                  <w:r>
                    <w:rPr>
                      <w:rFonts w:hint="eastAsia"/>
                      <w:b w:val="0"/>
                      <w:bCs w:val="0"/>
                      <w:color w:val="auto"/>
                    </w:rPr>
                    <w:t>/h</w:t>
                  </w:r>
                </w:p>
              </w:tc>
            </w:tr>
          </w:tbl>
          <w:p w14:paraId="60224C40">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sz w:val="24"/>
                <w:szCs w:val="24"/>
                <w:lang w:val="en-US" w:eastAsia="zh-CN"/>
              </w:rPr>
              <w:t>则本项目所需风量为</w:t>
            </w:r>
            <w:r>
              <w:rPr>
                <w:rFonts w:hint="eastAsia" w:cs="Times New Roman"/>
                <w:color w:val="auto"/>
                <w:sz w:val="24"/>
                <w:szCs w:val="24"/>
                <w:highlight w:val="none"/>
                <w:lang w:val="en-US" w:eastAsia="zh-CN"/>
              </w:rPr>
              <w:t>7020</w:t>
            </w:r>
            <w:r>
              <w:rPr>
                <w:rFonts w:hint="default" w:ascii="Times New Roman" w:hAnsi="Times New Roman" w:eastAsia="宋体" w:cs="Times New Roman"/>
                <w:color w:val="auto"/>
                <w:sz w:val="24"/>
                <w:szCs w:val="24"/>
                <w:highlight w:val="none"/>
                <w:lang w:val="en-US" w:eastAsia="zh-CN"/>
              </w:rPr>
              <w:t>m³/h+</w:t>
            </w:r>
            <w:r>
              <w:rPr>
                <w:rFonts w:hint="eastAsia" w:cs="Times New Roman"/>
                <w:color w:val="auto"/>
                <w:sz w:val="24"/>
                <w:szCs w:val="24"/>
                <w:highlight w:val="none"/>
                <w:lang w:val="en-US" w:eastAsia="zh-CN"/>
              </w:rPr>
              <w:t>27384</w:t>
            </w:r>
            <w:r>
              <w:rPr>
                <w:rFonts w:hint="default" w:ascii="Times New Roman" w:hAnsi="Times New Roman" w:eastAsia="宋体" w:cs="Times New Roman"/>
                <w:color w:val="auto"/>
                <w:sz w:val="24"/>
                <w:szCs w:val="24"/>
                <w:highlight w:val="none"/>
                <w:lang w:val="en-US" w:eastAsia="zh-CN"/>
              </w:rPr>
              <w:t>m³/h=</w:t>
            </w:r>
            <w:r>
              <w:rPr>
                <w:rFonts w:hint="eastAsia" w:cs="Times New Roman"/>
                <w:color w:val="auto"/>
                <w:sz w:val="24"/>
                <w:szCs w:val="24"/>
                <w:highlight w:val="none"/>
                <w:lang w:val="en-US" w:eastAsia="zh-CN"/>
              </w:rPr>
              <w:t>34404</w:t>
            </w:r>
            <w:r>
              <w:rPr>
                <w:rFonts w:hint="default" w:ascii="Times New Roman" w:hAnsi="Times New Roman" w:eastAsia="宋体" w:cs="Times New Roman"/>
                <w:color w:val="auto"/>
                <w:sz w:val="24"/>
                <w:szCs w:val="24"/>
                <w:highlight w:val="none"/>
                <w:lang w:val="en-US" w:eastAsia="zh-CN"/>
              </w:rPr>
              <w:t>m³/h</w:t>
            </w:r>
            <w:r>
              <w:rPr>
                <w:rFonts w:hint="eastAsia" w:cs="Times New Roman"/>
                <w:color w:val="auto"/>
                <w:sz w:val="24"/>
                <w:szCs w:val="24"/>
                <w:highlight w:val="none"/>
                <w:lang w:val="en-US" w:eastAsia="zh-CN"/>
              </w:rPr>
              <w:t>，则风机风量不小于34404</w:t>
            </w:r>
            <w:r>
              <w:rPr>
                <w:rFonts w:hint="default" w:ascii="Times New Roman" w:hAnsi="Times New Roman" w:eastAsia="宋体" w:cs="Times New Roman"/>
                <w:color w:val="auto"/>
                <w:sz w:val="24"/>
                <w:szCs w:val="24"/>
                <w:highlight w:val="none"/>
                <w:lang w:val="en-US" w:eastAsia="zh-CN"/>
              </w:rPr>
              <w:t>m³/h</w:t>
            </w:r>
            <w:r>
              <w:rPr>
                <w:rFonts w:hint="eastAsia" w:cs="Times New Roman"/>
                <w:color w:val="auto"/>
                <w:sz w:val="24"/>
                <w:szCs w:val="24"/>
                <w:highlight w:val="none"/>
                <w:lang w:val="en-US" w:eastAsia="zh-CN"/>
              </w:rPr>
              <w:t>。</w:t>
            </w:r>
          </w:p>
          <w:p w14:paraId="068589F6">
            <w:pPr>
              <w:pStyle w:val="24"/>
              <w:tabs>
                <w:tab w:val="left" w:pos="420"/>
                <w:tab w:val="left" w:pos="870"/>
                <w:tab w:val="left" w:pos="3150"/>
              </w:tabs>
              <w:ind w:left="0" w:leftChars="0" w:firstLine="0" w:firstLineChars="0"/>
              <w:rPr>
                <w:rFonts w:hint="eastAsia" w:ascii="Times New Roman"/>
                <w:b/>
                <w:bCs/>
                <w:color w:val="auto"/>
                <w:szCs w:val="24"/>
                <w:highlight w:val="none"/>
              </w:rPr>
            </w:pPr>
            <w:r>
              <w:rPr>
                <w:rFonts w:hint="eastAsia"/>
                <w:b/>
                <w:bCs/>
                <w:color w:val="auto"/>
                <w:szCs w:val="24"/>
                <w:highlight w:val="none"/>
                <w:lang w:val="en-US" w:eastAsia="zh-CN"/>
              </w:rPr>
              <w:t>④</w:t>
            </w:r>
            <w:r>
              <w:rPr>
                <w:rFonts w:hint="eastAsia" w:ascii="Times New Roman"/>
                <w:b/>
                <w:bCs/>
                <w:color w:val="auto"/>
                <w:szCs w:val="24"/>
                <w:highlight w:val="none"/>
              </w:rPr>
              <w:t>食堂油烟</w:t>
            </w:r>
          </w:p>
          <w:p w14:paraId="62BB3AC1">
            <w:pPr>
              <w:adjustRightInd w:val="0"/>
              <w:snapToGrid w:val="0"/>
              <w:spacing w:line="360" w:lineRule="auto"/>
              <w:ind w:firstLine="480" w:firstLineChars="200"/>
              <w:rPr>
                <w:color w:val="auto"/>
                <w:sz w:val="24"/>
                <w:highlight w:val="none"/>
              </w:rPr>
            </w:pPr>
            <w:bookmarkStart w:id="36" w:name="_Hlk176514980"/>
            <w:r>
              <w:rPr>
                <w:color w:val="auto"/>
                <w:sz w:val="24"/>
                <w:highlight w:val="none"/>
              </w:rPr>
              <w:t>现有</w:t>
            </w:r>
            <w:r>
              <w:rPr>
                <w:rFonts w:hint="eastAsia"/>
                <w:color w:val="auto"/>
                <w:sz w:val="24"/>
                <w:highlight w:val="none"/>
              </w:rPr>
              <w:t>工程未设置食堂，本项目新增食堂。参照</w:t>
            </w:r>
            <w:r>
              <w:rPr>
                <w:color w:val="auto"/>
                <w:sz w:val="24"/>
                <w:highlight w:val="none"/>
              </w:rPr>
              <w:t>居民人均食用油约10kg/a，油烟产生量按4%计，则人均产生量为</w:t>
            </w:r>
            <w:r>
              <w:rPr>
                <w:rFonts w:hint="eastAsia"/>
                <w:color w:val="auto"/>
                <w:sz w:val="24"/>
                <w:highlight w:val="none"/>
              </w:rPr>
              <w:t>0.4</w:t>
            </w:r>
            <w:r>
              <w:rPr>
                <w:color w:val="auto"/>
                <w:sz w:val="24"/>
                <w:highlight w:val="none"/>
              </w:rPr>
              <w:t>kg/a，</w:t>
            </w:r>
            <w:r>
              <w:rPr>
                <w:rFonts w:hint="eastAsia"/>
                <w:color w:val="auto"/>
                <w:sz w:val="24"/>
                <w:highlight w:val="none"/>
              </w:rPr>
              <w:t>厂内</w:t>
            </w:r>
            <w:r>
              <w:rPr>
                <w:color w:val="auto"/>
                <w:sz w:val="24"/>
                <w:highlight w:val="none"/>
              </w:rPr>
              <w:t>最大用餐人数为</w:t>
            </w:r>
            <w:r>
              <w:rPr>
                <w:rFonts w:hint="eastAsia"/>
                <w:color w:val="auto"/>
                <w:sz w:val="24"/>
                <w:highlight w:val="none"/>
              </w:rPr>
              <w:t>16</w:t>
            </w:r>
            <w:r>
              <w:rPr>
                <w:color w:val="auto"/>
                <w:sz w:val="24"/>
                <w:highlight w:val="none"/>
              </w:rPr>
              <w:t>0人，则油烟产生量约</w:t>
            </w:r>
            <w:r>
              <w:rPr>
                <w:rFonts w:hint="eastAsia"/>
                <w:color w:val="auto"/>
                <w:sz w:val="24"/>
                <w:highlight w:val="none"/>
              </w:rPr>
              <w:t>64kg</w:t>
            </w:r>
            <w:r>
              <w:rPr>
                <w:color w:val="auto"/>
                <w:sz w:val="24"/>
                <w:highlight w:val="none"/>
              </w:rPr>
              <w:t>/a，0.</w:t>
            </w:r>
            <w:r>
              <w:rPr>
                <w:rFonts w:hint="eastAsia"/>
                <w:color w:val="auto"/>
                <w:sz w:val="24"/>
                <w:highlight w:val="none"/>
              </w:rPr>
              <w:t>0711</w:t>
            </w:r>
            <w:r>
              <w:rPr>
                <w:color w:val="auto"/>
                <w:sz w:val="24"/>
                <w:highlight w:val="none"/>
              </w:rPr>
              <w:t>kg/h（按日进行</w:t>
            </w:r>
            <w:r>
              <w:rPr>
                <w:rFonts w:hint="eastAsia"/>
                <w:color w:val="auto"/>
                <w:sz w:val="24"/>
                <w:highlight w:val="none"/>
              </w:rPr>
              <w:t>炒制</w:t>
            </w:r>
            <w:r>
              <w:rPr>
                <w:color w:val="auto"/>
                <w:sz w:val="24"/>
                <w:highlight w:val="none"/>
              </w:rPr>
              <w:t>工况</w:t>
            </w:r>
            <w:r>
              <w:rPr>
                <w:rFonts w:hint="eastAsia"/>
                <w:color w:val="auto"/>
                <w:sz w:val="24"/>
                <w:highlight w:val="none"/>
              </w:rPr>
              <w:t>3</w:t>
            </w:r>
            <w:r>
              <w:rPr>
                <w:color w:val="auto"/>
                <w:sz w:val="24"/>
                <w:highlight w:val="none"/>
              </w:rPr>
              <w:t>小时计）</w:t>
            </w:r>
            <w:r>
              <w:rPr>
                <w:rFonts w:hint="eastAsia"/>
                <w:color w:val="auto"/>
                <w:sz w:val="24"/>
                <w:highlight w:val="none"/>
              </w:rPr>
              <w:t>。</w:t>
            </w:r>
            <w:bookmarkEnd w:id="36"/>
            <w:bookmarkStart w:id="37" w:name="_Hlk176515010"/>
            <w:r>
              <w:rPr>
                <w:rFonts w:hint="eastAsia"/>
                <w:color w:val="auto"/>
                <w:sz w:val="24"/>
                <w:highlight w:val="none"/>
              </w:rPr>
              <w:t>灶台上方设置集气罩，经</w:t>
            </w:r>
            <w:r>
              <w:rPr>
                <w:color w:val="auto"/>
                <w:sz w:val="24"/>
                <w:highlight w:val="none"/>
              </w:rPr>
              <w:t>厂区食堂设置的一台油烟净化器，</w:t>
            </w:r>
            <w:r>
              <w:rPr>
                <w:color w:val="auto"/>
                <w:sz w:val="24"/>
                <w:szCs w:val="18"/>
                <w:highlight w:val="none"/>
              </w:rPr>
              <w:t>食堂油烟经油烟净化器处理达标后引至楼顶排放。</w:t>
            </w:r>
            <w:r>
              <w:rPr>
                <w:color w:val="auto"/>
                <w:sz w:val="24"/>
                <w:highlight w:val="none"/>
              </w:rPr>
              <w:t>烟气净化设施去除率为80%，风机风量约</w:t>
            </w:r>
            <w:r>
              <w:rPr>
                <w:rFonts w:hint="eastAsia"/>
                <w:color w:val="auto"/>
                <w:sz w:val="24"/>
                <w:highlight w:val="none"/>
              </w:rPr>
              <w:t>100</w:t>
            </w:r>
            <w:r>
              <w:rPr>
                <w:color w:val="auto"/>
                <w:sz w:val="24"/>
                <w:highlight w:val="none"/>
              </w:rPr>
              <w:t>00m</w:t>
            </w:r>
            <w:r>
              <w:rPr>
                <w:color w:val="auto"/>
                <w:sz w:val="24"/>
                <w:highlight w:val="none"/>
                <w:vertAlign w:val="superscript"/>
              </w:rPr>
              <w:t>3</w:t>
            </w:r>
            <w:r>
              <w:rPr>
                <w:color w:val="auto"/>
                <w:sz w:val="24"/>
                <w:highlight w:val="none"/>
              </w:rPr>
              <w:t>/h</w:t>
            </w:r>
            <w:r>
              <w:rPr>
                <w:rFonts w:hint="eastAsia"/>
                <w:color w:val="auto"/>
                <w:sz w:val="24"/>
                <w:highlight w:val="none"/>
              </w:rPr>
              <w:t>，则排放量为12.8kg/a，排放速率为0.0142kg/h，排放浓度为1.42mg/m</w:t>
            </w:r>
            <w:r>
              <w:rPr>
                <w:rFonts w:hint="eastAsia"/>
                <w:color w:val="auto"/>
                <w:sz w:val="24"/>
                <w:highlight w:val="none"/>
                <w:vertAlign w:val="superscript"/>
              </w:rPr>
              <w:t>3</w:t>
            </w:r>
            <w:r>
              <w:rPr>
                <w:color w:val="auto"/>
                <w:sz w:val="24"/>
                <w:highlight w:val="none"/>
              </w:rPr>
              <w:t>。</w:t>
            </w:r>
            <w:bookmarkEnd w:id="37"/>
          </w:p>
          <w:p w14:paraId="6C515F63">
            <w:pPr>
              <w:spacing w:line="360" w:lineRule="auto"/>
              <w:ind w:firstLine="482" w:firstLineChars="200"/>
              <w:rPr>
                <w:color w:val="auto"/>
                <w:sz w:val="24"/>
              </w:rPr>
            </w:pPr>
            <w:r>
              <w:rPr>
                <w:b/>
                <w:color w:val="auto"/>
                <w:sz w:val="24"/>
              </w:rPr>
              <w:t>治理措施：</w:t>
            </w:r>
            <w:r>
              <w:rPr>
                <w:color w:val="auto"/>
                <w:sz w:val="24"/>
              </w:rPr>
              <w:t>食堂</w:t>
            </w:r>
            <w:r>
              <w:rPr>
                <w:rFonts w:hint="eastAsia"/>
                <w:color w:val="auto"/>
                <w:sz w:val="24"/>
              </w:rPr>
              <w:t>设置一台</w:t>
            </w:r>
            <w:r>
              <w:rPr>
                <w:color w:val="auto"/>
                <w:sz w:val="24"/>
              </w:rPr>
              <w:t>油烟净化器，</w:t>
            </w:r>
            <w:r>
              <w:rPr>
                <w:color w:val="auto"/>
                <w:sz w:val="24"/>
                <w:szCs w:val="18"/>
              </w:rPr>
              <w:t>食堂油烟经油烟净化器处理达标后，引至楼顶排放</w:t>
            </w:r>
            <w:r>
              <w:rPr>
                <w:rFonts w:hint="eastAsia"/>
                <w:color w:val="auto"/>
                <w:sz w:val="24"/>
                <w:szCs w:val="18"/>
              </w:rPr>
              <w:t>。</w:t>
            </w:r>
            <w:r>
              <w:rPr>
                <w:color w:val="auto"/>
                <w:sz w:val="24"/>
              </w:rPr>
              <w:t>烟气净化设施去除率</w:t>
            </w:r>
            <w:r>
              <w:rPr>
                <w:rFonts w:hint="eastAsia"/>
                <w:color w:val="auto"/>
                <w:sz w:val="24"/>
              </w:rPr>
              <w:t>为8</w:t>
            </w:r>
            <w:r>
              <w:rPr>
                <w:color w:val="auto"/>
                <w:sz w:val="24"/>
              </w:rPr>
              <w:t>0%，风机风量约</w:t>
            </w:r>
            <w:r>
              <w:rPr>
                <w:rFonts w:hint="eastAsia"/>
                <w:color w:val="auto"/>
                <w:sz w:val="24"/>
                <w:lang w:val="en-US" w:eastAsia="zh-CN"/>
              </w:rPr>
              <w:t>10000</w:t>
            </w:r>
            <w:r>
              <w:rPr>
                <w:color w:val="auto"/>
                <w:sz w:val="24"/>
              </w:rPr>
              <w:t>m</w:t>
            </w:r>
            <w:r>
              <w:rPr>
                <w:color w:val="auto"/>
                <w:sz w:val="24"/>
                <w:vertAlign w:val="superscript"/>
              </w:rPr>
              <w:t>3</w:t>
            </w:r>
            <w:r>
              <w:rPr>
                <w:color w:val="auto"/>
                <w:sz w:val="24"/>
              </w:rPr>
              <w:t>/h</w:t>
            </w:r>
            <w:r>
              <w:rPr>
                <w:rFonts w:hint="eastAsia"/>
                <w:color w:val="auto"/>
                <w:sz w:val="24"/>
              </w:rPr>
              <w:t>。可满足需求。</w:t>
            </w:r>
          </w:p>
          <w:p w14:paraId="3429F066">
            <w:pPr>
              <w:spacing w:line="360" w:lineRule="auto"/>
              <w:ind w:firstLine="463" w:firstLineChars="192"/>
              <w:rPr>
                <w:b/>
                <w:color w:val="auto"/>
                <w:sz w:val="24"/>
              </w:rPr>
            </w:pPr>
            <w:r>
              <w:rPr>
                <w:rFonts w:hint="eastAsia"/>
                <w:b/>
                <w:color w:val="auto"/>
                <w:sz w:val="24"/>
              </w:rPr>
              <w:t>（</w:t>
            </w:r>
            <w:r>
              <w:rPr>
                <w:rFonts w:hint="eastAsia"/>
                <w:b/>
                <w:color w:val="auto"/>
                <w:sz w:val="24"/>
                <w:lang w:val="en-US" w:eastAsia="zh-CN"/>
              </w:rPr>
              <w:t>3</w:t>
            </w:r>
            <w:r>
              <w:rPr>
                <w:rFonts w:hint="eastAsia"/>
                <w:b/>
                <w:color w:val="auto"/>
                <w:sz w:val="24"/>
              </w:rPr>
              <w:t>）废气污染物防治工艺可行性</w:t>
            </w:r>
          </w:p>
          <w:p w14:paraId="47F8530B">
            <w:pPr>
              <w:spacing w:line="360" w:lineRule="auto"/>
              <w:ind w:firstLine="482" w:firstLineChars="200"/>
              <w:rPr>
                <w:color w:val="auto"/>
                <w:sz w:val="24"/>
              </w:rPr>
            </w:pPr>
            <w:r>
              <w:rPr>
                <w:rFonts w:hint="eastAsia"/>
                <w:b/>
                <w:bCs/>
                <w:color w:val="auto"/>
                <w:sz w:val="24"/>
              </w:rPr>
              <w:t>防治工艺可行性分析</w:t>
            </w:r>
            <w:r>
              <w:rPr>
                <w:rFonts w:hint="eastAsia"/>
                <w:color w:val="auto"/>
                <w:sz w:val="24"/>
              </w:rPr>
              <w:t>：本项目有机废气（VOCs）采用两级活性炭装置处置，处理技术属于污染防治可行技术指南中的可行技术。</w:t>
            </w:r>
          </w:p>
          <w:p w14:paraId="42587230">
            <w:pPr>
              <w:spacing w:line="360" w:lineRule="auto"/>
              <w:ind w:firstLine="482"/>
              <w:rPr>
                <w:rFonts w:hint="eastAsia" w:ascii="Times New Roman" w:hAnsi="Times New Roman" w:eastAsia="宋体" w:cs="Times New Roman"/>
                <w:color w:val="auto"/>
                <w:sz w:val="24"/>
              </w:rPr>
            </w:pPr>
            <w:r>
              <w:rPr>
                <w:b/>
                <w:color w:val="auto"/>
                <w:sz w:val="24"/>
              </w:rPr>
              <w:t>活性炭吸附工作原理：</w:t>
            </w:r>
            <w:r>
              <w:rPr>
                <w:color w:val="auto"/>
                <w:sz w:val="24"/>
              </w:rPr>
              <w:t>活性炭固体表面存在着未平衡和未饱和的分子引力或化学键力，当此固体表面与气体接触时，就能吸引气体分子，使其浓聚并保持在固体表面，此现象称为吸附。利用固体表面的吸附能力，使废气与大表面的多孔性固体物质相接触，废气中的污染物被吸附在固体表面上，使其与气体混合物分离，达到净化目的。活性炭吸附是一种对有机废气较为成熟的处理工艺</w:t>
            </w:r>
            <w:r>
              <w:rPr>
                <w:rFonts w:hint="eastAsia"/>
                <w:color w:val="auto"/>
                <w:sz w:val="24"/>
              </w:rPr>
              <w:t>。根据《吸附法工业有机废气治理工程技术规范》（HJ 2026—2013）6.1工艺设计一般规定，</w:t>
            </w:r>
            <w:r>
              <w:rPr>
                <w:color w:val="auto"/>
                <w:sz w:val="24"/>
              </w:rPr>
              <w:t>吸附装置的净化效率不得低于90%</w:t>
            </w:r>
            <w:r>
              <w:rPr>
                <w:rFonts w:hint="eastAsia"/>
                <w:color w:val="auto"/>
                <w:sz w:val="24"/>
              </w:rPr>
              <w:t>。</w:t>
            </w:r>
          </w:p>
          <w:p w14:paraId="0FCE544D">
            <w:pPr>
              <w:wordWrap w:val="0"/>
              <w:spacing w:line="360" w:lineRule="auto"/>
              <w:ind w:firstLine="482" w:firstLineChars="200"/>
              <w:rPr>
                <w:b/>
                <w:color w:val="auto"/>
                <w:sz w:val="24"/>
              </w:rPr>
            </w:pPr>
            <w:r>
              <w:rPr>
                <w:b/>
                <w:color w:val="auto"/>
                <w:sz w:val="24"/>
              </w:rPr>
              <w:t>活性炭吸附装置关键参数及设计要点：</w:t>
            </w:r>
          </w:p>
          <w:p w14:paraId="7984D4C7">
            <w:pPr>
              <w:spacing w:line="360" w:lineRule="auto"/>
              <w:ind w:firstLine="482"/>
              <w:rPr>
                <w:color w:val="auto"/>
                <w:sz w:val="24"/>
              </w:rPr>
            </w:pPr>
            <w:r>
              <w:rPr>
                <w:rFonts w:ascii="Cambria Math" w:hAnsi="Cambria Math" w:cs="Cambria Math"/>
                <w:color w:val="auto"/>
                <w:sz w:val="24"/>
              </w:rPr>
              <w:t>①</w:t>
            </w:r>
            <w:r>
              <w:rPr>
                <w:color w:val="auto"/>
                <w:sz w:val="24"/>
              </w:rPr>
              <w:t>设计风量宜按照最大废气排放量120%设计；</w:t>
            </w:r>
          </w:p>
          <w:p w14:paraId="77E3C914">
            <w:pPr>
              <w:spacing w:line="360" w:lineRule="auto"/>
              <w:ind w:firstLine="482"/>
              <w:rPr>
                <w:color w:val="auto"/>
                <w:sz w:val="24"/>
              </w:rPr>
            </w:pPr>
            <w:r>
              <w:rPr>
                <w:rFonts w:ascii="Cambria Math" w:hAnsi="Cambria Math" w:cs="Cambria Math"/>
                <w:color w:val="auto"/>
                <w:sz w:val="24"/>
              </w:rPr>
              <w:t>②</w:t>
            </w:r>
            <w:r>
              <w:rPr>
                <w:color w:val="auto"/>
                <w:sz w:val="24"/>
              </w:rPr>
              <w:t>除溶剂和油气储运销装置的有机废气吸附回收外，进入吸附装置的有机废气中有机物浓度应低于其爆炸极限下限的25%；</w:t>
            </w:r>
          </w:p>
          <w:p w14:paraId="78A60EF4">
            <w:pPr>
              <w:spacing w:line="360" w:lineRule="auto"/>
              <w:ind w:firstLine="482"/>
              <w:rPr>
                <w:color w:val="auto"/>
                <w:sz w:val="24"/>
              </w:rPr>
            </w:pPr>
            <w:r>
              <w:rPr>
                <w:rFonts w:ascii="Cambria Math" w:hAnsi="Cambria Math" w:cs="Cambria Math"/>
                <w:color w:val="auto"/>
                <w:sz w:val="24"/>
              </w:rPr>
              <w:t>③</w:t>
            </w:r>
            <w:r>
              <w:rPr>
                <w:color w:val="auto"/>
                <w:sz w:val="24"/>
              </w:rPr>
              <w:t>采用蜂窝状活性炭吸附剂时，气体流速宜低于1.2米/秒；采用颗粒状活性炭吸附剂时，气体流速宜低于0.6米/秒；采用活性炭纤维吸附剂时，气体流速宜低于0.15米/秒；</w:t>
            </w:r>
          </w:p>
          <w:p w14:paraId="1598AF3D">
            <w:pPr>
              <w:spacing w:line="360" w:lineRule="auto"/>
              <w:ind w:firstLine="482"/>
              <w:rPr>
                <w:color w:val="auto"/>
                <w:sz w:val="24"/>
              </w:rPr>
            </w:pPr>
            <w:r>
              <w:rPr>
                <w:rFonts w:ascii="Cambria Math" w:hAnsi="Cambria Math" w:cs="Cambria Math"/>
                <w:color w:val="auto"/>
                <w:sz w:val="24"/>
              </w:rPr>
              <w:t>④</w:t>
            </w:r>
            <w:r>
              <w:rPr>
                <w:color w:val="auto"/>
                <w:sz w:val="24"/>
              </w:rPr>
              <w:t>吸附装置内部应装设具有自动报警功能的多点温度检测装置。在吸附操作周期内，温度超过时应能自动报警，并立即启动降温装置；</w:t>
            </w:r>
          </w:p>
          <w:p w14:paraId="1D876FBC">
            <w:pPr>
              <w:spacing w:line="360" w:lineRule="auto"/>
              <w:ind w:firstLine="482"/>
              <w:rPr>
                <w:color w:val="auto"/>
                <w:sz w:val="24"/>
              </w:rPr>
            </w:pPr>
            <w:r>
              <w:rPr>
                <w:rFonts w:ascii="Cambria Math" w:hAnsi="Cambria Math" w:cs="Cambria Math"/>
                <w:color w:val="auto"/>
                <w:sz w:val="24"/>
              </w:rPr>
              <w:t>⑤</w:t>
            </w:r>
            <w:r>
              <w:rPr>
                <w:color w:val="auto"/>
                <w:sz w:val="24"/>
              </w:rPr>
              <w:t>活性炭吸附装置内部结构应设计合理，气体流通顺畅、无短路（短路指进入活性炭箱的废气未经活性炭吸附直接排放）、无死角；</w:t>
            </w:r>
          </w:p>
          <w:p w14:paraId="6FD63817">
            <w:pPr>
              <w:spacing w:line="360" w:lineRule="auto"/>
              <w:ind w:firstLine="482"/>
              <w:rPr>
                <w:color w:val="auto"/>
                <w:sz w:val="24"/>
              </w:rPr>
            </w:pPr>
            <w:r>
              <w:rPr>
                <w:rFonts w:ascii="Cambria Math" w:hAnsi="Cambria Math" w:cs="Cambria Math"/>
                <w:color w:val="auto"/>
                <w:sz w:val="24"/>
              </w:rPr>
              <w:t>⑥</w:t>
            </w:r>
            <w:r>
              <w:rPr>
                <w:color w:val="auto"/>
                <w:sz w:val="24"/>
              </w:rPr>
              <w:t>活性炭吸附装置的门、焊缝、管道连接处等均应严密，不得漏气，所有螺栓、螺母均应经过表面处理，连接牢固；</w:t>
            </w:r>
          </w:p>
          <w:p w14:paraId="0832BE6C">
            <w:pPr>
              <w:spacing w:line="360" w:lineRule="auto"/>
              <w:ind w:firstLine="482"/>
              <w:rPr>
                <w:color w:val="auto"/>
                <w:sz w:val="24"/>
              </w:rPr>
            </w:pPr>
            <w:r>
              <w:rPr>
                <w:rFonts w:ascii="Cambria Math" w:hAnsi="Cambria Math" w:cs="Cambria Math"/>
                <w:color w:val="auto"/>
                <w:sz w:val="24"/>
              </w:rPr>
              <w:t>⑦</w:t>
            </w:r>
            <w:r>
              <w:rPr>
                <w:color w:val="auto"/>
                <w:sz w:val="24"/>
              </w:rPr>
              <w:t>排放风机宜安装在活性炭吸附装置的后端，使装置形成负压，尽量保证无污染气体泄漏到设备箱体外；</w:t>
            </w:r>
          </w:p>
          <w:p w14:paraId="1DBFF6A6">
            <w:pPr>
              <w:spacing w:line="360" w:lineRule="auto"/>
              <w:ind w:firstLine="482"/>
              <w:rPr>
                <w:color w:val="auto"/>
                <w:sz w:val="24"/>
              </w:rPr>
            </w:pPr>
            <w:r>
              <w:rPr>
                <w:rFonts w:ascii="Cambria Math" w:hAnsi="Cambria Math" w:cs="Cambria Math"/>
                <w:color w:val="auto"/>
                <w:sz w:val="24"/>
              </w:rPr>
              <w:t>⑧</w:t>
            </w:r>
            <w:r>
              <w:rPr>
                <w:color w:val="auto"/>
                <w:sz w:val="24"/>
              </w:rPr>
              <w:t>活性炭吸附装置的进气和排气管道上均应设置采样口，便于日常监测活性炭吸附效率；</w:t>
            </w:r>
          </w:p>
          <w:p w14:paraId="686607BB">
            <w:pPr>
              <w:spacing w:line="360" w:lineRule="auto"/>
              <w:ind w:firstLine="482"/>
              <w:rPr>
                <w:color w:val="auto"/>
                <w:sz w:val="24"/>
              </w:rPr>
            </w:pPr>
            <w:r>
              <w:rPr>
                <w:rFonts w:ascii="Cambria Math" w:hAnsi="Cambria Math" w:cs="Cambria Math"/>
                <w:color w:val="auto"/>
                <w:sz w:val="24"/>
              </w:rPr>
              <w:t>⑨</w:t>
            </w:r>
            <w:r>
              <w:rPr>
                <w:color w:val="auto"/>
                <w:sz w:val="24"/>
              </w:rPr>
              <w:t>活性炭吸附装置进风口前端应设置温/湿度计，或温/湿度传感器，以便监测进入活性炭箱的废气是否符合要求；</w:t>
            </w:r>
          </w:p>
          <w:p w14:paraId="2D439170">
            <w:pPr>
              <w:spacing w:line="360" w:lineRule="auto"/>
              <w:ind w:firstLine="482"/>
              <w:rPr>
                <w:color w:val="auto"/>
                <w:sz w:val="24"/>
              </w:rPr>
            </w:pPr>
            <w:r>
              <w:rPr>
                <w:rFonts w:ascii="Cambria Math" w:hAnsi="Cambria Math" w:cs="Cambria Math"/>
                <w:color w:val="auto"/>
                <w:sz w:val="24"/>
              </w:rPr>
              <w:t>⑩</w:t>
            </w:r>
            <w:r>
              <w:rPr>
                <w:color w:val="auto"/>
                <w:sz w:val="24"/>
              </w:rPr>
              <w:t>活性炭吸附装置进风口或出风口应安装压差计，当压力低于初始值或达到初始值1.5—2倍时应及时检查、更换活性炭；</w:t>
            </w:r>
          </w:p>
          <w:p w14:paraId="142F3CDF">
            <w:pPr>
              <w:spacing w:line="360" w:lineRule="auto"/>
              <w:ind w:firstLine="482"/>
              <w:rPr>
                <w:color w:val="auto"/>
                <w:sz w:val="24"/>
              </w:rPr>
            </w:pPr>
            <w:r>
              <w:rPr>
                <w:rFonts w:ascii="Cambria Math" w:hAnsi="Cambria Math" w:cs="Cambria Math"/>
                <w:color w:val="auto"/>
                <w:sz w:val="24"/>
              </w:rPr>
              <w:t>⑪</w:t>
            </w:r>
            <w:r>
              <w:rPr>
                <w:color w:val="auto"/>
                <w:sz w:val="24"/>
              </w:rPr>
              <w:t>活性炭吸附装置应设置防火阀、阻火器等安全装置。</w:t>
            </w:r>
          </w:p>
          <w:p w14:paraId="747EEA30">
            <w:pPr>
              <w:pStyle w:val="61"/>
              <w:adjustRightInd/>
              <w:spacing w:before="0" w:after="0" w:line="360" w:lineRule="auto"/>
              <w:ind w:firstLine="482" w:firstLineChars="200"/>
              <w:textAlignment w:val="auto"/>
              <w:rPr>
                <w:rFonts w:eastAsia="宋体"/>
                <w:b/>
                <w:bCs/>
                <w:color w:val="auto"/>
                <w:kern w:val="2"/>
                <w:sz w:val="24"/>
                <w:szCs w:val="24"/>
              </w:rPr>
            </w:pPr>
            <w:r>
              <w:rPr>
                <w:rFonts w:hint="eastAsia" w:eastAsia="宋体"/>
                <w:b/>
                <w:bCs/>
                <w:color w:val="auto"/>
                <w:kern w:val="2"/>
                <w:sz w:val="24"/>
                <w:szCs w:val="24"/>
              </w:rPr>
              <w:t>活性炭理化性能指标要求：</w:t>
            </w:r>
          </w:p>
          <w:p w14:paraId="7860934B">
            <w:pPr>
              <w:spacing w:line="360" w:lineRule="auto"/>
              <w:ind w:firstLine="482"/>
              <w:rPr>
                <w:color w:val="auto"/>
                <w:sz w:val="24"/>
              </w:rPr>
            </w:pPr>
            <w:r>
              <w:rPr>
                <w:rFonts w:hint="eastAsia"/>
                <w:color w:val="auto"/>
                <w:sz w:val="24"/>
              </w:rPr>
              <w:t>工业有机废气治理用活性炭需满足下表中技术要求：</w:t>
            </w:r>
          </w:p>
          <w:p w14:paraId="43EB1F2F">
            <w:pPr>
              <w:numPr>
                <w:ilvl w:val="0"/>
                <w:numId w:val="0"/>
              </w:numPr>
              <w:spacing w:after="120" w:afterLines="50"/>
              <w:ind w:left="482" w:leftChars="0"/>
              <w:jc w:val="center"/>
              <w:rPr>
                <w:b/>
                <w:bCs/>
                <w:color w:val="auto"/>
                <w:szCs w:val="21"/>
              </w:rPr>
            </w:pPr>
            <w:r>
              <w:rPr>
                <w:rFonts w:hint="eastAsia"/>
                <w:b/>
                <w:bCs/>
                <w:color w:val="auto"/>
                <w:szCs w:val="21"/>
                <w:lang w:val="en-US" w:eastAsia="zh-CN"/>
              </w:rPr>
              <w:t xml:space="preserve">表4-8 </w:t>
            </w:r>
            <w:r>
              <w:rPr>
                <w:rFonts w:hint="eastAsia"/>
                <w:b/>
                <w:bCs/>
                <w:color w:val="auto"/>
                <w:szCs w:val="21"/>
              </w:rPr>
              <w:t xml:space="preserve"> </w:t>
            </w:r>
            <w:r>
              <w:rPr>
                <w:rFonts w:hint="eastAsia"/>
                <w:b/>
                <w:color w:val="auto"/>
                <w:szCs w:val="21"/>
              </w:rPr>
              <w:t>有机</w:t>
            </w:r>
            <w:r>
              <w:rPr>
                <w:rFonts w:hint="eastAsia"/>
                <w:b/>
                <w:bCs/>
                <w:color w:val="auto"/>
                <w:szCs w:val="21"/>
              </w:rPr>
              <w:t>废气治理用活性炭常规技术指标</w:t>
            </w:r>
          </w:p>
          <w:tbl>
            <w:tblPr>
              <w:tblStyle w:val="25"/>
              <w:tblW w:w="84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878"/>
              <w:gridCol w:w="1299"/>
              <w:gridCol w:w="1299"/>
              <w:gridCol w:w="1377"/>
              <w:gridCol w:w="1677"/>
            </w:tblGrid>
            <w:tr w14:paraId="0DB66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vMerge w:val="restart"/>
                  <w:shd w:val="clear" w:color="auto" w:fill="auto"/>
                  <w:vAlign w:val="center"/>
                </w:tcPr>
                <w:p w14:paraId="2E182FB5">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序号</w:t>
                  </w:r>
                </w:p>
              </w:tc>
              <w:tc>
                <w:tcPr>
                  <w:tcW w:w="1878" w:type="dxa"/>
                  <w:vMerge w:val="restart"/>
                  <w:shd w:val="clear" w:color="auto" w:fill="auto"/>
                  <w:vAlign w:val="center"/>
                </w:tcPr>
                <w:p w14:paraId="70EB003A">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指标名称</w:t>
                  </w:r>
                </w:p>
              </w:tc>
              <w:tc>
                <w:tcPr>
                  <w:tcW w:w="2598" w:type="dxa"/>
                  <w:gridSpan w:val="2"/>
                  <w:shd w:val="clear" w:color="auto" w:fill="auto"/>
                  <w:vAlign w:val="center"/>
                </w:tcPr>
                <w:p w14:paraId="0274AA3C">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指标限值</w:t>
                  </w:r>
                </w:p>
              </w:tc>
              <w:tc>
                <w:tcPr>
                  <w:tcW w:w="3054" w:type="dxa"/>
                  <w:gridSpan w:val="2"/>
                  <w:shd w:val="clear" w:color="auto" w:fill="auto"/>
                  <w:vAlign w:val="center"/>
                </w:tcPr>
                <w:p w14:paraId="50B36855">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检验方法</w:t>
                  </w:r>
                </w:p>
              </w:tc>
            </w:tr>
            <w:tr w14:paraId="5A66B4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vMerge w:val="continue"/>
                  <w:shd w:val="clear" w:color="auto" w:fill="auto"/>
                  <w:vAlign w:val="center"/>
                </w:tcPr>
                <w:p w14:paraId="29E66FCD">
                  <w:pPr>
                    <w:pStyle w:val="61"/>
                    <w:adjustRightInd/>
                    <w:spacing w:before="0" w:after="0" w:line="320" w:lineRule="exact"/>
                    <w:jc w:val="center"/>
                    <w:textAlignment w:val="auto"/>
                    <w:rPr>
                      <w:rFonts w:eastAsia="宋体"/>
                      <w:b/>
                      <w:bCs/>
                      <w:color w:val="auto"/>
                      <w:kern w:val="2"/>
                      <w:sz w:val="21"/>
                      <w:szCs w:val="21"/>
                    </w:rPr>
                  </w:pPr>
                </w:p>
              </w:tc>
              <w:tc>
                <w:tcPr>
                  <w:tcW w:w="1878" w:type="dxa"/>
                  <w:vMerge w:val="continue"/>
                  <w:shd w:val="clear" w:color="auto" w:fill="auto"/>
                  <w:vAlign w:val="center"/>
                </w:tcPr>
                <w:p w14:paraId="085BE6AA">
                  <w:pPr>
                    <w:pStyle w:val="61"/>
                    <w:adjustRightInd/>
                    <w:spacing w:before="0" w:after="0" w:line="320" w:lineRule="exact"/>
                    <w:jc w:val="center"/>
                    <w:textAlignment w:val="auto"/>
                    <w:rPr>
                      <w:rFonts w:eastAsia="宋体"/>
                      <w:b/>
                      <w:bCs/>
                      <w:color w:val="auto"/>
                      <w:kern w:val="2"/>
                      <w:sz w:val="21"/>
                      <w:szCs w:val="21"/>
                    </w:rPr>
                  </w:pPr>
                </w:p>
              </w:tc>
              <w:tc>
                <w:tcPr>
                  <w:tcW w:w="1299" w:type="dxa"/>
                  <w:shd w:val="clear" w:color="auto" w:fill="auto"/>
                  <w:vAlign w:val="center"/>
                </w:tcPr>
                <w:p w14:paraId="48ACBD68">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优等品</w:t>
                  </w:r>
                </w:p>
              </w:tc>
              <w:tc>
                <w:tcPr>
                  <w:tcW w:w="1299" w:type="dxa"/>
                  <w:shd w:val="clear" w:color="auto" w:fill="auto"/>
                  <w:vAlign w:val="center"/>
                </w:tcPr>
                <w:p w14:paraId="25EB1AB8">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合格品</w:t>
                  </w:r>
                </w:p>
              </w:tc>
              <w:tc>
                <w:tcPr>
                  <w:tcW w:w="1377" w:type="dxa"/>
                  <w:shd w:val="clear" w:color="auto" w:fill="auto"/>
                  <w:vAlign w:val="center"/>
                </w:tcPr>
                <w:p w14:paraId="476CD9D0">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木质活性炭</w:t>
                  </w:r>
                </w:p>
              </w:tc>
              <w:tc>
                <w:tcPr>
                  <w:tcW w:w="1677" w:type="dxa"/>
                  <w:shd w:val="clear" w:color="auto" w:fill="auto"/>
                  <w:vAlign w:val="center"/>
                </w:tcPr>
                <w:p w14:paraId="35ECD9A7">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煤质活性炭</w:t>
                  </w:r>
                </w:p>
              </w:tc>
            </w:tr>
            <w:tr w14:paraId="21A71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shd w:val="clear" w:color="auto" w:fill="auto"/>
                  <w:vAlign w:val="center"/>
                </w:tcPr>
                <w:p w14:paraId="3122EFD7">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1</w:t>
                  </w:r>
                </w:p>
              </w:tc>
              <w:tc>
                <w:tcPr>
                  <w:tcW w:w="1878" w:type="dxa"/>
                  <w:shd w:val="clear" w:color="auto" w:fill="auto"/>
                  <w:vAlign w:val="center"/>
                </w:tcPr>
                <w:p w14:paraId="2457D596">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水分含量（%）</w:t>
                  </w:r>
                </w:p>
              </w:tc>
              <w:tc>
                <w:tcPr>
                  <w:tcW w:w="2598" w:type="dxa"/>
                  <w:gridSpan w:val="2"/>
                  <w:shd w:val="clear" w:color="auto" w:fill="auto"/>
                  <w:vAlign w:val="center"/>
                </w:tcPr>
                <w:p w14:paraId="58A9A419">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≤15</w:t>
                  </w:r>
                </w:p>
              </w:tc>
              <w:tc>
                <w:tcPr>
                  <w:tcW w:w="1377" w:type="dxa"/>
                  <w:shd w:val="clear" w:color="auto" w:fill="auto"/>
                  <w:vAlign w:val="center"/>
                </w:tcPr>
                <w:p w14:paraId="7F092D4B">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GB/T12496.4</w:t>
                  </w:r>
                </w:p>
              </w:tc>
              <w:tc>
                <w:tcPr>
                  <w:tcW w:w="1677" w:type="dxa"/>
                  <w:shd w:val="clear" w:color="auto" w:fill="auto"/>
                  <w:vAlign w:val="center"/>
                </w:tcPr>
                <w:p w14:paraId="1E1B8AC3">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GB/T7702.1</w:t>
                  </w:r>
                </w:p>
              </w:tc>
            </w:tr>
            <w:tr w14:paraId="51C40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shd w:val="clear" w:color="auto" w:fill="auto"/>
                  <w:vAlign w:val="center"/>
                </w:tcPr>
                <w:p w14:paraId="2377ED19">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2</w:t>
                  </w:r>
                </w:p>
              </w:tc>
              <w:tc>
                <w:tcPr>
                  <w:tcW w:w="1878" w:type="dxa"/>
                  <w:shd w:val="clear" w:color="auto" w:fill="auto"/>
                  <w:vAlign w:val="center"/>
                </w:tcPr>
                <w:p w14:paraId="4ACF8E1B">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碘值（mg/g）</w:t>
                  </w:r>
                </w:p>
              </w:tc>
              <w:tc>
                <w:tcPr>
                  <w:tcW w:w="1299" w:type="dxa"/>
                  <w:shd w:val="clear" w:color="auto" w:fill="auto"/>
                  <w:vAlign w:val="center"/>
                </w:tcPr>
                <w:p w14:paraId="178B7A3A">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≥800</w:t>
                  </w:r>
                </w:p>
              </w:tc>
              <w:tc>
                <w:tcPr>
                  <w:tcW w:w="1299" w:type="dxa"/>
                  <w:shd w:val="clear" w:color="auto" w:fill="auto"/>
                  <w:vAlign w:val="center"/>
                </w:tcPr>
                <w:p w14:paraId="5CDCC36F">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≥500</w:t>
                  </w:r>
                </w:p>
              </w:tc>
              <w:tc>
                <w:tcPr>
                  <w:tcW w:w="1377" w:type="dxa"/>
                  <w:shd w:val="clear" w:color="auto" w:fill="auto"/>
                  <w:vAlign w:val="center"/>
                </w:tcPr>
                <w:p w14:paraId="1C42544A">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GB/T12496.8</w:t>
                  </w:r>
                </w:p>
              </w:tc>
              <w:tc>
                <w:tcPr>
                  <w:tcW w:w="1677" w:type="dxa"/>
                  <w:shd w:val="clear" w:color="auto" w:fill="auto"/>
                  <w:vAlign w:val="center"/>
                </w:tcPr>
                <w:p w14:paraId="37A861FE">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GB/T7702.7</w:t>
                  </w:r>
                </w:p>
              </w:tc>
            </w:tr>
            <w:tr w14:paraId="4210DB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shd w:val="clear" w:color="auto" w:fill="auto"/>
                  <w:vAlign w:val="center"/>
                </w:tcPr>
                <w:p w14:paraId="69885E76">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3</w:t>
                  </w:r>
                </w:p>
              </w:tc>
              <w:tc>
                <w:tcPr>
                  <w:tcW w:w="1878" w:type="dxa"/>
                  <w:shd w:val="clear" w:color="auto" w:fill="auto"/>
                  <w:vAlign w:val="center"/>
                </w:tcPr>
                <w:p w14:paraId="2F9CB886">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灰分（%）</w:t>
                  </w:r>
                </w:p>
              </w:tc>
              <w:tc>
                <w:tcPr>
                  <w:tcW w:w="1299" w:type="dxa"/>
                  <w:shd w:val="clear" w:color="auto" w:fill="auto"/>
                  <w:vAlign w:val="center"/>
                </w:tcPr>
                <w:p w14:paraId="2A5FB67C">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≤14</w:t>
                  </w:r>
                </w:p>
              </w:tc>
              <w:tc>
                <w:tcPr>
                  <w:tcW w:w="1299" w:type="dxa"/>
                  <w:shd w:val="clear" w:color="auto" w:fill="auto"/>
                  <w:vAlign w:val="center"/>
                </w:tcPr>
                <w:p w14:paraId="34E889AA">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≤40</w:t>
                  </w:r>
                </w:p>
              </w:tc>
              <w:tc>
                <w:tcPr>
                  <w:tcW w:w="1377" w:type="dxa"/>
                  <w:shd w:val="clear" w:color="auto" w:fill="auto"/>
                  <w:vAlign w:val="center"/>
                </w:tcPr>
                <w:p w14:paraId="57F617B2">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GB/T12496.3</w:t>
                  </w:r>
                </w:p>
              </w:tc>
              <w:tc>
                <w:tcPr>
                  <w:tcW w:w="1677" w:type="dxa"/>
                  <w:shd w:val="clear" w:color="auto" w:fill="auto"/>
                  <w:vAlign w:val="center"/>
                </w:tcPr>
                <w:p w14:paraId="16F7F8CF">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GB/T7702.15</w:t>
                  </w:r>
                </w:p>
              </w:tc>
            </w:tr>
            <w:tr w14:paraId="23E89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shd w:val="clear" w:color="auto" w:fill="auto"/>
                  <w:vAlign w:val="center"/>
                </w:tcPr>
                <w:p w14:paraId="1BBA7C28">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4</w:t>
                  </w:r>
                </w:p>
              </w:tc>
              <w:tc>
                <w:tcPr>
                  <w:tcW w:w="1878" w:type="dxa"/>
                  <w:shd w:val="clear" w:color="auto" w:fill="auto"/>
                  <w:vAlign w:val="center"/>
                </w:tcPr>
                <w:p w14:paraId="5C39DA2E">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耐磨强度（%）</w:t>
                  </w:r>
                </w:p>
              </w:tc>
              <w:tc>
                <w:tcPr>
                  <w:tcW w:w="1299" w:type="dxa"/>
                  <w:shd w:val="clear" w:color="auto" w:fill="auto"/>
                  <w:vAlign w:val="center"/>
                </w:tcPr>
                <w:p w14:paraId="3273F3C6">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≥90</w:t>
                  </w:r>
                </w:p>
              </w:tc>
              <w:tc>
                <w:tcPr>
                  <w:tcW w:w="1299" w:type="dxa"/>
                  <w:shd w:val="clear" w:color="auto" w:fill="auto"/>
                  <w:vAlign w:val="center"/>
                </w:tcPr>
                <w:p w14:paraId="255BBD56">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≥80</w:t>
                  </w:r>
                </w:p>
              </w:tc>
              <w:tc>
                <w:tcPr>
                  <w:tcW w:w="1377" w:type="dxa"/>
                  <w:shd w:val="clear" w:color="auto" w:fill="auto"/>
                  <w:vAlign w:val="center"/>
                </w:tcPr>
                <w:p w14:paraId="4B7B4DE1">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GB/T12496.6</w:t>
                  </w:r>
                </w:p>
              </w:tc>
              <w:tc>
                <w:tcPr>
                  <w:tcW w:w="1677" w:type="dxa"/>
                  <w:shd w:val="clear" w:color="auto" w:fill="auto"/>
                  <w:vAlign w:val="center"/>
                </w:tcPr>
                <w:p w14:paraId="54678F12">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GB/T30202.3</w:t>
                  </w:r>
                </w:p>
              </w:tc>
            </w:tr>
            <w:tr w14:paraId="5248D9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shd w:val="clear" w:color="auto" w:fill="auto"/>
                  <w:vAlign w:val="center"/>
                </w:tcPr>
                <w:p w14:paraId="2D5C7085">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5</w:t>
                  </w:r>
                </w:p>
              </w:tc>
              <w:tc>
                <w:tcPr>
                  <w:tcW w:w="1878" w:type="dxa"/>
                  <w:shd w:val="clear" w:color="auto" w:fill="auto"/>
                  <w:vAlign w:val="center"/>
                </w:tcPr>
                <w:p w14:paraId="4E555CA8">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装填密度（g/cm</w:t>
                  </w:r>
                  <w:r>
                    <w:rPr>
                      <w:rFonts w:hint="eastAsia" w:eastAsia="宋体"/>
                      <w:color w:val="auto"/>
                      <w:kern w:val="2"/>
                      <w:sz w:val="21"/>
                      <w:szCs w:val="21"/>
                      <w:vertAlign w:val="superscript"/>
                    </w:rPr>
                    <w:t>3</w:t>
                  </w:r>
                  <w:r>
                    <w:rPr>
                      <w:rFonts w:hint="eastAsia" w:eastAsia="宋体"/>
                      <w:color w:val="auto"/>
                      <w:kern w:val="2"/>
                      <w:sz w:val="21"/>
                      <w:szCs w:val="21"/>
                    </w:rPr>
                    <w:t>）</w:t>
                  </w:r>
                </w:p>
              </w:tc>
              <w:tc>
                <w:tcPr>
                  <w:tcW w:w="2598" w:type="dxa"/>
                  <w:gridSpan w:val="2"/>
                  <w:shd w:val="clear" w:color="auto" w:fill="auto"/>
                  <w:vAlign w:val="center"/>
                </w:tcPr>
                <w:p w14:paraId="3BD077AB">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0.35~0.55</w:t>
                  </w:r>
                </w:p>
              </w:tc>
              <w:tc>
                <w:tcPr>
                  <w:tcW w:w="3054" w:type="dxa"/>
                  <w:gridSpan w:val="2"/>
                  <w:shd w:val="clear" w:color="auto" w:fill="auto"/>
                  <w:vAlign w:val="center"/>
                </w:tcPr>
                <w:p w14:paraId="478B9E68">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GB/T7702.4</w:t>
                  </w:r>
                </w:p>
              </w:tc>
            </w:tr>
          </w:tbl>
          <w:p w14:paraId="46560AA4">
            <w:pPr>
              <w:spacing w:before="120" w:beforeLines="50" w:line="360" w:lineRule="auto"/>
              <w:ind w:firstLine="480" w:firstLineChars="200"/>
              <w:rPr>
                <w:color w:val="auto"/>
                <w:sz w:val="24"/>
              </w:rPr>
            </w:pPr>
            <w:r>
              <w:rPr>
                <w:rFonts w:hint="eastAsia"/>
                <w:color w:val="auto"/>
                <w:sz w:val="24"/>
              </w:rPr>
              <w:t>环评要求建设单位应按如下要求选择优质活性炭：颗粒活性炭：碘吸附值≥800毫克/克，比表面积≥850平方米/克；蜂窝活性炭：碘吸附值≥650毫克/克，比表面积≥750平方米/克，横向抗压强度应不低于0.8兆帕，纵向强度应不低于0.3兆帕；活性炭纤维：比表面积不宜低于1100平方米/克。</w:t>
            </w:r>
          </w:p>
          <w:p w14:paraId="2695CCD3">
            <w:pPr>
              <w:wordWrap w:val="0"/>
              <w:spacing w:line="360" w:lineRule="auto"/>
              <w:ind w:firstLine="482" w:firstLineChars="200"/>
              <w:rPr>
                <w:b/>
                <w:color w:val="auto"/>
                <w:sz w:val="24"/>
              </w:rPr>
            </w:pPr>
            <w:r>
              <w:rPr>
                <w:b/>
                <w:color w:val="auto"/>
                <w:sz w:val="24"/>
              </w:rPr>
              <w:t>活性炭装填</w:t>
            </w:r>
            <w:r>
              <w:rPr>
                <w:rFonts w:hint="eastAsia"/>
                <w:b/>
                <w:color w:val="auto"/>
                <w:sz w:val="24"/>
              </w:rPr>
              <w:t>量及更换周期：</w:t>
            </w:r>
          </w:p>
          <w:p w14:paraId="5BDF90D2">
            <w:pPr>
              <w:wordWrap w:val="0"/>
              <w:spacing w:line="360" w:lineRule="auto"/>
              <w:ind w:firstLine="480" w:firstLineChars="200"/>
              <w:rPr>
                <w:color w:val="auto"/>
                <w:sz w:val="24"/>
              </w:rPr>
            </w:pPr>
            <w:r>
              <w:rPr>
                <w:rFonts w:hint="eastAsia"/>
                <w:color w:val="auto"/>
                <w:sz w:val="24"/>
              </w:rPr>
              <w:t>参考四川省地方标准《工业有机废气活性炭治理技术规范》附录 C，并结合项目有机废气</w:t>
            </w:r>
            <w:r>
              <w:rPr>
                <w:color w:val="auto"/>
                <w:sz w:val="24"/>
              </w:rPr>
              <w:t>初始浓度</w:t>
            </w:r>
            <w:r>
              <w:rPr>
                <w:rFonts w:hint="eastAsia"/>
                <w:color w:val="auto"/>
                <w:sz w:val="24"/>
              </w:rPr>
              <w:t>、风量等参数情况，确定项目活性炭吸附装置装填情况，见下表。</w:t>
            </w:r>
          </w:p>
          <w:p w14:paraId="1DD4CB78">
            <w:pPr>
              <w:numPr>
                <w:ilvl w:val="0"/>
                <w:numId w:val="0"/>
              </w:numPr>
              <w:spacing w:after="120" w:afterLines="50"/>
              <w:ind w:left="482" w:leftChars="0"/>
              <w:jc w:val="center"/>
              <w:rPr>
                <w:b/>
                <w:bCs/>
                <w:color w:val="auto"/>
                <w:szCs w:val="21"/>
              </w:rPr>
            </w:pPr>
            <w:r>
              <w:rPr>
                <w:rFonts w:hint="eastAsia"/>
                <w:b/>
                <w:bCs/>
                <w:color w:val="auto"/>
                <w:szCs w:val="21"/>
                <w:lang w:val="en-US" w:eastAsia="zh-CN"/>
              </w:rPr>
              <w:t>表4-9</w:t>
            </w:r>
            <w:r>
              <w:rPr>
                <w:rFonts w:hint="eastAsia"/>
                <w:b/>
                <w:bCs/>
                <w:color w:val="auto"/>
                <w:szCs w:val="21"/>
              </w:rPr>
              <w:t xml:space="preserve">  </w:t>
            </w:r>
            <w:r>
              <w:rPr>
                <w:rFonts w:hint="eastAsia"/>
                <w:b/>
                <w:color w:val="auto"/>
                <w:szCs w:val="21"/>
              </w:rPr>
              <w:t>有机</w:t>
            </w:r>
            <w:r>
              <w:rPr>
                <w:rFonts w:hint="eastAsia"/>
                <w:b/>
                <w:bCs/>
                <w:color w:val="auto"/>
                <w:szCs w:val="21"/>
              </w:rPr>
              <w:t>废气治理用活性炭常规技术指标</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950"/>
              <w:gridCol w:w="2697"/>
              <w:gridCol w:w="2865"/>
            </w:tblGrid>
            <w:tr w14:paraId="3530A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61" w:type="pct"/>
                  <w:shd w:val="clear" w:color="auto" w:fill="auto"/>
                  <w:vAlign w:val="center"/>
                </w:tcPr>
                <w:p w14:paraId="078E79E9">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序号</w:t>
                  </w:r>
                </w:p>
              </w:tc>
              <w:tc>
                <w:tcPr>
                  <w:tcW w:w="1178" w:type="pct"/>
                  <w:shd w:val="clear" w:color="auto" w:fill="auto"/>
                  <w:vAlign w:val="center"/>
                </w:tcPr>
                <w:p w14:paraId="7FE7A5C6">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风量（Q）范围</w:t>
                  </w:r>
                </w:p>
                <w:p w14:paraId="74CF9DBB">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（Nm</w:t>
                  </w:r>
                  <w:r>
                    <w:rPr>
                      <w:rFonts w:hint="eastAsia" w:eastAsia="宋体"/>
                      <w:b/>
                      <w:bCs/>
                      <w:color w:val="auto"/>
                      <w:kern w:val="2"/>
                      <w:sz w:val="21"/>
                      <w:szCs w:val="21"/>
                      <w:vertAlign w:val="superscript"/>
                    </w:rPr>
                    <w:t>3</w:t>
                  </w:r>
                  <w:r>
                    <w:rPr>
                      <w:rFonts w:hint="eastAsia" w:eastAsia="宋体"/>
                      <w:b/>
                      <w:bCs/>
                      <w:color w:val="auto"/>
                      <w:kern w:val="2"/>
                      <w:sz w:val="21"/>
                      <w:szCs w:val="21"/>
                    </w:rPr>
                    <w:t>/h）</w:t>
                  </w:r>
                </w:p>
              </w:tc>
              <w:tc>
                <w:tcPr>
                  <w:tcW w:w="1630" w:type="pct"/>
                  <w:shd w:val="clear" w:color="auto" w:fill="auto"/>
                  <w:vAlign w:val="center"/>
                </w:tcPr>
                <w:p w14:paraId="5BE2F210">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VOCs初始浓度范围</w:t>
                  </w:r>
                </w:p>
                <w:p w14:paraId="2C6D35A4">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w:t>
                  </w:r>
                  <w:r>
                    <w:rPr>
                      <w:rFonts w:eastAsia="宋体"/>
                      <w:b/>
                      <w:bCs/>
                      <w:color w:val="auto"/>
                      <w:sz w:val="21"/>
                      <w:szCs w:val="21"/>
                      <w:lang w:bidi="ar"/>
                    </w:rPr>
                    <w:t>mg/Nm</w:t>
                  </w:r>
                  <w:r>
                    <w:rPr>
                      <w:rFonts w:eastAsia="宋体"/>
                      <w:b/>
                      <w:bCs/>
                      <w:color w:val="auto"/>
                      <w:sz w:val="21"/>
                      <w:szCs w:val="21"/>
                      <w:vertAlign w:val="superscript"/>
                      <w:lang w:bidi="ar"/>
                    </w:rPr>
                    <w:t>3</w:t>
                  </w:r>
                  <w:r>
                    <w:rPr>
                      <w:rFonts w:hint="eastAsia" w:eastAsia="宋体"/>
                      <w:b/>
                      <w:bCs/>
                      <w:color w:val="auto"/>
                      <w:kern w:val="2"/>
                      <w:sz w:val="21"/>
                      <w:szCs w:val="21"/>
                    </w:rPr>
                    <w:t>）</w:t>
                  </w:r>
                </w:p>
              </w:tc>
              <w:tc>
                <w:tcPr>
                  <w:tcW w:w="1729" w:type="pct"/>
                  <w:shd w:val="clear" w:color="auto" w:fill="auto"/>
                  <w:vAlign w:val="center"/>
                </w:tcPr>
                <w:p w14:paraId="74AFA8A5">
                  <w:pPr>
                    <w:pStyle w:val="61"/>
                    <w:adjustRightInd/>
                    <w:spacing w:before="0" w:after="0" w:line="320" w:lineRule="exact"/>
                    <w:jc w:val="center"/>
                    <w:textAlignment w:val="auto"/>
                    <w:rPr>
                      <w:rFonts w:eastAsia="宋体"/>
                      <w:b/>
                      <w:bCs/>
                      <w:color w:val="auto"/>
                      <w:kern w:val="2"/>
                      <w:sz w:val="21"/>
                      <w:szCs w:val="21"/>
                    </w:rPr>
                  </w:pPr>
                  <w:r>
                    <w:rPr>
                      <w:rFonts w:eastAsia="宋体"/>
                      <w:b/>
                      <w:bCs/>
                      <w:color w:val="auto"/>
                      <w:kern w:val="2"/>
                      <w:sz w:val="21"/>
                      <w:szCs w:val="21"/>
                    </w:rPr>
                    <w:t>活性炭最少装填量/（吨）</w:t>
                  </w:r>
                </w:p>
                <w:p w14:paraId="11E5BA81">
                  <w:pPr>
                    <w:pStyle w:val="61"/>
                    <w:adjustRightInd/>
                    <w:spacing w:before="0" w:after="0" w:line="320" w:lineRule="exact"/>
                    <w:jc w:val="center"/>
                    <w:textAlignment w:val="auto"/>
                    <w:rPr>
                      <w:rFonts w:eastAsia="宋体"/>
                      <w:b/>
                      <w:bCs/>
                      <w:color w:val="auto"/>
                      <w:kern w:val="2"/>
                      <w:sz w:val="21"/>
                      <w:szCs w:val="21"/>
                    </w:rPr>
                  </w:pPr>
                  <w:r>
                    <w:rPr>
                      <w:rFonts w:eastAsia="宋体"/>
                      <w:b/>
                      <w:bCs/>
                      <w:color w:val="auto"/>
                      <w:kern w:val="2"/>
                      <w:sz w:val="21"/>
                      <w:szCs w:val="21"/>
                    </w:rPr>
                    <w:t>（按500h使用时间计）</w:t>
                  </w:r>
                </w:p>
              </w:tc>
            </w:tr>
            <w:tr w14:paraId="305BC1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1" w:type="pct"/>
                  <w:shd w:val="clear" w:color="auto" w:fill="auto"/>
                  <w:vAlign w:val="center"/>
                </w:tcPr>
                <w:p w14:paraId="261EFBF3">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1</w:t>
                  </w:r>
                </w:p>
              </w:tc>
              <w:tc>
                <w:tcPr>
                  <w:tcW w:w="1178" w:type="pct"/>
                  <w:vMerge w:val="restart"/>
                  <w:shd w:val="clear" w:color="auto" w:fill="auto"/>
                  <w:vAlign w:val="center"/>
                </w:tcPr>
                <w:p w14:paraId="0DB46389">
                  <w:pPr>
                    <w:pStyle w:val="61"/>
                    <w:adjustRightInd/>
                    <w:spacing w:before="0" w:after="0" w:line="320" w:lineRule="exact"/>
                    <w:jc w:val="center"/>
                    <w:textAlignment w:val="auto"/>
                    <w:rPr>
                      <w:rFonts w:eastAsia="宋体"/>
                      <w:color w:val="auto"/>
                      <w:kern w:val="2"/>
                      <w:sz w:val="21"/>
                      <w:szCs w:val="21"/>
                    </w:rPr>
                  </w:pPr>
                  <w:r>
                    <w:rPr>
                      <w:color w:val="auto"/>
                      <w:sz w:val="21"/>
                      <w:szCs w:val="21"/>
                    </w:rPr>
                    <w:t>Q＜5000</w:t>
                  </w:r>
                </w:p>
              </w:tc>
              <w:tc>
                <w:tcPr>
                  <w:tcW w:w="1630" w:type="pct"/>
                  <w:shd w:val="clear" w:color="auto" w:fill="auto"/>
                  <w:vAlign w:val="center"/>
                </w:tcPr>
                <w:p w14:paraId="5C5B3278">
                  <w:pPr>
                    <w:pStyle w:val="61"/>
                    <w:adjustRightInd/>
                    <w:spacing w:before="0" w:after="0" w:line="320" w:lineRule="exact"/>
                    <w:jc w:val="center"/>
                    <w:textAlignment w:val="auto"/>
                    <w:rPr>
                      <w:rFonts w:eastAsia="宋体"/>
                      <w:color w:val="auto"/>
                      <w:kern w:val="2"/>
                      <w:sz w:val="21"/>
                      <w:szCs w:val="21"/>
                    </w:rPr>
                  </w:pPr>
                  <w:r>
                    <w:rPr>
                      <w:color w:val="auto"/>
                      <w:sz w:val="21"/>
                      <w:szCs w:val="21"/>
                    </w:rPr>
                    <w:t>0-200</w:t>
                  </w:r>
                </w:p>
              </w:tc>
              <w:tc>
                <w:tcPr>
                  <w:tcW w:w="1729" w:type="pct"/>
                  <w:shd w:val="clear" w:color="auto" w:fill="auto"/>
                  <w:vAlign w:val="center"/>
                </w:tcPr>
                <w:p w14:paraId="31AC0C2C">
                  <w:pPr>
                    <w:pStyle w:val="61"/>
                    <w:adjustRightInd/>
                    <w:spacing w:before="0" w:after="0" w:line="320" w:lineRule="exact"/>
                    <w:jc w:val="center"/>
                    <w:textAlignment w:val="auto"/>
                    <w:rPr>
                      <w:rFonts w:eastAsia="宋体"/>
                      <w:color w:val="auto"/>
                      <w:kern w:val="2"/>
                      <w:sz w:val="21"/>
                      <w:szCs w:val="21"/>
                    </w:rPr>
                  </w:pPr>
                  <w:r>
                    <w:rPr>
                      <w:color w:val="auto"/>
                      <w:sz w:val="21"/>
                      <w:szCs w:val="21"/>
                    </w:rPr>
                    <w:t>0.5</w:t>
                  </w:r>
                </w:p>
              </w:tc>
            </w:tr>
            <w:tr w14:paraId="299BC4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1" w:type="pct"/>
                  <w:shd w:val="clear" w:color="auto" w:fill="auto"/>
                  <w:vAlign w:val="center"/>
                </w:tcPr>
                <w:p w14:paraId="4B085F70">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2</w:t>
                  </w:r>
                </w:p>
              </w:tc>
              <w:tc>
                <w:tcPr>
                  <w:tcW w:w="1178" w:type="pct"/>
                  <w:vMerge w:val="continue"/>
                  <w:shd w:val="clear" w:color="auto" w:fill="auto"/>
                  <w:vAlign w:val="center"/>
                </w:tcPr>
                <w:p w14:paraId="1B42333E">
                  <w:pPr>
                    <w:pStyle w:val="61"/>
                    <w:adjustRightInd/>
                    <w:spacing w:before="0" w:after="0" w:line="320" w:lineRule="exact"/>
                    <w:jc w:val="center"/>
                    <w:textAlignment w:val="auto"/>
                    <w:rPr>
                      <w:rFonts w:eastAsia="宋体"/>
                      <w:color w:val="auto"/>
                      <w:kern w:val="2"/>
                      <w:sz w:val="21"/>
                      <w:szCs w:val="21"/>
                    </w:rPr>
                  </w:pPr>
                </w:p>
              </w:tc>
              <w:tc>
                <w:tcPr>
                  <w:tcW w:w="1630" w:type="pct"/>
                  <w:shd w:val="clear" w:color="auto" w:fill="auto"/>
                  <w:vAlign w:val="center"/>
                </w:tcPr>
                <w:p w14:paraId="55B4860C">
                  <w:pPr>
                    <w:pStyle w:val="61"/>
                    <w:adjustRightInd/>
                    <w:spacing w:before="0" w:after="0" w:line="320" w:lineRule="exact"/>
                    <w:jc w:val="center"/>
                    <w:textAlignment w:val="auto"/>
                    <w:rPr>
                      <w:rFonts w:eastAsia="宋体"/>
                      <w:color w:val="auto"/>
                      <w:kern w:val="2"/>
                      <w:sz w:val="21"/>
                      <w:szCs w:val="21"/>
                    </w:rPr>
                  </w:pPr>
                  <w:r>
                    <w:rPr>
                      <w:color w:val="auto"/>
                      <w:sz w:val="21"/>
                      <w:szCs w:val="21"/>
                    </w:rPr>
                    <w:t>200-300</w:t>
                  </w:r>
                </w:p>
              </w:tc>
              <w:tc>
                <w:tcPr>
                  <w:tcW w:w="1729" w:type="pct"/>
                  <w:shd w:val="clear" w:color="auto" w:fill="auto"/>
                  <w:vAlign w:val="center"/>
                </w:tcPr>
                <w:p w14:paraId="098760DD">
                  <w:pPr>
                    <w:pStyle w:val="61"/>
                    <w:adjustRightInd/>
                    <w:spacing w:before="0" w:after="0" w:line="320" w:lineRule="exact"/>
                    <w:jc w:val="center"/>
                    <w:textAlignment w:val="auto"/>
                    <w:rPr>
                      <w:rFonts w:eastAsia="宋体"/>
                      <w:color w:val="auto"/>
                      <w:kern w:val="2"/>
                      <w:sz w:val="21"/>
                      <w:szCs w:val="21"/>
                    </w:rPr>
                  </w:pPr>
                  <w:r>
                    <w:rPr>
                      <w:color w:val="auto"/>
                      <w:sz w:val="21"/>
                      <w:szCs w:val="21"/>
                    </w:rPr>
                    <w:t>2</w:t>
                  </w:r>
                </w:p>
              </w:tc>
            </w:tr>
            <w:tr w14:paraId="31A58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1" w:type="pct"/>
                  <w:shd w:val="clear" w:color="auto" w:fill="auto"/>
                  <w:vAlign w:val="center"/>
                </w:tcPr>
                <w:p w14:paraId="57C83770">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3</w:t>
                  </w:r>
                </w:p>
              </w:tc>
              <w:tc>
                <w:tcPr>
                  <w:tcW w:w="1178" w:type="pct"/>
                  <w:vMerge w:val="continue"/>
                  <w:shd w:val="clear" w:color="auto" w:fill="auto"/>
                  <w:vAlign w:val="center"/>
                </w:tcPr>
                <w:p w14:paraId="3703AADD">
                  <w:pPr>
                    <w:pStyle w:val="61"/>
                    <w:adjustRightInd/>
                    <w:spacing w:before="0" w:after="0" w:line="320" w:lineRule="exact"/>
                    <w:jc w:val="center"/>
                    <w:textAlignment w:val="auto"/>
                    <w:rPr>
                      <w:rFonts w:eastAsia="宋体"/>
                      <w:color w:val="auto"/>
                      <w:kern w:val="2"/>
                      <w:sz w:val="21"/>
                      <w:szCs w:val="21"/>
                    </w:rPr>
                  </w:pPr>
                </w:p>
              </w:tc>
              <w:tc>
                <w:tcPr>
                  <w:tcW w:w="1630" w:type="pct"/>
                  <w:shd w:val="clear" w:color="auto" w:fill="auto"/>
                  <w:vAlign w:val="center"/>
                </w:tcPr>
                <w:p w14:paraId="22BEBEB2">
                  <w:pPr>
                    <w:pStyle w:val="61"/>
                    <w:adjustRightInd/>
                    <w:spacing w:before="0" w:after="0" w:line="320" w:lineRule="exact"/>
                    <w:jc w:val="center"/>
                    <w:textAlignment w:val="auto"/>
                    <w:rPr>
                      <w:rFonts w:eastAsia="宋体"/>
                      <w:color w:val="auto"/>
                      <w:kern w:val="2"/>
                      <w:sz w:val="21"/>
                      <w:szCs w:val="21"/>
                    </w:rPr>
                  </w:pPr>
                  <w:r>
                    <w:rPr>
                      <w:color w:val="auto"/>
                      <w:sz w:val="21"/>
                      <w:szCs w:val="21"/>
                    </w:rPr>
                    <w:t>300-400</w:t>
                  </w:r>
                </w:p>
              </w:tc>
              <w:tc>
                <w:tcPr>
                  <w:tcW w:w="1729" w:type="pct"/>
                  <w:shd w:val="clear" w:color="auto" w:fill="auto"/>
                  <w:vAlign w:val="center"/>
                </w:tcPr>
                <w:p w14:paraId="0AA68769">
                  <w:pPr>
                    <w:pStyle w:val="61"/>
                    <w:adjustRightInd/>
                    <w:spacing w:before="0" w:after="0" w:line="320" w:lineRule="exact"/>
                    <w:jc w:val="center"/>
                    <w:textAlignment w:val="auto"/>
                    <w:rPr>
                      <w:rFonts w:eastAsia="宋体"/>
                      <w:color w:val="auto"/>
                      <w:kern w:val="2"/>
                      <w:sz w:val="21"/>
                      <w:szCs w:val="21"/>
                    </w:rPr>
                  </w:pPr>
                  <w:r>
                    <w:rPr>
                      <w:color w:val="auto"/>
                      <w:sz w:val="21"/>
                      <w:szCs w:val="21"/>
                    </w:rPr>
                    <w:t>3</w:t>
                  </w:r>
                </w:p>
              </w:tc>
            </w:tr>
            <w:tr w14:paraId="21C18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1" w:type="pct"/>
                  <w:shd w:val="clear" w:color="auto" w:fill="auto"/>
                  <w:vAlign w:val="center"/>
                </w:tcPr>
                <w:p w14:paraId="36DEFA98">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4</w:t>
                  </w:r>
                </w:p>
              </w:tc>
              <w:tc>
                <w:tcPr>
                  <w:tcW w:w="1178" w:type="pct"/>
                  <w:vMerge w:val="continue"/>
                  <w:shd w:val="clear" w:color="auto" w:fill="auto"/>
                  <w:vAlign w:val="center"/>
                </w:tcPr>
                <w:p w14:paraId="23407455">
                  <w:pPr>
                    <w:pStyle w:val="61"/>
                    <w:adjustRightInd/>
                    <w:spacing w:before="0" w:after="0" w:line="320" w:lineRule="exact"/>
                    <w:jc w:val="center"/>
                    <w:textAlignment w:val="auto"/>
                    <w:rPr>
                      <w:rFonts w:eastAsia="宋体"/>
                      <w:color w:val="auto"/>
                      <w:kern w:val="2"/>
                      <w:sz w:val="21"/>
                      <w:szCs w:val="21"/>
                    </w:rPr>
                  </w:pPr>
                </w:p>
              </w:tc>
              <w:tc>
                <w:tcPr>
                  <w:tcW w:w="1630" w:type="pct"/>
                  <w:shd w:val="clear" w:color="auto" w:fill="auto"/>
                  <w:vAlign w:val="center"/>
                </w:tcPr>
                <w:p w14:paraId="7ABBB5EB">
                  <w:pPr>
                    <w:pStyle w:val="61"/>
                    <w:adjustRightInd/>
                    <w:spacing w:before="0" w:after="0" w:line="320" w:lineRule="exact"/>
                    <w:jc w:val="center"/>
                    <w:textAlignment w:val="auto"/>
                    <w:rPr>
                      <w:rFonts w:eastAsia="宋体"/>
                      <w:color w:val="auto"/>
                      <w:kern w:val="2"/>
                      <w:sz w:val="21"/>
                      <w:szCs w:val="21"/>
                    </w:rPr>
                  </w:pPr>
                  <w:r>
                    <w:rPr>
                      <w:color w:val="auto"/>
                      <w:sz w:val="21"/>
                      <w:szCs w:val="21"/>
                    </w:rPr>
                    <w:t>400-500</w:t>
                  </w:r>
                </w:p>
              </w:tc>
              <w:tc>
                <w:tcPr>
                  <w:tcW w:w="1729" w:type="pct"/>
                  <w:shd w:val="clear" w:color="auto" w:fill="auto"/>
                  <w:vAlign w:val="center"/>
                </w:tcPr>
                <w:p w14:paraId="0E3EFECC">
                  <w:pPr>
                    <w:pStyle w:val="61"/>
                    <w:adjustRightInd/>
                    <w:spacing w:before="0" w:after="0" w:line="320" w:lineRule="exact"/>
                    <w:jc w:val="center"/>
                    <w:textAlignment w:val="auto"/>
                    <w:rPr>
                      <w:rFonts w:eastAsia="宋体"/>
                      <w:color w:val="auto"/>
                      <w:kern w:val="2"/>
                      <w:sz w:val="21"/>
                      <w:szCs w:val="21"/>
                    </w:rPr>
                  </w:pPr>
                  <w:r>
                    <w:rPr>
                      <w:color w:val="auto"/>
                      <w:sz w:val="21"/>
                      <w:szCs w:val="21"/>
                    </w:rPr>
                    <w:t>4</w:t>
                  </w:r>
                </w:p>
              </w:tc>
            </w:tr>
            <w:tr w14:paraId="7AD6A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1" w:type="pct"/>
                  <w:shd w:val="clear" w:color="auto" w:fill="auto"/>
                  <w:vAlign w:val="center"/>
                </w:tcPr>
                <w:p w14:paraId="185153F6">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5</w:t>
                  </w:r>
                </w:p>
              </w:tc>
              <w:tc>
                <w:tcPr>
                  <w:tcW w:w="1178" w:type="pct"/>
                  <w:vMerge w:val="restart"/>
                  <w:shd w:val="clear" w:color="auto" w:fill="auto"/>
                  <w:vAlign w:val="center"/>
                </w:tcPr>
                <w:p w14:paraId="030EC316">
                  <w:pPr>
                    <w:pStyle w:val="61"/>
                    <w:adjustRightInd/>
                    <w:spacing w:before="0" w:after="0" w:line="320" w:lineRule="exact"/>
                    <w:jc w:val="center"/>
                    <w:textAlignment w:val="auto"/>
                    <w:rPr>
                      <w:rFonts w:eastAsia="宋体"/>
                      <w:color w:val="auto"/>
                      <w:kern w:val="2"/>
                      <w:sz w:val="21"/>
                      <w:szCs w:val="21"/>
                    </w:rPr>
                  </w:pPr>
                  <w:r>
                    <w:rPr>
                      <w:color w:val="auto"/>
                      <w:sz w:val="21"/>
                      <w:szCs w:val="21"/>
                    </w:rPr>
                    <w:t>5000≤Q＜10000</w:t>
                  </w:r>
                </w:p>
              </w:tc>
              <w:tc>
                <w:tcPr>
                  <w:tcW w:w="1630" w:type="pct"/>
                  <w:shd w:val="clear" w:color="auto" w:fill="auto"/>
                  <w:vAlign w:val="center"/>
                </w:tcPr>
                <w:p w14:paraId="685ED7BD">
                  <w:pPr>
                    <w:pStyle w:val="61"/>
                    <w:adjustRightInd/>
                    <w:spacing w:before="0" w:after="0" w:line="320" w:lineRule="exact"/>
                    <w:jc w:val="center"/>
                    <w:textAlignment w:val="auto"/>
                    <w:rPr>
                      <w:rFonts w:eastAsia="宋体"/>
                      <w:color w:val="auto"/>
                      <w:kern w:val="2"/>
                      <w:sz w:val="21"/>
                      <w:szCs w:val="21"/>
                    </w:rPr>
                  </w:pPr>
                  <w:r>
                    <w:rPr>
                      <w:color w:val="auto"/>
                      <w:sz w:val="21"/>
                      <w:szCs w:val="21"/>
                    </w:rPr>
                    <w:t>0-200</w:t>
                  </w:r>
                </w:p>
              </w:tc>
              <w:tc>
                <w:tcPr>
                  <w:tcW w:w="1729" w:type="pct"/>
                  <w:shd w:val="clear" w:color="auto" w:fill="auto"/>
                  <w:vAlign w:val="center"/>
                </w:tcPr>
                <w:p w14:paraId="19876912">
                  <w:pPr>
                    <w:pStyle w:val="61"/>
                    <w:adjustRightInd/>
                    <w:spacing w:before="0" w:after="0" w:line="320" w:lineRule="exact"/>
                    <w:jc w:val="center"/>
                    <w:textAlignment w:val="auto"/>
                    <w:rPr>
                      <w:rFonts w:eastAsia="宋体"/>
                      <w:color w:val="auto"/>
                      <w:kern w:val="2"/>
                      <w:sz w:val="21"/>
                      <w:szCs w:val="21"/>
                    </w:rPr>
                  </w:pPr>
                  <w:r>
                    <w:rPr>
                      <w:color w:val="auto"/>
                      <w:sz w:val="21"/>
                      <w:szCs w:val="21"/>
                    </w:rPr>
                    <w:t>1</w:t>
                  </w:r>
                </w:p>
              </w:tc>
            </w:tr>
            <w:tr w14:paraId="70994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1" w:type="pct"/>
                  <w:shd w:val="clear" w:color="auto" w:fill="auto"/>
                  <w:vAlign w:val="center"/>
                </w:tcPr>
                <w:p w14:paraId="1800F7B1">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6</w:t>
                  </w:r>
                </w:p>
              </w:tc>
              <w:tc>
                <w:tcPr>
                  <w:tcW w:w="1178" w:type="pct"/>
                  <w:vMerge w:val="continue"/>
                  <w:shd w:val="clear" w:color="auto" w:fill="auto"/>
                  <w:vAlign w:val="center"/>
                </w:tcPr>
                <w:p w14:paraId="782AF85F">
                  <w:pPr>
                    <w:pStyle w:val="61"/>
                    <w:adjustRightInd/>
                    <w:spacing w:before="0" w:after="0" w:line="320" w:lineRule="exact"/>
                    <w:jc w:val="center"/>
                    <w:textAlignment w:val="auto"/>
                    <w:rPr>
                      <w:rFonts w:eastAsia="宋体"/>
                      <w:color w:val="auto"/>
                      <w:kern w:val="2"/>
                      <w:sz w:val="21"/>
                      <w:szCs w:val="21"/>
                    </w:rPr>
                  </w:pPr>
                </w:p>
              </w:tc>
              <w:tc>
                <w:tcPr>
                  <w:tcW w:w="1630" w:type="pct"/>
                  <w:shd w:val="clear" w:color="auto" w:fill="auto"/>
                  <w:vAlign w:val="center"/>
                </w:tcPr>
                <w:p w14:paraId="238741C2">
                  <w:pPr>
                    <w:pStyle w:val="61"/>
                    <w:adjustRightInd/>
                    <w:spacing w:before="0" w:after="0" w:line="320" w:lineRule="exact"/>
                    <w:jc w:val="center"/>
                    <w:textAlignment w:val="auto"/>
                    <w:rPr>
                      <w:rFonts w:eastAsia="宋体"/>
                      <w:color w:val="auto"/>
                      <w:kern w:val="2"/>
                      <w:sz w:val="21"/>
                      <w:szCs w:val="21"/>
                    </w:rPr>
                  </w:pPr>
                  <w:r>
                    <w:rPr>
                      <w:color w:val="auto"/>
                      <w:sz w:val="21"/>
                      <w:szCs w:val="21"/>
                    </w:rPr>
                    <w:t>200-300</w:t>
                  </w:r>
                </w:p>
              </w:tc>
              <w:tc>
                <w:tcPr>
                  <w:tcW w:w="1729" w:type="pct"/>
                  <w:shd w:val="clear" w:color="auto" w:fill="auto"/>
                  <w:vAlign w:val="center"/>
                </w:tcPr>
                <w:p w14:paraId="16F28306">
                  <w:pPr>
                    <w:pStyle w:val="61"/>
                    <w:adjustRightInd/>
                    <w:spacing w:before="0" w:after="0" w:line="320" w:lineRule="exact"/>
                    <w:jc w:val="center"/>
                    <w:textAlignment w:val="auto"/>
                    <w:rPr>
                      <w:rFonts w:eastAsia="宋体"/>
                      <w:color w:val="auto"/>
                      <w:kern w:val="2"/>
                      <w:sz w:val="21"/>
                      <w:szCs w:val="21"/>
                    </w:rPr>
                  </w:pPr>
                  <w:r>
                    <w:rPr>
                      <w:color w:val="auto"/>
                      <w:sz w:val="21"/>
                      <w:szCs w:val="21"/>
                    </w:rPr>
                    <w:t>3</w:t>
                  </w:r>
                </w:p>
              </w:tc>
            </w:tr>
            <w:tr w14:paraId="7CA68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1" w:type="pct"/>
                  <w:shd w:val="clear" w:color="auto" w:fill="auto"/>
                  <w:vAlign w:val="center"/>
                </w:tcPr>
                <w:p w14:paraId="42F76BA8">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7</w:t>
                  </w:r>
                </w:p>
              </w:tc>
              <w:tc>
                <w:tcPr>
                  <w:tcW w:w="1178" w:type="pct"/>
                  <w:vMerge w:val="continue"/>
                  <w:shd w:val="clear" w:color="auto" w:fill="auto"/>
                  <w:vAlign w:val="center"/>
                </w:tcPr>
                <w:p w14:paraId="28E9E13A">
                  <w:pPr>
                    <w:pStyle w:val="61"/>
                    <w:adjustRightInd/>
                    <w:spacing w:before="0" w:after="0" w:line="320" w:lineRule="exact"/>
                    <w:jc w:val="center"/>
                    <w:textAlignment w:val="auto"/>
                    <w:rPr>
                      <w:rFonts w:eastAsia="宋体"/>
                      <w:color w:val="auto"/>
                      <w:kern w:val="2"/>
                      <w:sz w:val="21"/>
                      <w:szCs w:val="21"/>
                    </w:rPr>
                  </w:pPr>
                </w:p>
              </w:tc>
              <w:tc>
                <w:tcPr>
                  <w:tcW w:w="1630" w:type="pct"/>
                  <w:shd w:val="clear" w:color="auto" w:fill="auto"/>
                  <w:vAlign w:val="center"/>
                </w:tcPr>
                <w:p w14:paraId="2F7235B4">
                  <w:pPr>
                    <w:pStyle w:val="61"/>
                    <w:adjustRightInd/>
                    <w:spacing w:before="0" w:after="0" w:line="320" w:lineRule="exact"/>
                    <w:jc w:val="center"/>
                    <w:textAlignment w:val="auto"/>
                    <w:rPr>
                      <w:rFonts w:eastAsia="宋体"/>
                      <w:color w:val="auto"/>
                      <w:kern w:val="2"/>
                      <w:sz w:val="21"/>
                      <w:szCs w:val="21"/>
                    </w:rPr>
                  </w:pPr>
                  <w:r>
                    <w:rPr>
                      <w:color w:val="auto"/>
                      <w:sz w:val="21"/>
                      <w:szCs w:val="21"/>
                    </w:rPr>
                    <w:t>300-400</w:t>
                  </w:r>
                </w:p>
              </w:tc>
              <w:tc>
                <w:tcPr>
                  <w:tcW w:w="1729" w:type="pct"/>
                  <w:shd w:val="clear" w:color="auto" w:fill="auto"/>
                  <w:vAlign w:val="center"/>
                </w:tcPr>
                <w:p w14:paraId="4B8306BE">
                  <w:pPr>
                    <w:pStyle w:val="61"/>
                    <w:adjustRightInd/>
                    <w:spacing w:before="0" w:after="0" w:line="320" w:lineRule="exact"/>
                    <w:jc w:val="center"/>
                    <w:textAlignment w:val="auto"/>
                    <w:rPr>
                      <w:rFonts w:eastAsia="宋体"/>
                      <w:color w:val="auto"/>
                      <w:kern w:val="2"/>
                      <w:sz w:val="21"/>
                      <w:szCs w:val="21"/>
                    </w:rPr>
                  </w:pPr>
                  <w:r>
                    <w:rPr>
                      <w:color w:val="auto"/>
                      <w:sz w:val="21"/>
                      <w:szCs w:val="21"/>
                    </w:rPr>
                    <w:t>5</w:t>
                  </w:r>
                </w:p>
              </w:tc>
            </w:tr>
            <w:tr w14:paraId="0B6C26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1" w:type="pct"/>
                  <w:shd w:val="clear" w:color="auto" w:fill="auto"/>
                  <w:vAlign w:val="center"/>
                </w:tcPr>
                <w:p w14:paraId="1B3189E2">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8</w:t>
                  </w:r>
                </w:p>
              </w:tc>
              <w:tc>
                <w:tcPr>
                  <w:tcW w:w="1178" w:type="pct"/>
                  <w:vMerge w:val="continue"/>
                  <w:shd w:val="clear" w:color="auto" w:fill="auto"/>
                  <w:vAlign w:val="center"/>
                </w:tcPr>
                <w:p w14:paraId="56835454">
                  <w:pPr>
                    <w:pStyle w:val="61"/>
                    <w:adjustRightInd/>
                    <w:spacing w:before="0" w:after="0" w:line="320" w:lineRule="exact"/>
                    <w:jc w:val="center"/>
                    <w:textAlignment w:val="auto"/>
                    <w:rPr>
                      <w:rFonts w:eastAsia="宋体"/>
                      <w:color w:val="auto"/>
                      <w:kern w:val="2"/>
                      <w:sz w:val="21"/>
                      <w:szCs w:val="21"/>
                    </w:rPr>
                  </w:pPr>
                </w:p>
              </w:tc>
              <w:tc>
                <w:tcPr>
                  <w:tcW w:w="1630" w:type="pct"/>
                  <w:shd w:val="clear" w:color="auto" w:fill="auto"/>
                  <w:vAlign w:val="center"/>
                </w:tcPr>
                <w:p w14:paraId="07470152">
                  <w:pPr>
                    <w:pStyle w:val="61"/>
                    <w:adjustRightInd/>
                    <w:spacing w:before="0" w:after="0" w:line="320" w:lineRule="exact"/>
                    <w:jc w:val="center"/>
                    <w:textAlignment w:val="auto"/>
                    <w:rPr>
                      <w:rFonts w:eastAsia="宋体"/>
                      <w:color w:val="auto"/>
                      <w:kern w:val="2"/>
                      <w:sz w:val="21"/>
                      <w:szCs w:val="21"/>
                    </w:rPr>
                  </w:pPr>
                  <w:r>
                    <w:rPr>
                      <w:color w:val="auto"/>
                      <w:sz w:val="21"/>
                      <w:szCs w:val="21"/>
                    </w:rPr>
                    <w:t>400-500</w:t>
                  </w:r>
                </w:p>
              </w:tc>
              <w:tc>
                <w:tcPr>
                  <w:tcW w:w="1729" w:type="pct"/>
                  <w:shd w:val="clear" w:color="auto" w:fill="auto"/>
                  <w:vAlign w:val="center"/>
                </w:tcPr>
                <w:p w14:paraId="4A0A625B">
                  <w:pPr>
                    <w:pStyle w:val="61"/>
                    <w:adjustRightInd/>
                    <w:spacing w:before="0" w:after="0" w:line="320" w:lineRule="exact"/>
                    <w:jc w:val="center"/>
                    <w:textAlignment w:val="auto"/>
                    <w:rPr>
                      <w:rFonts w:eastAsia="宋体"/>
                      <w:color w:val="auto"/>
                      <w:kern w:val="2"/>
                      <w:sz w:val="21"/>
                      <w:szCs w:val="21"/>
                    </w:rPr>
                  </w:pPr>
                  <w:r>
                    <w:rPr>
                      <w:color w:val="auto"/>
                      <w:sz w:val="21"/>
                      <w:szCs w:val="21"/>
                    </w:rPr>
                    <w:t>7</w:t>
                  </w:r>
                </w:p>
              </w:tc>
            </w:tr>
            <w:tr w14:paraId="52422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1" w:type="pct"/>
                  <w:shd w:val="clear" w:color="auto" w:fill="auto"/>
                  <w:vAlign w:val="center"/>
                </w:tcPr>
                <w:p w14:paraId="4F0A4C75">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9</w:t>
                  </w:r>
                </w:p>
              </w:tc>
              <w:tc>
                <w:tcPr>
                  <w:tcW w:w="1178" w:type="pct"/>
                  <w:vMerge w:val="restart"/>
                  <w:shd w:val="clear" w:color="auto" w:fill="auto"/>
                  <w:vAlign w:val="center"/>
                </w:tcPr>
                <w:p w14:paraId="5923F4D3">
                  <w:pPr>
                    <w:pStyle w:val="61"/>
                    <w:adjustRightInd/>
                    <w:spacing w:before="0" w:after="0" w:line="320" w:lineRule="exact"/>
                    <w:jc w:val="center"/>
                    <w:textAlignment w:val="auto"/>
                    <w:rPr>
                      <w:rFonts w:eastAsia="宋体"/>
                      <w:color w:val="auto"/>
                      <w:kern w:val="2"/>
                      <w:sz w:val="21"/>
                      <w:szCs w:val="21"/>
                    </w:rPr>
                  </w:pPr>
                  <w:r>
                    <w:rPr>
                      <w:color w:val="auto"/>
                      <w:sz w:val="21"/>
                      <w:szCs w:val="21"/>
                    </w:rPr>
                    <w:t>10000≤Q＜20000</w:t>
                  </w:r>
                </w:p>
              </w:tc>
              <w:tc>
                <w:tcPr>
                  <w:tcW w:w="1630" w:type="pct"/>
                  <w:shd w:val="clear" w:color="auto" w:fill="auto"/>
                  <w:vAlign w:val="center"/>
                </w:tcPr>
                <w:p w14:paraId="53743810">
                  <w:pPr>
                    <w:pStyle w:val="61"/>
                    <w:adjustRightInd/>
                    <w:spacing w:before="0" w:after="0" w:line="320" w:lineRule="exact"/>
                    <w:jc w:val="center"/>
                    <w:textAlignment w:val="auto"/>
                    <w:rPr>
                      <w:rFonts w:eastAsia="宋体"/>
                      <w:color w:val="auto"/>
                      <w:kern w:val="2"/>
                      <w:sz w:val="21"/>
                      <w:szCs w:val="21"/>
                    </w:rPr>
                  </w:pPr>
                  <w:r>
                    <w:rPr>
                      <w:color w:val="auto"/>
                      <w:sz w:val="21"/>
                      <w:szCs w:val="21"/>
                    </w:rPr>
                    <w:t>0-200</w:t>
                  </w:r>
                </w:p>
              </w:tc>
              <w:tc>
                <w:tcPr>
                  <w:tcW w:w="1729" w:type="pct"/>
                  <w:shd w:val="clear" w:color="auto" w:fill="auto"/>
                  <w:vAlign w:val="center"/>
                </w:tcPr>
                <w:p w14:paraId="2C97AFDB">
                  <w:pPr>
                    <w:pStyle w:val="61"/>
                    <w:adjustRightInd/>
                    <w:spacing w:before="0" w:after="0" w:line="320" w:lineRule="exact"/>
                    <w:jc w:val="center"/>
                    <w:textAlignment w:val="auto"/>
                    <w:rPr>
                      <w:rFonts w:eastAsia="宋体"/>
                      <w:color w:val="auto"/>
                      <w:kern w:val="2"/>
                      <w:sz w:val="21"/>
                      <w:szCs w:val="21"/>
                    </w:rPr>
                  </w:pPr>
                  <w:r>
                    <w:rPr>
                      <w:color w:val="auto"/>
                      <w:sz w:val="21"/>
                      <w:szCs w:val="21"/>
                    </w:rPr>
                    <w:t>1.5</w:t>
                  </w:r>
                </w:p>
              </w:tc>
            </w:tr>
            <w:tr w14:paraId="5AC9F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1" w:type="pct"/>
                  <w:shd w:val="clear" w:color="auto" w:fill="auto"/>
                  <w:vAlign w:val="center"/>
                </w:tcPr>
                <w:p w14:paraId="4F4184AE">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10</w:t>
                  </w:r>
                </w:p>
              </w:tc>
              <w:tc>
                <w:tcPr>
                  <w:tcW w:w="1178" w:type="pct"/>
                  <w:vMerge w:val="continue"/>
                  <w:shd w:val="clear" w:color="auto" w:fill="auto"/>
                  <w:vAlign w:val="center"/>
                </w:tcPr>
                <w:p w14:paraId="1F8BDB5C">
                  <w:pPr>
                    <w:pStyle w:val="61"/>
                    <w:adjustRightInd/>
                    <w:spacing w:before="0" w:after="0" w:line="320" w:lineRule="exact"/>
                    <w:jc w:val="center"/>
                    <w:textAlignment w:val="auto"/>
                    <w:rPr>
                      <w:rFonts w:eastAsia="宋体"/>
                      <w:color w:val="auto"/>
                      <w:kern w:val="2"/>
                      <w:sz w:val="21"/>
                      <w:szCs w:val="21"/>
                    </w:rPr>
                  </w:pPr>
                </w:p>
              </w:tc>
              <w:tc>
                <w:tcPr>
                  <w:tcW w:w="1630" w:type="pct"/>
                  <w:shd w:val="clear" w:color="auto" w:fill="auto"/>
                  <w:vAlign w:val="center"/>
                </w:tcPr>
                <w:p w14:paraId="536B0B39">
                  <w:pPr>
                    <w:pStyle w:val="61"/>
                    <w:adjustRightInd/>
                    <w:spacing w:before="0" w:after="0" w:line="320" w:lineRule="exact"/>
                    <w:jc w:val="center"/>
                    <w:textAlignment w:val="auto"/>
                    <w:rPr>
                      <w:rFonts w:eastAsia="宋体"/>
                      <w:color w:val="auto"/>
                      <w:kern w:val="2"/>
                      <w:sz w:val="21"/>
                      <w:szCs w:val="21"/>
                    </w:rPr>
                  </w:pPr>
                  <w:r>
                    <w:rPr>
                      <w:color w:val="auto"/>
                      <w:sz w:val="21"/>
                      <w:szCs w:val="21"/>
                    </w:rPr>
                    <w:t>200-300</w:t>
                  </w:r>
                </w:p>
              </w:tc>
              <w:tc>
                <w:tcPr>
                  <w:tcW w:w="1729" w:type="pct"/>
                  <w:shd w:val="clear" w:color="auto" w:fill="auto"/>
                  <w:vAlign w:val="center"/>
                </w:tcPr>
                <w:p w14:paraId="4C9A6964">
                  <w:pPr>
                    <w:pStyle w:val="61"/>
                    <w:adjustRightInd/>
                    <w:spacing w:before="0" w:after="0" w:line="320" w:lineRule="exact"/>
                    <w:jc w:val="center"/>
                    <w:textAlignment w:val="auto"/>
                    <w:rPr>
                      <w:rFonts w:eastAsia="宋体"/>
                      <w:color w:val="auto"/>
                      <w:kern w:val="2"/>
                      <w:sz w:val="21"/>
                      <w:szCs w:val="21"/>
                    </w:rPr>
                  </w:pPr>
                  <w:r>
                    <w:rPr>
                      <w:color w:val="auto"/>
                      <w:sz w:val="21"/>
                      <w:szCs w:val="21"/>
                    </w:rPr>
                    <w:t>4</w:t>
                  </w:r>
                </w:p>
              </w:tc>
            </w:tr>
            <w:tr w14:paraId="5FD70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1" w:type="pct"/>
                  <w:shd w:val="clear" w:color="auto" w:fill="auto"/>
                  <w:vAlign w:val="center"/>
                </w:tcPr>
                <w:p w14:paraId="11735545">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11</w:t>
                  </w:r>
                </w:p>
              </w:tc>
              <w:tc>
                <w:tcPr>
                  <w:tcW w:w="1178" w:type="pct"/>
                  <w:vMerge w:val="continue"/>
                  <w:shd w:val="clear" w:color="auto" w:fill="auto"/>
                  <w:vAlign w:val="center"/>
                </w:tcPr>
                <w:p w14:paraId="109AFD27">
                  <w:pPr>
                    <w:pStyle w:val="61"/>
                    <w:adjustRightInd/>
                    <w:spacing w:before="0" w:after="0" w:line="320" w:lineRule="exact"/>
                    <w:jc w:val="center"/>
                    <w:textAlignment w:val="auto"/>
                    <w:rPr>
                      <w:rFonts w:eastAsia="宋体"/>
                      <w:color w:val="auto"/>
                      <w:kern w:val="2"/>
                      <w:sz w:val="21"/>
                      <w:szCs w:val="21"/>
                    </w:rPr>
                  </w:pPr>
                </w:p>
              </w:tc>
              <w:tc>
                <w:tcPr>
                  <w:tcW w:w="1630" w:type="pct"/>
                  <w:shd w:val="clear" w:color="auto" w:fill="auto"/>
                  <w:vAlign w:val="center"/>
                </w:tcPr>
                <w:p w14:paraId="24EE86C7">
                  <w:pPr>
                    <w:pStyle w:val="61"/>
                    <w:adjustRightInd/>
                    <w:spacing w:before="0" w:after="0" w:line="320" w:lineRule="exact"/>
                    <w:jc w:val="center"/>
                    <w:textAlignment w:val="auto"/>
                    <w:rPr>
                      <w:rFonts w:eastAsia="宋体"/>
                      <w:color w:val="auto"/>
                      <w:kern w:val="2"/>
                      <w:sz w:val="21"/>
                      <w:szCs w:val="21"/>
                    </w:rPr>
                  </w:pPr>
                  <w:r>
                    <w:rPr>
                      <w:color w:val="auto"/>
                      <w:sz w:val="21"/>
                      <w:szCs w:val="21"/>
                    </w:rPr>
                    <w:t>300-400</w:t>
                  </w:r>
                </w:p>
              </w:tc>
              <w:tc>
                <w:tcPr>
                  <w:tcW w:w="1729" w:type="pct"/>
                  <w:shd w:val="clear" w:color="auto" w:fill="auto"/>
                  <w:vAlign w:val="center"/>
                </w:tcPr>
                <w:p w14:paraId="6DB55050">
                  <w:pPr>
                    <w:pStyle w:val="61"/>
                    <w:adjustRightInd/>
                    <w:spacing w:before="0" w:after="0" w:line="320" w:lineRule="exact"/>
                    <w:jc w:val="center"/>
                    <w:textAlignment w:val="auto"/>
                    <w:rPr>
                      <w:rFonts w:eastAsia="宋体"/>
                      <w:color w:val="auto"/>
                      <w:kern w:val="2"/>
                      <w:sz w:val="21"/>
                      <w:szCs w:val="21"/>
                    </w:rPr>
                  </w:pPr>
                  <w:r>
                    <w:rPr>
                      <w:color w:val="auto"/>
                      <w:sz w:val="21"/>
                      <w:szCs w:val="21"/>
                    </w:rPr>
                    <w:t>7</w:t>
                  </w:r>
                </w:p>
              </w:tc>
            </w:tr>
            <w:tr w14:paraId="3270F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1" w:type="pct"/>
                  <w:shd w:val="clear" w:color="auto" w:fill="auto"/>
                  <w:vAlign w:val="center"/>
                </w:tcPr>
                <w:p w14:paraId="58193BF7">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12</w:t>
                  </w:r>
                </w:p>
              </w:tc>
              <w:tc>
                <w:tcPr>
                  <w:tcW w:w="1178" w:type="pct"/>
                  <w:vMerge w:val="continue"/>
                  <w:shd w:val="clear" w:color="auto" w:fill="auto"/>
                  <w:vAlign w:val="center"/>
                </w:tcPr>
                <w:p w14:paraId="5B1E6392">
                  <w:pPr>
                    <w:pStyle w:val="61"/>
                    <w:adjustRightInd/>
                    <w:spacing w:before="0" w:after="0" w:line="320" w:lineRule="exact"/>
                    <w:jc w:val="center"/>
                    <w:textAlignment w:val="auto"/>
                    <w:rPr>
                      <w:rFonts w:eastAsia="宋体"/>
                      <w:color w:val="auto"/>
                      <w:kern w:val="2"/>
                      <w:sz w:val="21"/>
                      <w:szCs w:val="21"/>
                    </w:rPr>
                  </w:pPr>
                </w:p>
              </w:tc>
              <w:tc>
                <w:tcPr>
                  <w:tcW w:w="1630" w:type="pct"/>
                  <w:shd w:val="clear" w:color="auto" w:fill="auto"/>
                  <w:vAlign w:val="center"/>
                </w:tcPr>
                <w:p w14:paraId="37DEC702">
                  <w:pPr>
                    <w:pStyle w:val="61"/>
                    <w:adjustRightInd/>
                    <w:spacing w:before="0" w:after="0" w:line="320" w:lineRule="exact"/>
                    <w:jc w:val="center"/>
                    <w:textAlignment w:val="auto"/>
                    <w:rPr>
                      <w:rFonts w:eastAsia="宋体"/>
                      <w:color w:val="auto"/>
                      <w:kern w:val="2"/>
                      <w:sz w:val="21"/>
                      <w:szCs w:val="21"/>
                    </w:rPr>
                  </w:pPr>
                  <w:r>
                    <w:rPr>
                      <w:color w:val="auto"/>
                      <w:sz w:val="21"/>
                      <w:szCs w:val="21"/>
                    </w:rPr>
                    <w:t>400-500</w:t>
                  </w:r>
                </w:p>
              </w:tc>
              <w:tc>
                <w:tcPr>
                  <w:tcW w:w="1729" w:type="pct"/>
                  <w:shd w:val="clear" w:color="auto" w:fill="auto"/>
                  <w:vAlign w:val="center"/>
                </w:tcPr>
                <w:p w14:paraId="788571F0">
                  <w:pPr>
                    <w:pStyle w:val="61"/>
                    <w:adjustRightInd/>
                    <w:spacing w:before="0" w:after="0" w:line="320" w:lineRule="exact"/>
                    <w:jc w:val="center"/>
                    <w:textAlignment w:val="auto"/>
                    <w:rPr>
                      <w:rFonts w:eastAsia="宋体"/>
                      <w:color w:val="auto"/>
                      <w:kern w:val="2"/>
                      <w:sz w:val="21"/>
                      <w:szCs w:val="21"/>
                    </w:rPr>
                  </w:pPr>
                  <w:r>
                    <w:rPr>
                      <w:color w:val="auto"/>
                      <w:sz w:val="21"/>
                      <w:szCs w:val="21"/>
                    </w:rPr>
                    <w:t>10</w:t>
                  </w:r>
                </w:p>
              </w:tc>
            </w:tr>
            <w:tr w14:paraId="7252D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shd w:val="clear" w:color="auto" w:fill="auto"/>
                  <w:vAlign w:val="center"/>
                </w:tcPr>
                <w:p w14:paraId="5D79185A">
                  <w:pPr>
                    <w:pStyle w:val="61"/>
                    <w:adjustRightInd/>
                    <w:spacing w:before="0" w:after="0" w:line="320" w:lineRule="exact"/>
                    <w:jc w:val="both"/>
                    <w:textAlignment w:val="auto"/>
                    <w:rPr>
                      <w:color w:val="auto"/>
                      <w:sz w:val="21"/>
                      <w:szCs w:val="21"/>
                    </w:rPr>
                  </w:pPr>
                  <w:r>
                    <w:rPr>
                      <w:rFonts w:hint="eastAsia" w:ascii="Times New Roman" w:hAnsi="Times New Roman" w:eastAsia="宋体" w:cs="Times New Roman"/>
                      <w:b/>
                      <w:bCs/>
                      <w:color w:val="auto"/>
                      <w:sz w:val="21"/>
                      <w:szCs w:val="21"/>
                      <w:lang w:val="en-US" w:eastAsia="zh-CN"/>
                    </w:rPr>
                    <w:t>注:1.风量超过 20000Nm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lang w:val="en-US" w:eastAsia="zh-CN"/>
                    </w:rPr>
                    <w:t>h 的活性炭最少装填量可参照本表进行估算</w:t>
                  </w:r>
                  <w:r>
                    <w:rPr>
                      <w:rFonts w:hint="eastAsia" w:eastAsia="宋体" w:cs="Times New Roman"/>
                      <w:b/>
                      <w:bCs/>
                      <w:color w:val="auto"/>
                      <w:sz w:val="21"/>
                      <w:szCs w:val="21"/>
                      <w:lang w:val="en-US" w:eastAsia="zh-CN"/>
                    </w:rPr>
                    <w:t>。</w:t>
                  </w:r>
                </w:p>
              </w:tc>
            </w:tr>
          </w:tbl>
          <w:p w14:paraId="3301D640">
            <w:pPr>
              <w:wordWrap w:val="0"/>
              <w:spacing w:before="120" w:beforeLines="50" w:line="360" w:lineRule="auto"/>
              <w:ind w:firstLine="480" w:firstLineChars="200"/>
              <w:rPr>
                <w:color w:val="auto"/>
                <w:sz w:val="24"/>
              </w:rPr>
            </w:pPr>
            <w:r>
              <w:rPr>
                <w:rFonts w:hint="eastAsia"/>
                <w:color w:val="auto"/>
                <w:sz w:val="24"/>
              </w:rPr>
              <w:t>综上，本项目有机废气处理装置活性炭填充量核算见下表：</w:t>
            </w:r>
          </w:p>
          <w:p w14:paraId="68852C51">
            <w:pPr>
              <w:numPr>
                <w:ilvl w:val="0"/>
                <w:numId w:val="0"/>
              </w:numPr>
              <w:spacing w:after="120" w:afterLines="50"/>
              <w:ind w:left="482" w:leftChars="0"/>
              <w:jc w:val="center"/>
              <w:rPr>
                <w:b/>
                <w:bCs/>
                <w:color w:val="auto"/>
                <w:szCs w:val="21"/>
              </w:rPr>
            </w:pPr>
            <w:r>
              <w:rPr>
                <w:rFonts w:hint="eastAsia"/>
                <w:b/>
                <w:bCs/>
                <w:color w:val="auto"/>
                <w:szCs w:val="21"/>
                <w:lang w:val="en-US" w:eastAsia="zh-CN"/>
              </w:rPr>
              <w:t>表4-10</w:t>
            </w:r>
            <w:r>
              <w:rPr>
                <w:rFonts w:hint="eastAsia"/>
                <w:b/>
                <w:bCs/>
                <w:color w:val="auto"/>
                <w:szCs w:val="21"/>
              </w:rPr>
              <w:t xml:space="preserve"> 本项目有机废气处理装置活性炭填充量核算一览表</w:t>
            </w:r>
          </w:p>
          <w:tbl>
            <w:tblPr>
              <w:tblStyle w:val="25"/>
              <w:tblW w:w="801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373"/>
              <w:gridCol w:w="2064"/>
              <w:gridCol w:w="2122"/>
              <w:gridCol w:w="1638"/>
            </w:tblGrid>
            <w:tr w14:paraId="67A12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511" w:type="pct"/>
                  <w:shd w:val="clear" w:color="auto" w:fill="auto"/>
                  <w:vAlign w:val="center"/>
                </w:tcPr>
                <w:p w14:paraId="5801FBD0">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装置名称</w:t>
                  </w:r>
                </w:p>
              </w:tc>
              <w:tc>
                <w:tcPr>
                  <w:tcW w:w="856" w:type="pct"/>
                  <w:shd w:val="clear" w:color="auto" w:fill="auto"/>
                  <w:vAlign w:val="center"/>
                </w:tcPr>
                <w:p w14:paraId="5F2632FA">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废气流量Q（</w:t>
                  </w:r>
                  <w:r>
                    <w:rPr>
                      <w:rFonts w:eastAsia="宋体"/>
                      <w:b/>
                      <w:bCs/>
                      <w:color w:val="auto"/>
                      <w:kern w:val="2"/>
                      <w:sz w:val="21"/>
                      <w:szCs w:val="21"/>
                    </w:rPr>
                    <w:t>m</w:t>
                  </w:r>
                  <w:r>
                    <w:rPr>
                      <w:rFonts w:eastAsia="宋体"/>
                      <w:b/>
                      <w:bCs/>
                      <w:color w:val="auto"/>
                      <w:kern w:val="2"/>
                      <w:sz w:val="21"/>
                      <w:szCs w:val="21"/>
                      <w:vertAlign w:val="superscript"/>
                    </w:rPr>
                    <w:t>3</w:t>
                  </w:r>
                  <w:r>
                    <w:rPr>
                      <w:rFonts w:eastAsia="宋体"/>
                      <w:b/>
                      <w:bCs/>
                      <w:color w:val="auto"/>
                      <w:kern w:val="2"/>
                      <w:sz w:val="21"/>
                      <w:szCs w:val="21"/>
                    </w:rPr>
                    <w:t>/h</w:t>
                  </w:r>
                  <w:r>
                    <w:rPr>
                      <w:rFonts w:hint="eastAsia" w:eastAsia="宋体"/>
                      <w:b/>
                      <w:bCs/>
                      <w:color w:val="auto"/>
                      <w:kern w:val="2"/>
                      <w:sz w:val="21"/>
                      <w:szCs w:val="21"/>
                    </w:rPr>
                    <w:t>）</w:t>
                  </w:r>
                </w:p>
              </w:tc>
              <w:tc>
                <w:tcPr>
                  <w:tcW w:w="1287" w:type="pct"/>
                  <w:shd w:val="clear" w:color="auto" w:fill="auto"/>
                  <w:vAlign w:val="center"/>
                </w:tcPr>
                <w:p w14:paraId="577E878C">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VOCs初始浓度（</w:t>
                  </w:r>
                  <w:r>
                    <w:rPr>
                      <w:rFonts w:eastAsia="宋体"/>
                      <w:b/>
                      <w:bCs/>
                      <w:color w:val="auto"/>
                      <w:kern w:val="2"/>
                      <w:sz w:val="21"/>
                      <w:szCs w:val="21"/>
                    </w:rPr>
                    <w:t>mg/m</w:t>
                  </w:r>
                  <w:r>
                    <w:rPr>
                      <w:rFonts w:eastAsia="宋体"/>
                      <w:b/>
                      <w:bCs/>
                      <w:color w:val="auto"/>
                      <w:kern w:val="2"/>
                      <w:sz w:val="21"/>
                      <w:szCs w:val="21"/>
                      <w:vertAlign w:val="superscript"/>
                    </w:rPr>
                    <w:t>3</w:t>
                  </w:r>
                  <w:r>
                    <w:rPr>
                      <w:rFonts w:hint="eastAsia" w:eastAsia="宋体"/>
                      <w:b/>
                      <w:bCs/>
                      <w:color w:val="auto"/>
                      <w:kern w:val="2"/>
                      <w:sz w:val="21"/>
                      <w:szCs w:val="21"/>
                    </w:rPr>
                    <w:t>）</w:t>
                  </w:r>
                </w:p>
              </w:tc>
              <w:tc>
                <w:tcPr>
                  <w:tcW w:w="1323" w:type="pct"/>
                  <w:shd w:val="clear" w:color="auto" w:fill="auto"/>
                  <w:vAlign w:val="center"/>
                </w:tcPr>
                <w:p w14:paraId="5117C5C2">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活性炭填充量/（t）（以500h计）</w:t>
                  </w:r>
                </w:p>
              </w:tc>
              <w:tc>
                <w:tcPr>
                  <w:tcW w:w="1021" w:type="pct"/>
                  <w:shd w:val="clear" w:color="auto" w:fill="auto"/>
                  <w:vAlign w:val="center"/>
                </w:tcPr>
                <w:p w14:paraId="180A8BC8">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活性炭年使用量（t）</w:t>
                  </w:r>
                </w:p>
              </w:tc>
            </w:tr>
            <w:tr w14:paraId="47C9D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511" w:type="pct"/>
                  <w:shd w:val="clear" w:color="auto" w:fill="auto"/>
                  <w:vAlign w:val="center"/>
                </w:tcPr>
                <w:p w14:paraId="2C1A935F">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TA001</w:t>
                  </w:r>
                </w:p>
              </w:tc>
              <w:tc>
                <w:tcPr>
                  <w:tcW w:w="856" w:type="pct"/>
                  <w:shd w:val="clear" w:color="auto" w:fill="auto"/>
                  <w:vAlign w:val="center"/>
                </w:tcPr>
                <w:p w14:paraId="12946D52">
                  <w:pPr>
                    <w:pStyle w:val="61"/>
                    <w:adjustRightInd/>
                    <w:spacing w:before="0" w:after="0" w:line="320" w:lineRule="exact"/>
                    <w:jc w:val="center"/>
                    <w:textAlignment w:val="auto"/>
                    <w:rPr>
                      <w:rFonts w:hint="default" w:eastAsia="宋体"/>
                      <w:color w:val="auto"/>
                      <w:kern w:val="2"/>
                      <w:sz w:val="21"/>
                      <w:szCs w:val="21"/>
                      <w:lang w:val="en-US" w:eastAsia="zh-CN"/>
                    </w:rPr>
                  </w:pPr>
                  <w:r>
                    <w:rPr>
                      <w:rFonts w:hint="eastAsia" w:eastAsia="宋体"/>
                      <w:color w:val="auto"/>
                      <w:kern w:val="2"/>
                      <w:sz w:val="21"/>
                      <w:szCs w:val="21"/>
                      <w:lang w:val="en-US" w:eastAsia="zh-CN"/>
                    </w:rPr>
                    <w:t>30000</w:t>
                  </w:r>
                </w:p>
              </w:tc>
              <w:tc>
                <w:tcPr>
                  <w:tcW w:w="1287" w:type="pct"/>
                  <w:shd w:val="clear" w:color="auto" w:fill="auto"/>
                  <w:vAlign w:val="center"/>
                </w:tcPr>
                <w:p w14:paraId="6332930B">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lang w:val="en-US" w:eastAsia="zh-CN"/>
                    </w:rPr>
                    <w:t>16.70</w:t>
                  </w:r>
                </w:p>
              </w:tc>
              <w:tc>
                <w:tcPr>
                  <w:tcW w:w="1323" w:type="pct"/>
                  <w:shd w:val="clear" w:color="auto" w:fill="auto"/>
                  <w:vAlign w:val="center"/>
                </w:tcPr>
                <w:p w14:paraId="263FE5F0">
                  <w:pPr>
                    <w:pStyle w:val="61"/>
                    <w:adjustRightInd/>
                    <w:spacing w:before="0" w:after="0" w:line="320" w:lineRule="exact"/>
                    <w:jc w:val="center"/>
                    <w:textAlignment w:val="auto"/>
                    <w:rPr>
                      <w:rFonts w:hint="default" w:eastAsia="宋体"/>
                      <w:color w:val="auto"/>
                      <w:kern w:val="2"/>
                      <w:sz w:val="21"/>
                      <w:szCs w:val="21"/>
                      <w:lang w:val="en-US" w:eastAsia="zh-CN"/>
                    </w:rPr>
                  </w:pPr>
                  <w:r>
                    <w:rPr>
                      <w:rFonts w:hint="eastAsia" w:eastAsia="宋体"/>
                      <w:color w:val="auto"/>
                      <w:kern w:val="2"/>
                      <w:sz w:val="21"/>
                      <w:szCs w:val="21"/>
                      <w:lang w:val="en-US" w:eastAsia="zh-CN"/>
                    </w:rPr>
                    <w:t>2.0</w:t>
                  </w:r>
                </w:p>
              </w:tc>
              <w:tc>
                <w:tcPr>
                  <w:tcW w:w="1021" w:type="pct"/>
                  <w:shd w:val="clear" w:color="auto" w:fill="auto"/>
                  <w:vAlign w:val="center"/>
                </w:tcPr>
                <w:p w14:paraId="7C64F2F6">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sz w:val="21"/>
                      <w:szCs w:val="21"/>
                      <w:lang w:val="en-US" w:eastAsia="zh-CN" w:bidi="ar"/>
                    </w:rPr>
                    <w:t>19.2</w:t>
                  </w:r>
                  <w:r>
                    <w:rPr>
                      <w:rFonts w:hint="eastAsia" w:eastAsia="宋体"/>
                      <w:color w:val="auto"/>
                      <w:sz w:val="21"/>
                      <w:szCs w:val="21"/>
                      <w:lang w:bidi="ar"/>
                    </w:rPr>
                    <w:t xml:space="preserve"> </w:t>
                  </w:r>
                  <w:r>
                    <w:rPr>
                      <w:rFonts w:eastAsia="宋体"/>
                      <w:color w:val="auto"/>
                      <w:sz w:val="21"/>
                      <w:szCs w:val="21"/>
                      <w:lang w:bidi="ar"/>
                    </w:rPr>
                    <w:t>t/a</w:t>
                  </w:r>
                </w:p>
              </w:tc>
            </w:tr>
            <w:tr w14:paraId="3576B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511" w:type="pct"/>
                  <w:shd w:val="clear" w:color="auto" w:fill="auto"/>
                  <w:vAlign w:val="center"/>
                </w:tcPr>
                <w:p w14:paraId="24922B6C">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TA002</w:t>
                  </w:r>
                </w:p>
              </w:tc>
              <w:tc>
                <w:tcPr>
                  <w:tcW w:w="856" w:type="pct"/>
                  <w:shd w:val="clear" w:color="auto" w:fill="auto"/>
                  <w:vAlign w:val="center"/>
                </w:tcPr>
                <w:p w14:paraId="1698A4DB">
                  <w:pPr>
                    <w:pStyle w:val="61"/>
                    <w:adjustRightInd/>
                    <w:spacing w:before="0" w:after="0" w:line="320" w:lineRule="exact"/>
                    <w:jc w:val="center"/>
                    <w:textAlignment w:val="auto"/>
                    <w:rPr>
                      <w:rFonts w:hint="default" w:eastAsia="宋体"/>
                      <w:color w:val="auto"/>
                      <w:kern w:val="2"/>
                      <w:sz w:val="21"/>
                      <w:szCs w:val="21"/>
                      <w:lang w:val="en-US" w:eastAsia="zh-CN"/>
                    </w:rPr>
                  </w:pPr>
                  <w:r>
                    <w:rPr>
                      <w:rFonts w:hint="eastAsia" w:eastAsia="宋体"/>
                      <w:color w:val="auto"/>
                      <w:kern w:val="2"/>
                      <w:sz w:val="21"/>
                      <w:szCs w:val="21"/>
                      <w:lang w:val="en-US" w:eastAsia="zh-CN"/>
                    </w:rPr>
                    <w:t>8000</w:t>
                  </w:r>
                </w:p>
              </w:tc>
              <w:tc>
                <w:tcPr>
                  <w:tcW w:w="1287" w:type="pct"/>
                  <w:shd w:val="clear" w:color="auto" w:fill="auto"/>
                  <w:vAlign w:val="center"/>
                </w:tcPr>
                <w:p w14:paraId="78F91822">
                  <w:pPr>
                    <w:pStyle w:val="61"/>
                    <w:adjustRightInd/>
                    <w:spacing w:before="0" w:after="0" w:line="320" w:lineRule="exact"/>
                    <w:jc w:val="center"/>
                    <w:textAlignment w:val="auto"/>
                    <w:rPr>
                      <w:rFonts w:hint="eastAsia" w:eastAsia="宋体"/>
                      <w:color w:val="auto"/>
                      <w:kern w:val="2"/>
                      <w:sz w:val="21"/>
                      <w:szCs w:val="21"/>
                      <w:lang w:eastAsia="zh-CN"/>
                    </w:rPr>
                  </w:pPr>
                  <w:r>
                    <w:rPr>
                      <w:rFonts w:hint="eastAsia" w:eastAsia="宋体"/>
                      <w:color w:val="auto"/>
                      <w:kern w:val="2"/>
                      <w:sz w:val="21"/>
                      <w:szCs w:val="21"/>
                    </w:rPr>
                    <w:t>2.</w:t>
                  </w:r>
                  <w:r>
                    <w:rPr>
                      <w:rFonts w:hint="eastAsia" w:eastAsia="宋体"/>
                      <w:color w:val="auto"/>
                      <w:kern w:val="2"/>
                      <w:sz w:val="21"/>
                      <w:szCs w:val="21"/>
                      <w:lang w:val="en-US" w:eastAsia="zh-CN"/>
                    </w:rPr>
                    <w:t>6</w:t>
                  </w:r>
                </w:p>
              </w:tc>
              <w:tc>
                <w:tcPr>
                  <w:tcW w:w="1323" w:type="pct"/>
                  <w:shd w:val="clear" w:color="auto" w:fill="auto"/>
                  <w:vAlign w:val="center"/>
                </w:tcPr>
                <w:p w14:paraId="071FC17F">
                  <w:pPr>
                    <w:pStyle w:val="61"/>
                    <w:adjustRightInd/>
                    <w:spacing w:before="0" w:after="0" w:line="320" w:lineRule="exact"/>
                    <w:jc w:val="center"/>
                    <w:textAlignment w:val="auto"/>
                    <w:rPr>
                      <w:rFonts w:hint="eastAsia" w:eastAsia="宋体"/>
                      <w:color w:val="auto"/>
                      <w:kern w:val="2"/>
                      <w:sz w:val="21"/>
                      <w:szCs w:val="21"/>
                      <w:lang w:eastAsia="zh-CN"/>
                    </w:rPr>
                  </w:pPr>
                  <w:r>
                    <w:rPr>
                      <w:rFonts w:hint="eastAsia" w:eastAsia="宋体"/>
                      <w:color w:val="auto"/>
                      <w:kern w:val="2"/>
                      <w:sz w:val="21"/>
                      <w:szCs w:val="21"/>
                    </w:rPr>
                    <w:t>1</w:t>
                  </w:r>
                  <w:r>
                    <w:rPr>
                      <w:rFonts w:hint="eastAsia" w:eastAsia="宋体"/>
                      <w:color w:val="auto"/>
                      <w:kern w:val="2"/>
                      <w:sz w:val="21"/>
                      <w:szCs w:val="21"/>
                      <w:lang w:val="en-US" w:eastAsia="zh-CN"/>
                    </w:rPr>
                    <w:t>.0</w:t>
                  </w:r>
                </w:p>
              </w:tc>
              <w:tc>
                <w:tcPr>
                  <w:tcW w:w="1021" w:type="pct"/>
                  <w:shd w:val="clear" w:color="auto" w:fill="auto"/>
                  <w:vAlign w:val="center"/>
                </w:tcPr>
                <w:p w14:paraId="684EE366">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lang w:val="en-US" w:eastAsia="zh-CN"/>
                    </w:rPr>
                    <w:t>9.6</w:t>
                  </w:r>
                  <w:r>
                    <w:rPr>
                      <w:rFonts w:eastAsia="宋体"/>
                      <w:color w:val="auto"/>
                      <w:sz w:val="21"/>
                      <w:szCs w:val="21"/>
                      <w:lang w:bidi="ar"/>
                    </w:rPr>
                    <w:t>t/a</w:t>
                  </w:r>
                </w:p>
              </w:tc>
            </w:tr>
            <w:tr w14:paraId="6991A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511" w:type="pct"/>
                  <w:shd w:val="clear" w:color="auto" w:fill="auto"/>
                  <w:vAlign w:val="center"/>
                </w:tcPr>
                <w:p w14:paraId="27671967">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TA003</w:t>
                  </w:r>
                </w:p>
              </w:tc>
              <w:tc>
                <w:tcPr>
                  <w:tcW w:w="856" w:type="pct"/>
                  <w:shd w:val="clear" w:color="auto" w:fill="auto"/>
                  <w:vAlign w:val="center"/>
                </w:tcPr>
                <w:p w14:paraId="39463BDE">
                  <w:pPr>
                    <w:pStyle w:val="61"/>
                    <w:adjustRightInd/>
                    <w:spacing w:before="0" w:after="0" w:line="320" w:lineRule="exact"/>
                    <w:jc w:val="center"/>
                    <w:textAlignment w:val="auto"/>
                    <w:rPr>
                      <w:rFonts w:hint="default" w:eastAsia="宋体"/>
                      <w:color w:val="auto"/>
                      <w:kern w:val="2"/>
                      <w:sz w:val="21"/>
                      <w:szCs w:val="21"/>
                      <w:lang w:val="en-US" w:eastAsia="zh-CN"/>
                    </w:rPr>
                  </w:pPr>
                  <w:r>
                    <w:rPr>
                      <w:rFonts w:hint="eastAsia" w:eastAsia="宋体"/>
                      <w:color w:val="auto"/>
                      <w:kern w:val="2"/>
                      <w:sz w:val="21"/>
                      <w:szCs w:val="21"/>
                      <w:lang w:val="en-US" w:eastAsia="zh-CN"/>
                    </w:rPr>
                    <w:t>35000</w:t>
                  </w:r>
                </w:p>
              </w:tc>
              <w:tc>
                <w:tcPr>
                  <w:tcW w:w="1287" w:type="pct"/>
                  <w:shd w:val="clear" w:color="auto" w:fill="auto"/>
                  <w:vAlign w:val="center"/>
                </w:tcPr>
                <w:p w14:paraId="56737702">
                  <w:pPr>
                    <w:pStyle w:val="61"/>
                    <w:adjustRightInd/>
                    <w:spacing w:before="0" w:after="0" w:line="320" w:lineRule="exact"/>
                    <w:jc w:val="center"/>
                    <w:textAlignment w:val="auto"/>
                    <w:rPr>
                      <w:rFonts w:hint="default" w:eastAsia="宋体"/>
                      <w:color w:val="auto"/>
                      <w:kern w:val="2"/>
                      <w:sz w:val="21"/>
                      <w:szCs w:val="21"/>
                      <w:lang w:val="en-US" w:eastAsia="zh-CN"/>
                    </w:rPr>
                  </w:pPr>
                  <w:r>
                    <w:rPr>
                      <w:rFonts w:hint="eastAsia" w:eastAsia="宋体"/>
                      <w:color w:val="auto"/>
                      <w:kern w:val="2"/>
                      <w:sz w:val="21"/>
                      <w:szCs w:val="21"/>
                      <w:lang w:val="en-US" w:eastAsia="zh-CN"/>
                    </w:rPr>
                    <w:t>1.62</w:t>
                  </w:r>
                </w:p>
              </w:tc>
              <w:tc>
                <w:tcPr>
                  <w:tcW w:w="1323" w:type="pct"/>
                  <w:shd w:val="clear" w:color="auto" w:fill="auto"/>
                  <w:vAlign w:val="center"/>
                </w:tcPr>
                <w:p w14:paraId="26A96CE2">
                  <w:pPr>
                    <w:pStyle w:val="61"/>
                    <w:adjustRightInd/>
                    <w:spacing w:before="0" w:after="0" w:line="320" w:lineRule="exact"/>
                    <w:jc w:val="center"/>
                    <w:textAlignment w:val="auto"/>
                    <w:rPr>
                      <w:rFonts w:hint="default" w:eastAsia="宋体"/>
                      <w:color w:val="auto"/>
                      <w:kern w:val="2"/>
                      <w:sz w:val="21"/>
                      <w:szCs w:val="21"/>
                      <w:lang w:val="en-US" w:eastAsia="zh-CN"/>
                    </w:rPr>
                  </w:pPr>
                  <w:r>
                    <w:rPr>
                      <w:rFonts w:hint="eastAsia" w:eastAsia="宋体"/>
                      <w:color w:val="auto"/>
                      <w:kern w:val="2"/>
                      <w:sz w:val="21"/>
                      <w:szCs w:val="21"/>
                      <w:lang w:val="en-US" w:eastAsia="zh-CN"/>
                    </w:rPr>
                    <w:t>2.5</w:t>
                  </w:r>
                </w:p>
              </w:tc>
              <w:tc>
                <w:tcPr>
                  <w:tcW w:w="1021" w:type="pct"/>
                  <w:shd w:val="clear" w:color="auto" w:fill="auto"/>
                  <w:vAlign w:val="center"/>
                </w:tcPr>
                <w:p w14:paraId="4CC2D5D2">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lang w:val="en-US" w:eastAsia="zh-CN"/>
                    </w:rPr>
                    <w:t>21.12</w:t>
                  </w:r>
                  <w:r>
                    <w:rPr>
                      <w:rFonts w:eastAsia="宋体"/>
                      <w:color w:val="auto"/>
                      <w:sz w:val="21"/>
                      <w:szCs w:val="21"/>
                      <w:lang w:bidi="ar"/>
                    </w:rPr>
                    <w:t xml:space="preserve"> t/a</w:t>
                  </w:r>
                </w:p>
              </w:tc>
            </w:tr>
          </w:tbl>
          <w:p w14:paraId="3375BBA2">
            <w:pPr>
              <w:pStyle w:val="61"/>
              <w:adjustRightInd/>
              <w:spacing w:beforeLines="50" w:after="0" w:line="360" w:lineRule="auto"/>
              <w:ind w:firstLine="460" w:firstLineChars="200"/>
              <w:textAlignment w:val="auto"/>
              <w:rPr>
                <w:rFonts w:hint="eastAsia" w:ascii="Times New Roman" w:hAnsi="Times New Roman" w:eastAsia="宋体" w:cs="Times New Roman"/>
                <w:b w:val="0"/>
                <w:bCs w:val="0"/>
                <w:color w:val="auto"/>
                <w:sz w:val="24"/>
                <w:szCs w:val="24"/>
                <w:shd w:val="clear" w:color="auto" w:fill="FFFFFF"/>
                <w:vertAlign w:val="baseline"/>
                <w:lang w:val="en-US" w:eastAsia="zh-CN"/>
              </w:rPr>
            </w:pPr>
            <w:r>
              <w:rPr>
                <w:rFonts w:hint="eastAsia" w:eastAsia="宋体"/>
                <w:color w:val="auto"/>
                <w:spacing w:val="-5"/>
                <w:sz w:val="24"/>
                <w:szCs w:val="24"/>
                <w:lang w:val="en-US" w:eastAsia="zh-CN"/>
              </w:rPr>
              <w:t>DA001的流量（</w:t>
            </w:r>
            <w:r>
              <w:rPr>
                <w:rFonts w:hint="eastAsia" w:eastAsia="宋体"/>
                <w:color w:val="auto"/>
                <w:kern w:val="2"/>
                <w:sz w:val="24"/>
                <w:szCs w:val="24"/>
                <w:lang w:val="en-US" w:eastAsia="zh-CN"/>
              </w:rPr>
              <w:t>30000</w:t>
            </w:r>
            <w:r>
              <w:rPr>
                <w:rFonts w:eastAsia="宋体"/>
                <w:b w:val="0"/>
                <w:bCs w:val="0"/>
                <w:color w:val="auto"/>
                <w:kern w:val="2"/>
                <w:sz w:val="24"/>
                <w:szCs w:val="24"/>
              </w:rPr>
              <w:t>m</w:t>
            </w:r>
            <w:r>
              <w:rPr>
                <w:rFonts w:eastAsia="宋体"/>
                <w:b w:val="0"/>
                <w:bCs w:val="0"/>
                <w:color w:val="auto"/>
                <w:kern w:val="2"/>
                <w:sz w:val="24"/>
                <w:szCs w:val="24"/>
                <w:vertAlign w:val="superscript"/>
              </w:rPr>
              <w:t>3</w:t>
            </w:r>
            <w:r>
              <w:rPr>
                <w:rFonts w:eastAsia="宋体"/>
                <w:b w:val="0"/>
                <w:bCs w:val="0"/>
                <w:color w:val="auto"/>
                <w:kern w:val="2"/>
                <w:sz w:val="24"/>
                <w:szCs w:val="24"/>
              </w:rPr>
              <w:t>/h</w:t>
            </w:r>
            <w:r>
              <w:rPr>
                <w:rFonts w:hint="eastAsia" w:eastAsia="宋体"/>
                <w:color w:val="auto"/>
                <w:spacing w:val="-5"/>
                <w:sz w:val="24"/>
                <w:szCs w:val="24"/>
                <w:lang w:val="en-US" w:eastAsia="zh-CN"/>
              </w:rPr>
              <w:t>）不变，现有工程有机废气产生量</w:t>
            </w:r>
            <w:r>
              <w:rPr>
                <w:rFonts w:hint="default" w:ascii="Times New Roman" w:hAnsi="Times New Roman" w:cs="Times New Roman"/>
                <w:b w:val="0"/>
                <w:bCs w:val="0"/>
                <w:color w:val="auto"/>
                <w:sz w:val="24"/>
                <w:szCs w:val="24"/>
                <w:shd w:val="clear" w:color="auto" w:fill="FFFFFF"/>
                <w:lang w:val="en-US" w:eastAsia="zh-CN"/>
              </w:rPr>
              <w:t>2.269</w:t>
            </w:r>
            <w:r>
              <w:rPr>
                <w:rFonts w:hint="default" w:ascii="Times New Roman" w:hAnsi="Times New Roman" w:eastAsia="宋体" w:cs="Times New Roman"/>
                <w:b w:val="0"/>
                <w:bCs w:val="0"/>
                <w:color w:val="auto"/>
                <w:sz w:val="24"/>
                <w:szCs w:val="24"/>
                <w:shd w:val="clear" w:color="auto" w:fill="FFFFFF"/>
                <w:lang w:val="en-US" w:eastAsia="zh-CN"/>
              </w:rPr>
              <w:t>t/a</w:t>
            </w:r>
            <w:r>
              <w:rPr>
                <w:rFonts w:hint="eastAsia" w:ascii="Times New Roman" w:hAnsi="Times New Roman" w:eastAsia="宋体" w:cs="Times New Roman"/>
                <w:b w:val="0"/>
                <w:bCs w:val="0"/>
                <w:color w:val="auto"/>
                <w:sz w:val="24"/>
                <w:szCs w:val="24"/>
                <w:shd w:val="clear" w:color="auto" w:fill="FFFFFF"/>
                <w:lang w:val="en-US" w:eastAsia="zh-CN"/>
              </w:rPr>
              <w:t>，本项目有机废气产生量为0.1361</w:t>
            </w:r>
            <w:r>
              <w:rPr>
                <w:rFonts w:hint="default" w:ascii="Times New Roman" w:hAnsi="Times New Roman" w:eastAsia="宋体" w:cs="Times New Roman"/>
                <w:b w:val="0"/>
                <w:bCs w:val="0"/>
                <w:color w:val="auto"/>
                <w:sz w:val="24"/>
                <w:szCs w:val="24"/>
                <w:shd w:val="clear" w:color="auto" w:fill="FFFFFF"/>
                <w:lang w:val="en-US" w:eastAsia="zh-CN"/>
              </w:rPr>
              <w:t>t/a</w:t>
            </w:r>
            <w:r>
              <w:rPr>
                <w:rFonts w:hint="eastAsia" w:ascii="Times New Roman" w:hAnsi="Times New Roman" w:eastAsia="宋体" w:cs="Times New Roman"/>
                <w:b w:val="0"/>
                <w:bCs w:val="0"/>
                <w:color w:val="auto"/>
                <w:sz w:val="24"/>
                <w:szCs w:val="24"/>
                <w:shd w:val="clear" w:color="auto" w:fill="FFFFFF"/>
                <w:lang w:val="en-US" w:eastAsia="zh-CN"/>
              </w:rPr>
              <w:t>，则1#车间有机废气产生量为2.4051</w:t>
            </w:r>
            <w:r>
              <w:rPr>
                <w:rFonts w:hint="default" w:ascii="Times New Roman" w:hAnsi="Times New Roman" w:eastAsia="宋体" w:cs="Times New Roman"/>
                <w:b w:val="0"/>
                <w:bCs w:val="0"/>
                <w:color w:val="auto"/>
                <w:sz w:val="24"/>
                <w:szCs w:val="24"/>
                <w:shd w:val="clear" w:color="auto" w:fill="FFFFFF"/>
                <w:lang w:val="en-US" w:eastAsia="zh-CN"/>
              </w:rPr>
              <w:t>t/a</w:t>
            </w:r>
            <w:r>
              <w:rPr>
                <w:rFonts w:hint="eastAsia" w:ascii="Times New Roman" w:hAnsi="Times New Roman" w:eastAsia="宋体" w:cs="Times New Roman"/>
                <w:b w:val="0"/>
                <w:bCs w:val="0"/>
                <w:color w:val="auto"/>
                <w:sz w:val="24"/>
                <w:szCs w:val="24"/>
                <w:shd w:val="clear" w:color="auto" w:fill="FFFFFF"/>
                <w:lang w:val="en-US" w:eastAsia="zh-CN"/>
              </w:rPr>
              <w:t>，因此TA001废气初始速率为0.5011kg/h，因此TA001初始浓度为16.70mg/m</w:t>
            </w:r>
            <w:r>
              <w:rPr>
                <w:rFonts w:hint="eastAsia" w:ascii="Times New Roman" w:hAnsi="Times New Roman" w:eastAsia="宋体" w:cs="Times New Roman"/>
                <w:b w:val="0"/>
                <w:bCs w:val="0"/>
                <w:color w:val="auto"/>
                <w:sz w:val="24"/>
                <w:szCs w:val="24"/>
                <w:shd w:val="clear" w:color="auto" w:fill="FFFFFF"/>
                <w:vertAlign w:val="superscript"/>
                <w:lang w:val="en-US" w:eastAsia="zh-CN"/>
              </w:rPr>
              <w:t>3</w:t>
            </w:r>
            <w:r>
              <w:rPr>
                <w:rFonts w:hint="eastAsia" w:ascii="Times New Roman" w:hAnsi="Times New Roman" w:eastAsia="宋体" w:cs="Times New Roman"/>
                <w:b w:val="0"/>
                <w:bCs w:val="0"/>
                <w:color w:val="auto"/>
                <w:sz w:val="24"/>
                <w:szCs w:val="24"/>
                <w:shd w:val="clear" w:color="auto" w:fill="FFFFFF"/>
                <w:vertAlign w:val="baseline"/>
                <w:lang w:val="en-US" w:eastAsia="zh-CN"/>
              </w:rPr>
              <w:t>。</w:t>
            </w:r>
          </w:p>
          <w:p w14:paraId="529D7E09">
            <w:pPr>
              <w:pStyle w:val="61"/>
              <w:adjustRightInd/>
              <w:spacing w:beforeLines="50" w:after="0" w:line="360" w:lineRule="auto"/>
              <w:ind w:firstLine="482" w:firstLineChars="200"/>
              <w:textAlignment w:val="auto"/>
              <w:rPr>
                <w:rFonts w:hint="eastAsia" w:ascii="Times New Roman" w:hAnsi="Times New Roman" w:eastAsia="宋体" w:cs="Times New Roman"/>
                <w:b/>
                <w:bCs/>
                <w:color w:val="auto"/>
                <w:sz w:val="24"/>
                <w:szCs w:val="24"/>
                <w:shd w:val="clear" w:color="auto" w:fill="FFFFFF"/>
                <w:lang w:val="en-US" w:eastAsia="zh-CN"/>
              </w:rPr>
            </w:pPr>
            <w:r>
              <w:rPr>
                <w:rFonts w:hint="eastAsia" w:ascii="Times New Roman" w:hAnsi="Times New Roman" w:eastAsia="宋体" w:cs="Times New Roman"/>
                <w:b/>
                <w:bCs/>
                <w:color w:val="auto"/>
                <w:sz w:val="24"/>
                <w:szCs w:val="24"/>
                <w:shd w:val="clear" w:color="auto" w:fill="FFFFFF"/>
                <w:vertAlign w:val="baseline"/>
                <w:lang w:val="en-US" w:eastAsia="zh-CN"/>
              </w:rPr>
              <w:t>现有工程TA001活性炭填充为0.613</w:t>
            </w:r>
            <w:r>
              <w:rPr>
                <w:rFonts w:hint="default" w:ascii="Times New Roman" w:hAnsi="Times New Roman" w:eastAsia="宋体" w:cs="Times New Roman"/>
                <w:b/>
                <w:bCs/>
                <w:color w:val="auto"/>
                <w:sz w:val="24"/>
                <w:szCs w:val="24"/>
                <w:shd w:val="clear" w:color="auto" w:fill="FFFFFF"/>
                <w:lang w:val="en-US" w:eastAsia="zh-CN"/>
              </w:rPr>
              <w:t>t/a</w:t>
            </w:r>
            <w:r>
              <w:rPr>
                <w:rFonts w:hint="eastAsia" w:ascii="Times New Roman" w:hAnsi="Times New Roman" w:eastAsia="宋体" w:cs="Times New Roman"/>
                <w:b/>
                <w:bCs/>
                <w:color w:val="auto"/>
                <w:sz w:val="24"/>
                <w:szCs w:val="24"/>
                <w:shd w:val="clear" w:color="auto" w:fill="FFFFFF"/>
                <w:lang w:val="en-US" w:eastAsia="zh-CN"/>
              </w:rPr>
              <w:t>，填充量不足，评价要求对现有的两级活性炭吸附装置采取“以新带老”措施，更换更大的活性炭吸附箱，能满足填充2t的活性炭量，可满足要求。</w:t>
            </w:r>
          </w:p>
          <w:p w14:paraId="31CCD4E0">
            <w:pPr>
              <w:pStyle w:val="61"/>
              <w:adjustRightInd/>
              <w:spacing w:beforeLines="50" w:after="0" w:line="360" w:lineRule="auto"/>
              <w:ind w:firstLine="480" w:firstLineChars="200"/>
              <w:textAlignment w:val="auto"/>
              <w:rPr>
                <w:rFonts w:hint="default" w:ascii="Times New Roman" w:hAnsi="Times New Roman" w:eastAsia="宋体" w:cs="Times New Roman"/>
                <w:b w:val="0"/>
                <w:bCs w:val="0"/>
                <w:color w:val="auto"/>
                <w:sz w:val="24"/>
                <w:szCs w:val="24"/>
                <w:shd w:val="clear" w:color="auto" w:fill="FFFFFF"/>
                <w:vertAlign w:val="baseline"/>
                <w:lang w:val="en-US" w:eastAsia="zh-CN"/>
              </w:rPr>
            </w:pPr>
            <w:r>
              <w:rPr>
                <w:rFonts w:hint="eastAsia" w:ascii="Times New Roman" w:hAnsi="Times New Roman" w:eastAsia="宋体" w:cs="Times New Roman"/>
                <w:b w:val="0"/>
                <w:bCs w:val="0"/>
                <w:color w:val="auto"/>
                <w:sz w:val="24"/>
                <w:szCs w:val="24"/>
                <w:shd w:val="clear" w:color="auto" w:fill="FFFFFF"/>
                <w:vertAlign w:val="baseline"/>
                <w:lang w:val="en-US" w:eastAsia="zh-CN"/>
              </w:rPr>
              <w:t>TA001吸附有机废气的量为2.4051</w:t>
            </w:r>
            <w:r>
              <w:rPr>
                <w:rFonts w:hint="default" w:ascii="Times New Roman" w:hAnsi="Times New Roman" w:eastAsia="宋体" w:cs="Times New Roman"/>
                <w:b w:val="0"/>
                <w:bCs w:val="0"/>
                <w:color w:val="auto"/>
                <w:sz w:val="24"/>
                <w:szCs w:val="24"/>
                <w:shd w:val="clear" w:color="auto" w:fill="FFFFFF"/>
                <w:lang w:val="en-US" w:eastAsia="zh-CN"/>
              </w:rPr>
              <w:t>t/a</w:t>
            </w:r>
            <w:r>
              <w:rPr>
                <w:rFonts w:hint="default" w:ascii="Arial" w:hAnsi="Arial" w:eastAsia="宋体" w:cs="Arial"/>
                <w:b w:val="0"/>
                <w:bCs w:val="0"/>
                <w:color w:val="auto"/>
                <w:sz w:val="24"/>
                <w:szCs w:val="24"/>
                <w:shd w:val="clear" w:color="auto" w:fill="FFFFFF"/>
                <w:lang w:val="en-US" w:eastAsia="zh-CN"/>
              </w:rPr>
              <w:t>×</w:t>
            </w:r>
            <w:r>
              <w:rPr>
                <w:rFonts w:hint="eastAsia" w:ascii="Times New Roman" w:hAnsi="Times New Roman" w:eastAsia="宋体" w:cs="Times New Roman"/>
                <w:b w:val="0"/>
                <w:bCs w:val="0"/>
                <w:color w:val="auto"/>
                <w:sz w:val="24"/>
                <w:szCs w:val="24"/>
                <w:shd w:val="clear" w:color="auto" w:fill="FFFFFF"/>
                <w:lang w:val="en-US" w:eastAsia="zh-CN"/>
              </w:rPr>
              <w:t>0.9</w:t>
            </w:r>
            <w:r>
              <w:rPr>
                <w:rFonts w:hint="default" w:ascii="Arial" w:hAnsi="Arial" w:eastAsia="宋体" w:cs="Arial"/>
                <w:b w:val="0"/>
                <w:bCs w:val="0"/>
                <w:color w:val="auto"/>
                <w:sz w:val="24"/>
                <w:szCs w:val="24"/>
                <w:shd w:val="clear" w:color="auto" w:fill="FFFFFF"/>
                <w:lang w:val="en-US" w:eastAsia="zh-CN"/>
              </w:rPr>
              <w:t>×</w:t>
            </w:r>
            <w:r>
              <w:rPr>
                <w:rFonts w:hint="eastAsia" w:ascii="Times New Roman" w:hAnsi="Times New Roman" w:eastAsia="宋体" w:cs="Times New Roman"/>
                <w:b w:val="0"/>
                <w:bCs w:val="0"/>
                <w:color w:val="auto"/>
                <w:sz w:val="24"/>
                <w:szCs w:val="24"/>
                <w:shd w:val="clear" w:color="auto" w:fill="FFFFFF"/>
                <w:lang w:val="en-US" w:eastAsia="zh-CN"/>
              </w:rPr>
              <w:t>0.</w:t>
            </w:r>
            <w:r>
              <w:rPr>
                <w:rFonts w:hint="eastAsia" w:eastAsia="宋体" w:cs="Times New Roman"/>
                <w:b w:val="0"/>
                <w:bCs w:val="0"/>
                <w:color w:val="auto"/>
                <w:sz w:val="24"/>
                <w:szCs w:val="24"/>
                <w:shd w:val="clear" w:color="auto" w:fill="FFFFFF"/>
                <w:lang w:val="en-US" w:eastAsia="zh-CN"/>
              </w:rPr>
              <w:t>9</w:t>
            </w:r>
            <w:r>
              <w:rPr>
                <w:rFonts w:hint="eastAsia" w:ascii="Times New Roman" w:hAnsi="Times New Roman" w:eastAsia="宋体" w:cs="Times New Roman"/>
                <w:b w:val="0"/>
                <w:bCs w:val="0"/>
                <w:color w:val="auto"/>
                <w:sz w:val="24"/>
                <w:szCs w:val="24"/>
                <w:shd w:val="clear" w:color="auto" w:fill="FFFFFF"/>
                <w:lang w:val="en-US" w:eastAsia="zh-CN"/>
              </w:rPr>
              <w:t>=</w:t>
            </w:r>
            <w:r>
              <w:rPr>
                <w:rFonts w:hint="eastAsia" w:eastAsia="宋体" w:cs="Times New Roman"/>
                <w:b w:val="0"/>
                <w:bCs w:val="0"/>
                <w:color w:val="auto"/>
                <w:sz w:val="24"/>
                <w:szCs w:val="24"/>
                <w:shd w:val="clear" w:color="auto" w:fill="FFFFFF"/>
                <w:lang w:val="en-US" w:eastAsia="zh-CN"/>
              </w:rPr>
              <w:t>1.9481</w:t>
            </w:r>
            <w:r>
              <w:rPr>
                <w:rFonts w:hint="default" w:ascii="Times New Roman" w:hAnsi="Times New Roman" w:eastAsia="宋体" w:cs="Times New Roman"/>
                <w:b w:val="0"/>
                <w:bCs w:val="0"/>
                <w:color w:val="auto"/>
                <w:sz w:val="24"/>
                <w:szCs w:val="24"/>
                <w:shd w:val="clear" w:color="auto" w:fill="FFFFFF"/>
                <w:lang w:val="en-US" w:eastAsia="zh-CN"/>
              </w:rPr>
              <w:t>t/a</w:t>
            </w:r>
          </w:p>
          <w:p w14:paraId="2A0B1A4C">
            <w:pPr>
              <w:pStyle w:val="61"/>
              <w:adjustRightInd/>
              <w:spacing w:beforeLines="50" w:after="0" w:line="360" w:lineRule="auto"/>
              <w:ind w:firstLine="480" w:firstLineChars="200"/>
              <w:textAlignment w:val="auto"/>
              <w:rPr>
                <w:rFonts w:hint="default" w:ascii="Times New Roman" w:hAnsi="Times New Roman" w:eastAsia="宋体" w:cs="Times New Roman"/>
                <w:b w:val="0"/>
                <w:bCs w:val="0"/>
                <w:color w:val="auto"/>
                <w:sz w:val="24"/>
                <w:szCs w:val="24"/>
                <w:shd w:val="clear" w:color="auto" w:fill="FFFFFF"/>
                <w:vertAlign w:val="baseline"/>
                <w:lang w:val="en-US" w:eastAsia="zh-CN"/>
              </w:rPr>
            </w:pPr>
            <w:r>
              <w:rPr>
                <w:rFonts w:hint="eastAsia" w:ascii="Times New Roman" w:hAnsi="Times New Roman" w:eastAsia="宋体" w:cs="Times New Roman"/>
                <w:b w:val="0"/>
                <w:bCs w:val="0"/>
                <w:color w:val="auto"/>
                <w:sz w:val="24"/>
                <w:szCs w:val="24"/>
                <w:shd w:val="clear" w:color="auto" w:fill="FFFFFF"/>
                <w:vertAlign w:val="baseline"/>
                <w:lang w:val="en-US" w:eastAsia="zh-CN"/>
              </w:rPr>
              <w:t>TA002吸附有机废气的量为0.0997</w:t>
            </w:r>
            <w:r>
              <w:rPr>
                <w:rFonts w:hint="default" w:ascii="Times New Roman" w:hAnsi="Times New Roman" w:eastAsia="宋体" w:cs="Times New Roman"/>
                <w:b w:val="0"/>
                <w:bCs w:val="0"/>
                <w:color w:val="auto"/>
                <w:sz w:val="24"/>
                <w:szCs w:val="24"/>
                <w:shd w:val="clear" w:color="auto" w:fill="FFFFFF"/>
                <w:lang w:val="en-US" w:eastAsia="zh-CN"/>
              </w:rPr>
              <w:t>t/a</w:t>
            </w:r>
            <w:r>
              <w:rPr>
                <w:rFonts w:hint="default" w:ascii="Arial" w:hAnsi="Arial" w:eastAsia="宋体" w:cs="Arial"/>
                <w:b w:val="0"/>
                <w:bCs w:val="0"/>
                <w:color w:val="auto"/>
                <w:sz w:val="24"/>
                <w:szCs w:val="24"/>
                <w:shd w:val="clear" w:color="auto" w:fill="FFFFFF"/>
                <w:lang w:val="en-US" w:eastAsia="zh-CN"/>
              </w:rPr>
              <w:t>×</w:t>
            </w:r>
            <w:r>
              <w:rPr>
                <w:rFonts w:hint="eastAsia" w:ascii="Times New Roman" w:hAnsi="Times New Roman" w:eastAsia="宋体" w:cs="Times New Roman"/>
                <w:b w:val="0"/>
                <w:bCs w:val="0"/>
                <w:color w:val="auto"/>
                <w:sz w:val="24"/>
                <w:szCs w:val="24"/>
                <w:shd w:val="clear" w:color="auto" w:fill="FFFFFF"/>
                <w:lang w:val="en-US" w:eastAsia="zh-CN"/>
              </w:rPr>
              <w:t>0.9</w:t>
            </w:r>
            <w:r>
              <w:rPr>
                <w:rFonts w:hint="default" w:ascii="Arial" w:hAnsi="Arial" w:eastAsia="宋体" w:cs="Arial"/>
                <w:b w:val="0"/>
                <w:bCs w:val="0"/>
                <w:color w:val="auto"/>
                <w:sz w:val="24"/>
                <w:szCs w:val="24"/>
                <w:shd w:val="clear" w:color="auto" w:fill="FFFFFF"/>
                <w:lang w:val="en-US" w:eastAsia="zh-CN"/>
              </w:rPr>
              <w:t>×</w:t>
            </w:r>
            <w:r>
              <w:rPr>
                <w:rFonts w:hint="eastAsia" w:ascii="Times New Roman" w:hAnsi="Times New Roman" w:eastAsia="宋体" w:cs="Times New Roman"/>
                <w:b w:val="0"/>
                <w:bCs w:val="0"/>
                <w:color w:val="auto"/>
                <w:sz w:val="24"/>
                <w:szCs w:val="24"/>
                <w:shd w:val="clear" w:color="auto" w:fill="FFFFFF"/>
                <w:lang w:val="en-US" w:eastAsia="zh-CN"/>
              </w:rPr>
              <w:t>0.</w:t>
            </w:r>
            <w:r>
              <w:rPr>
                <w:rFonts w:hint="eastAsia" w:eastAsia="宋体" w:cs="Times New Roman"/>
                <w:b w:val="0"/>
                <w:bCs w:val="0"/>
                <w:color w:val="auto"/>
                <w:sz w:val="24"/>
                <w:szCs w:val="24"/>
                <w:shd w:val="clear" w:color="auto" w:fill="FFFFFF"/>
                <w:lang w:val="en-US" w:eastAsia="zh-CN"/>
              </w:rPr>
              <w:t>9</w:t>
            </w:r>
            <w:r>
              <w:rPr>
                <w:rFonts w:hint="eastAsia" w:ascii="Times New Roman" w:hAnsi="Times New Roman" w:eastAsia="宋体" w:cs="Times New Roman"/>
                <w:b w:val="0"/>
                <w:bCs w:val="0"/>
                <w:color w:val="auto"/>
                <w:sz w:val="24"/>
                <w:szCs w:val="24"/>
                <w:shd w:val="clear" w:color="auto" w:fill="FFFFFF"/>
                <w:lang w:val="en-US" w:eastAsia="zh-CN"/>
              </w:rPr>
              <w:t>=</w:t>
            </w:r>
            <w:r>
              <w:rPr>
                <w:rFonts w:hint="eastAsia" w:eastAsia="宋体" w:cs="Times New Roman"/>
                <w:b w:val="0"/>
                <w:bCs w:val="0"/>
                <w:color w:val="auto"/>
                <w:sz w:val="24"/>
                <w:szCs w:val="24"/>
                <w:shd w:val="clear" w:color="auto" w:fill="FFFFFF"/>
                <w:lang w:val="en-US" w:eastAsia="zh-CN"/>
              </w:rPr>
              <w:t>0.0808</w:t>
            </w:r>
            <w:r>
              <w:rPr>
                <w:rFonts w:hint="default" w:ascii="Times New Roman" w:hAnsi="Times New Roman" w:eastAsia="宋体" w:cs="Times New Roman"/>
                <w:b w:val="0"/>
                <w:bCs w:val="0"/>
                <w:color w:val="auto"/>
                <w:sz w:val="24"/>
                <w:szCs w:val="24"/>
                <w:shd w:val="clear" w:color="auto" w:fill="FFFFFF"/>
                <w:lang w:val="en-US" w:eastAsia="zh-CN"/>
              </w:rPr>
              <w:t>t/a</w:t>
            </w:r>
          </w:p>
          <w:p w14:paraId="0169D9F4">
            <w:pPr>
              <w:pStyle w:val="61"/>
              <w:adjustRightInd/>
              <w:spacing w:beforeLines="50" w:after="0" w:line="360" w:lineRule="auto"/>
              <w:ind w:firstLine="480" w:firstLineChars="200"/>
              <w:textAlignment w:val="auto"/>
              <w:rPr>
                <w:rFonts w:hint="eastAsia" w:eastAsia="宋体"/>
                <w:color w:val="auto"/>
                <w:spacing w:val="-5"/>
                <w:sz w:val="24"/>
                <w:szCs w:val="24"/>
              </w:rPr>
            </w:pPr>
            <w:r>
              <w:rPr>
                <w:rFonts w:hint="eastAsia" w:ascii="Times New Roman" w:hAnsi="Times New Roman" w:eastAsia="宋体" w:cs="Times New Roman"/>
                <w:b w:val="0"/>
                <w:bCs w:val="0"/>
                <w:color w:val="auto"/>
                <w:sz w:val="24"/>
                <w:szCs w:val="24"/>
                <w:shd w:val="clear" w:color="auto" w:fill="FFFFFF"/>
                <w:vertAlign w:val="baseline"/>
                <w:lang w:val="en-US" w:eastAsia="zh-CN"/>
              </w:rPr>
              <w:t>TA003吸附有机废气的量为0.2726</w:t>
            </w:r>
            <w:r>
              <w:rPr>
                <w:rFonts w:hint="default" w:ascii="Times New Roman" w:hAnsi="Times New Roman" w:eastAsia="宋体" w:cs="Times New Roman"/>
                <w:b w:val="0"/>
                <w:bCs w:val="0"/>
                <w:color w:val="auto"/>
                <w:sz w:val="24"/>
                <w:szCs w:val="24"/>
                <w:shd w:val="clear" w:color="auto" w:fill="FFFFFF"/>
                <w:lang w:val="en-US" w:eastAsia="zh-CN"/>
              </w:rPr>
              <w:t>t/a</w:t>
            </w:r>
            <w:r>
              <w:rPr>
                <w:rFonts w:hint="default" w:ascii="Arial" w:hAnsi="Arial" w:eastAsia="宋体" w:cs="Arial"/>
                <w:b w:val="0"/>
                <w:bCs w:val="0"/>
                <w:color w:val="auto"/>
                <w:sz w:val="24"/>
                <w:szCs w:val="24"/>
                <w:shd w:val="clear" w:color="auto" w:fill="FFFFFF"/>
                <w:lang w:val="en-US" w:eastAsia="zh-CN"/>
              </w:rPr>
              <w:t>×</w:t>
            </w:r>
            <w:r>
              <w:rPr>
                <w:rFonts w:hint="eastAsia" w:ascii="Times New Roman" w:hAnsi="Times New Roman" w:eastAsia="宋体" w:cs="Times New Roman"/>
                <w:b w:val="0"/>
                <w:bCs w:val="0"/>
                <w:color w:val="auto"/>
                <w:sz w:val="24"/>
                <w:szCs w:val="24"/>
                <w:shd w:val="clear" w:color="auto" w:fill="FFFFFF"/>
                <w:lang w:val="en-US" w:eastAsia="zh-CN"/>
              </w:rPr>
              <w:t>0.9</w:t>
            </w:r>
            <w:r>
              <w:rPr>
                <w:rFonts w:hint="default" w:ascii="Arial" w:hAnsi="Arial" w:eastAsia="宋体" w:cs="Arial"/>
                <w:b w:val="0"/>
                <w:bCs w:val="0"/>
                <w:color w:val="auto"/>
                <w:sz w:val="24"/>
                <w:szCs w:val="24"/>
                <w:shd w:val="clear" w:color="auto" w:fill="FFFFFF"/>
                <w:lang w:val="en-US" w:eastAsia="zh-CN"/>
              </w:rPr>
              <w:t>×</w:t>
            </w:r>
            <w:r>
              <w:rPr>
                <w:rFonts w:hint="eastAsia" w:ascii="Times New Roman" w:hAnsi="Times New Roman" w:eastAsia="宋体" w:cs="Times New Roman"/>
                <w:b w:val="0"/>
                <w:bCs w:val="0"/>
                <w:color w:val="auto"/>
                <w:sz w:val="24"/>
                <w:szCs w:val="24"/>
                <w:shd w:val="clear" w:color="auto" w:fill="FFFFFF"/>
                <w:lang w:val="en-US" w:eastAsia="zh-CN"/>
              </w:rPr>
              <w:t>0.</w:t>
            </w:r>
            <w:r>
              <w:rPr>
                <w:rFonts w:hint="eastAsia" w:eastAsia="宋体" w:cs="Times New Roman"/>
                <w:b w:val="0"/>
                <w:bCs w:val="0"/>
                <w:color w:val="auto"/>
                <w:sz w:val="24"/>
                <w:szCs w:val="24"/>
                <w:shd w:val="clear" w:color="auto" w:fill="FFFFFF"/>
                <w:lang w:val="en-US" w:eastAsia="zh-CN"/>
              </w:rPr>
              <w:t>9</w:t>
            </w:r>
            <w:r>
              <w:rPr>
                <w:rFonts w:hint="eastAsia" w:ascii="Times New Roman" w:hAnsi="Times New Roman" w:eastAsia="宋体" w:cs="Times New Roman"/>
                <w:b w:val="0"/>
                <w:bCs w:val="0"/>
                <w:color w:val="auto"/>
                <w:sz w:val="24"/>
                <w:szCs w:val="24"/>
                <w:shd w:val="clear" w:color="auto" w:fill="FFFFFF"/>
                <w:lang w:val="en-US" w:eastAsia="zh-CN"/>
              </w:rPr>
              <w:t>=</w:t>
            </w:r>
            <w:r>
              <w:rPr>
                <w:rFonts w:hint="eastAsia" w:eastAsia="宋体" w:cs="Times New Roman"/>
                <w:b w:val="0"/>
                <w:bCs w:val="0"/>
                <w:color w:val="auto"/>
                <w:sz w:val="24"/>
                <w:szCs w:val="24"/>
                <w:shd w:val="clear" w:color="auto" w:fill="FFFFFF"/>
                <w:lang w:val="en-US" w:eastAsia="zh-CN"/>
              </w:rPr>
              <w:t>0.2208</w:t>
            </w:r>
            <w:r>
              <w:rPr>
                <w:rFonts w:hint="default" w:ascii="Times New Roman" w:hAnsi="Times New Roman" w:eastAsia="宋体" w:cs="Times New Roman"/>
                <w:b w:val="0"/>
                <w:bCs w:val="0"/>
                <w:color w:val="auto"/>
                <w:sz w:val="24"/>
                <w:szCs w:val="24"/>
                <w:shd w:val="clear" w:color="auto" w:fill="FFFFFF"/>
                <w:lang w:val="en-US" w:eastAsia="zh-CN"/>
              </w:rPr>
              <w:t>t/a</w:t>
            </w:r>
          </w:p>
          <w:p w14:paraId="0401B57B">
            <w:pPr>
              <w:pStyle w:val="61"/>
              <w:adjustRightInd/>
              <w:spacing w:beforeLines="50" w:after="0" w:line="360" w:lineRule="auto"/>
              <w:ind w:firstLine="460" w:firstLineChars="200"/>
              <w:textAlignment w:val="auto"/>
              <w:rPr>
                <w:rFonts w:eastAsia="宋体"/>
                <w:color w:val="auto"/>
                <w:spacing w:val="-5"/>
                <w:sz w:val="24"/>
                <w:szCs w:val="24"/>
              </w:rPr>
            </w:pPr>
            <w:r>
              <w:rPr>
                <w:rFonts w:hint="eastAsia" w:eastAsia="宋体"/>
                <w:color w:val="auto"/>
                <w:spacing w:val="-5"/>
                <w:sz w:val="24"/>
                <w:szCs w:val="24"/>
              </w:rPr>
              <w:t>环评要求活性炭更换周期不应超过500h，本项目年工作</w:t>
            </w:r>
            <w:r>
              <w:rPr>
                <w:rFonts w:hint="eastAsia" w:eastAsia="宋体"/>
                <w:color w:val="auto"/>
                <w:spacing w:val="-5"/>
                <w:sz w:val="24"/>
                <w:szCs w:val="24"/>
                <w:lang w:val="en-US" w:eastAsia="zh-CN"/>
              </w:rPr>
              <w:t>4800</w:t>
            </w:r>
            <w:r>
              <w:rPr>
                <w:rFonts w:hint="eastAsia" w:eastAsia="宋体"/>
                <w:color w:val="auto"/>
                <w:spacing w:val="-5"/>
                <w:sz w:val="24"/>
                <w:szCs w:val="24"/>
              </w:rPr>
              <w:t>h，正常生产时活性炭每500h更换一次，</w:t>
            </w:r>
            <w:r>
              <w:rPr>
                <w:rFonts w:eastAsia="宋体"/>
                <w:color w:val="auto"/>
                <w:spacing w:val="-5"/>
                <w:sz w:val="24"/>
                <w:szCs w:val="24"/>
              </w:rPr>
              <w:t>活性炭吸附装置单次填充量及更换频次见下表：</w:t>
            </w:r>
          </w:p>
          <w:p w14:paraId="509BD18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b/>
                <w:bCs/>
                <w:color w:val="auto"/>
                <w:szCs w:val="21"/>
              </w:rPr>
            </w:pPr>
            <w:r>
              <w:rPr>
                <w:rFonts w:hint="eastAsia"/>
                <w:b/>
                <w:bCs/>
                <w:color w:val="auto"/>
                <w:szCs w:val="21"/>
                <w:lang w:val="en-US" w:eastAsia="zh-CN"/>
              </w:rPr>
              <w:t>表4-11</w:t>
            </w:r>
            <w:r>
              <w:rPr>
                <w:rFonts w:hint="eastAsia"/>
                <w:b/>
                <w:bCs/>
                <w:color w:val="auto"/>
                <w:szCs w:val="21"/>
              </w:rPr>
              <w:t xml:space="preserve"> 活性炭吸附装置单次填充量计更换频次</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786"/>
              <w:gridCol w:w="1179"/>
              <w:gridCol w:w="1115"/>
              <w:gridCol w:w="1510"/>
              <w:gridCol w:w="1488"/>
            </w:tblGrid>
            <w:tr w14:paraId="67DE2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723" w:type="pct"/>
                  <w:shd w:val="clear" w:color="auto" w:fill="auto"/>
                  <w:vAlign w:val="center"/>
                </w:tcPr>
                <w:p w14:paraId="04C2EBF6">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装置名称</w:t>
                  </w:r>
                </w:p>
              </w:tc>
              <w:tc>
                <w:tcPr>
                  <w:tcW w:w="1079" w:type="pct"/>
                  <w:shd w:val="clear" w:color="auto" w:fill="auto"/>
                  <w:vAlign w:val="center"/>
                </w:tcPr>
                <w:p w14:paraId="44E2F8C2">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吸附有机废气量</w:t>
                  </w:r>
                </w:p>
              </w:tc>
              <w:tc>
                <w:tcPr>
                  <w:tcW w:w="1386" w:type="pct"/>
                  <w:gridSpan w:val="2"/>
                  <w:shd w:val="clear" w:color="auto" w:fill="auto"/>
                  <w:vAlign w:val="center"/>
                </w:tcPr>
                <w:p w14:paraId="526E13C0">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活性炭填充量</w:t>
                  </w:r>
                </w:p>
              </w:tc>
              <w:tc>
                <w:tcPr>
                  <w:tcW w:w="912" w:type="pct"/>
                  <w:shd w:val="clear" w:color="auto" w:fill="auto"/>
                  <w:vAlign w:val="center"/>
                </w:tcPr>
                <w:p w14:paraId="63F88E74">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更换频次</w:t>
                  </w:r>
                </w:p>
              </w:tc>
              <w:tc>
                <w:tcPr>
                  <w:tcW w:w="899" w:type="pct"/>
                  <w:shd w:val="clear" w:color="auto" w:fill="auto"/>
                  <w:vAlign w:val="center"/>
                </w:tcPr>
                <w:p w14:paraId="517DF2F3">
                  <w:pPr>
                    <w:pStyle w:val="61"/>
                    <w:adjustRightInd/>
                    <w:spacing w:before="0" w:after="0" w:line="320" w:lineRule="exact"/>
                    <w:jc w:val="center"/>
                    <w:textAlignment w:val="auto"/>
                    <w:rPr>
                      <w:rFonts w:eastAsia="宋体"/>
                      <w:b/>
                      <w:bCs/>
                      <w:color w:val="auto"/>
                      <w:kern w:val="2"/>
                      <w:sz w:val="21"/>
                      <w:szCs w:val="21"/>
                    </w:rPr>
                  </w:pPr>
                  <w:r>
                    <w:rPr>
                      <w:rFonts w:hint="eastAsia" w:eastAsia="宋体"/>
                      <w:b/>
                      <w:bCs/>
                      <w:color w:val="auto"/>
                      <w:kern w:val="2"/>
                      <w:sz w:val="21"/>
                      <w:szCs w:val="21"/>
                    </w:rPr>
                    <w:t>废活性炭的产生量</w:t>
                  </w:r>
                </w:p>
              </w:tc>
            </w:tr>
            <w:tr w14:paraId="3AA40C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3" w:type="pct"/>
                  <w:shd w:val="clear" w:color="auto" w:fill="auto"/>
                  <w:vAlign w:val="center"/>
                </w:tcPr>
                <w:p w14:paraId="4FEFB9D7">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TA001</w:t>
                  </w:r>
                </w:p>
              </w:tc>
              <w:tc>
                <w:tcPr>
                  <w:tcW w:w="1079" w:type="pct"/>
                  <w:shd w:val="clear" w:color="auto" w:fill="auto"/>
                  <w:vAlign w:val="center"/>
                </w:tcPr>
                <w:p w14:paraId="3AB946B8">
                  <w:pPr>
                    <w:pStyle w:val="61"/>
                    <w:adjustRightInd/>
                    <w:spacing w:before="0" w:after="0" w:line="320" w:lineRule="exact"/>
                    <w:jc w:val="center"/>
                    <w:textAlignment w:val="auto"/>
                    <w:rPr>
                      <w:rFonts w:eastAsia="宋体"/>
                      <w:color w:val="auto"/>
                      <w:kern w:val="2"/>
                      <w:sz w:val="21"/>
                      <w:szCs w:val="21"/>
                    </w:rPr>
                  </w:pPr>
                  <w:r>
                    <w:rPr>
                      <w:rFonts w:hint="default" w:ascii="Times New Roman" w:hAnsi="Times New Roman" w:eastAsia="宋体" w:cs="Times New Roman"/>
                      <w:b w:val="0"/>
                      <w:bCs w:val="0"/>
                      <w:color w:val="auto"/>
                      <w:sz w:val="21"/>
                      <w:szCs w:val="21"/>
                      <w:shd w:val="clear" w:color="auto" w:fill="FFFFFF"/>
                      <w:lang w:val="en-US" w:eastAsia="zh-CN"/>
                    </w:rPr>
                    <w:t>1.9481t/a</w:t>
                  </w:r>
                </w:p>
              </w:tc>
              <w:tc>
                <w:tcPr>
                  <w:tcW w:w="712" w:type="pct"/>
                  <w:shd w:val="clear" w:color="auto" w:fill="auto"/>
                  <w:vAlign w:val="center"/>
                </w:tcPr>
                <w:p w14:paraId="70DAE3F9">
                  <w:pPr>
                    <w:pStyle w:val="61"/>
                    <w:adjustRightInd/>
                    <w:spacing w:before="0" w:after="0" w:line="320" w:lineRule="exact"/>
                    <w:jc w:val="center"/>
                    <w:textAlignment w:val="auto"/>
                    <w:rPr>
                      <w:rFonts w:eastAsia="宋体"/>
                      <w:color w:val="auto"/>
                      <w:sz w:val="21"/>
                      <w:szCs w:val="21"/>
                      <w:lang w:bidi="ar"/>
                    </w:rPr>
                  </w:pPr>
                  <w:r>
                    <w:rPr>
                      <w:rFonts w:hint="eastAsia" w:eastAsia="宋体"/>
                      <w:color w:val="auto"/>
                      <w:sz w:val="21"/>
                      <w:szCs w:val="21"/>
                      <w:lang w:val="en-US" w:eastAsia="zh-CN" w:bidi="ar"/>
                    </w:rPr>
                    <w:t>2</w:t>
                  </w:r>
                  <w:r>
                    <w:rPr>
                      <w:rFonts w:eastAsia="宋体"/>
                      <w:color w:val="auto"/>
                      <w:sz w:val="21"/>
                      <w:szCs w:val="21"/>
                      <w:lang w:bidi="ar"/>
                    </w:rPr>
                    <w:t>.</w:t>
                  </w:r>
                  <w:r>
                    <w:rPr>
                      <w:rFonts w:hint="eastAsia" w:eastAsia="宋体"/>
                      <w:color w:val="auto"/>
                      <w:sz w:val="21"/>
                      <w:szCs w:val="21"/>
                      <w:lang w:bidi="ar"/>
                    </w:rPr>
                    <w:t xml:space="preserve">0 </w:t>
                  </w:r>
                  <w:r>
                    <w:rPr>
                      <w:rFonts w:eastAsia="宋体"/>
                      <w:color w:val="auto"/>
                      <w:sz w:val="21"/>
                      <w:szCs w:val="21"/>
                      <w:lang w:bidi="ar"/>
                    </w:rPr>
                    <w:t>t/次</w:t>
                  </w:r>
                </w:p>
              </w:tc>
              <w:tc>
                <w:tcPr>
                  <w:tcW w:w="673" w:type="pct"/>
                  <w:shd w:val="clear" w:color="auto" w:fill="auto"/>
                  <w:vAlign w:val="center"/>
                </w:tcPr>
                <w:p w14:paraId="1868AD36">
                  <w:pPr>
                    <w:pStyle w:val="61"/>
                    <w:adjustRightInd/>
                    <w:spacing w:before="0" w:after="0" w:line="320" w:lineRule="exact"/>
                    <w:jc w:val="center"/>
                    <w:textAlignment w:val="auto"/>
                    <w:rPr>
                      <w:rFonts w:eastAsia="宋体"/>
                      <w:color w:val="auto"/>
                      <w:sz w:val="21"/>
                      <w:szCs w:val="21"/>
                      <w:lang w:bidi="ar"/>
                    </w:rPr>
                  </w:pPr>
                  <w:r>
                    <w:rPr>
                      <w:rFonts w:hint="eastAsia" w:eastAsia="宋体"/>
                      <w:color w:val="auto"/>
                      <w:sz w:val="21"/>
                      <w:szCs w:val="21"/>
                      <w:lang w:val="en-US" w:eastAsia="zh-CN" w:bidi="ar"/>
                    </w:rPr>
                    <w:t>19.2</w:t>
                  </w:r>
                  <w:r>
                    <w:rPr>
                      <w:rFonts w:hint="eastAsia" w:eastAsia="宋体"/>
                      <w:color w:val="auto"/>
                      <w:sz w:val="21"/>
                      <w:szCs w:val="21"/>
                      <w:lang w:bidi="ar"/>
                    </w:rPr>
                    <w:t xml:space="preserve"> </w:t>
                  </w:r>
                  <w:r>
                    <w:rPr>
                      <w:rFonts w:eastAsia="宋体"/>
                      <w:color w:val="auto"/>
                      <w:sz w:val="21"/>
                      <w:szCs w:val="21"/>
                      <w:lang w:bidi="ar"/>
                    </w:rPr>
                    <w:t>t/a</w:t>
                  </w:r>
                </w:p>
              </w:tc>
              <w:tc>
                <w:tcPr>
                  <w:tcW w:w="912" w:type="pct"/>
                  <w:vMerge w:val="restart"/>
                  <w:shd w:val="clear" w:color="auto" w:fill="auto"/>
                  <w:vAlign w:val="center"/>
                </w:tcPr>
                <w:p w14:paraId="02C9BDDF">
                  <w:pPr>
                    <w:pStyle w:val="61"/>
                    <w:adjustRightInd/>
                    <w:spacing w:before="0" w:after="0" w:line="320" w:lineRule="exact"/>
                    <w:jc w:val="center"/>
                    <w:textAlignment w:val="auto"/>
                    <w:rPr>
                      <w:rFonts w:eastAsia="宋体"/>
                      <w:color w:val="auto"/>
                      <w:sz w:val="21"/>
                      <w:szCs w:val="21"/>
                      <w:lang w:bidi="ar"/>
                    </w:rPr>
                  </w:pPr>
                  <w:r>
                    <w:rPr>
                      <w:rFonts w:eastAsia="宋体"/>
                      <w:color w:val="auto"/>
                      <w:sz w:val="21"/>
                      <w:szCs w:val="21"/>
                      <w:lang w:bidi="ar"/>
                    </w:rPr>
                    <w:t>每500h更</w:t>
                  </w:r>
                </w:p>
                <w:p w14:paraId="1085D1E8">
                  <w:pPr>
                    <w:pStyle w:val="61"/>
                    <w:adjustRightInd/>
                    <w:spacing w:before="0" w:after="0" w:line="320" w:lineRule="exact"/>
                    <w:jc w:val="center"/>
                    <w:textAlignment w:val="auto"/>
                    <w:rPr>
                      <w:rFonts w:eastAsia="宋体"/>
                      <w:color w:val="auto"/>
                      <w:sz w:val="21"/>
                      <w:szCs w:val="21"/>
                      <w:lang w:bidi="ar"/>
                    </w:rPr>
                  </w:pPr>
                  <w:r>
                    <w:rPr>
                      <w:rFonts w:eastAsia="宋体"/>
                      <w:color w:val="auto"/>
                      <w:sz w:val="21"/>
                      <w:szCs w:val="21"/>
                      <w:lang w:bidi="ar"/>
                    </w:rPr>
                    <w:t>换一次</w:t>
                  </w:r>
                </w:p>
              </w:tc>
              <w:tc>
                <w:tcPr>
                  <w:tcW w:w="899" w:type="pct"/>
                  <w:shd w:val="clear" w:color="auto" w:fill="auto"/>
                  <w:vAlign w:val="center"/>
                </w:tcPr>
                <w:p w14:paraId="78D2661B">
                  <w:pPr>
                    <w:pStyle w:val="61"/>
                    <w:adjustRightInd/>
                    <w:spacing w:before="0" w:after="0" w:line="320" w:lineRule="exact"/>
                    <w:jc w:val="center"/>
                    <w:textAlignment w:val="auto"/>
                    <w:rPr>
                      <w:rFonts w:hint="default" w:eastAsia="宋体"/>
                      <w:color w:val="auto"/>
                      <w:kern w:val="2"/>
                      <w:sz w:val="21"/>
                      <w:szCs w:val="21"/>
                      <w:lang w:val="en-US" w:eastAsia="zh-CN"/>
                    </w:rPr>
                  </w:pPr>
                  <w:r>
                    <w:rPr>
                      <w:rFonts w:hint="eastAsia" w:eastAsia="宋体"/>
                      <w:color w:val="auto"/>
                      <w:kern w:val="2"/>
                      <w:sz w:val="21"/>
                      <w:szCs w:val="21"/>
                      <w:lang w:val="en-US" w:eastAsia="zh-CN"/>
                    </w:rPr>
                    <w:t>21.15</w:t>
                  </w:r>
                </w:p>
              </w:tc>
            </w:tr>
            <w:tr w14:paraId="2A3B1A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3" w:type="pct"/>
                  <w:shd w:val="clear" w:color="auto" w:fill="auto"/>
                  <w:vAlign w:val="center"/>
                </w:tcPr>
                <w:p w14:paraId="428CCD99">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TA002</w:t>
                  </w:r>
                </w:p>
              </w:tc>
              <w:tc>
                <w:tcPr>
                  <w:tcW w:w="1079" w:type="pct"/>
                  <w:shd w:val="clear" w:color="auto" w:fill="auto"/>
                  <w:vAlign w:val="center"/>
                </w:tcPr>
                <w:p w14:paraId="2EB84358">
                  <w:pPr>
                    <w:pStyle w:val="61"/>
                    <w:adjustRightInd/>
                    <w:spacing w:before="0" w:after="0" w:line="320" w:lineRule="exact"/>
                    <w:jc w:val="center"/>
                    <w:textAlignment w:val="auto"/>
                    <w:rPr>
                      <w:rFonts w:eastAsia="宋体"/>
                      <w:color w:val="auto"/>
                      <w:sz w:val="21"/>
                      <w:szCs w:val="21"/>
                      <w:lang w:bidi="ar"/>
                    </w:rPr>
                  </w:pPr>
                  <w:r>
                    <w:rPr>
                      <w:rFonts w:hint="default" w:ascii="Times New Roman" w:hAnsi="Times New Roman" w:eastAsia="宋体" w:cs="Times New Roman"/>
                      <w:b w:val="0"/>
                      <w:bCs w:val="0"/>
                      <w:color w:val="auto"/>
                      <w:sz w:val="21"/>
                      <w:szCs w:val="21"/>
                      <w:shd w:val="clear" w:color="auto" w:fill="FFFFFF"/>
                      <w:lang w:val="en-US" w:eastAsia="zh-CN"/>
                    </w:rPr>
                    <w:t>0.080</w:t>
                  </w:r>
                  <w:r>
                    <w:rPr>
                      <w:rFonts w:hint="eastAsia" w:eastAsia="宋体" w:cs="Times New Roman"/>
                      <w:b w:val="0"/>
                      <w:bCs w:val="0"/>
                      <w:color w:val="auto"/>
                      <w:sz w:val="21"/>
                      <w:szCs w:val="21"/>
                      <w:shd w:val="clear" w:color="auto" w:fill="FFFFFF"/>
                      <w:lang w:val="en-US" w:eastAsia="zh-CN"/>
                    </w:rPr>
                    <w:t>8</w:t>
                  </w:r>
                  <w:r>
                    <w:rPr>
                      <w:rFonts w:hint="default" w:ascii="Times New Roman" w:hAnsi="Times New Roman" w:eastAsia="宋体" w:cs="Times New Roman"/>
                      <w:b w:val="0"/>
                      <w:bCs w:val="0"/>
                      <w:color w:val="auto"/>
                      <w:sz w:val="21"/>
                      <w:szCs w:val="21"/>
                      <w:shd w:val="clear" w:color="auto" w:fill="FFFFFF"/>
                      <w:lang w:val="en-US" w:eastAsia="zh-CN"/>
                    </w:rPr>
                    <w:t>t/a</w:t>
                  </w:r>
                </w:p>
              </w:tc>
              <w:tc>
                <w:tcPr>
                  <w:tcW w:w="712" w:type="pct"/>
                  <w:shd w:val="clear" w:color="auto" w:fill="auto"/>
                  <w:vAlign w:val="center"/>
                </w:tcPr>
                <w:p w14:paraId="6DFC5BDC">
                  <w:pPr>
                    <w:pStyle w:val="61"/>
                    <w:adjustRightInd/>
                    <w:spacing w:before="0" w:after="0" w:line="320" w:lineRule="exact"/>
                    <w:jc w:val="center"/>
                    <w:textAlignment w:val="auto"/>
                    <w:rPr>
                      <w:rFonts w:eastAsia="宋体"/>
                      <w:color w:val="auto"/>
                      <w:sz w:val="21"/>
                      <w:szCs w:val="21"/>
                      <w:lang w:bidi="ar"/>
                    </w:rPr>
                  </w:pPr>
                  <w:r>
                    <w:rPr>
                      <w:rFonts w:hint="eastAsia" w:eastAsia="宋体"/>
                      <w:color w:val="auto"/>
                      <w:kern w:val="2"/>
                      <w:sz w:val="21"/>
                      <w:szCs w:val="21"/>
                    </w:rPr>
                    <w:t>1</w:t>
                  </w:r>
                  <w:r>
                    <w:rPr>
                      <w:rFonts w:hint="eastAsia" w:eastAsia="宋体"/>
                      <w:color w:val="auto"/>
                      <w:kern w:val="2"/>
                      <w:sz w:val="21"/>
                      <w:szCs w:val="21"/>
                      <w:lang w:val="en-US" w:eastAsia="zh-CN"/>
                    </w:rPr>
                    <w:t>.0</w:t>
                  </w:r>
                  <w:r>
                    <w:rPr>
                      <w:rFonts w:eastAsia="宋体"/>
                      <w:color w:val="auto"/>
                      <w:sz w:val="21"/>
                      <w:szCs w:val="21"/>
                      <w:lang w:bidi="ar"/>
                    </w:rPr>
                    <w:t xml:space="preserve"> t/次</w:t>
                  </w:r>
                </w:p>
              </w:tc>
              <w:tc>
                <w:tcPr>
                  <w:tcW w:w="673" w:type="pct"/>
                  <w:shd w:val="clear" w:color="auto" w:fill="auto"/>
                  <w:vAlign w:val="center"/>
                </w:tcPr>
                <w:p w14:paraId="055CFF69">
                  <w:pPr>
                    <w:pStyle w:val="61"/>
                    <w:adjustRightInd/>
                    <w:spacing w:before="0" w:after="0" w:line="320" w:lineRule="exact"/>
                    <w:jc w:val="center"/>
                    <w:textAlignment w:val="auto"/>
                    <w:rPr>
                      <w:rFonts w:eastAsia="宋体"/>
                      <w:color w:val="auto"/>
                      <w:sz w:val="21"/>
                      <w:szCs w:val="21"/>
                      <w:lang w:bidi="ar"/>
                    </w:rPr>
                  </w:pPr>
                  <w:r>
                    <w:rPr>
                      <w:rFonts w:hint="eastAsia" w:eastAsia="宋体"/>
                      <w:color w:val="auto"/>
                      <w:kern w:val="2"/>
                      <w:sz w:val="21"/>
                      <w:szCs w:val="21"/>
                      <w:lang w:val="en-US" w:eastAsia="zh-CN"/>
                    </w:rPr>
                    <w:t>9.6</w:t>
                  </w:r>
                  <w:r>
                    <w:rPr>
                      <w:rFonts w:eastAsia="宋体"/>
                      <w:color w:val="auto"/>
                      <w:sz w:val="21"/>
                      <w:szCs w:val="21"/>
                      <w:lang w:bidi="ar"/>
                    </w:rPr>
                    <w:t>t/a</w:t>
                  </w:r>
                </w:p>
              </w:tc>
              <w:tc>
                <w:tcPr>
                  <w:tcW w:w="912" w:type="pct"/>
                  <w:vMerge w:val="continue"/>
                  <w:shd w:val="clear" w:color="auto" w:fill="auto"/>
                  <w:vAlign w:val="center"/>
                </w:tcPr>
                <w:p w14:paraId="5BBF159E">
                  <w:pPr>
                    <w:pStyle w:val="61"/>
                    <w:adjustRightInd/>
                    <w:spacing w:before="0" w:after="0" w:line="320" w:lineRule="exact"/>
                    <w:jc w:val="center"/>
                    <w:textAlignment w:val="auto"/>
                    <w:rPr>
                      <w:rFonts w:eastAsia="宋体"/>
                      <w:color w:val="auto"/>
                      <w:sz w:val="21"/>
                      <w:szCs w:val="21"/>
                      <w:lang w:bidi="ar"/>
                    </w:rPr>
                  </w:pPr>
                </w:p>
              </w:tc>
              <w:tc>
                <w:tcPr>
                  <w:tcW w:w="899" w:type="pct"/>
                  <w:shd w:val="clear" w:color="auto" w:fill="auto"/>
                  <w:vAlign w:val="center"/>
                </w:tcPr>
                <w:p w14:paraId="4CAD2A43">
                  <w:pPr>
                    <w:pStyle w:val="61"/>
                    <w:adjustRightInd/>
                    <w:spacing w:before="0" w:after="0" w:line="320" w:lineRule="exact"/>
                    <w:jc w:val="center"/>
                    <w:textAlignment w:val="auto"/>
                    <w:rPr>
                      <w:rFonts w:hint="default" w:eastAsia="宋体"/>
                      <w:color w:val="auto"/>
                      <w:kern w:val="2"/>
                      <w:sz w:val="21"/>
                      <w:szCs w:val="21"/>
                      <w:lang w:val="en-US" w:eastAsia="zh-CN"/>
                    </w:rPr>
                  </w:pPr>
                  <w:r>
                    <w:rPr>
                      <w:rFonts w:hint="eastAsia" w:eastAsia="宋体"/>
                      <w:color w:val="auto"/>
                      <w:kern w:val="2"/>
                      <w:sz w:val="21"/>
                      <w:szCs w:val="21"/>
                      <w:lang w:val="en-US" w:eastAsia="zh-CN"/>
                    </w:rPr>
                    <w:t>9.68</w:t>
                  </w:r>
                </w:p>
              </w:tc>
            </w:tr>
            <w:tr w14:paraId="27C7B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3" w:type="pct"/>
                  <w:shd w:val="clear" w:color="auto" w:fill="auto"/>
                  <w:vAlign w:val="center"/>
                </w:tcPr>
                <w:p w14:paraId="386E58D1">
                  <w:pPr>
                    <w:pStyle w:val="61"/>
                    <w:adjustRightInd/>
                    <w:spacing w:before="0" w:after="0" w:line="320" w:lineRule="exact"/>
                    <w:jc w:val="center"/>
                    <w:textAlignment w:val="auto"/>
                    <w:rPr>
                      <w:rFonts w:eastAsia="宋体"/>
                      <w:color w:val="auto"/>
                      <w:kern w:val="2"/>
                      <w:sz w:val="21"/>
                      <w:szCs w:val="21"/>
                    </w:rPr>
                  </w:pPr>
                  <w:r>
                    <w:rPr>
                      <w:rFonts w:hint="eastAsia" w:eastAsia="宋体"/>
                      <w:color w:val="auto"/>
                      <w:kern w:val="2"/>
                      <w:sz w:val="21"/>
                      <w:szCs w:val="21"/>
                    </w:rPr>
                    <w:t>TA003</w:t>
                  </w:r>
                </w:p>
              </w:tc>
              <w:tc>
                <w:tcPr>
                  <w:tcW w:w="1079" w:type="pct"/>
                  <w:shd w:val="clear" w:color="auto" w:fill="auto"/>
                  <w:vAlign w:val="center"/>
                </w:tcPr>
                <w:p w14:paraId="7C522243">
                  <w:pPr>
                    <w:pStyle w:val="61"/>
                    <w:adjustRightInd/>
                    <w:spacing w:before="0" w:after="0" w:line="320" w:lineRule="exact"/>
                    <w:jc w:val="center"/>
                    <w:textAlignment w:val="auto"/>
                    <w:rPr>
                      <w:rFonts w:eastAsia="宋体"/>
                      <w:color w:val="auto"/>
                      <w:sz w:val="21"/>
                      <w:szCs w:val="21"/>
                      <w:lang w:bidi="ar"/>
                    </w:rPr>
                  </w:pPr>
                  <w:r>
                    <w:rPr>
                      <w:rFonts w:hint="default" w:ascii="Times New Roman" w:hAnsi="Times New Roman" w:eastAsia="宋体" w:cs="Times New Roman"/>
                      <w:b w:val="0"/>
                      <w:bCs w:val="0"/>
                      <w:color w:val="auto"/>
                      <w:sz w:val="21"/>
                      <w:szCs w:val="21"/>
                      <w:shd w:val="clear" w:color="auto" w:fill="FFFFFF"/>
                      <w:lang w:val="en-US" w:eastAsia="zh-CN"/>
                    </w:rPr>
                    <w:t>0.2208t/a</w:t>
                  </w:r>
                </w:p>
              </w:tc>
              <w:tc>
                <w:tcPr>
                  <w:tcW w:w="712" w:type="pct"/>
                  <w:shd w:val="clear" w:color="auto" w:fill="auto"/>
                  <w:vAlign w:val="center"/>
                </w:tcPr>
                <w:p w14:paraId="75F96A75">
                  <w:pPr>
                    <w:pStyle w:val="61"/>
                    <w:adjustRightInd/>
                    <w:spacing w:before="0" w:after="0" w:line="320" w:lineRule="exact"/>
                    <w:jc w:val="center"/>
                    <w:textAlignment w:val="auto"/>
                    <w:rPr>
                      <w:rFonts w:eastAsia="宋体"/>
                      <w:color w:val="auto"/>
                      <w:sz w:val="21"/>
                      <w:szCs w:val="21"/>
                      <w:lang w:bidi="ar"/>
                    </w:rPr>
                  </w:pPr>
                  <w:r>
                    <w:rPr>
                      <w:rFonts w:hint="eastAsia" w:eastAsia="宋体"/>
                      <w:color w:val="auto"/>
                      <w:kern w:val="2"/>
                      <w:sz w:val="21"/>
                      <w:szCs w:val="21"/>
                      <w:lang w:val="en-US" w:eastAsia="zh-CN"/>
                    </w:rPr>
                    <w:t>2.5</w:t>
                  </w:r>
                  <w:r>
                    <w:rPr>
                      <w:rFonts w:eastAsia="宋体"/>
                      <w:color w:val="auto"/>
                      <w:sz w:val="21"/>
                      <w:szCs w:val="21"/>
                      <w:lang w:bidi="ar"/>
                    </w:rPr>
                    <w:t>t/次</w:t>
                  </w:r>
                </w:p>
              </w:tc>
              <w:tc>
                <w:tcPr>
                  <w:tcW w:w="673" w:type="pct"/>
                  <w:shd w:val="clear" w:color="auto" w:fill="auto"/>
                  <w:vAlign w:val="center"/>
                </w:tcPr>
                <w:p w14:paraId="7C761019">
                  <w:pPr>
                    <w:pStyle w:val="61"/>
                    <w:adjustRightInd/>
                    <w:spacing w:before="0" w:after="0" w:line="320" w:lineRule="exact"/>
                    <w:jc w:val="center"/>
                    <w:textAlignment w:val="auto"/>
                    <w:rPr>
                      <w:rFonts w:eastAsia="宋体"/>
                      <w:color w:val="auto"/>
                      <w:sz w:val="21"/>
                      <w:szCs w:val="21"/>
                      <w:lang w:bidi="ar"/>
                    </w:rPr>
                  </w:pPr>
                  <w:r>
                    <w:rPr>
                      <w:rFonts w:hint="eastAsia" w:eastAsia="宋体"/>
                      <w:color w:val="auto"/>
                      <w:kern w:val="2"/>
                      <w:sz w:val="21"/>
                      <w:szCs w:val="21"/>
                      <w:lang w:val="en-US" w:eastAsia="zh-CN"/>
                    </w:rPr>
                    <w:t>21.12</w:t>
                  </w:r>
                  <w:r>
                    <w:rPr>
                      <w:rFonts w:eastAsia="宋体"/>
                      <w:color w:val="auto"/>
                      <w:sz w:val="21"/>
                      <w:szCs w:val="21"/>
                      <w:lang w:bidi="ar"/>
                    </w:rPr>
                    <w:t xml:space="preserve"> t/a</w:t>
                  </w:r>
                </w:p>
              </w:tc>
              <w:tc>
                <w:tcPr>
                  <w:tcW w:w="912" w:type="pct"/>
                  <w:vMerge w:val="continue"/>
                  <w:shd w:val="clear" w:color="auto" w:fill="auto"/>
                  <w:vAlign w:val="center"/>
                </w:tcPr>
                <w:p w14:paraId="58548A30">
                  <w:pPr>
                    <w:pStyle w:val="61"/>
                    <w:adjustRightInd/>
                    <w:spacing w:before="0" w:after="0" w:line="320" w:lineRule="exact"/>
                    <w:jc w:val="center"/>
                    <w:textAlignment w:val="auto"/>
                    <w:rPr>
                      <w:rFonts w:eastAsia="宋体"/>
                      <w:color w:val="auto"/>
                      <w:sz w:val="21"/>
                      <w:szCs w:val="21"/>
                      <w:lang w:bidi="ar"/>
                    </w:rPr>
                  </w:pPr>
                </w:p>
              </w:tc>
              <w:tc>
                <w:tcPr>
                  <w:tcW w:w="899" w:type="pct"/>
                  <w:shd w:val="clear" w:color="auto" w:fill="auto"/>
                  <w:vAlign w:val="center"/>
                </w:tcPr>
                <w:p w14:paraId="3E463E10">
                  <w:pPr>
                    <w:pStyle w:val="61"/>
                    <w:adjustRightInd/>
                    <w:spacing w:before="0" w:after="0" w:line="320" w:lineRule="exact"/>
                    <w:jc w:val="center"/>
                    <w:textAlignment w:val="auto"/>
                    <w:rPr>
                      <w:rFonts w:hint="default" w:eastAsia="宋体"/>
                      <w:color w:val="auto"/>
                      <w:kern w:val="2"/>
                      <w:sz w:val="21"/>
                      <w:szCs w:val="21"/>
                      <w:lang w:val="en-US" w:eastAsia="zh-CN"/>
                    </w:rPr>
                  </w:pPr>
                  <w:r>
                    <w:rPr>
                      <w:rFonts w:hint="eastAsia" w:eastAsia="宋体"/>
                      <w:color w:val="auto"/>
                      <w:kern w:val="2"/>
                      <w:sz w:val="21"/>
                      <w:szCs w:val="21"/>
                      <w:lang w:val="en-US" w:eastAsia="zh-CN"/>
                    </w:rPr>
                    <w:t>21.34</w:t>
                  </w:r>
                </w:p>
              </w:tc>
            </w:tr>
            <w:tr w14:paraId="1EF08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00" w:type="pct"/>
                  <w:gridSpan w:val="5"/>
                  <w:shd w:val="clear" w:color="auto" w:fill="auto"/>
                  <w:vAlign w:val="center"/>
                </w:tcPr>
                <w:p w14:paraId="2D4ACAB1">
                  <w:pPr>
                    <w:pStyle w:val="61"/>
                    <w:adjustRightInd/>
                    <w:spacing w:before="0" w:after="0" w:line="320" w:lineRule="exact"/>
                    <w:jc w:val="center"/>
                    <w:textAlignment w:val="auto"/>
                    <w:rPr>
                      <w:rFonts w:hint="eastAsia" w:eastAsia="宋体"/>
                      <w:color w:val="auto"/>
                      <w:sz w:val="21"/>
                      <w:szCs w:val="21"/>
                      <w:lang w:val="en-US" w:eastAsia="zh-CN" w:bidi="ar"/>
                    </w:rPr>
                  </w:pPr>
                  <w:r>
                    <w:rPr>
                      <w:rFonts w:hint="eastAsia" w:eastAsia="宋体"/>
                      <w:color w:val="auto"/>
                      <w:sz w:val="21"/>
                      <w:szCs w:val="21"/>
                      <w:lang w:val="en-US" w:eastAsia="zh-CN" w:bidi="ar"/>
                    </w:rPr>
                    <w:t>合计</w:t>
                  </w:r>
                </w:p>
              </w:tc>
              <w:tc>
                <w:tcPr>
                  <w:tcW w:w="899" w:type="pct"/>
                  <w:shd w:val="clear" w:color="auto" w:fill="auto"/>
                  <w:vAlign w:val="center"/>
                </w:tcPr>
                <w:p w14:paraId="3E646A4F">
                  <w:pPr>
                    <w:pStyle w:val="61"/>
                    <w:adjustRightInd/>
                    <w:spacing w:before="0" w:after="0" w:line="320" w:lineRule="exact"/>
                    <w:jc w:val="center"/>
                    <w:textAlignment w:val="auto"/>
                    <w:rPr>
                      <w:rFonts w:hint="default" w:eastAsia="宋体"/>
                      <w:color w:val="auto"/>
                      <w:kern w:val="2"/>
                      <w:sz w:val="21"/>
                      <w:szCs w:val="21"/>
                      <w:lang w:val="en-US" w:eastAsia="zh-CN"/>
                    </w:rPr>
                  </w:pPr>
                  <w:r>
                    <w:rPr>
                      <w:rFonts w:hint="eastAsia" w:eastAsia="宋体"/>
                      <w:color w:val="auto"/>
                      <w:kern w:val="2"/>
                      <w:sz w:val="21"/>
                      <w:szCs w:val="21"/>
                      <w:lang w:val="en-US" w:eastAsia="zh-CN"/>
                    </w:rPr>
                    <w:t>52.17t</w:t>
                  </w:r>
                </w:p>
              </w:tc>
            </w:tr>
          </w:tbl>
          <w:p w14:paraId="17E69DEA">
            <w:pPr>
              <w:wordWrap w:val="0"/>
              <w:spacing w:line="360" w:lineRule="auto"/>
              <w:ind w:firstLine="480" w:firstLineChars="200"/>
              <w:rPr>
                <w:rFonts w:hint="eastAsia"/>
                <w:color w:val="auto"/>
                <w:sz w:val="24"/>
                <w:highlight w:val="yellow"/>
              </w:rPr>
            </w:pPr>
            <w:r>
              <w:rPr>
                <w:rFonts w:hint="eastAsia" w:ascii="宋体" w:hAnsi="宋体" w:eastAsia="宋体" w:cs="宋体"/>
                <w:color w:val="auto"/>
                <w:sz w:val="24"/>
                <w:szCs w:val="24"/>
              </w:rPr>
              <w:t>本项目更换产生的</w:t>
            </w:r>
            <w:r>
              <w:rPr>
                <w:rFonts w:ascii="宋体" w:hAnsi="宋体" w:eastAsia="宋体" w:cs="宋体"/>
                <w:color w:val="auto"/>
                <w:spacing w:val="-4"/>
                <w:sz w:val="24"/>
                <w:szCs w:val="24"/>
              </w:rPr>
              <w:t>废活性炭量约为</w:t>
            </w:r>
            <w:r>
              <w:rPr>
                <w:rFonts w:hint="eastAsia"/>
                <w:color w:val="auto"/>
                <w:spacing w:val="-4"/>
                <w:sz w:val="24"/>
                <w:szCs w:val="24"/>
                <w:lang w:val="en-US" w:eastAsia="zh-CN"/>
              </w:rPr>
              <w:t>51.8</w:t>
            </w:r>
            <w:r>
              <w:rPr>
                <w:rFonts w:hint="eastAsia" w:eastAsia="宋体"/>
                <w:color w:val="auto"/>
                <w:spacing w:val="-4"/>
                <w:sz w:val="24"/>
                <w:szCs w:val="24"/>
              </w:rPr>
              <w:t>t</w:t>
            </w:r>
            <w:r>
              <w:rPr>
                <w:rFonts w:eastAsia="Times New Roman"/>
                <w:color w:val="auto"/>
                <w:spacing w:val="-4"/>
                <w:sz w:val="24"/>
                <w:szCs w:val="24"/>
              </w:rPr>
              <w:t>/a</w:t>
            </w:r>
            <w:r>
              <w:rPr>
                <w:rFonts w:ascii="宋体" w:hAnsi="宋体" w:eastAsia="宋体" w:cs="宋体"/>
                <w:color w:val="auto"/>
                <w:spacing w:val="-4"/>
                <w:sz w:val="24"/>
                <w:szCs w:val="24"/>
              </w:rPr>
              <w:t>，更</w:t>
            </w:r>
            <w:r>
              <w:rPr>
                <w:rFonts w:ascii="宋体" w:hAnsi="宋体" w:eastAsia="宋体" w:cs="宋体"/>
                <w:color w:val="auto"/>
                <w:spacing w:val="-2"/>
                <w:sz w:val="24"/>
                <w:szCs w:val="24"/>
              </w:rPr>
              <w:t>换下的废活性炭委托有危废处置资质单位处置。活性炭的更换</w:t>
            </w:r>
            <w:r>
              <w:rPr>
                <w:rFonts w:ascii="宋体" w:hAnsi="宋体" w:eastAsia="宋体" w:cs="宋体"/>
                <w:color w:val="auto"/>
                <w:spacing w:val="-1"/>
                <w:sz w:val="24"/>
                <w:szCs w:val="24"/>
              </w:rPr>
              <w:t>、暂存以及转运都</w:t>
            </w:r>
            <w:r>
              <w:rPr>
                <w:rFonts w:ascii="宋体" w:hAnsi="宋体" w:eastAsia="宋体" w:cs="宋体"/>
                <w:color w:val="auto"/>
                <w:spacing w:val="-3"/>
                <w:sz w:val="24"/>
                <w:szCs w:val="24"/>
              </w:rPr>
              <w:t>应专人管理，并建立管理台账</w:t>
            </w:r>
            <w:r>
              <w:rPr>
                <w:rFonts w:ascii="宋体" w:hAnsi="宋体" w:eastAsia="宋体" w:cs="宋体"/>
                <w:color w:val="auto"/>
                <w:spacing w:val="-2"/>
                <w:sz w:val="24"/>
                <w:szCs w:val="24"/>
              </w:rPr>
              <w:t>。</w:t>
            </w:r>
          </w:p>
          <w:p w14:paraId="7A445F28">
            <w:pPr>
              <w:keepNext w:val="0"/>
              <w:keepLines w:val="0"/>
              <w:suppressLineNumbers w:val="0"/>
              <w:adjustRightInd w:val="0"/>
              <w:spacing w:before="0" w:beforeAutospacing="0" w:after="0" w:afterAutospacing="0" w:line="360" w:lineRule="auto"/>
              <w:ind w:left="0" w:right="0"/>
              <w:rPr>
                <w:rFonts w:hint="default" w:ascii="Times New Roman" w:hAnsi="Times New Roman" w:eastAsia="宋体" w:cs="Times New Roman"/>
                <w:b/>
                <w:color w:val="auto"/>
                <w:sz w:val="24"/>
                <w:szCs w:val="22"/>
                <w:lang w:val="en-US" w:eastAsia="zh-CN"/>
              </w:rPr>
            </w:pPr>
            <w:r>
              <w:rPr>
                <w:rFonts w:hint="default" w:ascii="Times New Roman" w:hAnsi="Times New Roman" w:eastAsia="宋体" w:cs="Times New Roman"/>
                <w:b/>
                <w:color w:val="auto"/>
                <w:sz w:val="24"/>
                <w:szCs w:val="22"/>
                <w:lang w:val="en-US" w:eastAsia="zh-CN"/>
              </w:rPr>
              <w:t>（3）废气治理措施可行性分析</w:t>
            </w:r>
          </w:p>
          <w:p w14:paraId="619FC4CA">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b/>
                <w:color w:val="auto"/>
                <w:sz w:val="24"/>
                <w:szCs w:val="22"/>
                <w:lang w:val="en-US" w:eastAsia="zh-CN"/>
              </w:rPr>
            </w:pPr>
            <w:r>
              <w:rPr>
                <w:rFonts w:hint="default" w:ascii="Times New Roman" w:hAnsi="Times New Roman" w:eastAsia="宋体" w:cs="Times New Roman"/>
                <w:color w:val="auto"/>
                <w:sz w:val="24"/>
                <w:lang w:val="en-US" w:eastAsia="zh-CN"/>
              </w:rPr>
              <w:t>参照</w:t>
            </w:r>
            <w:r>
              <w:rPr>
                <w:rFonts w:hint="default" w:ascii="Times New Roman" w:hAnsi="Times New Roman" w:eastAsia="宋体" w:cs="Times New Roman"/>
                <w:color w:val="auto"/>
                <w:sz w:val="24"/>
              </w:rPr>
              <w:t>《印刷工业污染防治可行技术指南》（HJ1089—2020）</w:t>
            </w:r>
            <w:r>
              <w:rPr>
                <w:rFonts w:hint="default" w:ascii="Times New Roman" w:hAnsi="Times New Roman" w:eastAsia="宋体" w:cs="Times New Roman"/>
                <w:color w:val="auto"/>
                <w:sz w:val="24"/>
                <w:lang w:val="en-US" w:eastAsia="zh-CN"/>
              </w:rPr>
              <w:t>表1中典型的废气污染防治可行技术可知，项目有机废气处理工艺可行。</w:t>
            </w:r>
          </w:p>
          <w:p w14:paraId="2549E280">
            <w:pPr>
              <w:keepNext w:val="0"/>
              <w:keepLines w:val="0"/>
              <w:suppressLineNumbers w:val="0"/>
              <w:adjustRightInd w:val="0"/>
              <w:spacing w:before="0" w:beforeAutospacing="0" w:after="0" w:afterAutospacing="0" w:line="360" w:lineRule="auto"/>
              <w:ind w:left="0" w:right="0"/>
              <w:rPr>
                <w:rFonts w:hint="default" w:ascii="Times New Roman" w:hAnsi="Times New Roman" w:eastAsia="宋体" w:cs="Times New Roman"/>
                <w:b/>
                <w:color w:val="auto"/>
                <w:sz w:val="24"/>
                <w:szCs w:val="22"/>
                <w:lang w:val="en-US" w:eastAsia="zh-CN"/>
              </w:rPr>
            </w:pPr>
            <w:r>
              <w:rPr>
                <w:rFonts w:hint="default" w:ascii="Times New Roman" w:hAnsi="Times New Roman" w:eastAsia="宋体" w:cs="Times New Roman"/>
                <w:b/>
                <w:color w:val="auto"/>
                <w:sz w:val="24"/>
                <w:szCs w:val="22"/>
                <w:lang w:val="en-US" w:eastAsia="zh-CN"/>
              </w:rPr>
              <w:t>（4）达标分析</w:t>
            </w:r>
          </w:p>
          <w:p w14:paraId="4D277814">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①有组织排放达标分析</w:t>
            </w:r>
          </w:p>
          <w:p w14:paraId="33C9B09B">
            <w:pPr>
              <w:keepNext w:val="0"/>
              <w:keepLines w:val="0"/>
              <w:suppressLineNumbers w:val="0"/>
              <w:adjustRightInd w:val="0"/>
              <w:spacing w:before="0" w:beforeAutospacing="0" w:after="0" w:afterAutospacing="0" w:line="240" w:lineRule="auto"/>
              <w:ind w:left="0" w:right="0" w:firstLine="422" w:firstLineChars="20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12</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废气排放情况一览表</w:t>
            </w:r>
          </w:p>
          <w:tbl>
            <w:tblPr>
              <w:tblStyle w:val="26"/>
              <w:tblW w:w="80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6"/>
              <w:gridCol w:w="1152"/>
              <w:gridCol w:w="1005"/>
              <w:gridCol w:w="2437"/>
              <w:gridCol w:w="910"/>
              <w:gridCol w:w="1608"/>
            </w:tblGrid>
            <w:tr w14:paraId="1AF2B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926" w:type="dxa"/>
                  <w:tcBorders>
                    <w:tl2br w:val="nil"/>
                    <w:tr2bl w:val="nil"/>
                  </w:tcBorders>
                  <w:noWrap w:val="0"/>
                  <w:vAlign w:val="center"/>
                </w:tcPr>
                <w:p w14:paraId="733761DC">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排气筒名称/编号</w:t>
                  </w:r>
                </w:p>
              </w:tc>
              <w:tc>
                <w:tcPr>
                  <w:tcW w:w="2157" w:type="dxa"/>
                  <w:gridSpan w:val="2"/>
                  <w:tcBorders>
                    <w:tl2br w:val="nil"/>
                    <w:tr2bl w:val="nil"/>
                  </w:tcBorders>
                  <w:noWrap w:val="0"/>
                  <w:vAlign w:val="center"/>
                </w:tcPr>
                <w:p w14:paraId="51071DFE">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w:t>
                  </w:r>
                </w:p>
              </w:tc>
              <w:tc>
                <w:tcPr>
                  <w:tcW w:w="2437" w:type="dxa"/>
                  <w:tcBorders>
                    <w:tl2br w:val="nil"/>
                    <w:tr2bl w:val="nil"/>
                  </w:tcBorders>
                  <w:noWrap w:val="0"/>
                  <w:vAlign w:val="center"/>
                </w:tcPr>
                <w:p w14:paraId="7E112613">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排放量</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910" w:type="dxa"/>
                  <w:tcBorders>
                    <w:tl2br w:val="nil"/>
                    <w:tr2bl w:val="nil"/>
                  </w:tcBorders>
                  <w:noWrap w:val="0"/>
                  <w:vAlign w:val="center"/>
                </w:tcPr>
                <w:p w14:paraId="481CC215">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排放速率</w:t>
                  </w:r>
                  <w:r>
                    <w:rPr>
                      <w:rFonts w:hint="default" w:ascii="Times New Roman" w:hAnsi="Times New Roman" w:eastAsia="宋体" w:cs="Times New Roman"/>
                      <w:color w:val="auto"/>
                      <w:sz w:val="21"/>
                      <w:szCs w:val="21"/>
                      <w:highlight w:val="none"/>
                    </w:rPr>
                    <w:t>kg/h</w:t>
                  </w:r>
                </w:p>
              </w:tc>
              <w:tc>
                <w:tcPr>
                  <w:tcW w:w="1608" w:type="dxa"/>
                  <w:tcBorders>
                    <w:tl2br w:val="nil"/>
                    <w:tr2bl w:val="nil"/>
                  </w:tcBorders>
                  <w:noWrap w:val="0"/>
                  <w:vAlign w:val="center"/>
                </w:tcPr>
                <w:p w14:paraId="334F1277">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排放浓度</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r>
            <w:tr w14:paraId="3E3E6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26" w:type="dxa"/>
                  <w:vMerge w:val="restart"/>
                  <w:tcBorders>
                    <w:tl2br w:val="nil"/>
                    <w:tr2bl w:val="nil"/>
                  </w:tcBorders>
                  <w:noWrap w:val="0"/>
                  <w:vAlign w:val="center"/>
                </w:tcPr>
                <w:p w14:paraId="72AFF5DA">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DA0</w:t>
                  </w:r>
                  <w:r>
                    <w:rPr>
                      <w:rFonts w:hint="default" w:ascii="Times New Roman" w:hAnsi="Times New Roman" w:eastAsia="宋体" w:cs="Times New Roman"/>
                      <w:b w:val="0"/>
                      <w:bCs w:val="0"/>
                      <w:color w:val="auto"/>
                      <w:sz w:val="21"/>
                      <w:szCs w:val="21"/>
                      <w:highlight w:val="none"/>
                      <w:lang w:val="en-US" w:eastAsia="zh-CN"/>
                    </w:rPr>
                    <w:t>01</w:t>
                  </w:r>
                </w:p>
              </w:tc>
              <w:tc>
                <w:tcPr>
                  <w:tcW w:w="1152" w:type="dxa"/>
                  <w:vMerge w:val="restart"/>
                  <w:tcBorders>
                    <w:tl2br w:val="nil"/>
                    <w:tr2bl w:val="nil"/>
                  </w:tcBorders>
                  <w:noWrap w:val="0"/>
                  <w:vAlign w:val="center"/>
                </w:tcPr>
                <w:p w14:paraId="67339DD9">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VOC</w:t>
                  </w:r>
                  <w:r>
                    <w:rPr>
                      <w:rFonts w:hint="default" w:ascii="Times New Roman" w:hAnsi="Times New Roman" w:eastAsia="宋体" w:cs="Times New Roman"/>
                      <w:b w:val="0"/>
                      <w:bCs w:val="0"/>
                      <w:color w:val="auto"/>
                      <w:sz w:val="21"/>
                      <w:szCs w:val="21"/>
                      <w:highlight w:val="none"/>
                      <w:vertAlign w:val="subscript"/>
                      <w:lang w:val="en-US" w:eastAsia="zh-CN"/>
                    </w:rPr>
                    <w:t>S</w:t>
                  </w:r>
                  <w:r>
                    <w:rPr>
                      <w:rFonts w:hint="eastAsia" w:cs="Times New Roman"/>
                      <w:b w:val="0"/>
                      <w:bCs w:val="0"/>
                      <w:color w:val="auto"/>
                      <w:sz w:val="21"/>
                      <w:szCs w:val="21"/>
                      <w:highlight w:val="none"/>
                      <w:vertAlign w:val="baseline"/>
                      <w:lang w:val="en-US" w:eastAsia="zh-CN"/>
                    </w:rPr>
                    <w:t>(现有+本项目)</w:t>
                  </w:r>
                </w:p>
              </w:tc>
              <w:tc>
                <w:tcPr>
                  <w:tcW w:w="1005" w:type="dxa"/>
                  <w:tcBorders>
                    <w:tl2br w:val="nil"/>
                    <w:tr2bl w:val="nil"/>
                  </w:tcBorders>
                  <w:noWrap w:val="0"/>
                  <w:vAlign w:val="center"/>
                </w:tcPr>
                <w:p w14:paraId="3F5FE455">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有组织</w:t>
                  </w:r>
                </w:p>
              </w:tc>
              <w:tc>
                <w:tcPr>
                  <w:tcW w:w="2437" w:type="dxa"/>
                  <w:tcBorders>
                    <w:tl2br w:val="nil"/>
                    <w:tr2bl w:val="nil"/>
                  </w:tcBorders>
                  <w:noWrap w:val="0"/>
                  <w:vAlign w:val="center"/>
                </w:tcPr>
                <w:p w14:paraId="01625137">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2.4051</w:t>
                  </w:r>
                  <w:r>
                    <w:rPr>
                      <w:rFonts w:hint="default" w:ascii="Arial" w:hAnsi="Arial" w:eastAsia="宋体" w:cs="Arial"/>
                      <w:b w:val="0"/>
                      <w:bCs w:val="0"/>
                      <w:color w:val="auto"/>
                      <w:sz w:val="21"/>
                      <w:szCs w:val="21"/>
                      <w:highlight w:val="none"/>
                      <w:vertAlign w:val="baseline"/>
                      <w:lang w:val="en-US" w:eastAsia="zh-CN"/>
                    </w:rPr>
                    <w:t>×</w:t>
                  </w:r>
                  <w:r>
                    <w:rPr>
                      <w:rFonts w:hint="eastAsia" w:cs="Times New Roman"/>
                      <w:b w:val="0"/>
                      <w:bCs w:val="0"/>
                      <w:color w:val="auto"/>
                      <w:sz w:val="21"/>
                      <w:szCs w:val="21"/>
                      <w:highlight w:val="none"/>
                      <w:vertAlign w:val="baseline"/>
                      <w:lang w:val="en-US" w:eastAsia="zh-CN"/>
                    </w:rPr>
                    <w:t>0.</w:t>
                  </w:r>
                  <w:r>
                    <w:rPr>
                      <w:rFonts w:hint="eastAsia" w:ascii="Times New Roman" w:hAnsi="Times New Roman" w:eastAsia="宋体" w:cs="Times New Roman"/>
                      <w:b w:val="0"/>
                      <w:bCs w:val="0"/>
                      <w:color w:val="auto"/>
                      <w:sz w:val="21"/>
                      <w:szCs w:val="21"/>
                      <w:highlight w:val="none"/>
                      <w:vertAlign w:val="baseline"/>
                      <w:lang w:val="en-US" w:eastAsia="zh-CN"/>
                    </w:rPr>
                    <w:t>9</w:t>
                  </w:r>
                  <w:r>
                    <w:rPr>
                      <w:rFonts w:hint="default" w:ascii="Times New Roman" w:hAnsi="Times New Roman" w:eastAsia="宋体" w:cs="Times New Roman"/>
                      <w:b w:val="0"/>
                      <w:bCs w:val="0"/>
                      <w:color w:val="auto"/>
                      <w:sz w:val="21"/>
                      <w:szCs w:val="21"/>
                      <w:highlight w:val="none"/>
                      <w:vertAlign w:val="baseline"/>
                      <w:lang w:val="en-US" w:eastAsia="zh-CN"/>
                    </w:rPr>
                    <w:t>×</w:t>
                  </w:r>
                  <w:r>
                    <w:rPr>
                      <w:rFonts w:hint="eastAsia" w:cs="Times New Roman"/>
                      <w:b w:val="0"/>
                      <w:bCs w:val="0"/>
                      <w:color w:val="auto"/>
                      <w:sz w:val="21"/>
                      <w:szCs w:val="21"/>
                      <w:highlight w:val="none"/>
                      <w:vertAlign w:val="baseline"/>
                      <w:lang w:val="en-US" w:eastAsia="zh-CN"/>
                    </w:rPr>
                    <w:t>0.1</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eastAsia" w:cs="Times New Roman"/>
                      <w:b w:val="0"/>
                      <w:bCs w:val="0"/>
                      <w:color w:val="auto"/>
                      <w:sz w:val="21"/>
                      <w:szCs w:val="21"/>
                      <w:highlight w:val="none"/>
                      <w:vertAlign w:val="baseline"/>
                      <w:lang w:val="en-US" w:eastAsia="zh-CN"/>
                    </w:rPr>
                    <w:t>0.2165</w:t>
                  </w:r>
                </w:p>
              </w:tc>
              <w:tc>
                <w:tcPr>
                  <w:tcW w:w="910" w:type="dxa"/>
                  <w:tcBorders>
                    <w:tl2br w:val="nil"/>
                    <w:tr2bl w:val="nil"/>
                  </w:tcBorders>
                  <w:noWrap w:val="0"/>
                  <w:vAlign w:val="center"/>
                </w:tcPr>
                <w:p w14:paraId="0F585FF8">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0.0451</w:t>
                  </w:r>
                </w:p>
              </w:tc>
              <w:tc>
                <w:tcPr>
                  <w:tcW w:w="1608" w:type="dxa"/>
                  <w:tcBorders>
                    <w:tl2br w:val="nil"/>
                    <w:tr2bl w:val="nil"/>
                  </w:tcBorders>
                  <w:noWrap w:val="0"/>
                  <w:vAlign w:val="center"/>
                </w:tcPr>
                <w:p w14:paraId="39621D9C">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1.50</w:t>
                  </w:r>
                </w:p>
              </w:tc>
            </w:tr>
            <w:tr w14:paraId="67D8A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26" w:type="dxa"/>
                  <w:vMerge w:val="continue"/>
                  <w:tcBorders>
                    <w:tl2br w:val="nil"/>
                    <w:tr2bl w:val="nil"/>
                  </w:tcBorders>
                  <w:noWrap w:val="0"/>
                  <w:vAlign w:val="center"/>
                </w:tcPr>
                <w:p w14:paraId="569EA483">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rPr>
                  </w:pPr>
                </w:p>
              </w:tc>
              <w:tc>
                <w:tcPr>
                  <w:tcW w:w="1152" w:type="dxa"/>
                  <w:vMerge w:val="continue"/>
                  <w:tcBorders>
                    <w:tl2br w:val="nil"/>
                    <w:tr2bl w:val="nil"/>
                  </w:tcBorders>
                  <w:noWrap w:val="0"/>
                  <w:vAlign w:val="center"/>
                </w:tcPr>
                <w:p w14:paraId="72A5CD41">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1005" w:type="dxa"/>
                  <w:tcBorders>
                    <w:tl2br w:val="nil"/>
                    <w:tr2bl w:val="nil"/>
                  </w:tcBorders>
                  <w:noWrap w:val="0"/>
                  <w:vAlign w:val="center"/>
                </w:tcPr>
                <w:p w14:paraId="78158C35">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无组织</w:t>
                  </w:r>
                </w:p>
              </w:tc>
              <w:tc>
                <w:tcPr>
                  <w:tcW w:w="2437" w:type="dxa"/>
                  <w:tcBorders>
                    <w:tl2br w:val="nil"/>
                    <w:tr2bl w:val="nil"/>
                  </w:tcBorders>
                  <w:noWrap w:val="0"/>
                  <w:vAlign w:val="center"/>
                </w:tcPr>
                <w:p w14:paraId="74910D1D">
                  <w:pPr>
                    <w:pStyle w:val="93"/>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2.4051</w:t>
                  </w:r>
                  <w:r>
                    <w:rPr>
                      <w:rFonts w:hint="default" w:ascii="Arial" w:hAnsi="Arial" w:eastAsia="宋体" w:cs="Arial"/>
                      <w:b w:val="0"/>
                      <w:bCs w:val="0"/>
                      <w:color w:val="auto"/>
                      <w:sz w:val="21"/>
                      <w:szCs w:val="21"/>
                      <w:highlight w:val="none"/>
                      <w:vertAlign w:val="baseline"/>
                      <w:lang w:val="en-US" w:eastAsia="zh-CN"/>
                    </w:rPr>
                    <w:t>×</w:t>
                  </w:r>
                  <w:r>
                    <w:rPr>
                      <w:rFonts w:hint="eastAsia" w:cs="Times New Roman"/>
                      <w:b w:val="0"/>
                      <w:bCs w:val="0"/>
                      <w:color w:val="auto"/>
                      <w:sz w:val="21"/>
                      <w:szCs w:val="21"/>
                      <w:highlight w:val="none"/>
                      <w:vertAlign w:val="baseline"/>
                      <w:lang w:val="en-US" w:eastAsia="zh-CN"/>
                    </w:rPr>
                    <w:t>0.</w:t>
                  </w:r>
                  <w:r>
                    <w:rPr>
                      <w:rFonts w:hint="eastAsia" w:ascii="Times New Roman" w:hAnsi="Times New Roman" w:eastAsia="宋体" w:cs="Times New Roman"/>
                      <w:b w:val="0"/>
                      <w:bCs w:val="0"/>
                      <w:color w:val="auto"/>
                      <w:sz w:val="21"/>
                      <w:szCs w:val="21"/>
                      <w:highlight w:val="none"/>
                      <w:vertAlign w:val="baseline"/>
                      <w:lang w:val="en-US" w:eastAsia="zh-CN"/>
                    </w:rPr>
                    <w:t>1=0.2405</w:t>
                  </w:r>
                </w:p>
              </w:tc>
              <w:tc>
                <w:tcPr>
                  <w:tcW w:w="910" w:type="dxa"/>
                  <w:tcBorders>
                    <w:tl2br w:val="nil"/>
                    <w:tr2bl w:val="nil"/>
                  </w:tcBorders>
                  <w:noWrap w:val="0"/>
                  <w:vAlign w:val="center"/>
                </w:tcPr>
                <w:p w14:paraId="3B1E21CB">
                  <w:pPr>
                    <w:pStyle w:val="93"/>
                    <w:keepNext w:val="0"/>
                    <w:keepLines w:val="0"/>
                    <w:suppressLineNumbers w:val="0"/>
                    <w:spacing w:before="0" w:beforeAutospacing="0" w:after="0" w:afterAutospacing="0" w:line="240" w:lineRule="auto"/>
                    <w:ind w:left="0" w:leftChars="0" w:right="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0.0501</w:t>
                  </w:r>
                </w:p>
              </w:tc>
              <w:tc>
                <w:tcPr>
                  <w:tcW w:w="1608" w:type="dxa"/>
                  <w:tcBorders>
                    <w:tl2br w:val="nil"/>
                    <w:tr2bl w:val="nil"/>
                  </w:tcBorders>
                  <w:noWrap w:val="0"/>
                  <w:vAlign w:val="center"/>
                </w:tcPr>
                <w:p w14:paraId="6B705EC3">
                  <w:pPr>
                    <w:pStyle w:val="93"/>
                    <w:keepNext w:val="0"/>
                    <w:keepLines w:val="0"/>
                    <w:suppressLineNumbers w:val="0"/>
                    <w:spacing w:before="0" w:beforeAutospacing="0" w:after="0" w:afterAutospacing="0" w:line="240" w:lineRule="auto"/>
                    <w:ind w:left="0" w:leftChars="0" w:right="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r>
            <w:tr w14:paraId="1DD0A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26" w:type="dxa"/>
                  <w:vMerge w:val="restart"/>
                  <w:tcBorders>
                    <w:tl2br w:val="nil"/>
                    <w:tr2bl w:val="nil"/>
                  </w:tcBorders>
                  <w:noWrap w:val="0"/>
                  <w:vAlign w:val="center"/>
                </w:tcPr>
                <w:p w14:paraId="498333C4">
                  <w:pPr>
                    <w:pStyle w:val="93"/>
                    <w:keepNext w:val="0"/>
                    <w:keepLines w:val="0"/>
                    <w:suppressLineNumbers w:val="0"/>
                    <w:spacing w:before="0" w:beforeAutospacing="0" w:after="0" w:afterAutospacing="0" w:line="240" w:lineRule="auto"/>
                    <w:ind w:left="0" w:leftChars="0" w:right="0" w:firstLine="0" w:firstLineChars="0"/>
                    <w:jc w:val="center"/>
                    <w:rPr>
                      <w:rFonts w:hint="default"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DA0</w:t>
                  </w:r>
                  <w:r>
                    <w:rPr>
                      <w:rFonts w:hint="default" w:ascii="Times New Roman" w:hAnsi="Times New Roman" w:eastAsia="宋体" w:cs="Times New Roman"/>
                      <w:b w:val="0"/>
                      <w:bCs w:val="0"/>
                      <w:color w:val="auto"/>
                      <w:sz w:val="21"/>
                      <w:szCs w:val="21"/>
                      <w:highlight w:val="none"/>
                      <w:lang w:val="en-US" w:eastAsia="zh-CN"/>
                    </w:rPr>
                    <w:t>0</w:t>
                  </w:r>
                  <w:r>
                    <w:rPr>
                      <w:rFonts w:hint="eastAsia" w:ascii="Times New Roman" w:hAnsi="Times New Roman" w:eastAsia="宋体" w:cs="Times New Roman"/>
                      <w:b w:val="0"/>
                      <w:bCs w:val="0"/>
                      <w:color w:val="auto"/>
                      <w:sz w:val="21"/>
                      <w:szCs w:val="21"/>
                      <w:highlight w:val="none"/>
                      <w:lang w:val="en-US" w:eastAsia="zh-CN"/>
                    </w:rPr>
                    <w:t>2</w:t>
                  </w:r>
                </w:p>
              </w:tc>
              <w:tc>
                <w:tcPr>
                  <w:tcW w:w="1152" w:type="dxa"/>
                  <w:vMerge w:val="restart"/>
                  <w:tcBorders>
                    <w:tl2br w:val="nil"/>
                    <w:tr2bl w:val="nil"/>
                  </w:tcBorders>
                  <w:noWrap w:val="0"/>
                  <w:vAlign w:val="center"/>
                </w:tcPr>
                <w:p w14:paraId="7F882E9C">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VOC</w:t>
                  </w:r>
                  <w:r>
                    <w:rPr>
                      <w:rFonts w:hint="default" w:ascii="Times New Roman" w:hAnsi="Times New Roman" w:eastAsia="宋体" w:cs="Times New Roman"/>
                      <w:b w:val="0"/>
                      <w:bCs w:val="0"/>
                      <w:color w:val="auto"/>
                      <w:sz w:val="21"/>
                      <w:szCs w:val="21"/>
                      <w:highlight w:val="none"/>
                      <w:vertAlign w:val="subscript"/>
                      <w:lang w:val="en-US" w:eastAsia="zh-CN"/>
                    </w:rPr>
                    <w:t>S</w:t>
                  </w:r>
                </w:p>
              </w:tc>
              <w:tc>
                <w:tcPr>
                  <w:tcW w:w="1005" w:type="dxa"/>
                  <w:tcBorders>
                    <w:tl2br w:val="nil"/>
                    <w:tr2bl w:val="nil"/>
                  </w:tcBorders>
                  <w:noWrap w:val="0"/>
                  <w:vAlign w:val="center"/>
                </w:tcPr>
                <w:p w14:paraId="68584D69">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有组织</w:t>
                  </w:r>
                </w:p>
              </w:tc>
              <w:tc>
                <w:tcPr>
                  <w:tcW w:w="2437" w:type="dxa"/>
                  <w:tcBorders>
                    <w:tl2br w:val="nil"/>
                    <w:tr2bl w:val="nil"/>
                  </w:tcBorders>
                  <w:noWrap w:val="0"/>
                  <w:vAlign w:val="center"/>
                </w:tcPr>
                <w:p w14:paraId="2E4320B0">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0.0997</w:t>
                  </w:r>
                  <w:r>
                    <w:rPr>
                      <w:rFonts w:hint="default" w:ascii="Arial" w:hAnsi="Arial" w:eastAsia="宋体" w:cs="Arial"/>
                      <w:b w:val="0"/>
                      <w:bCs w:val="0"/>
                      <w:color w:val="auto"/>
                      <w:sz w:val="21"/>
                      <w:szCs w:val="21"/>
                      <w:highlight w:val="none"/>
                      <w:vertAlign w:val="baseline"/>
                      <w:lang w:val="en-US" w:eastAsia="zh-CN"/>
                    </w:rPr>
                    <w:t>×</w:t>
                  </w:r>
                  <w:r>
                    <w:rPr>
                      <w:rFonts w:hint="eastAsia" w:cs="Times New Roman"/>
                      <w:b w:val="0"/>
                      <w:bCs w:val="0"/>
                      <w:color w:val="auto"/>
                      <w:sz w:val="21"/>
                      <w:szCs w:val="21"/>
                      <w:highlight w:val="none"/>
                      <w:vertAlign w:val="baseline"/>
                      <w:lang w:val="en-US" w:eastAsia="zh-CN"/>
                    </w:rPr>
                    <w:t>0.</w:t>
                  </w:r>
                  <w:r>
                    <w:rPr>
                      <w:rFonts w:hint="eastAsia" w:ascii="Times New Roman" w:hAnsi="Times New Roman" w:eastAsia="宋体" w:cs="Times New Roman"/>
                      <w:b w:val="0"/>
                      <w:bCs w:val="0"/>
                      <w:color w:val="auto"/>
                      <w:sz w:val="21"/>
                      <w:szCs w:val="21"/>
                      <w:highlight w:val="none"/>
                      <w:vertAlign w:val="baseline"/>
                      <w:lang w:val="en-US" w:eastAsia="zh-CN"/>
                    </w:rPr>
                    <w:t>9</w:t>
                  </w:r>
                  <w:r>
                    <w:rPr>
                      <w:rFonts w:hint="default" w:ascii="Times New Roman" w:hAnsi="Times New Roman" w:eastAsia="宋体" w:cs="Times New Roman"/>
                      <w:b w:val="0"/>
                      <w:bCs w:val="0"/>
                      <w:color w:val="auto"/>
                      <w:sz w:val="21"/>
                      <w:szCs w:val="21"/>
                      <w:highlight w:val="none"/>
                      <w:vertAlign w:val="baseline"/>
                      <w:lang w:val="en-US" w:eastAsia="zh-CN"/>
                    </w:rPr>
                    <w:t>×</w:t>
                  </w:r>
                  <w:r>
                    <w:rPr>
                      <w:rFonts w:hint="eastAsia" w:ascii="Times New Roman" w:hAnsi="Times New Roman" w:eastAsia="宋体" w:cs="Times New Roman"/>
                      <w:b w:val="0"/>
                      <w:bCs w:val="0"/>
                      <w:color w:val="auto"/>
                      <w:sz w:val="21"/>
                      <w:szCs w:val="21"/>
                      <w:highlight w:val="none"/>
                      <w:vertAlign w:val="baseline"/>
                      <w:lang w:val="en-US" w:eastAsia="zh-CN"/>
                    </w:rPr>
                    <w:t>0.25=</w:t>
                  </w:r>
                  <w:r>
                    <w:rPr>
                      <w:rFonts w:hint="eastAsia" w:cs="Times New Roman"/>
                      <w:b w:val="0"/>
                      <w:bCs w:val="0"/>
                      <w:color w:val="auto"/>
                      <w:sz w:val="21"/>
                      <w:szCs w:val="21"/>
                      <w:highlight w:val="none"/>
                      <w:vertAlign w:val="baseline"/>
                      <w:lang w:val="en-US" w:eastAsia="zh-CN"/>
                    </w:rPr>
                    <w:t>0.0090</w:t>
                  </w:r>
                </w:p>
              </w:tc>
              <w:tc>
                <w:tcPr>
                  <w:tcW w:w="910" w:type="dxa"/>
                  <w:tcBorders>
                    <w:tl2br w:val="nil"/>
                    <w:tr2bl w:val="nil"/>
                  </w:tcBorders>
                  <w:noWrap w:val="0"/>
                  <w:vAlign w:val="center"/>
                </w:tcPr>
                <w:p w14:paraId="21590626">
                  <w:pPr>
                    <w:pStyle w:val="93"/>
                    <w:keepNext w:val="0"/>
                    <w:keepLines w:val="0"/>
                    <w:suppressLineNumbers w:val="0"/>
                    <w:spacing w:before="0" w:beforeAutospacing="0" w:after="0" w:afterAutospacing="0" w:line="240" w:lineRule="auto"/>
                    <w:ind w:left="0" w:leftChars="0" w:right="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0.0019</w:t>
                  </w:r>
                </w:p>
              </w:tc>
              <w:tc>
                <w:tcPr>
                  <w:tcW w:w="1608" w:type="dxa"/>
                  <w:tcBorders>
                    <w:tl2br w:val="nil"/>
                    <w:tr2bl w:val="nil"/>
                  </w:tcBorders>
                  <w:noWrap w:val="0"/>
                  <w:vAlign w:val="center"/>
                </w:tcPr>
                <w:p w14:paraId="132DEC3A">
                  <w:pPr>
                    <w:pStyle w:val="93"/>
                    <w:keepNext w:val="0"/>
                    <w:keepLines w:val="0"/>
                    <w:suppressLineNumbers w:val="0"/>
                    <w:spacing w:before="0" w:beforeAutospacing="0" w:after="0" w:afterAutospacing="0" w:line="240" w:lineRule="auto"/>
                    <w:ind w:left="0" w:leftChars="0" w:right="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0.24</w:t>
                  </w:r>
                </w:p>
              </w:tc>
            </w:tr>
            <w:tr w14:paraId="59E5BA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26" w:type="dxa"/>
                  <w:vMerge w:val="continue"/>
                  <w:tcBorders>
                    <w:tl2br w:val="nil"/>
                    <w:tr2bl w:val="nil"/>
                  </w:tcBorders>
                  <w:noWrap w:val="0"/>
                  <w:vAlign w:val="center"/>
                </w:tcPr>
                <w:p w14:paraId="1CDD7876">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rPr>
                  </w:pPr>
                </w:p>
              </w:tc>
              <w:tc>
                <w:tcPr>
                  <w:tcW w:w="1152" w:type="dxa"/>
                  <w:vMerge w:val="continue"/>
                  <w:tcBorders>
                    <w:tl2br w:val="nil"/>
                    <w:tr2bl w:val="nil"/>
                  </w:tcBorders>
                  <w:noWrap w:val="0"/>
                  <w:vAlign w:val="center"/>
                </w:tcPr>
                <w:p w14:paraId="2C523F67">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1005" w:type="dxa"/>
                  <w:tcBorders>
                    <w:tl2br w:val="nil"/>
                    <w:tr2bl w:val="nil"/>
                  </w:tcBorders>
                  <w:noWrap w:val="0"/>
                  <w:vAlign w:val="center"/>
                </w:tcPr>
                <w:p w14:paraId="697E19C6">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无组织</w:t>
                  </w:r>
                </w:p>
              </w:tc>
              <w:tc>
                <w:tcPr>
                  <w:tcW w:w="2437" w:type="dxa"/>
                  <w:tcBorders>
                    <w:tl2br w:val="nil"/>
                    <w:tr2bl w:val="nil"/>
                  </w:tcBorders>
                  <w:noWrap w:val="0"/>
                  <w:vAlign w:val="center"/>
                </w:tcPr>
                <w:p w14:paraId="76B4D9F9">
                  <w:pPr>
                    <w:pStyle w:val="93"/>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0.0997</w:t>
                  </w:r>
                  <w:r>
                    <w:rPr>
                      <w:rFonts w:hint="default" w:ascii="Arial" w:hAnsi="Arial" w:eastAsia="宋体" w:cs="Arial"/>
                      <w:b w:val="0"/>
                      <w:bCs w:val="0"/>
                      <w:color w:val="auto"/>
                      <w:sz w:val="21"/>
                      <w:szCs w:val="21"/>
                      <w:highlight w:val="none"/>
                      <w:vertAlign w:val="baseline"/>
                      <w:lang w:val="en-US" w:eastAsia="zh-CN"/>
                    </w:rPr>
                    <w:t>×</w:t>
                  </w:r>
                  <w:r>
                    <w:rPr>
                      <w:rFonts w:hint="eastAsia" w:cs="Times New Roman"/>
                      <w:b w:val="0"/>
                      <w:bCs w:val="0"/>
                      <w:color w:val="auto"/>
                      <w:sz w:val="21"/>
                      <w:szCs w:val="21"/>
                      <w:highlight w:val="none"/>
                      <w:vertAlign w:val="baseline"/>
                      <w:lang w:val="en-US" w:eastAsia="zh-CN"/>
                    </w:rPr>
                    <w:t>0.</w:t>
                  </w:r>
                  <w:r>
                    <w:rPr>
                      <w:rFonts w:hint="eastAsia" w:ascii="Times New Roman" w:hAnsi="Times New Roman" w:eastAsia="宋体" w:cs="Times New Roman"/>
                      <w:b w:val="0"/>
                      <w:bCs w:val="0"/>
                      <w:color w:val="auto"/>
                      <w:sz w:val="21"/>
                      <w:szCs w:val="21"/>
                      <w:highlight w:val="none"/>
                      <w:vertAlign w:val="baseline"/>
                      <w:lang w:val="en-US" w:eastAsia="zh-CN"/>
                    </w:rPr>
                    <w:t>1=0.0100</w:t>
                  </w:r>
                </w:p>
              </w:tc>
              <w:tc>
                <w:tcPr>
                  <w:tcW w:w="910" w:type="dxa"/>
                  <w:tcBorders>
                    <w:tl2br w:val="nil"/>
                    <w:tr2bl w:val="nil"/>
                  </w:tcBorders>
                  <w:noWrap w:val="0"/>
                  <w:vAlign w:val="center"/>
                </w:tcPr>
                <w:p w14:paraId="6A7CAC0D">
                  <w:pPr>
                    <w:pStyle w:val="93"/>
                    <w:keepNext w:val="0"/>
                    <w:keepLines w:val="0"/>
                    <w:suppressLineNumbers w:val="0"/>
                    <w:spacing w:before="0" w:beforeAutospacing="0" w:after="0" w:afterAutospacing="0" w:line="240" w:lineRule="auto"/>
                    <w:ind w:left="0" w:leftChars="0" w:right="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0.0021</w:t>
                  </w:r>
                </w:p>
              </w:tc>
              <w:tc>
                <w:tcPr>
                  <w:tcW w:w="1608" w:type="dxa"/>
                  <w:tcBorders>
                    <w:tl2br w:val="nil"/>
                    <w:tr2bl w:val="nil"/>
                  </w:tcBorders>
                  <w:noWrap w:val="0"/>
                  <w:vAlign w:val="center"/>
                </w:tcPr>
                <w:p w14:paraId="78253658">
                  <w:pPr>
                    <w:pStyle w:val="93"/>
                    <w:keepNext w:val="0"/>
                    <w:keepLines w:val="0"/>
                    <w:suppressLineNumbers w:val="0"/>
                    <w:spacing w:before="0" w:beforeAutospacing="0" w:after="0" w:afterAutospacing="0" w:line="240" w:lineRule="auto"/>
                    <w:ind w:left="0" w:leftChars="0" w:right="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r>
            <w:tr w14:paraId="23107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26" w:type="dxa"/>
                  <w:vMerge w:val="restart"/>
                  <w:tcBorders>
                    <w:tl2br w:val="nil"/>
                    <w:tr2bl w:val="nil"/>
                  </w:tcBorders>
                  <w:noWrap w:val="0"/>
                  <w:vAlign w:val="center"/>
                </w:tcPr>
                <w:p w14:paraId="04DEA8C3">
                  <w:pPr>
                    <w:pStyle w:val="93"/>
                    <w:keepNext w:val="0"/>
                    <w:keepLines w:val="0"/>
                    <w:suppressLineNumbers w:val="0"/>
                    <w:spacing w:before="0" w:beforeAutospacing="0" w:after="0" w:afterAutospacing="0" w:line="240" w:lineRule="auto"/>
                    <w:ind w:left="0" w:leftChars="0" w:right="0" w:firstLine="0" w:firstLineChars="0"/>
                    <w:jc w:val="center"/>
                    <w:rPr>
                      <w:rFonts w:hint="default"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DA0</w:t>
                  </w:r>
                  <w:r>
                    <w:rPr>
                      <w:rFonts w:hint="default" w:ascii="Times New Roman" w:hAnsi="Times New Roman" w:eastAsia="宋体" w:cs="Times New Roman"/>
                      <w:b w:val="0"/>
                      <w:bCs w:val="0"/>
                      <w:color w:val="auto"/>
                      <w:sz w:val="21"/>
                      <w:szCs w:val="21"/>
                      <w:highlight w:val="none"/>
                      <w:lang w:val="en-US" w:eastAsia="zh-CN"/>
                    </w:rPr>
                    <w:t>0</w:t>
                  </w:r>
                  <w:r>
                    <w:rPr>
                      <w:rFonts w:hint="eastAsia" w:ascii="Times New Roman" w:hAnsi="Times New Roman" w:eastAsia="宋体" w:cs="Times New Roman"/>
                      <w:b w:val="0"/>
                      <w:bCs w:val="0"/>
                      <w:color w:val="auto"/>
                      <w:sz w:val="21"/>
                      <w:szCs w:val="21"/>
                      <w:highlight w:val="none"/>
                      <w:lang w:val="en-US" w:eastAsia="zh-CN"/>
                    </w:rPr>
                    <w:t>3</w:t>
                  </w:r>
                </w:p>
              </w:tc>
              <w:tc>
                <w:tcPr>
                  <w:tcW w:w="1152" w:type="dxa"/>
                  <w:vMerge w:val="restart"/>
                  <w:tcBorders>
                    <w:tl2br w:val="nil"/>
                    <w:tr2bl w:val="nil"/>
                  </w:tcBorders>
                  <w:noWrap w:val="0"/>
                  <w:vAlign w:val="center"/>
                </w:tcPr>
                <w:p w14:paraId="4798EAED">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VOC</w:t>
                  </w:r>
                  <w:r>
                    <w:rPr>
                      <w:rFonts w:hint="default" w:ascii="Times New Roman" w:hAnsi="Times New Roman" w:eastAsia="宋体" w:cs="Times New Roman"/>
                      <w:b w:val="0"/>
                      <w:bCs w:val="0"/>
                      <w:color w:val="auto"/>
                      <w:sz w:val="21"/>
                      <w:szCs w:val="21"/>
                      <w:highlight w:val="none"/>
                      <w:vertAlign w:val="subscript"/>
                      <w:lang w:val="en-US" w:eastAsia="zh-CN"/>
                    </w:rPr>
                    <w:t>S</w:t>
                  </w:r>
                </w:p>
              </w:tc>
              <w:tc>
                <w:tcPr>
                  <w:tcW w:w="1005" w:type="dxa"/>
                  <w:tcBorders>
                    <w:tl2br w:val="nil"/>
                    <w:tr2bl w:val="nil"/>
                  </w:tcBorders>
                  <w:noWrap w:val="0"/>
                  <w:vAlign w:val="center"/>
                </w:tcPr>
                <w:p w14:paraId="29FA23AA">
                  <w:pPr>
                    <w:pStyle w:val="93"/>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有组织</w:t>
                  </w:r>
                </w:p>
              </w:tc>
              <w:tc>
                <w:tcPr>
                  <w:tcW w:w="2437" w:type="dxa"/>
                  <w:tcBorders>
                    <w:tl2br w:val="nil"/>
                    <w:tr2bl w:val="nil"/>
                  </w:tcBorders>
                  <w:noWrap w:val="0"/>
                  <w:vAlign w:val="center"/>
                </w:tcPr>
                <w:p w14:paraId="32790494">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0.2726</w:t>
                  </w:r>
                  <w:r>
                    <w:rPr>
                      <w:rFonts w:hint="default" w:ascii="Arial" w:hAnsi="Arial" w:eastAsia="宋体" w:cs="Arial"/>
                      <w:b w:val="0"/>
                      <w:bCs w:val="0"/>
                      <w:color w:val="auto"/>
                      <w:sz w:val="21"/>
                      <w:szCs w:val="21"/>
                      <w:highlight w:val="none"/>
                      <w:vertAlign w:val="baseline"/>
                      <w:lang w:val="en-US" w:eastAsia="zh-CN"/>
                    </w:rPr>
                    <w:t>×</w:t>
                  </w:r>
                  <w:r>
                    <w:rPr>
                      <w:rFonts w:hint="eastAsia" w:cs="Times New Roman"/>
                      <w:b w:val="0"/>
                      <w:bCs w:val="0"/>
                      <w:color w:val="auto"/>
                      <w:sz w:val="21"/>
                      <w:szCs w:val="21"/>
                      <w:highlight w:val="none"/>
                      <w:vertAlign w:val="baseline"/>
                      <w:lang w:val="en-US" w:eastAsia="zh-CN"/>
                    </w:rPr>
                    <w:t>0.</w:t>
                  </w:r>
                  <w:r>
                    <w:rPr>
                      <w:rFonts w:hint="eastAsia" w:ascii="Times New Roman" w:hAnsi="Times New Roman" w:eastAsia="宋体" w:cs="Times New Roman"/>
                      <w:b w:val="0"/>
                      <w:bCs w:val="0"/>
                      <w:color w:val="auto"/>
                      <w:sz w:val="21"/>
                      <w:szCs w:val="21"/>
                      <w:highlight w:val="none"/>
                      <w:vertAlign w:val="baseline"/>
                      <w:lang w:val="en-US" w:eastAsia="zh-CN"/>
                    </w:rPr>
                    <w:t>9</w:t>
                  </w:r>
                  <w:r>
                    <w:rPr>
                      <w:rFonts w:hint="default" w:ascii="Times New Roman" w:hAnsi="Times New Roman" w:eastAsia="宋体" w:cs="Times New Roman"/>
                      <w:b w:val="0"/>
                      <w:bCs w:val="0"/>
                      <w:color w:val="auto"/>
                      <w:sz w:val="21"/>
                      <w:szCs w:val="21"/>
                      <w:highlight w:val="none"/>
                      <w:vertAlign w:val="baseline"/>
                      <w:lang w:val="en-US" w:eastAsia="zh-CN"/>
                    </w:rPr>
                    <w:t>×</w:t>
                  </w:r>
                  <w:r>
                    <w:rPr>
                      <w:rFonts w:hint="eastAsia" w:ascii="Times New Roman" w:hAnsi="Times New Roman" w:eastAsia="宋体" w:cs="Times New Roman"/>
                      <w:b w:val="0"/>
                      <w:bCs w:val="0"/>
                      <w:color w:val="auto"/>
                      <w:sz w:val="21"/>
                      <w:szCs w:val="21"/>
                      <w:highlight w:val="none"/>
                      <w:vertAlign w:val="baseline"/>
                      <w:lang w:val="en-US" w:eastAsia="zh-CN"/>
                    </w:rPr>
                    <w:t>0.</w:t>
                  </w:r>
                  <w:r>
                    <w:rPr>
                      <w:rFonts w:hint="eastAsia" w:cs="Times New Roman"/>
                      <w:b w:val="0"/>
                      <w:bCs w:val="0"/>
                      <w:color w:val="auto"/>
                      <w:sz w:val="21"/>
                      <w:szCs w:val="21"/>
                      <w:highlight w:val="none"/>
                      <w:vertAlign w:val="baseline"/>
                      <w:lang w:val="en-US" w:eastAsia="zh-CN"/>
                    </w:rPr>
                    <w:t>1</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eastAsia" w:cs="Times New Roman"/>
                      <w:b w:val="0"/>
                      <w:bCs w:val="0"/>
                      <w:color w:val="auto"/>
                      <w:sz w:val="21"/>
                      <w:szCs w:val="21"/>
                      <w:highlight w:val="none"/>
                      <w:vertAlign w:val="baseline"/>
                      <w:lang w:val="en-US" w:eastAsia="zh-CN"/>
                    </w:rPr>
                    <w:t>0.0245</w:t>
                  </w:r>
                </w:p>
              </w:tc>
              <w:tc>
                <w:tcPr>
                  <w:tcW w:w="910" w:type="dxa"/>
                  <w:tcBorders>
                    <w:tl2br w:val="nil"/>
                    <w:tr2bl w:val="nil"/>
                  </w:tcBorders>
                  <w:noWrap w:val="0"/>
                  <w:vAlign w:val="center"/>
                </w:tcPr>
                <w:p w14:paraId="4497BFA1">
                  <w:pPr>
                    <w:pStyle w:val="93"/>
                    <w:keepNext w:val="0"/>
                    <w:keepLines w:val="0"/>
                    <w:suppressLineNumbers w:val="0"/>
                    <w:spacing w:before="0" w:beforeAutospacing="0" w:after="0" w:afterAutospacing="0" w:line="240" w:lineRule="auto"/>
                    <w:ind w:left="0" w:leftChars="0" w:right="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0.0051</w:t>
                  </w:r>
                </w:p>
              </w:tc>
              <w:tc>
                <w:tcPr>
                  <w:tcW w:w="1608" w:type="dxa"/>
                  <w:tcBorders>
                    <w:tl2br w:val="nil"/>
                    <w:tr2bl w:val="nil"/>
                  </w:tcBorders>
                  <w:noWrap w:val="0"/>
                  <w:vAlign w:val="center"/>
                </w:tcPr>
                <w:p w14:paraId="4BBA854F">
                  <w:pPr>
                    <w:pStyle w:val="93"/>
                    <w:keepNext w:val="0"/>
                    <w:keepLines w:val="0"/>
                    <w:suppressLineNumbers w:val="0"/>
                    <w:spacing w:before="0" w:beforeAutospacing="0" w:after="0" w:afterAutospacing="0" w:line="240" w:lineRule="auto"/>
                    <w:ind w:left="0" w:leftChars="0" w:right="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0.15</w:t>
                  </w:r>
                </w:p>
              </w:tc>
            </w:tr>
            <w:tr w14:paraId="13B93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26" w:type="dxa"/>
                  <w:vMerge w:val="continue"/>
                  <w:tcBorders>
                    <w:tl2br w:val="nil"/>
                    <w:tr2bl w:val="nil"/>
                  </w:tcBorders>
                  <w:noWrap w:val="0"/>
                  <w:vAlign w:val="center"/>
                </w:tcPr>
                <w:p w14:paraId="06D811E4">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rPr>
                  </w:pPr>
                </w:p>
              </w:tc>
              <w:tc>
                <w:tcPr>
                  <w:tcW w:w="1152" w:type="dxa"/>
                  <w:vMerge w:val="continue"/>
                  <w:tcBorders>
                    <w:tl2br w:val="nil"/>
                    <w:tr2bl w:val="nil"/>
                  </w:tcBorders>
                  <w:noWrap w:val="0"/>
                  <w:vAlign w:val="center"/>
                </w:tcPr>
                <w:p w14:paraId="64211CF7">
                  <w:pPr>
                    <w:pStyle w:val="93"/>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1005" w:type="dxa"/>
                  <w:tcBorders>
                    <w:tl2br w:val="nil"/>
                    <w:tr2bl w:val="nil"/>
                  </w:tcBorders>
                  <w:noWrap w:val="0"/>
                  <w:vAlign w:val="center"/>
                </w:tcPr>
                <w:p w14:paraId="00F9438A">
                  <w:pPr>
                    <w:pStyle w:val="93"/>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无组织</w:t>
                  </w:r>
                </w:p>
              </w:tc>
              <w:tc>
                <w:tcPr>
                  <w:tcW w:w="2437" w:type="dxa"/>
                  <w:tcBorders>
                    <w:tl2br w:val="nil"/>
                    <w:tr2bl w:val="nil"/>
                  </w:tcBorders>
                  <w:noWrap w:val="0"/>
                  <w:vAlign w:val="center"/>
                </w:tcPr>
                <w:p w14:paraId="29B5AF74">
                  <w:pPr>
                    <w:pStyle w:val="93"/>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0.2726</w:t>
                  </w:r>
                  <w:r>
                    <w:rPr>
                      <w:rFonts w:hint="default" w:ascii="Arial" w:hAnsi="Arial" w:eastAsia="宋体" w:cs="Arial"/>
                      <w:b w:val="0"/>
                      <w:bCs w:val="0"/>
                      <w:color w:val="auto"/>
                      <w:sz w:val="21"/>
                      <w:szCs w:val="21"/>
                      <w:highlight w:val="none"/>
                      <w:vertAlign w:val="baseline"/>
                      <w:lang w:val="en-US" w:eastAsia="zh-CN"/>
                    </w:rPr>
                    <w:t>×</w:t>
                  </w:r>
                  <w:r>
                    <w:rPr>
                      <w:rFonts w:hint="eastAsia" w:cs="Times New Roman"/>
                      <w:b w:val="0"/>
                      <w:bCs w:val="0"/>
                      <w:color w:val="auto"/>
                      <w:sz w:val="21"/>
                      <w:szCs w:val="21"/>
                      <w:highlight w:val="none"/>
                      <w:vertAlign w:val="baseline"/>
                      <w:lang w:val="en-US" w:eastAsia="zh-CN"/>
                    </w:rPr>
                    <w:t>0.1=</w:t>
                  </w:r>
                  <w:r>
                    <w:rPr>
                      <w:rFonts w:hint="default" w:ascii="Times New Roman" w:hAnsi="Times New Roman" w:eastAsia="宋体" w:cs="Times New Roman"/>
                      <w:b w:val="0"/>
                      <w:bCs w:val="0"/>
                      <w:color w:val="auto"/>
                      <w:sz w:val="21"/>
                      <w:szCs w:val="21"/>
                      <w:highlight w:val="none"/>
                      <w:vertAlign w:val="baseline"/>
                      <w:lang w:val="en-US" w:eastAsia="zh-CN"/>
                    </w:rPr>
                    <w:t>0.</w:t>
                  </w:r>
                  <w:r>
                    <w:rPr>
                      <w:rFonts w:hint="eastAsia" w:ascii="Times New Roman" w:hAnsi="Times New Roman" w:eastAsia="宋体" w:cs="Times New Roman"/>
                      <w:b w:val="0"/>
                      <w:bCs w:val="0"/>
                      <w:color w:val="auto"/>
                      <w:sz w:val="21"/>
                      <w:szCs w:val="21"/>
                      <w:highlight w:val="none"/>
                      <w:vertAlign w:val="baseline"/>
                      <w:lang w:val="en-US" w:eastAsia="zh-CN"/>
                    </w:rPr>
                    <w:t>0</w:t>
                  </w:r>
                  <w:r>
                    <w:rPr>
                      <w:rFonts w:hint="default" w:ascii="Times New Roman" w:hAnsi="Times New Roman" w:eastAsia="宋体" w:cs="Times New Roman"/>
                      <w:b w:val="0"/>
                      <w:bCs w:val="0"/>
                      <w:color w:val="auto"/>
                      <w:sz w:val="21"/>
                      <w:szCs w:val="21"/>
                      <w:highlight w:val="none"/>
                      <w:vertAlign w:val="baseline"/>
                      <w:lang w:val="en-US" w:eastAsia="zh-CN"/>
                    </w:rPr>
                    <w:t>27</w:t>
                  </w: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910" w:type="dxa"/>
                  <w:tcBorders>
                    <w:tl2br w:val="nil"/>
                    <w:tr2bl w:val="nil"/>
                  </w:tcBorders>
                  <w:noWrap w:val="0"/>
                  <w:vAlign w:val="center"/>
                </w:tcPr>
                <w:p w14:paraId="4A66740C">
                  <w:pPr>
                    <w:pStyle w:val="93"/>
                    <w:keepNext w:val="0"/>
                    <w:keepLines w:val="0"/>
                    <w:suppressLineNumbers w:val="0"/>
                    <w:spacing w:before="0" w:beforeAutospacing="0" w:after="0" w:afterAutospacing="0" w:line="240" w:lineRule="auto"/>
                    <w:ind w:left="0" w:leftChars="0" w:right="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0.0057</w:t>
                  </w:r>
                </w:p>
              </w:tc>
              <w:tc>
                <w:tcPr>
                  <w:tcW w:w="1608" w:type="dxa"/>
                  <w:tcBorders>
                    <w:tl2br w:val="nil"/>
                    <w:tr2bl w:val="nil"/>
                  </w:tcBorders>
                  <w:noWrap w:val="0"/>
                  <w:vAlign w:val="center"/>
                </w:tcPr>
                <w:p w14:paraId="75FE4207">
                  <w:pPr>
                    <w:pStyle w:val="93"/>
                    <w:keepNext w:val="0"/>
                    <w:keepLines w:val="0"/>
                    <w:suppressLineNumbers w:val="0"/>
                    <w:spacing w:before="0" w:beforeAutospacing="0" w:after="0" w:afterAutospacing="0" w:line="240" w:lineRule="auto"/>
                    <w:ind w:left="0" w:leftChars="0" w:right="0" w:firstLine="0" w:firstLineChars="0"/>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r>
          </w:tbl>
          <w:p w14:paraId="43FFFAAA">
            <w:pPr>
              <w:pStyle w:val="93"/>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根据上述计算结果</w:t>
            </w:r>
            <w:r>
              <w:rPr>
                <w:rFonts w:hint="eastAsia" w:cs="Times New Roman"/>
                <w:b w:val="0"/>
                <w:color w:val="auto"/>
                <w:kern w:val="2"/>
                <w:sz w:val="24"/>
                <w:szCs w:val="24"/>
                <w:lang w:val="en-US" w:eastAsia="zh-CN" w:bidi="ar-SA"/>
              </w:rPr>
              <w:t>，</w:t>
            </w:r>
            <w:r>
              <w:rPr>
                <w:rFonts w:hint="default" w:ascii="Times New Roman" w:hAnsi="Times New Roman" w:eastAsia="宋体" w:cs="Times New Roman"/>
                <w:b w:val="0"/>
                <w:color w:val="auto"/>
                <w:kern w:val="2"/>
                <w:sz w:val="24"/>
                <w:szCs w:val="24"/>
                <w:lang w:val="en-US" w:eastAsia="zh-CN" w:bidi="ar-SA"/>
              </w:rPr>
              <w:t>有机废气排放速率、排放浓度均可</w:t>
            </w:r>
            <w:r>
              <w:rPr>
                <w:rFonts w:hint="default" w:ascii="Times New Roman" w:hAnsi="Times New Roman" w:eastAsia="宋体" w:cs="Times New Roman"/>
                <w:b w:val="0"/>
                <w:color w:val="auto"/>
                <w:kern w:val="2"/>
                <w:sz w:val="24"/>
                <w:szCs w:val="24"/>
                <w:lang w:val="zh-CN" w:eastAsia="zh-CN" w:bidi="ar-SA"/>
              </w:rPr>
              <w:t>满足</w:t>
            </w:r>
            <w:r>
              <w:rPr>
                <w:rFonts w:hint="default" w:ascii="Times New Roman" w:hAnsi="Times New Roman" w:eastAsia="宋体" w:cs="Times New Roman"/>
                <w:b w:val="0"/>
                <w:color w:val="auto"/>
                <w:kern w:val="2"/>
                <w:sz w:val="24"/>
                <w:szCs w:val="24"/>
                <w:lang w:val="en-US" w:eastAsia="zh-CN" w:bidi="ar-SA"/>
              </w:rPr>
              <w:t>《四川省固定污染源大气挥发性有机物排放标准》（DB51/2377-2017）表3排放限值要求（最高允许排放浓度60m</w:t>
            </w:r>
            <w:r>
              <w:rPr>
                <w:rFonts w:hint="default" w:ascii="Times New Roman" w:hAnsi="Times New Roman" w:eastAsia="宋体" w:cs="Times New Roman"/>
                <w:b w:val="0"/>
                <w:color w:val="auto"/>
                <w:kern w:val="2"/>
                <w:sz w:val="24"/>
                <w:szCs w:val="24"/>
                <w:lang w:val="zh-CN" w:eastAsia="zh-CN" w:bidi="ar-SA"/>
              </w:rPr>
              <w:t>g/m</w:t>
            </w:r>
            <w:r>
              <w:rPr>
                <w:rFonts w:hint="default" w:ascii="Times New Roman" w:hAnsi="Times New Roman" w:eastAsia="宋体" w:cs="Times New Roman"/>
                <w:b w:val="0"/>
                <w:color w:val="auto"/>
                <w:kern w:val="2"/>
                <w:sz w:val="24"/>
                <w:szCs w:val="24"/>
                <w:vertAlign w:val="superscript"/>
                <w:lang w:val="zh-CN" w:eastAsia="zh-CN" w:bidi="ar-SA"/>
              </w:rPr>
              <w:t>3</w:t>
            </w:r>
            <w:r>
              <w:rPr>
                <w:rFonts w:hint="default" w:ascii="Times New Roman" w:hAnsi="Times New Roman" w:eastAsia="宋体" w:cs="Times New Roman"/>
                <w:b w:val="0"/>
                <w:color w:val="auto"/>
                <w:kern w:val="2"/>
                <w:sz w:val="24"/>
                <w:szCs w:val="24"/>
                <w:lang w:val="en-US" w:eastAsia="zh-CN" w:bidi="ar-SA"/>
              </w:rPr>
              <w:t>，</w:t>
            </w:r>
            <w:r>
              <w:rPr>
                <w:rFonts w:hint="eastAsia" w:cs="Times New Roman"/>
                <w:b w:val="0"/>
                <w:color w:val="auto"/>
                <w:kern w:val="2"/>
                <w:sz w:val="24"/>
                <w:szCs w:val="24"/>
                <w:lang w:val="en-US" w:eastAsia="zh-CN" w:bidi="ar-SA"/>
              </w:rPr>
              <w:t>3.4</w:t>
            </w:r>
            <w:r>
              <w:rPr>
                <w:rFonts w:hint="default" w:ascii="Times New Roman" w:hAnsi="Times New Roman" w:eastAsia="宋体" w:cs="Times New Roman"/>
                <w:b w:val="0"/>
                <w:color w:val="auto"/>
                <w:kern w:val="2"/>
                <w:sz w:val="24"/>
                <w:szCs w:val="24"/>
                <w:lang w:val="en-US" w:eastAsia="zh-CN" w:bidi="ar-SA"/>
              </w:rPr>
              <w:t>kg/h）。</w:t>
            </w:r>
          </w:p>
          <w:p w14:paraId="6EDADBB5">
            <w:pPr>
              <w:keepNext w:val="0"/>
              <w:keepLines w:val="0"/>
              <w:numPr>
                <w:ilvl w:val="0"/>
                <w:numId w:val="0"/>
              </w:numPr>
              <w:suppressLineNumbers w:val="0"/>
              <w:adjustRightInd w:val="0"/>
              <w:spacing w:before="0" w:beforeAutospacing="0" w:after="0" w:afterAutospacing="0" w:line="360" w:lineRule="auto"/>
              <w:ind w:left="420" w:leftChars="200" w:right="0"/>
              <w:rPr>
                <w:rFonts w:hint="eastAsia"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t>②无组织排放达标分析</w:t>
            </w:r>
          </w:p>
          <w:p w14:paraId="28110523">
            <w:pPr>
              <w:pStyle w:val="93"/>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kern w:val="2"/>
                <w:sz w:val="24"/>
                <w:szCs w:val="24"/>
                <w:vertAlign w:val="baseline"/>
                <w:lang w:eastAsia="zh-CN"/>
              </w:rPr>
            </w:pPr>
            <w:r>
              <w:rPr>
                <w:rFonts w:hint="default" w:ascii="Times New Roman" w:hAnsi="Times New Roman" w:eastAsia="宋体" w:cs="Times New Roman"/>
                <w:b w:val="0"/>
                <w:color w:val="auto"/>
                <w:kern w:val="2"/>
                <w:sz w:val="24"/>
                <w:szCs w:val="24"/>
                <w:lang w:val="en-US" w:eastAsia="zh-CN" w:bidi="ar-SA"/>
              </w:rPr>
              <w:t>根据上述计算结果，项目无组织有机废气排放</w:t>
            </w:r>
            <w:r>
              <w:rPr>
                <w:rFonts w:hint="default" w:ascii="Times New Roman" w:hAnsi="Times New Roman" w:eastAsia="宋体" w:cs="Times New Roman"/>
                <w:b w:val="0"/>
                <w:color w:val="auto"/>
                <w:kern w:val="2"/>
                <w:sz w:val="24"/>
                <w:szCs w:val="24"/>
                <w:lang w:val="zh-CN" w:eastAsia="zh-CN" w:bidi="ar-SA"/>
              </w:rPr>
              <w:t>满足</w:t>
            </w:r>
            <w:r>
              <w:rPr>
                <w:rFonts w:hint="default" w:ascii="Times New Roman" w:hAnsi="Times New Roman" w:eastAsia="宋体" w:cs="Times New Roman"/>
                <w:b w:val="0"/>
                <w:color w:val="auto"/>
                <w:kern w:val="2"/>
                <w:sz w:val="24"/>
                <w:szCs w:val="24"/>
                <w:lang w:val="en-US" w:eastAsia="zh-CN" w:bidi="ar-SA"/>
              </w:rPr>
              <w:t>《四川省固定污染源大气挥发性有机物排</w:t>
            </w:r>
            <w:r>
              <w:rPr>
                <w:rFonts w:hint="default" w:ascii="Times New Roman" w:hAnsi="Times New Roman" w:eastAsia="宋体" w:cs="Times New Roman"/>
                <w:b w:val="0"/>
                <w:bCs w:val="0"/>
                <w:color w:val="auto"/>
                <w:kern w:val="0"/>
                <w:sz w:val="24"/>
                <w:szCs w:val="24"/>
              </w:rPr>
              <w:t>放标准》（DB51/2377-2017）表</w:t>
            </w:r>
            <w:r>
              <w:rPr>
                <w:rFonts w:hint="default" w:ascii="Times New Roman" w:hAnsi="Times New Roman" w:eastAsia="宋体" w:cs="Times New Roman"/>
                <w:b w:val="0"/>
                <w:bCs w:val="0"/>
                <w:color w:val="auto"/>
                <w:kern w:val="0"/>
                <w:sz w:val="24"/>
                <w:szCs w:val="24"/>
                <w:lang w:val="en-US" w:eastAsia="zh-CN"/>
              </w:rPr>
              <w:t>5无组织排放监控浓度限值（</w:t>
            </w:r>
            <w:r>
              <w:rPr>
                <w:rFonts w:hint="default" w:ascii="Times New Roman" w:hAnsi="Times New Roman" w:eastAsia="宋体" w:cs="Times New Roman"/>
                <w:b w:val="0"/>
                <w:bCs w:val="0"/>
                <w:color w:val="auto"/>
                <w:kern w:val="2"/>
                <w:sz w:val="24"/>
                <w:szCs w:val="24"/>
                <w:lang w:val="en-US" w:eastAsia="zh-CN"/>
              </w:rPr>
              <w:t>2.0</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lang w:val="zh-CN"/>
              </w:rPr>
              <w:t>g/m</w:t>
            </w:r>
            <w:r>
              <w:rPr>
                <w:rFonts w:hint="default" w:ascii="Times New Roman" w:hAnsi="Times New Roman" w:eastAsia="宋体" w:cs="Times New Roman"/>
                <w:b w:val="0"/>
                <w:bCs w:val="0"/>
                <w:color w:val="auto"/>
                <w:sz w:val="24"/>
                <w:szCs w:val="24"/>
                <w:vertAlign w:val="superscript"/>
                <w:lang w:val="zh-CN"/>
              </w:rPr>
              <w:t>3</w:t>
            </w:r>
            <w:r>
              <w:rPr>
                <w:rFonts w:hint="default" w:ascii="Times New Roman" w:hAnsi="Times New Roman" w:eastAsia="宋体" w:cs="Times New Roman"/>
                <w:b w:val="0"/>
                <w:bCs w:val="0"/>
                <w:color w:val="auto"/>
                <w:kern w:val="0"/>
                <w:sz w:val="24"/>
                <w:szCs w:val="24"/>
                <w:lang w:val="en-US" w:eastAsia="zh-CN"/>
              </w:rPr>
              <w:t>）</w:t>
            </w:r>
            <w:r>
              <w:rPr>
                <w:rFonts w:hint="default" w:ascii="Times New Roman" w:hAnsi="Times New Roman" w:eastAsia="宋体" w:cs="Times New Roman"/>
                <w:b w:val="0"/>
                <w:bCs w:val="0"/>
                <w:color w:val="auto"/>
                <w:kern w:val="0"/>
                <w:sz w:val="24"/>
                <w:szCs w:val="24"/>
                <w:lang w:eastAsia="zh-CN"/>
              </w:rPr>
              <w:t>。</w:t>
            </w:r>
          </w:p>
          <w:p w14:paraId="5EA0FA74">
            <w:pPr>
              <w:keepNext w:val="0"/>
              <w:keepLines w:val="0"/>
              <w:suppressLineNumbers w:val="0"/>
              <w:adjustRightInd w:val="0"/>
              <w:spacing w:before="0" w:beforeAutospacing="0" w:after="0" w:afterAutospacing="0" w:line="360" w:lineRule="auto"/>
              <w:ind w:left="0" w:right="0"/>
              <w:rPr>
                <w:rFonts w:hint="default" w:ascii="Times New Roman" w:hAnsi="Times New Roman" w:eastAsia="宋体" w:cs="Times New Roman"/>
                <w:b/>
                <w:snapToGrid w:val="0"/>
                <w:color w:val="auto"/>
                <w:spacing w:val="4"/>
                <w:sz w:val="24"/>
              </w:rPr>
            </w:pPr>
            <w:r>
              <w:rPr>
                <w:rStyle w:val="80"/>
                <w:rFonts w:hint="default" w:ascii="Times New Roman" w:hAnsi="Times New Roman" w:eastAsia="宋体" w:cs="Times New Roman"/>
                <w:b/>
                <w:color w:val="auto"/>
              </w:rPr>
              <w:t>1.2.2非正常情况</w:t>
            </w:r>
          </w:p>
          <w:p w14:paraId="5ADD5766">
            <w:pPr>
              <w:keepNext w:val="0"/>
              <w:keepLines w:val="0"/>
              <w:suppressLineNumbers w:val="0"/>
              <w:tabs>
                <w:tab w:val="left" w:pos="0"/>
              </w:tabs>
              <w:adjustRightInd w:val="0"/>
              <w:snapToGrid w:val="0"/>
              <w:spacing w:before="0" w:beforeAutospacing="0" w:after="0" w:afterAutospacing="0"/>
              <w:ind w:left="0" w:right="0"/>
              <w:jc w:val="center"/>
              <w:rPr>
                <w:rFonts w:hint="default" w:ascii="Times New Roman" w:hAnsi="Times New Roman" w:eastAsia="宋体" w:cs="Times New Roman"/>
                <w:b/>
                <w:snapToGrid w:val="0"/>
                <w:color w:val="auto"/>
                <w:spacing w:val="4"/>
                <w:sz w:val="21"/>
                <w:szCs w:val="21"/>
              </w:rPr>
            </w:pPr>
            <w:r>
              <w:rPr>
                <w:rFonts w:hint="default" w:ascii="Times New Roman" w:hAnsi="Times New Roman" w:eastAsia="宋体" w:cs="Times New Roman"/>
                <w:b/>
                <w:snapToGrid w:val="0"/>
                <w:color w:val="auto"/>
                <w:spacing w:val="4"/>
                <w:sz w:val="21"/>
                <w:szCs w:val="21"/>
              </w:rPr>
              <w:t>表4-</w:t>
            </w:r>
            <w:r>
              <w:rPr>
                <w:rFonts w:hint="eastAsia" w:cs="Times New Roman"/>
                <w:b/>
                <w:snapToGrid w:val="0"/>
                <w:color w:val="auto"/>
                <w:spacing w:val="4"/>
                <w:sz w:val="21"/>
                <w:szCs w:val="21"/>
                <w:lang w:val="en-US" w:eastAsia="zh-CN"/>
              </w:rPr>
              <w:t>13</w:t>
            </w:r>
            <w:r>
              <w:rPr>
                <w:rFonts w:hint="default" w:ascii="Times New Roman" w:hAnsi="Times New Roman" w:eastAsia="宋体" w:cs="Times New Roman"/>
                <w:b/>
                <w:snapToGrid w:val="0"/>
                <w:color w:val="auto"/>
                <w:spacing w:val="4"/>
                <w:sz w:val="21"/>
                <w:szCs w:val="21"/>
                <w:lang w:val="en-US" w:eastAsia="zh-CN"/>
              </w:rPr>
              <w:t xml:space="preserve">  </w:t>
            </w:r>
            <w:r>
              <w:rPr>
                <w:rFonts w:hint="default" w:ascii="Times New Roman" w:hAnsi="Times New Roman" w:eastAsia="宋体" w:cs="Times New Roman"/>
                <w:b/>
                <w:snapToGrid w:val="0"/>
                <w:color w:val="auto"/>
                <w:spacing w:val="4"/>
                <w:sz w:val="21"/>
                <w:szCs w:val="21"/>
              </w:rPr>
              <w:t>废气非正常排放情况</w:t>
            </w:r>
          </w:p>
          <w:tbl>
            <w:tblPr>
              <w:tblStyle w:val="25"/>
              <w:tblW w:w="497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392"/>
              <w:gridCol w:w="927"/>
              <w:gridCol w:w="994"/>
              <w:gridCol w:w="793"/>
              <w:gridCol w:w="633"/>
              <w:gridCol w:w="605"/>
              <w:gridCol w:w="639"/>
              <w:gridCol w:w="687"/>
              <w:gridCol w:w="1286"/>
              <w:gridCol w:w="1276"/>
            </w:tblGrid>
            <w:tr w14:paraId="57B9B71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707" w:hRule="atLeast"/>
                <w:jc w:val="center"/>
              </w:trPr>
              <w:tc>
                <w:tcPr>
                  <w:tcW w:w="237" w:type="pct"/>
                  <w:tcBorders>
                    <w:tl2br w:val="nil"/>
                    <w:tr2bl w:val="nil"/>
                  </w:tcBorders>
                  <w:noWrap w:val="0"/>
                  <w:vAlign w:val="center"/>
                </w:tcPr>
                <w:p w14:paraId="654E8B9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562" w:type="pct"/>
                  <w:tcBorders>
                    <w:tl2br w:val="nil"/>
                    <w:tr2bl w:val="nil"/>
                  </w:tcBorders>
                  <w:noWrap w:val="0"/>
                  <w:vAlign w:val="center"/>
                </w:tcPr>
                <w:p w14:paraId="5E0E11B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污染源</w:t>
                  </w:r>
                </w:p>
              </w:tc>
              <w:tc>
                <w:tcPr>
                  <w:tcW w:w="603" w:type="pct"/>
                  <w:tcBorders>
                    <w:tl2br w:val="nil"/>
                    <w:tr2bl w:val="nil"/>
                  </w:tcBorders>
                  <w:noWrap w:val="0"/>
                  <w:vAlign w:val="center"/>
                </w:tcPr>
                <w:p w14:paraId="3128190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非正常排放原因</w:t>
                  </w:r>
                </w:p>
              </w:tc>
              <w:tc>
                <w:tcPr>
                  <w:tcW w:w="481" w:type="pct"/>
                  <w:tcBorders>
                    <w:tl2br w:val="nil"/>
                    <w:tr2bl w:val="nil"/>
                  </w:tcBorders>
                  <w:noWrap w:val="0"/>
                  <w:vAlign w:val="center"/>
                </w:tcPr>
                <w:p w14:paraId="2E4888C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384" w:type="pct"/>
                  <w:tcBorders>
                    <w:tl2br w:val="nil"/>
                    <w:tr2bl w:val="nil"/>
                  </w:tcBorders>
                  <w:noWrap w:val="0"/>
                  <w:vAlign w:val="center"/>
                </w:tcPr>
                <w:p w14:paraId="19894BF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频次</w:t>
                  </w:r>
                </w:p>
              </w:tc>
              <w:tc>
                <w:tcPr>
                  <w:tcW w:w="367" w:type="pct"/>
                  <w:tcBorders>
                    <w:tl2br w:val="nil"/>
                    <w:tr2bl w:val="nil"/>
                  </w:tcBorders>
                  <w:noWrap w:val="0"/>
                  <w:vAlign w:val="center"/>
                </w:tcPr>
                <w:p w14:paraId="28CC6A7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持续时间</w:t>
                  </w:r>
                </w:p>
              </w:tc>
              <w:tc>
                <w:tcPr>
                  <w:tcW w:w="388" w:type="pct"/>
                  <w:tcBorders>
                    <w:tl2br w:val="nil"/>
                    <w:tr2bl w:val="nil"/>
                  </w:tcBorders>
                  <w:noWrap w:val="0"/>
                  <w:vAlign w:val="center"/>
                </w:tcPr>
                <w:p w14:paraId="4BECE89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排放浓度mg/m</w:t>
                  </w:r>
                  <w:r>
                    <w:rPr>
                      <w:rFonts w:hint="default" w:ascii="Times New Roman" w:hAnsi="Times New Roman" w:eastAsia="宋体" w:cs="Times New Roman"/>
                      <w:b/>
                      <w:bCs w:val="0"/>
                      <w:color w:val="auto"/>
                      <w:kern w:val="0"/>
                      <w:sz w:val="21"/>
                      <w:szCs w:val="21"/>
                      <w:highlight w:val="none"/>
                      <w:vertAlign w:val="superscript"/>
                      <w:lang w:val="en-US" w:eastAsia="zh-CN"/>
                    </w:rPr>
                    <w:t>3</w:t>
                  </w:r>
                </w:p>
              </w:tc>
              <w:tc>
                <w:tcPr>
                  <w:tcW w:w="417" w:type="pct"/>
                  <w:tcBorders>
                    <w:tl2br w:val="nil"/>
                    <w:tr2bl w:val="nil"/>
                  </w:tcBorders>
                  <w:noWrap w:val="0"/>
                  <w:vAlign w:val="center"/>
                </w:tcPr>
                <w:p w14:paraId="31A7093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w:t>
                  </w:r>
                  <w:r>
                    <w:rPr>
                      <w:rFonts w:hint="default" w:ascii="Times New Roman" w:hAnsi="Times New Roman" w:eastAsia="宋体" w:cs="Times New Roman"/>
                      <w:color w:val="auto"/>
                      <w:sz w:val="21"/>
                      <w:szCs w:val="21"/>
                    </w:rPr>
                    <w:t>kg/h</w:t>
                  </w:r>
                </w:p>
              </w:tc>
              <w:tc>
                <w:tcPr>
                  <w:tcW w:w="781" w:type="pct"/>
                  <w:tcBorders>
                    <w:tl2br w:val="nil"/>
                    <w:tr2bl w:val="nil"/>
                  </w:tcBorders>
                  <w:noWrap w:val="0"/>
                  <w:vAlign w:val="center"/>
                </w:tcPr>
                <w:p w14:paraId="0CFFDAA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措施</w:t>
                  </w:r>
                </w:p>
              </w:tc>
              <w:tc>
                <w:tcPr>
                  <w:tcW w:w="774" w:type="pct"/>
                  <w:tcBorders>
                    <w:tl2br w:val="nil"/>
                    <w:tr2bl w:val="nil"/>
                  </w:tcBorders>
                  <w:noWrap w:val="0"/>
                  <w:vAlign w:val="center"/>
                </w:tcPr>
                <w:p w14:paraId="20A06C7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要求</w:t>
                  </w:r>
                </w:p>
              </w:tc>
            </w:tr>
            <w:tr w14:paraId="6C68B57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696" w:hRule="atLeast"/>
                <w:jc w:val="center"/>
              </w:trPr>
              <w:tc>
                <w:tcPr>
                  <w:tcW w:w="237" w:type="pct"/>
                  <w:tcBorders>
                    <w:tl2br w:val="nil"/>
                    <w:tr2bl w:val="nil"/>
                  </w:tcBorders>
                  <w:noWrap w:val="0"/>
                  <w:vAlign w:val="center"/>
                </w:tcPr>
                <w:p w14:paraId="6ABDBAF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2" w:type="pct"/>
                  <w:tcBorders>
                    <w:tl2br w:val="nil"/>
                    <w:tr2bl w:val="nil"/>
                  </w:tcBorders>
                  <w:noWrap w:val="0"/>
                  <w:vAlign w:val="center"/>
                </w:tcPr>
                <w:p w14:paraId="168A1FB8">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注塑、烫金</w:t>
                  </w:r>
                </w:p>
              </w:tc>
              <w:tc>
                <w:tcPr>
                  <w:tcW w:w="603" w:type="pct"/>
                  <w:tcBorders>
                    <w:tl2br w:val="nil"/>
                    <w:tr2bl w:val="nil"/>
                  </w:tcBorders>
                  <w:noWrap w:val="0"/>
                  <w:vAlign w:val="center"/>
                </w:tcPr>
                <w:p w14:paraId="2ED2D598">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开停机</w:t>
                  </w:r>
                </w:p>
              </w:tc>
              <w:tc>
                <w:tcPr>
                  <w:tcW w:w="481" w:type="pct"/>
                  <w:tcBorders>
                    <w:tl2br w:val="nil"/>
                    <w:tr2bl w:val="nil"/>
                  </w:tcBorders>
                  <w:noWrap w:val="0"/>
                  <w:vAlign w:val="center"/>
                </w:tcPr>
                <w:p w14:paraId="2B0838D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有机</w:t>
                  </w:r>
                </w:p>
                <w:p w14:paraId="7FED432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废气</w:t>
                  </w:r>
                </w:p>
              </w:tc>
              <w:tc>
                <w:tcPr>
                  <w:tcW w:w="384" w:type="pct"/>
                  <w:tcBorders>
                    <w:tl2br w:val="nil"/>
                    <w:tr2bl w:val="nil"/>
                  </w:tcBorders>
                  <w:noWrap w:val="0"/>
                  <w:vAlign w:val="center"/>
                </w:tcPr>
                <w:p w14:paraId="0FC4916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1次/天</w:t>
                  </w:r>
                </w:p>
              </w:tc>
              <w:tc>
                <w:tcPr>
                  <w:tcW w:w="367" w:type="pct"/>
                  <w:tcBorders>
                    <w:tl2br w:val="nil"/>
                    <w:tr2bl w:val="nil"/>
                  </w:tcBorders>
                  <w:noWrap w:val="0"/>
                  <w:vAlign w:val="center"/>
                </w:tcPr>
                <w:p w14:paraId="605B64C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10min</w:t>
                  </w:r>
                </w:p>
                <w:p w14:paraId="4586850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388" w:type="pct"/>
                  <w:tcBorders>
                    <w:tl2br w:val="nil"/>
                    <w:tr2bl w:val="nil"/>
                  </w:tcBorders>
                  <w:noWrap w:val="0"/>
                  <w:vAlign w:val="center"/>
                </w:tcPr>
                <w:p w14:paraId="23C510A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16.7</w:t>
                  </w:r>
                </w:p>
              </w:tc>
              <w:tc>
                <w:tcPr>
                  <w:tcW w:w="417" w:type="pct"/>
                  <w:tcBorders>
                    <w:tl2br w:val="nil"/>
                    <w:tr2bl w:val="nil"/>
                  </w:tcBorders>
                  <w:noWrap w:val="0"/>
                  <w:vAlign w:val="center"/>
                </w:tcPr>
                <w:p w14:paraId="0DE18EF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0.5011</w:t>
                  </w:r>
                </w:p>
              </w:tc>
              <w:tc>
                <w:tcPr>
                  <w:tcW w:w="781" w:type="pct"/>
                  <w:tcBorders>
                    <w:tl2br w:val="nil"/>
                    <w:tr2bl w:val="nil"/>
                  </w:tcBorders>
                  <w:noWrap w:val="0"/>
                  <w:vAlign w:val="center"/>
                </w:tcPr>
                <w:p w14:paraId="2EC0E76E">
                  <w:pPr>
                    <w:keepNext w:val="0"/>
                    <w:keepLines w:val="0"/>
                    <w:suppressLineNumbers w:val="0"/>
                    <w:wordWrap w:val="0"/>
                    <w:spacing w:before="0" w:beforeAutospacing="0" w:after="0" w:afterAutospacing="0"/>
                    <w:ind w:left="-105" w:leftChars="-50" w:right="-105" w:rightChars="-5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集气罩+两级活性炭吸附装置（TA001）+15m排气筒（DA001））</w:t>
                  </w:r>
                </w:p>
              </w:tc>
              <w:tc>
                <w:tcPr>
                  <w:tcW w:w="774" w:type="pct"/>
                  <w:vMerge w:val="restart"/>
                  <w:tcBorders>
                    <w:tl2br w:val="nil"/>
                    <w:tr2bl w:val="nil"/>
                  </w:tcBorders>
                  <w:noWrap w:val="0"/>
                  <w:vAlign w:val="center"/>
                </w:tcPr>
                <w:p w14:paraId="3A4AABA6">
                  <w:pPr>
                    <w:keepNext w:val="0"/>
                    <w:keepLines w:val="0"/>
                    <w:suppressLineNumbers w:val="0"/>
                    <w:wordWrap w:val="0"/>
                    <w:spacing w:before="0" w:beforeAutospacing="0" w:after="0" w:afterAutospacing="0"/>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生产设备开启前，先开启环保设施；生产设备关闭后，再关闭环保设备</w:t>
                  </w:r>
                </w:p>
              </w:tc>
            </w:tr>
            <w:tr w14:paraId="3A081AF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696" w:hRule="atLeast"/>
                <w:jc w:val="center"/>
              </w:trPr>
              <w:tc>
                <w:tcPr>
                  <w:tcW w:w="237" w:type="pct"/>
                  <w:tcBorders>
                    <w:tl2br w:val="nil"/>
                    <w:tr2bl w:val="nil"/>
                  </w:tcBorders>
                  <w:noWrap w:val="0"/>
                  <w:vAlign w:val="center"/>
                </w:tcPr>
                <w:p w14:paraId="6B17100D">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562" w:type="pct"/>
                  <w:tcBorders>
                    <w:tl2br w:val="nil"/>
                    <w:tr2bl w:val="nil"/>
                  </w:tcBorders>
                  <w:noWrap w:val="0"/>
                  <w:vAlign w:val="center"/>
                </w:tcPr>
                <w:p w14:paraId="47123E27">
                  <w:pPr>
                    <w:spacing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bCs/>
                      <w:color w:val="auto"/>
                      <w:szCs w:val="21"/>
                      <w:lang w:val="en-US" w:eastAsia="zh-CN"/>
                    </w:rPr>
                    <w:t>裱糊、粘合</w:t>
                  </w:r>
                </w:p>
              </w:tc>
              <w:tc>
                <w:tcPr>
                  <w:tcW w:w="603" w:type="pct"/>
                  <w:tcBorders>
                    <w:tl2br w:val="nil"/>
                    <w:tr2bl w:val="nil"/>
                  </w:tcBorders>
                  <w:noWrap w:val="0"/>
                  <w:vAlign w:val="center"/>
                </w:tcPr>
                <w:p w14:paraId="711D86D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开停机</w:t>
                  </w:r>
                </w:p>
              </w:tc>
              <w:tc>
                <w:tcPr>
                  <w:tcW w:w="481" w:type="pct"/>
                  <w:tcBorders>
                    <w:tl2br w:val="nil"/>
                    <w:tr2bl w:val="nil"/>
                  </w:tcBorders>
                  <w:noWrap w:val="0"/>
                  <w:vAlign w:val="center"/>
                </w:tcPr>
                <w:p w14:paraId="31A3F22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有机</w:t>
                  </w:r>
                </w:p>
                <w:p w14:paraId="64F4054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384" w:type="pct"/>
                  <w:tcBorders>
                    <w:tl2br w:val="nil"/>
                    <w:tr2bl w:val="nil"/>
                  </w:tcBorders>
                  <w:noWrap w:val="0"/>
                  <w:vAlign w:val="center"/>
                </w:tcPr>
                <w:p w14:paraId="6960C10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1次/天</w:t>
                  </w:r>
                </w:p>
              </w:tc>
              <w:tc>
                <w:tcPr>
                  <w:tcW w:w="367" w:type="pct"/>
                  <w:tcBorders>
                    <w:tl2br w:val="nil"/>
                    <w:tr2bl w:val="nil"/>
                  </w:tcBorders>
                  <w:noWrap w:val="0"/>
                  <w:vAlign w:val="center"/>
                </w:tcPr>
                <w:p w14:paraId="1B88DED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10min</w:t>
                  </w:r>
                </w:p>
                <w:p w14:paraId="2F7F88F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14" w:type="dxa"/>
                  <w:tcBorders>
                    <w:tl2br w:val="nil"/>
                    <w:tr2bl w:val="nil"/>
                  </w:tcBorders>
                  <w:noWrap w:val="0"/>
                  <w:vAlign w:val="center"/>
                </w:tcPr>
                <w:p w14:paraId="24D2DBA8">
                  <w:pPr>
                    <w:pStyle w:val="61"/>
                    <w:adjustRightInd/>
                    <w:spacing w:before="0" w:after="0" w:line="320" w:lineRule="exact"/>
                    <w:jc w:val="center"/>
                    <w:textAlignment w:val="auto"/>
                    <w:rPr>
                      <w:rFonts w:hint="eastAsia" w:cs="Times New Roman"/>
                      <w:color w:val="auto"/>
                      <w:kern w:val="0"/>
                      <w:sz w:val="21"/>
                      <w:szCs w:val="21"/>
                      <w:highlight w:val="none"/>
                      <w:lang w:val="en-US" w:eastAsia="zh-CN"/>
                    </w:rPr>
                  </w:pPr>
                  <w:r>
                    <w:rPr>
                      <w:rFonts w:hint="eastAsia" w:eastAsia="宋体"/>
                      <w:color w:val="auto"/>
                      <w:kern w:val="2"/>
                      <w:sz w:val="21"/>
                      <w:szCs w:val="21"/>
                    </w:rPr>
                    <w:t>2.</w:t>
                  </w:r>
                  <w:r>
                    <w:rPr>
                      <w:rFonts w:hint="eastAsia" w:eastAsia="宋体"/>
                      <w:color w:val="auto"/>
                      <w:kern w:val="2"/>
                      <w:sz w:val="21"/>
                      <w:szCs w:val="21"/>
                      <w:lang w:val="en-US" w:eastAsia="zh-CN"/>
                    </w:rPr>
                    <w:t>6</w:t>
                  </w:r>
                </w:p>
              </w:tc>
              <w:tc>
                <w:tcPr>
                  <w:tcW w:w="417" w:type="pct"/>
                  <w:tcBorders>
                    <w:tl2br w:val="nil"/>
                    <w:tr2bl w:val="nil"/>
                  </w:tcBorders>
                  <w:noWrap w:val="0"/>
                  <w:vAlign w:val="center"/>
                </w:tcPr>
                <w:p w14:paraId="262A2F5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0.0208</w:t>
                  </w:r>
                </w:p>
              </w:tc>
              <w:tc>
                <w:tcPr>
                  <w:tcW w:w="781" w:type="pct"/>
                  <w:tcBorders>
                    <w:tl2br w:val="nil"/>
                    <w:tr2bl w:val="nil"/>
                  </w:tcBorders>
                  <w:noWrap w:val="0"/>
                  <w:vAlign w:val="center"/>
                </w:tcPr>
                <w:p w14:paraId="5AEB7075">
                  <w:pPr>
                    <w:keepNext w:val="0"/>
                    <w:keepLines w:val="0"/>
                    <w:suppressLineNumbers w:val="0"/>
                    <w:wordWrap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密闭罩</w:t>
                  </w:r>
                  <w:r>
                    <w:rPr>
                      <w:rFonts w:hint="default" w:ascii="Times New Roman" w:hAnsi="Times New Roman" w:eastAsia="宋体" w:cs="Times New Roman"/>
                      <w:color w:val="auto"/>
                      <w:sz w:val="21"/>
                      <w:szCs w:val="21"/>
                      <w:highlight w:val="none"/>
                      <w:lang w:eastAsia="zh-CN"/>
                    </w:rPr>
                    <w:t>+两级活性炭吸附装置（TA00</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）+15m排气筒（DA00</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p>
              </w:tc>
              <w:tc>
                <w:tcPr>
                  <w:tcW w:w="774" w:type="pct"/>
                  <w:vMerge w:val="continue"/>
                  <w:tcBorders>
                    <w:tl2br w:val="nil"/>
                    <w:tr2bl w:val="nil"/>
                  </w:tcBorders>
                  <w:noWrap w:val="0"/>
                  <w:vAlign w:val="center"/>
                </w:tcPr>
                <w:p w14:paraId="0CFC1A58">
                  <w:pPr>
                    <w:keepNext w:val="0"/>
                    <w:keepLines w:val="0"/>
                    <w:suppressLineNumbers w:val="0"/>
                    <w:wordWrap w:val="0"/>
                    <w:spacing w:before="0" w:beforeAutospacing="0" w:after="0" w:afterAutospacing="0"/>
                    <w:ind w:left="-105" w:leftChars="-50" w:right="-105" w:rightChars="-50"/>
                    <w:jc w:val="center"/>
                    <w:rPr>
                      <w:rFonts w:hint="default" w:ascii="Times New Roman" w:hAnsi="Times New Roman" w:eastAsia="宋体" w:cs="Times New Roman"/>
                      <w:color w:val="auto"/>
                      <w:kern w:val="0"/>
                      <w:sz w:val="21"/>
                      <w:szCs w:val="21"/>
                      <w:highlight w:val="none"/>
                    </w:rPr>
                  </w:pPr>
                </w:p>
              </w:tc>
            </w:tr>
            <w:tr w14:paraId="00E7CB8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PrEx>
              <w:trPr>
                <w:trHeight w:val="696" w:hRule="atLeast"/>
                <w:jc w:val="center"/>
              </w:trPr>
              <w:tc>
                <w:tcPr>
                  <w:tcW w:w="237" w:type="pct"/>
                  <w:tcBorders>
                    <w:tl2br w:val="nil"/>
                    <w:tr2bl w:val="nil"/>
                  </w:tcBorders>
                  <w:noWrap w:val="0"/>
                  <w:vAlign w:val="center"/>
                </w:tcPr>
                <w:p w14:paraId="15484D6E">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562" w:type="pct"/>
                  <w:tcBorders>
                    <w:tl2br w:val="nil"/>
                    <w:tr2bl w:val="nil"/>
                  </w:tcBorders>
                  <w:noWrap w:val="0"/>
                  <w:vAlign w:val="center"/>
                </w:tcPr>
                <w:p w14:paraId="0F99D579">
                  <w:pPr>
                    <w:spacing w:line="320" w:lineRule="exact"/>
                    <w:ind w:left="-105" w:leftChars="-50" w:right="-105" w:rightChars="-50"/>
                    <w:jc w:val="center"/>
                    <w:rPr>
                      <w:bCs/>
                      <w:color w:val="auto"/>
                      <w:szCs w:val="21"/>
                    </w:rPr>
                  </w:pPr>
                  <w:r>
                    <w:rPr>
                      <w:rFonts w:hint="eastAsia"/>
                      <w:bCs/>
                      <w:color w:val="auto"/>
                      <w:szCs w:val="21"/>
                      <w:lang w:val="en-US" w:eastAsia="zh-CN"/>
                    </w:rPr>
                    <w:t>覆膜、打码、打样、烫金、UV印刷、</w:t>
                  </w:r>
                  <w:r>
                    <w:rPr>
                      <w:rFonts w:hint="eastAsia"/>
                      <w:bCs/>
                      <w:color w:val="auto"/>
                      <w:szCs w:val="21"/>
                    </w:rPr>
                    <w:t>丝网</w:t>
                  </w:r>
                </w:p>
                <w:p w14:paraId="53353E4E">
                  <w:pPr>
                    <w:spacing w:line="320" w:lineRule="exact"/>
                    <w:ind w:left="-105" w:leftChars="-50" w:right="-105" w:rightChars="-50"/>
                    <w:jc w:val="center"/>
                    <w:rPr>
                      <w:rFonts w:hint="eastAsia" w:eastAsia="宋体"/>
                      <w:bCs/>
                      <w:color w:val="auto"/>
                      <w:szCs w:val="21"/>
                      <w:lang w:eastAsia="zh-CN"/>
                    </w:rPr>
                  </w:pPr>
                  <w:r>
                    <w:rPr>
                      <w:rFonts w:hint="eastAsia"/>
                      <w:bCs/>
                      <w:color w:val="auto"/>
                      <w:szCs w:val="21"/>
                    </w:rPr>
                    <w:t>印刷</w:t>
                  </w:r>
                  <w:r>
                    <w:rPr>
                      <w:rFonts w:hint="eastAsia"/>
                      <w:bCs/>
                      <w:color w:val="auto"/>
                      <w:szCs w:val="21"/>
                      <w:lang w:eastAsia="zh-CN"/>
                    </w:rPr>
                    <w:t>、</w:t>
                  </w:r>
                </w:p>
                <w:p w14:paraId="329DD6F1">
                  <w:pPr>
                    <w:spacing w:line="320" w:lineRule="exact"/>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bCs/>
                      <w:color w:val="auto"/>
                      <w:szCs w:val="21"/>
                    </w:rPr>
                    <w:t>清洁</w:t>
                  </w:r>
                  <w:r>
                    <w:rPr>
                      <w:rFonts w:hint="eastAsia"/>
                      <w:bCs/>
                      <w:color w:val="auto"/>
                      <w:szCs w:val="21"/>
                      <w:lang w:eastAsia="zh-CN"/>
                    </w:rPr>
                    <w:t>、</w:t>
                  </w:r>
                  <w:r>
                    <w:rPr>
                      <w:rFonts w:hint="eastAsia"/>
                      <w:bCs/>
                      <w:color w:val="auto"/>
                      <w:szCs w:val="21"/>
                      <w:lang w:val="en-US" w:eastAsia="zh-CN"/>
                    </w:rPr>
                    <w:t>上光油</w:t>
                  </w:r>
                </w:p>
              </w:tc>
              <w:tc>
                <w:tcPr>
                  <w:tcW w:w="603" w:type="pct"/>
                  <w:tcBorders>
                    <w:tl2br w:val="nil"/>
                    <w:tr2bl w:val="nil"/>
                  </w:tcBorders>
                  <w:noWrap w:val="0"/>
                  <w:vAlign w:val="center"/>
                </w:tcPr>
                <w:p w14:paraId="030F6C8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开停机</w:t>
                  </w:r>
                </w:p>
              </w:tc>
              <w:tc>
                <w:tcPr>
                  <w:tcW w:w="481" w:type="pct"/>
                  <w:tcBorders>
                    <w:tl2br w:val="nil"/>
                    <w:tr2bl w:val="nil"/>
                  </w:tcBorders>
                  <w:noWrap w:val="0"/>
                  <w:vAlign w:val="center"/>
                </w:tcPr>
                <w:p w14:paraId="3035E12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有机</w:t>
                  </w:r>
                </w:p>
                <w:p w14:paraId="2FB5B44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384" w:type="pct"/>
                  <w:tcBorders>
                    <w:tl2br w:val="nil"/>
                    <w:tr2bl w:val="nil"/>
                  </w:tcBorders>
                  <w:noWrap w:val="0"/>
                  <w:vAlign w:val="center"/>
                </w:tcPr>
                <w:p w14:paraId="6C8A531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1次/天</w:t>
                  </w:r>
                </w:p>
              </w:tc>
              <w:tc>
                <w:tcPr>
                  <w:tcW w:w="367" w:type="pct"/>
                  <w:tcBorders>
                    <w:tl2br w:val="nil"/>
                    <w:tr2bl w:val="nil"/>
                  </w:tcBorders>
                  <w:noWrap w:val="0"/>
                  <w:vAlign w:val="center"/>
                </w:tcPr>
                <w:p w14:paraId="7FD571C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10min</w:t>
                  </w:r>
                </w:p>
                <w:p w14:paraId="7D9A07E8">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14" w:type="dxa"/>
                  <w:tcBorders>
                    <w:tl2br w:val="nil"/>
                    <w:tr2bl w:val="nil"/>
                  </w:tcBorders>
                  <w:noWrap w:val="0"/>
                  <w:vAlign w:val="center"/>
                </w:tcPr>
                <w:p w14:paraId="3906029A">
                  <w:pPr>
                    <w:pStyle w:val="61"/>
                    <w:adjustRightInd/>
                    <w:spacing w:before="0" w:after="0" w:line="320" w:lineRule="exact"/>
                    <w:jc w:val="center"/>
                    <w:textAlignment w:val="auto"/>
                    <w:rPr>
                      <w:rFonts w:hint="eastAsia" w:cs="Times New Roman"/>
                      <w:color w:val="auto"/>
                      <w:kern w:val="0"/>
                      <w:sz w:val="21"/>
                      <w:szCs w:val="21"/>
                      <w:highlight w:val="none"/>
                      <w:lang w:val="en-US" w:eastAsia="zh-CN"/>
                    </w:rPr>
                  </w:pPr>
                  <w:r>
                    <w:rPr>
                      <w:rFonts w:hint="eastAsia" w:eastAsia="宋体"/>
                      <w:color w:val="auto"/>
                      <w:kern w:val="2"/>
                      <w:sz w:val="21"/>
                      <w:szCs w:val="21"/>
                      <w:lang w:val="en-US" w:eastAsia="zh-CN"/>
                    </w:rPr>
                    <w:t>1.62</w:t>
                  </w:r>
                </w:p>
              </w:tc>
              <w:tc>
                <w:tcPr>
                  <w:tcW w:w="417" w:type="pct"/>
                  <w:tcBorders>
                    <w:tl2br w:val="nil"/>
                    <w:tr2bl w:val="nil"/>
                  </w:tcBorders>
                  <w:noWrap w:val="0"/>
                  <w:vAlign w:val="center"/>
                </w:tcPr>
                <w:p w14:paraId="0E3BE43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0.0568</w:t>
                  </w:r>
                </w:p>
              </w:tc>
              <w:tc>
                <w:tcPr>
                  <w:tcW w:w="781" w:type="pct"/>
                  <w:tcBorders>
                    <w:tl2br w:val="nil"/>
                    <w:tr2bl w:val="nil"/>
                  </w:tcBorders>
                  <w:noWrap w:val="0"/>
                  <w:vAlign w:val="center"/>
                </w:tcPr>
                <w:p w14:paraId="6827714C">
                  <w:pPr>
                    <w:keepNext w:val="0"/>
                    <w:keepLines w:val="0"/>
                    <w:suppressLineNumbers w:val="0"/>
                    <w:wordWrap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集气罩</w:t>
                  </w:r>
                  <w:r>
                    <w:rPr>
                      <w:rFonts w:hint="default" w:ascii="Times New Roman" w:hAnsi="Times New Roman" w:eastAsia="宋体" w:cs="Times New Roman"/>
                      <w:color w:val="auto"/>
                      <w:sz w:val="21"/>
                      <w:szCs w:val="21"/>
                      <w:highlight w:val="none"/>
                      <w:lang w:val="en-US" w:eastAsia="zh-CN"/>
                    </w:rPr>
                    <w:t>/密闭间</w:t>
                  </w:r>
                  <w:r>
                    <w:rPr>
                      <w:rFonts w:hint="default" w:ascii="Times New Roman" w:hAnsi="Times New Roman" w:eastAsia="宋体" w:cs="Times New Roman"/>
                      <w:color w:val="auto"/>
                      <w:sz w:val="21"/>
                      <w:szCs w:val="21"/>
                      <w:highlight w:val="none"/>
                      <w:lang w:eastAsia="zh-CN"/>
                    </w:rPr>
                    <w:t>+两级活性炭吸附装置（TA003）+15m排气筒（DA003）</w:t>
                  </w:r>
                </w:p>
              </w:tc>
              <w:tc>
                <w:tcPr>
                  <w:tcW w:w="774" w:type="pct"/>
                  <w:vMerge w:val="continue"/>
                  <w:tcBorders>
                    <w:tl2br w:val="nil"/>
                    <w:tr2bl w:val="nil"/>
                  </w:tcBorders>
                  <w:noWrap w:val="0"/>
                  <w:vAlign w:val="center"/>
                </w:tcPr>
                <w:p w14:paraId="7538EFF6">
                  <w:pPr>
                    <w:keepNext w:val="0"/>
                    <w:keepLines w:val="0"/>
                    <w:suppressLineNumbers w:val="0"/>
                    <w:wordWrap w:val="0"/>
                    <w:spacing w:before="0" w:beforeAutospacing="0" w:after="0" w:afterAutospacing="0"/>
                    <w:ind w:left="-105" w:leftChars="-50" w:right="-105" w:rightChars="-50"/>
                    <w:jc w:val="center"/>
                    <w:rPr>
                      <w:rFonts w:hint="default" w:ascii="Times New Roman" w:hAnsi="Times New Roman" w:eastAsia="宋体" w:cs="Times New Roman"/>
                      <w:color w:val="auto"/>
                      <w:kern w:val="0"/>
                      <w:sz w:val="21"/>
                      <w:szCs w:val="21"/>
                      <w:highlight w:val="none"/>
                    </w:rPr>
                  </w:pPr>
                </w:p>
              </w:tc>
            </w:tr>
          </w:tbl>
          <w:p w14:paraId="42BF2774">
            <w:pPr>
              <w:spacing w:line="360" w:lineRule="auto"/>
              <w:ind w:firstLine="463" w:firstLineChars="19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（5）废气排放对环境影响</w:t>
            </w:r>
          </w:p>
          <w:p w14:paraId="4AB74021">
            <w:pPr>
              <w:widowControl/>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综合以上，项目所在区域环境空气质量良好，经采取上述污染治理设施对项目产生的废气治理后，对周边环境空气影响较小。</w:t>
            </w:r>
          </w:p>
          <w:p w14:paraId="44525960">
            <w:pPr>
              <w:widowControl/>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（6）本项目卫生防护距离：</w:t>
            </w:r>
          </w:p>
          <w:p w14:paraId="050741B9">
            <w:pPr>
              <w:widowControl/>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根据《大气有害物质无组织排放卫生防护距离推导技术导则 GB/T 39499-2020》，本项目等标排放量Q</w:t>
            </w:r>
            <w:r>
              <w:rPr>
                <w:rFonts w:hint="default" w:ascii="Times New Roman" w:hAnsi="Times New Roman" w:cs="Times New Roman"/>
                <w:color w:val="auto"/>
                <w:sz w:val="24"/>
                <w:highlight w:val="none"/>
                <w:vertAlign w:val="subscript"/>
              </w:rPr>
              <w:t>c</w:t>
            </w:r>
            <w:r>
              <w:rPr>
                <w:rFonts w:hint="default" w:ascii="Times New Roman" w:hAnsi="Times New Roman" w:cs="Times New Roman"/>
                <w:color w:val="auto"/>
                <w:sz w:val="24"/>
                <w:highlight w:val="none"/>
              </w:rPr>
              <w:t>/C</w:t>
            </w:r>
            <w:r>
              <w:rPr>
                <w:rFonts w:hint="default" w:ascii="Times New Roman" w:hAnsi="Times New Roman" w:cs="Times New Roman"/>
                <w:color w:val="auto"/>
                <w:sz w:val="24"/>
                <w:highlight w:val="none"/>
                <w:vertAlign w:val="subscript"/>
              </w:rPr>
              <w:t>m</w:t>
            </w:r>
            <w:r>
              <w:rPr>
                <w:rFonts w:hint="default" w:ascii="Times New Roman" w:hAnsi="Times New Roman" w:cs="Times New Roman"/>
                <w:color w:val="auto"/>
                <w:sz w:val="24"/>
                <w:highlight w:val="none"/>
              </w:rPr>
              <w:t>见下表：</w:t>
            </w:r>
          </w:p>
          <w:p w14:paraId="29D2632E">
            <w:pPr>
              <w:widowControl/>
              <w:adjustRightInd w:val="0"/>
              <w:snapToGrid w:val="0"/>
              <w:ind w:firstLine="422" w:firstLineChars="200"/>
              <w:jc w:val="center"/>
              <w:rPr>
                <w:b/>
                <w:bCs/>
                <w:color w:val="auto"/>
                <w:szCs w:val="21"/>
                <w:highlight w:val="none"/>
              </w:rPr>
            </w:pPr>
            <w:r>
              <w:rPr>
                <w:rFonts w:hint="eastAsia"/>
                <w:b/>
                <w:bCs/>
                <w:color w:val="auto"/>
                <w:szCs w:val="21"/>
                <w:highlight w:val="none"/>
              </w:rPr>
              <w:t>表4</w:t>
            </w:r>
            <w:r>
              <w:rPr>
                <w:b/>
                <w:bCs/>
                <w:color w:val="auto"/>
                <w:szCs w:val="21"/>
                <w:highlight w:val="none"/>
              </w:rPr>
              <w:t>-</w:t>
            </w:r>
            <w:r>
              <w:rPr>
                <w:rFonts w:hint="eastAsia"/>
                <w:b/>
                <w:bCs/>
                <w:color w:val="auto"/>
                <w:szCs w:val="21"/>
                <w:highlight w:val="none"/>
                <w:lang w:val="en-US" w:eastAsia="zh-CN"/>
              </w:rPr>
              <w:t>14</w:t>
            </w:r>
            <w:r>
              <w:rPr>
                <w:b/>
                <w:bCs/>
                <w:color w:val="auto"/>
                <w:szCs w:val="21"/>
                <w:highlight w:val="none"/>
              </w:rPr>
              <w:t xml:space="preserve"> </w:t>
            </w:r>
            <w:r>
              <w:rPr>
                <w:rFonts w:hint="eastAsia"/>
                <w:b/>
                <w:bCs/>
                <w:color w:val="auto"/>
                <w:szCs w:val="21"/>
                <w:highlight w:val="none"/>
              </w:rPr>
              <w:t>本项目无组织排放污染物等标排放量</w:t>
            </w:r>
          </w:p>
          <w:tbl>
            <w:tblPr>
              <w:tblStyle w:val="25"/>
              <w:tblW w:w="81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2736"/>
              <w:gridCol w:w="2514"/>
              <w:gridCol w:w="1873"/>
            </w:tblGrid>
            <w:tr w14:paraId="523C99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55" w:type="dxa"/>
                  <w:tcBorders>
                    <w:tl2br w:val="nil"/>
                    <w:tr2bl w:val="nil"/>
                  </w:tcBorders>
                  <w:shd w:val="clear" w:color="auto" w:fill="auto"/>
                  <w:vAlign w:val="center"/>
                </w:tcPr>
                <w:p w14:paraId="55F2608D">
                  <w:pPr>
                    <w:keepNext w:val="0"/>
                    <w:keepLines w:val="0"/>
                    <w:widowControl/>
                    <w:suppressLineNumbers w:val="0"/>
                    <w:adjustRightInd w:val="0"/>
                    <w:snapToGrid w:val="0"/>
                    <w:spacing w:before="0" w:beforeAutospacing="0" w:after="0" w:afterAutospacing="0" w:line="320" w:lineRule="exact"/>
                    <w:ind w:left="0" w:right="0"/>
                    <w:jc w:val="center"/>
                    <w:rPr>
                      <w:b/>
                      <w:bCs/>
                      <w:color w:val="auto"/>
                      <w:szCs w:val="21"/>
                      <w:highlight w:val="none"/>
                    </w:rPr>
                  </w:pPr>
                  <w:r>
                    <w:rPr>
                      <w:rFonts w:hint="eastAsia"/>
                      <w:b/>
                      <w:bCs/>
                      <w:color w:val="auto"/>
                      <w:szCs w:val="21"/>
                      <w:highlight w:val="none"/>
                    </w:rPr>
                    <w:t>污染物</w:t>
                  </w:r>
                </w:p>
              </w:tc>
              <w:tc>
                <w:tcPr>
                  <w:tcW w:w="2736" w:type="dxa"/>
                  <w:tcBorders>
                    <w:tl2br w:val="nil"/>
                    <w:tr2bl w:val="nil"/>
                  </w:tcBorders>
                  <w:shd w:val="clear" w:color="auto" w:fill="auto"/>
                  <w:vAlign w:val="center"/>
                </w:tcPr>
                <w:p w14:paraId="650652B0">
                  <w:pPr>
                    <w:keepNext w:val="0"/>
                    <w:keepLines w:val="0"/>
                    <w:widowControl/>
                    <w:suppressLineNumbers w:val="0"/>
                    <w:adjustRightInd w:val="0"/>
                    <w:snapToGrid w:val="0"/>
                    <w:spacing w:before="0" w:beforeAutospacing="0" w:after="0" w:afterAutospacing="0" w:line="320" w:lineRule="exact"/>
                    <w:ind w:left="0" w:right="0"/>
                    <w:jc w:val="center"/>
                    <w:rPr>
                      <w:b/>
                      <w:bCs/>
                      <w:color w:val="auto"/>
                      <w:szCs w:val="21"/>
                      <w:highlight w:val="none"/>
                    </w:rPr>
                  </w:pPr>
                  <w:r>
                    <w:rPr>
                      <w:rFonts w:hint="eastAsia"/>
                      <w:b/>
                      <w:bCs/>
                      <w:color w:val="auto"/>
                      <w:szCs w:val="21"/>
                      <w:highlight w:val="none"/>
                    </w:rPr>
                    <w:t>Q</w:t>
                  </w:r>
                  <w:r>
                    <w:rPr>
                      <w:rFonts w:hint="eastAsia"/>
                      <w:b/>
                      <w:bCs/>
                      <w:color w:val="auto"/>
                      <w:szCs w:val="21"/>
                      <w:highlight w:val="none"/>
                      <w:vertAlign w:val="subscript"/>
                    </w:rPr>
                    <w:t>c</w:t>
                  </w:r>
                  <w:r>
                    <w:rPr>
                      <w:rFonts w:hint="eastAsia"/>
                      <w:b/>
                      <w:bCs/>
                      <w:color w:val="auto"/>
                      <w:szCs w:val="21"/>
                      <w:highlight w:val="none"/>
                    </w:rPr>
                    <w:t>无组织</w:t>
                  </w:r>
                  <w:r>
                    <w:rPr>
                      <w:b/>
                      <w:bCs/>
                      <w:color w:val="auto"/>
                      <w:szCs w:val="21"/>
                      <w:highlight w:val="none"/>
                    </w:rPr>
                    <w:t>排放速率</w:t>
                  </w:r>
                  <w:r>
                    <w:rPr>
                      <w:rFonts w:hint="eastAsia"/>
                      <w:b/>
                      <w:bCs/>
                      <w:color w:val="auto"/>
                      <w:szCs w:val="21"/>
                      <w:highlight w:val="none"/>
                    </w:rPr>
                    <w:t>（kg/h）</w:t>
                  </w:r>
                </w:p>
              </w:tc>
              <w:tc>
                <w:tcPr>
                  <w:tcW w:w="2514" w:type="dxa"/>
                  <w:tcBorders>
                    <w:tl2br w:val="nil"/>
                    <w:tr2bl w:val="nil"/>
                  </w:tcBorders>
                  <w:shd w:val="clear" w:color="auto" w:fill="auto"/>
                  <w:vAlign w:val="center"/>
                </w:tcPr>
                <w:p w14:paraId="24F57C25">
                  <w:pPr>
                    <w:keepNext w:val="0"/>
                    <w:keepLines w:val="0"/>
                    <w:widowControl/>
                    <w:suppressLineNumbers w:val="0"/>
                    <w:adjustRightInd w:val="0"/>
                    <w:snapToGrid w:val="0"/>
                    <w:spacing w:before="0" w:beforeAutospacing="0" w:after="0" w:afterAutospacing="0" w:line="320" w:lineRule="exact"/>
                    <w:ind w:left="0" w:right="0"/>
                    <w:jc w:val="center"/>
                    <w:rPr>
                      <w:b/>
                      <w:bCs/>
                      <w:color w:val="auto"/>
                      <w:szCs w:val="21"/>
                      <w:highlight w:val="none"/>
                    </w:rPr>
                  </w:pPr>
                  <w:r>
                    <w:rPr>
                      <w:rFonts w:hint="eastAsia"/>
                      <w:b/>
                      <w:bCs/>
                      <w:color w:val="auto"/>
                      <w:szCs w:val="21"/>
                      <w:highlight w:val="none"/>
                    </w:rPr>
                    <w:t>C</w:t>
                  </w:r>
                  <w:r>
                    <w:rPr>
                      <w:rFonts w:hint="eastAsia"/>
                      <w:b/>
                      <w:bCs/>
                      <w:color w:val="auto"/>
                      <w:szCs w:val="21"/>
                      <w:highlight w:val="none"/>
                      <w:vertAlign w:val="subscript"/>
                    </w:rPr>
                    <w:t>m</w:t>
                  </w:r>
                  <w:r>
                    <w:rPr>
                      <w:rFonts w:hint="eastAsia"/>
                      <w:b/>
                      <w:bCs/>
                      <w:color w:val="auto"/>
                      <w:szCs w:val="21"/>
                      <w:highlight w:val="none"/>
                    </w:rPr>
                    <w:t>评价标准值（mg</w:t>
                  </w:r>
                  <w:r>
                    <w:rPr>
                      <w:b/>
                      <w:bCs/>
                      <w:color w:val="auto"/>
                      <w:szCs w:val="21"/>
                      <w:highlight w:val="none"/>
                    </w:rPr>
                    <w:t>/</w:t>
                  </w:r>
                  <w:r>
                    <w:rPr>
                      <w:rFonts w:hint="eastAsia"/>
                      <w:b/>
                      <w:bCs/>
                      <w:color w:val="auto"/>
                      <w:szCs w:val="21"/>
                      <w:highlight w:val="none"/>
                    </w:rPr>
                    <w:t>m</w:t>
                  </w:r>
                  <w:r>
                    <w:rPr>
                      <w:rFonts w:hint="eastAsia"/>
                      <w:b/>
                      <w:bCs/>
                      <w:color w:val="auto"/>
                      <w:szCs w:val="21"/>
                      <w:highlight w:val="none"/>
                      <w:vertAlign w:val="superscript"/>
                    </w:rPr>
                    <w:t>3</w:t>
                  </w:r>
                  <w:r>
                    <w:rPr>
                      <w:rFonts w:hint="eastAsia"/>
                      <w:b/>
                      <w:bCs/>
                      <w:color w:val="auto"/>
                      <w:szCs w:val="21"/>
                      <w:highlight w:val="none"/>
                    </w:rPr>
                    <w:t>）</w:t>
                  </w:r>
                </w:p>
              </w:tc>
              <w:tc>
                <w:tcPr>
                  <w:tcW w:w="1873" w:type="dxa"/>
                  <w:tcBorders>
                    <w:tl2br w:val="nil"/>
                    <w:tr2bl w:val="nil"/>
                  </w:tcBorders>
                  <w:shd w:val="clear" w:color="auto" w:fill="auto"/>
                  <w:vAlign w:val="center"/>
                </w:tcPr>
                <w:p w14:paraId="4D6D9D45">
                  <w:pPr>
                    <w:keepNext w:val="0"/>
                    <w:keepLines w:val="0"/>
                    <w:widowControl/>
                    <w:suppressLineNumbers w:val="0"/>
                    <w:adjustRightInd w:val="0"/>
                    <w:snapToGrid w:val="0"/>
                    <w:spacing w:before="0" w:beforeAutospacing="0" w:after="0" w:afterAutospacing="0" w:line="320" w:lineRule="exact"/>
                    <w:ind w:left="0" w:right="0"/>
                    <w:jc w:val="center"/>
                    <w:rPr>
                      <w:b/>
                      <w:bCs/>
                      <w:color w:val="auto"/>
                      <w:szCs w:val="21"/>
                      <w:highlight w:val="none"/>
                    </w:rPr>
                  </w:pPr>
                  <w:r>
                    <w:rPr>
                      <w:rFonts w:hint="eastAsia"/>
                      <w:b/>
                      <w:bCs/>
                      <w:color w:val="auto"/>
                      <w:szCs w:val="21"/>
                      <w:highlight w:val="none"/>
                    </w:rPr>
                    <w:t>等标排放量</w:t>
                  </w:r>
                </w:p>
              </w:tc>
            </w:tr>
            <w:tr w14:paraId="76768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055" w:type="dxa"/>
                  <w:tcBorders>
                    <w:tl2br w:val="nil"/>
                    <w:tr2bl w:val="nil"/>
                  </w:tcBorders>
                  <w:shd w:val="clear" w:color="auto" w:fill="auto"/>
                  <w:vAlign w:val="center"/>
                </w:tcPr>
                <w:p w14:paraId="12CA0843">
                  <w:pPr>
                    <w:keepNext w:val="0"/>
                    <w:keepLines w:val="0"/>
                    <w:widowControl/>
                    <w:suppressLineNumbers w:val="0"/>
                    <w:adjustRightInd w:val="0"/>
                    <w:snapToGrid w:val="0"/>
                    <w:spacing w:before="0" w:beforeAutospacing="0" w:after="0" w:afterAutospacing="0" w:line="320" w:lineRule="exact"/>
                    <w:ind w:left="0" w:right="0"/>
                    <w:jc w:val="center"/>
                    <w:rPr>
                      <w:color w:val="auto"/>
                      <w:szCs w:val="21"/>
                      <w:highlight w:val="none"/>
                    </w:rPr>
                  </w:pPr>
                  <w:r>
                    <w:rPr>
                      <w:rFonts w:hint="eastAsia"/>
                      <w:color w:val="auto"/>
                      <w:szCs w:val="21"/>
                      <w:highlight w:val="none"/>
                    </w:rPr>
                    <w:t>VOCs</w:t>
                  </w:r>
                </w:p>
              </w:tc>
              <w:tc>
                <w:tcPr>
                  <w:tcW w:w="2736" w:type="dxa"/>
                  <w:tcBorders>
                    <w:tl2br w:val="nil"/>
                    <w:tr2bl w:val="nil"/>
                  </w:tcBorders>
                  <w:shd w:val="clear" w:color="auto" w:fill="auto"/>
                  <w:vAlign w:val="center"/>
                </w:tcPr>
                <w:p w14:paraId="0F519502">
                  <w:pPr>
                    <w:keepNext w:val="0"/>
                    <w:keepLines w:val="0"/>
                    <w:widowControl/>
                    <w:suppressLineNumbers w:val="0"/>
                    <w:adjustRightInd w:val="0"/>
                    <w:snapToGrid w:val="0"/>
                    <w:spacing w:before="0" w:beforeAutospacing="0" w:after="0" w:afterAutospacing="0" w:line="320" w:lineRule="exact"/>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0.0579</w:t>
                  </w:r>
                </w:p>
              </w:tc>
              <w:tc>
                <w:tcPr>
                  <w:tcW w:w="2514" w:type="dxa"/>
                  <w:tcBorders>
                    <w:tl2br w:val="nil"/>
                    <w:tr2bl w:val="nil"/>
                  </w:tcBorders>
                  <w:shd w:val="clear" w:color="auto" w:fill="auto"/>
                  <w:vAlign w:val="center"/>
                </w:tcPr>
                <w:p w14:paraId="1B125674">
                  <w:pPr>
                    <w:keepNext w:val="0"/>
                    <w:keepLines w:val="0"/>
                    <w:widowControl/>
                    <w:suppressLineNumbers w:val="0"/>
                    <w:adjustRightInd w:val="0"/>
                    <w:snapToGrid w:val="0"/>
                    <w:spacing w:before="0" w:beforeAutospacing="0" w:after="0" w:afterAutospacing="0" w:line="320" w:lineRule="exact"/>
                    <w:ind w:left="0" w:right="0"/>
                    <w:jc w:val="center"/>
                    <w:rPr>
                      <w:color w:val="auto"/>
                      <w:szCs w:val="21"/>
                      <w:highlight w:val="none"/>
                    </w:rPr>
                  </w:pPr>
                  <w:r>
                    <w:rPr>
                      <w:rFonts w:hint="eastAsia"/>
                      <w:color w:val="auto"/>
                      <w:szCs w:val="21"/>
                      <w:highlight w:val="none"/>
                    </w:rPr>
                    <w:t>1</w:t>
                  </w:r>
                  <w:r>
                    <w:rPr>
                      <w:color w:val="auto"/>
                      <w:szCs w:val="21"/>
                      <w:highlight w:val="none"/>
                    </w:rPr>
                    <w:t>.2</w:t>
                  </w:r>
                </w:p>
              </w:tc>
              <w:tc>
                <w:tcPr>
                  <w:tcW w:w="1873" w:type="dxa"/>
                  <w:tcBorders>
                    <w:tl2br w:val="nil"/>
                    <w:tr2bl w:val="nil"/>
                  </w:tcBorders>
                  <w:shd w:val="clear" w:color="auto" w:fill="auto"/>
                  <w:vAlign w:val="center"/>
                </w:tcPr>
                <w:p w14:paraId="30672375">
                  <w:pPr>
                    <w:keepNext w:val="0"/>
                    <w:keepLines w:val="0"/>
                    <w:widowControl/>
                    <w:suppressLineNumbers w:val="0"/>
                    <w:adjustRightInd w:val="0"/>
                    <w:snapToGrid w:val="0"/>
                    <w:spacing w:before="0" w:beforeAutospacing="0" w:after="0" w:afterAutospacing="0" w:line="320" w:lineRule="exact"/>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0.0483</w:t>
                  </w:r>
                </w:p>
              </w:tc>
            </w:tr>
          </w:tbl>
          <w:p w14:paraId="6F0A0A71">
            <w:pPr>
              <w:keepNext w:val="0"/>
              <w:keepLines w:val="0"/>
              <w:widowControl/>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int="eastAsia"/>
                <w:color w:val="auto"/>
                <w:sz w:val="24"/>
                <w:highlight w:val="none"/>
              </w:rPr>
              <w:t>选择</w:t>
            </w:r>
            <w:r>
              <w:rPr>
                <w:rFonts w:hint="eastAsia"/>
                <w:color w:val="auto"/>
                <w:szCs w:val="21"/>
                <w:highlight w:val="none"/>
              </w:rPr>
              <w:t>VOCs</w:t>
            </w:r>
            <w:r>
              <w:rPr>
                <w:rFonts w:hint="eastAsia"/>
                <w:color w:val="auto"/>
                <w:sz w:val="24"/>
                <w:highlight w:val="none"/>
              </w:rPr>
              <w:t>为本项目无组织排放的主要特征大气有害物质，进行卫生防护距离计算：</w:t>
            </w:r>
          </w:p>
          <w:p w14:paraId="0A6F763F">
            <w:pPr>
              <w:widowControl/>
              <w:adjustRightInd w:val="0"/>
              <w:snapToGrid w:val="0"/>
              <w:spacing w:line="360" w:lineRule="auto"/>
              <w:ind w:firstLine="480" w:firstLineChars="200"/>
              <w:rPr>
                <w:color w:val="auto"/>
                <w:sz w:val="24"/>
                <w:highlight w:val="none"/>
              </w:rPr>
            </w:pPr>
            <w:r>
              <w:rPr>
                <w:rFonts w:hint="eastAsia"/>
                <w:color w:val="auto"/>
                <w:sz w:val="24"/>
                <w:highlight w:val="none"/>
              </w:rPr>
              <w:t>卫生防护距离</w:t>
            </w:r>
            <w:r>
              <w:rPr>
                <w:color w:val="auto"/>
                <w:sz w:val="24"/>
                <w:highlight w:val="none"/>
              </w:rPr>
              <w:t>计算公式如下</w:t>
            </w:r>
            <w:r>
              <w:rPr>
                <w:rFonts w:hint="eastAsia"/>
                <w:color w:val="auto"/>
                <w:sz w:val="24"/>
                <w:highlight w:val="none"/>
              </w:rPr>
              <w:t>：</w:t>
            </w:r>
            <w:r>
              <w:rPr>
                <w:color w:val="auto"/>
                <w:sz w:val="24"/>
                <w:highlight w:val="none"/>
              </w:rPr>
              <w:t xml:space="preserve"> </w:t>
            </w:r>
          </w:p>
          <w:p w14:paraId="2AD6695B">
            <w:pPr>
              <w:widowControl/>
              <w:autoSpaceDE w:val="0"/>
              <w:autoSpaceDN w:val="0"/>
              <w:adjustRightInd w:val="0"/>
              <w:spacing w:line="360" w:lineRule="auto"/>
              <w:jc w:val="center"/>
              <w:rPr>
                <w:bCs/>
                <w:color w:val="auto"/>
                <w:sz w:val="24"/>
                <w:highlight w:val="none"/>
              </w:rPr>
            </w:pPr>
            <w:r>
              <w:rPr>
                <w:color w:val="auto"/>
                <w:sz w:val="24"/>
                <w:highlight w:val="none"/>
              </w:rPr>
              <w:drawing>
                <wp:inline distT="0" distB="0" distL="0" distR="0">
                  <wp:extent cx="2392045" cy="39370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392045" cy="393700"/>
                          </a:xfrm>
                          <a:prstGeom prst="rect">
                            <a:avLst/>
                          </a:prstGeom>
                          <a:noFill/>
                          <a:ln>
                            <a:noFill/>
                          </a:ln>
                        </pic:spPr>
                      </pic:pic>
                    </a:graphicData>
                  </a:graphic>
                </wp:inline>
              </w:drawing>
            </w:r>
          </w:p>
          <w:p w14:paraId="1F209C02">
            <w:pPr>
              <w:spacing w:line="360" w:lineRule="auto"/>
              <w:ind w:firstLine="480" w:firstLineChars="200"/>
              <w:rPr>
                <w:bCs/>
                <w:color w:val="auto"/>
                <w:sz w:val="24"/>
              </w:rPr>
            </w:pPr>
            <w:bookmarkStart w:id="38" w:name="_Toc31705"/>
            <w:bookmarkStart w:id="39" w:name="_Toc3162"/>
            <w:bookmarkStart w:id="40" w:name="_Toc12689"/>
            <w:bookmarkStart w:id="41" w:name="_Toc26565"/>
            <w:bookmarkStart w:id="42" w:name="_Toc8770"/>
            <w:r>
              <w:rPr>
                <w:bCs/>
                <w:color w:val="auto"/>
                <w:sz w:val="24"/>
              </w:rPr>
              <w:t>式中：Q</w:t>
            </w:r>
            <w:r>
              <w:rPr>
                <w:bCs/>
                <w:color w:val="auto"/>
                <w:sz w:val="24"/>
                <w:vertAlign w:val="subscript"/>
              </w:rPr>
              <w:t>C</w:t>
            </w:r>
            <w:r>
              <w:rPr>
                <w:bCs/>
                <w:color w:val="auto"/>
                <w:sz w:val="24"/>
              </w:rPr>
              <w:t>──污染物的无组织排放量，kg/h；</w:t>
            </w:r>
            <w:bookmarkEnd w:id="38"/>
            <w:bookmarkEnd w:id="39"/>
            <w:bookmarkEnd w:id="40"/>
            <w:bookmarkEnd w:id="41"/>
            <w:bookmarkEnd w:id="42"/>
          </w:p>
          <w:p w14:paraId="32DDAF7C">
            <w:pPr>
              <w:spacing w:line="360" w:lineRule="auto"/>
              <w:ind w:firstLine="1200" w:firstLineChars="500"/>
              <w:rPr>
                <w:bCs/>
                <w:color w:val="auto"/>
                <w:sz w:val="24"/>
              </w:rPr>
            </w:pPr>
            <w:bookmarkStart w:id="43" w:name="_Toc3609"/>
            <w:bookmarkStart w:id="44" w:name="_Toc8859"/>
            <w:bookmarkStart w:id="45" w:name="_Toc9016"/>
            <w:bookmarkStart w:id="46" w:name="_Toc5277"/>
            <w:bookmarkStart w:id="47" w:name="_Toc30721"/>
            <w:r>
              <w:rPr>
                <w:bCs/>
                <w:color w:val="auto"/>
                <w:sz w:val="24"/>
              </w:rPr>
              <w:t>C</w:t>
            </w:r>
            <w:r>
              <w:rPr>
                <w:bCs/>
                <w:color w:val="auto"/>
                <w:sz w:val="24"/>
                <w:vertAlign w:val="subscript"/>
              </w:rPr>
              <w:t>m</w:t>
            </w:r>
            <w:r>
              <w:rPr>
                <w:bCs/>
                <w:color w:val="auto"/>
                <w:sz w:val="24"/>
              </w:rPr>
              <w:t>──污染物的标准浓度限值，mg/m</w:t>
            </w:r>
            <w:r>
              <w:rPr>
                <w:bCs/>
                <w:color w:val="auto"/>
                <w:sz w:val="24"/>
                <w:vertAlign w:val="superscript"/>
              </w:rPr>
              <w:t>3</w:t>
            </w:r>
            <w:r>
              <w:rPr>
                <w:bCs/>
                <w:color w:val="auto"/>
                <w:sz w:val="24"/>
              </w:rPr>
              <w:t>；</w:t>
            </w:r>
            <w:bookmarkEnd w:id="43"/>
            <w:bookmarkEnd w:id="44"/>
            <w:bookmarkEnd w:id="45"/>
            <w:bookmarkEnd w:id="46"/>
            <w:bookmarkEnd w:id="47"/>
          </w:p>
          <w:p w14:paraId="6F384D98">
            <w:pPr>
              <w:spacing w:line="360" w:lineRule="auto"/>
              <w:ind w:firstLine="1200" w:firstLineChars="500"/>
              <w:rPr>
                <w:bCs/>
                <w:color w:val="auto"/>
                <w:sz w:val="24"/>
              </w:rPr>
            </w:pPr>
            <w:bookmarkStart w:id="48" w:name="_Toc7214"/>
            <w:bookmarkStart w:id="49" w:name="_Toc28092"/>
            <w:bookmarkStart w:id="50" w:name="_Toc12547"/>
            <w:bookmarkStart w:id="51" w:name="_Toc32164"/>
            <w:r>
              <w:rPr>
                <w:bCs/>
                <w:color w:val="auto"/>
                <w:sz w:val="24"/>
              </w:rPr>
              <w:t>L──卫生防护距离，m；</w:t>
            </w:r>
            <w:bookmarkEnd w:id="48"/>
            <w:bookmarkEnd w:id="49"/>
            <w:bookmarkEnd w:id="50"/>
            <w:bookmarkEnd w:id="51"/>
          </w:p>
          <w:p w14:paraId="61F34448">
            <w:pPr>
              <w:spacing w:line="360" w:lineRule="auto"/>
              <w:ind w:firstLine="1200" w:firstLineChars="500"/>
              <w:rPr>
                <w:bCs/>
                <w:color w:val="auto"/>
                <w:sz w:val="24"/>
              </w:rPr>
            </w:pPr>
            <w:bookmarkStart w:id="52" w:name="_Toc29340"/>
            <w:bookmarkStart w:id="53" w:name="_Toc19624"/>
            <w:bookmarkStart w:id="54" w:name="_Toc22859"/>
            <w:bookmarkStart w:id="55" w:name="_Toc5311"/>
            <w:bookmarkStart w:id="56" w:name="_Toc23581"/>
            <w:r>
              <w:rPr>
                <w:bCs/>
                <w:color w:val="auto"/>
                <w:sz w:val="24"/>
              </w:rPr>
              <w:t>r──生产单元的等效半径，m；</w:t>
            </w:r>
            <w:bookmarkEnd w:id="52"/>
            <w:bookmarkEnd w:id="53"/>
            <w:bookmarkEnd w:id="54"/>
            <w:bookmarkEnd w:id="55"/>
            <w:bookmarkEnd w:id="56"/>
          </w:p>
          <w:p w14:paraId="4FEF7F22">
            <w:pPr>
              <w:numPr>
                <w:ilvl w:val="0"/>
                <w:numId w:val="5"/>
              </w:numPr>
              <w:spacing w:line="360" w:lineRule="auto"/>
              <w:ind w:firstLine="480" w:firstLineChars="200"/>
              <w:rPr>
                <w:bCs/>
                <w:color w:val="auto"/>
                <w:sz w:val="24"/>
              </w:rPr>
            </w:pPr>
            <w:bookmarkStart w:id="57" w:name="_Toc8299"/>
            <w:bookmarkStart w:id="58" w:name="_Toc26019"/>
            <w:bookmarkStart w:id="59" w:name="_Toc29627"/>
            <w:bookmarkStart w:id="60" w:name="_Toc24570"/>
            <w:bookmarkStart w:id="61" w:name="_Toc32458"/>
            <w:r>
              <w:rPr>
                <w:bCs/>
                <w:color w:val="auto"/>
                <w:sz w:val="24"/>
              </w:rPr>
              <w:t>B、C、D──计算系数，从GB/T13201-91《制定地方大气污染物排放标准的技术方法》中查取。</w:t>
            </w:r>
            <w:bookmarkEnd w:id="57"/>
            <w:bookmarkEnd w:id="58"/>
            <w:bookmarkEnd w:id="59"/>
            <w:bookmarkEnd w:id="60"/>
            <w:bookmarkEnd w:id="61"/>
          </w:p>
          <w:p w14:paraId="2A840B06">
            <w:pPr>
              <w:ind w:firstLine="207" w:firstLineChars="98"/>
              <w:jc w:val="center"/>
              <w:rPr>
                <w:bCs/>
                <w:color w:val="auto"/>
                <w:szCs w:val="21"/>
              </w:rPr>
            </w:pPr>
            <w:r>
              <w:rPr>
                <w:b/>
                <w:color w:val="auto"/>
                <w:szCs w:val="21"/>
              </w:rPr>
              <w:t>表4-</w:t>
            </w:r>
            <w:r>
              <w:rPr>
                <w:rFonts w:hint="eastAsia"/>
                <w:b/>
                <w:color w:val="auto"/>
                <w:szCs w:val="21"/>
                <w:lang w:val="en-US" w:eastAsia="zh-CN"/>
              </w:rPr>
              <w:t>15</w:t>
            </w:r>
            <w:r>
              <w:rPr>
                <w:b/>
                <w:color w:val="auto"/>
                <w:szCs w:val="21"/>
              </w:rPr>
              <w:t xml:space="preserve">  卫生防护距离计算系数</w:t>
            </w:r>
          </w:p>
          <w:tbl>
            <w:tblPr>
              <w:tblStyle w:val="25"/>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330"/>
              <w:gridCol w:w="617"/>
              <w:gridCol w:w="739"/>
              <w:gridCol w:w="564"/>
              <w:gridCol w:w="618"/>
              <w:gridCol w:w="739"/>
              <w:gridCol w:w="591"/>
              <w:gridCol w:w="739"/>
              <w:gridCol w:w="738"/>
              <w:gridCol w:w="889"/>
            </w:tblGrid>
            <w:tr w14:paraId="0E8A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9" w:type="dxa"/>
                  <w:vMerge w:val="restart"/>
                  <w:vAlign w:val="center"/>
                </w:tcPr>
                <w:p w14:paraId="03179F49">
                  <w:pPr>
                    <w:jc w:val="center"/>
                    <w:rPr>
                      <w:b/>
                      <w:color w:val="auto"/>
                      <w:szCs w:val="21"/>
                    </w:rPr>
                  </w:pPr>
                  <w:r>
                    <w:rPr>
                      <w:b/>
                      <w:color w:val="auto"/>
                      <w:szCs w:val="21"/>
                    </w:rPr>
                    <w:t>计算</w:t>
                  </w:r>
                </w:p>
                <w:p w14:paraId="68DE387B">
                  <w:pPr>
                    <w:jc w:val="center"/>
                    <w:rPr>
                      <w:b/>
                      <w:color w:val="auto"/>
                      <w:szCs w:val="21"/>
                    </w:rPr>
                  </w:pPr>
                  <w:r>
                    <w:rPr>
                      <w:b/>
                      <w:color w:val="auto"/>
                      <w:szCs w:val="21"/>
                    </w:rPr>
                    <w:t>系数</w:t>
                  </w:r>
                </w:p>
              </w:tc>
              <w:tc>
                <w:tcPr>
                  <w:tcW w:w="1330" w:type="dxa"/>
                  <w:vMerge w:val="restart"/>
                  <w:vAlign w:val="center"/>
                </w:tcPr>
                <w:p w14:paraId="51E84D05">
                  <w:pPr>
                    <w:jc w:val="center"/>
                    <w:rPr>
                      <w:b/>
                      <w:color w:val="auto"/>
                      <w:szCs w:val="21"/>
                    </w:rPr>
                  </w:pPr>
                  <w:r>
                    <w:rPr>
                      <w:b/>
                      <w:color w:val="auto"/>
                      <w:szCs w:val="21"/>
                    </w:rPr>
                    <w:t>工业企业所在地区近五年平均风速（m/s）</w:t>
                  </w:r>
                </w:p>
              </w:tc>
              <w:tc>
                <w:tcPr>
                  <w:tcW w:w="6233" w:type="dxa"/>
                  <w:gridSpan w:val="9"/>
                  <w:vAlign w:val="center"/>
                </w:tcPr>
                <w:p w14:paraId="230B87BB">
                  <w:pPr>
                    <w:jc w:val="center"/>
                    <w:rPr>
                      <w:b/>
                      <w:color w:val="auto"/>
                      <w:szCs w:val="21"/>
                    </w:rPr>
                  </w:pPr>
                  <w:r>
                    <w:rPr>
                      <w:b/>
                      <w:color w:val="auto"/>
                      <w:szCs w:val="21"/>
                    </w:rPr>
                    <w:t>卫生防护距离</w:t>
                  </w:r>
                </w:p>
              </w:tc>
            </w:tr>
            <w:tr w14:paraId="52FD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9" w:type="dxa"/>
                  <w:vMerge w:val="continue"/>
                  <w:vAlign w:val="center"/>
                </w:tcPr>
                <w:p w14:paraId="4E854778">
                  <w:pPr>
                    <w:jc w:val="center"/>
                    <w:rPr>
                      <w:b/>
                      <w:color w:val="auto"/>
                      <w:szCs w:val="21"/>
                    </w:rPr>
                  </w:pPr>
                </w:p>
              </w:tc>
              <w:tc>
                <w:tcPr>
                  <w:tcW w:w="1330" w:type="dxa"/>
                  <w:vMerge w:val="continue"/>
                  <w:vAlign w:val="center"/>
                </w:tcPr>
                <w:p w14:paraId="587E91EE">
                  <w:pPr>
                    <w:jc w:val="center"/>
                    <w:rPr>
                      <w:b/>
                      <w:color w:val="auto"/>
                      <w:szCs w:val="21"/>
                    </w:rPr>
                  </w:pPr>
                </w:p>
              </w:tc>
              <w:tc>
                <w:tcPr>
                  <w:tcW w:w="1920" w:type="dxa"/>
                  <w:gridSpan w:val="3"/>
                  <w:vAlign w:val="center"/>
                </w:tcPr>
                <w:p w14:paraId="12F9D811">
                  <w:pPr>
                    <w:jc w:val="center"/>
                    <w:rPr>
                      <w:b/>
                      <w:color w:val="auto"/>
                      <w:szCs w:val="21"/>
                    </w:rPr>
                  </w:pPr>
                  <w:r>
                    <w:rPr>
                      <w:b/>
                      <w:color w:val="auto"/>
                      <w:szCs w:val="21"/>
                    </w:rPr>
                    <w:t>L≤1000</w:t>
                  </w:r>
                </w:p>
              </w:tc>
              <w:tc>
                <w:tcPr>
                  <w:tcW w:w="1948" w:type="dxa"/>
                  <w:gridSpan w:val="3"/>
                  <w:vAlign w:val="center"/>
                </w:tcPr>
                <w:p w14:paraId="14FA845A">
                  <w:pPr>
                    <w:jc w:val="center"/>
                    <w:rPr>
                      <w:b/>
                      <w:color w:val="auto"/>
                      <w:szCs w:val="21"/>
                    </w:rPr>
                  </w:pPr>
                  <w:r>
                    <w:rPr>
                      <w:b/>
                      <w:color w:val="auto"/>
                      <w:szCs w:val="21"/>
                    </w:rPr>
                    <w:t>1000&lt;L≤2000</w:t>
                  </w:r>
                </w:p>
              </w:tc>
              <w:tc>
                <w:tcPr>
                  <w:tcW w:w="2364" w:type="dxa"/>
                  <w:gridSpan w:val="3"/>
                  <w:vAlign w:val="center"/>
                </w:tcPr>
                <w:p w14:paraId="342783CF">
                  <w:pPr>
                    <w:jc w:val="center"/>
                    <w:rPr>
                      <w:b/>
                      <w:color w:val="auto"/>
                      <w:szCs w:val="21"/>
                    </w:rPr>
                  </w:pPr>
                  <w:r>
                    <w:rPr>
                      <w:b/>
                      <w:color w:val="auto"/>
                      <w:szCs w:val="21"/>
                    </w:rPr>
                    <w:t>L&gt;2000</w:t>
                  </w:r>
                </w:p>
              </w:tc>
            </w:tr>
            <w:tr w14:paraId="5B9E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9" w:type="dxa"/>
                  <w:vMerge w:val="continue"/>
                  <w:vAlign w:val="center"/>
                </w:tcPr>
                <w:p w14:paraId="3EBF8BFB">
                  <w:pPr>
                    <w:jc w:val="center"/>
                    <w:rPr>
                      <w:b/>
                      <w:color w:val="auto"/>
                      <w:szCs w:val="21"/>
                    </w:rPr>
                  </w:pPr>
                </w:p>
              </w:tc>
              <w:tc>
                <w:tcPr>
                  <w:tcW w:w="1330" w:type="dxa"/>
                  <w:vMerge w:val="continue"/>
                  <w:vAlign w:val="center"/>
                </w:tcPr>
                <w:p w14:paraId="17257710">
                  <w:pPr>
                    <w:jc w:val="center"/>
                    <w:rPr>
                      <w:b/>
                      <w:color w:val="auto"/>
                      <w:szCs w:val="21"/>
                    </w:rPr>
                  </w:pPr>
                </w:p>
              </w:tc>
              <w:tc>
                <w:tcPr>
                  <w:tcW w:w="6233" w:type="dxa"/>
                  <w:gridSpan w:val="9"/>
                  <w:vAlign w:val="center"/>
                </w:tcPr>
                <w:p w14:paraId="71688302">
                  <w:pPr>
                    <w:jc w:val="center"/>
                    <w:rPr>
                      <w:b/>
                      <w:color w:val="auto"/>
                      <w:szCs w:val="21"/>
                    </w:rPr>
                  </w:pPr>
                  <w:r>
                    <w:rPr>
                      <w:b/>
                      <w:color w:val="auto"/>
                      <w:szCs w:val="21"/>
                    </w:rPr>
                    <w:t>工业企业大气污染物构成类别</w:t>
                  </w:r>
                </w:p>
              </w:tc>
            </w:tr>
            <w:tr w14:paraId="420F0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9" w:type="dxa"/>
                  <w:vMerge w:val="continue"/>
                  <w:vAlign w:val="center"/>
                </w:tcPr>
                <w:p w14:paraId="0620D928">
                  <w:pPr>
                    <w:jc w:val="center"/>
                    <w:rPr>
                      <w:b/>
                      <w:color w:val="auto"/>
                      <w:szCs w:val="21"/>
                    </w:rPr>
                  </w:pPr>
                </w:p>
              </w:tc>
              <w:tc>
                <w:tcPr>
                  <w:tcW w:w="1330" w:type="dxa"/>
                  <w:vMerge w:val="continue"/>
                  <w:vAlign w:val="center"/>
                </w:tcPr>
                <w:p w14:paraId="1B5155A6">
                  <w:pPr>
                    <w:jc w:val="center"/>
                    <w:rPr>
                      <w:b/>
                      <w:color w:val="auto"/>
                      <w:szCs w:val="21"/>
                    </w:rPr>
                  </w:pPr>
                </w:p>
              </w:tc>
              <w:tc>
                <w:tcPr>
                  <w:tcW w:w="617" w:type="dxa"/>
                  <w:vAlign w:val="center"/>
                </w:tcPr>
                <w:p w14:paraId="1CA621FB">
                  <w:pPr>
                    <w:jc w:val="center"/>
                    <w:rPr>
                      <w:b/>
                      <w:color w:val="auto"/>
                      <w:szCs w:val="21"/>
                    </w:rPr>
                  </w:pPr>
                  <w:r>
                    <w:rPr>
                      <w:b/>
                      <w:color w:val="auto"/>
                      <w:szCs w:val="21"/>
                    </w:rPr>
                    <w:t>I</w:t>
                  </w:r>
                </w:p>
              </w:tc>
              <w:tc>
                <w:tcPr>
                  <w:tcW w:w="739" w:type="dxa"/>
                  <w:vAlign w:val="center"/>
                </w:tcPr>
                <w:p w14:paraId="2CCA3498">
                  <w:pPr>
                    <w:jc w:val="center"/>
                    <w:rPr>
                      <w:b/>
                      <w:color w:val="auto"/>
                      <w:szCs w:val="21"/>
                    </w:rPr>
                  </w:pPr>
                  <w:r>
                    <w:rPr>
                      <w:b/>
                      <w:color w:val="auto"/>
                      <w:szCs w:val="21"/>
                    </w:rPr>
                    <w:t>II</w:t>
                  </w:r>
                </w:p>
              </w:tc>
              <w:tc>
                <w:tcPr>
                  <w:tcW w:w="563" w:type="dxa"/>
                  <w:vAlign w:val="center"/>
                </w:tcPr>
                <w:p w14:paraId="5C065906">
                  <w:pPr>
                    <w:jc w:val="center"/>
                    <w:rPr>
                      <w:b/>
                      <w:color w:val="auto"/>
                      <w:szCs w:val="21"/>
                    </w:rPr>
                  </w:pPr>
                  <w:r>
                    <w:rPr>
                      <w:b/>
                      <w:color w:val="auto"/>
                      <w:szCs w:val="21"/>
                    </w:rPr>
                    <w:t>III</w:t>
                  </w:r>
                </w:p>
              </w:tc>
              <w:tc>
                <w:tcPr>
                  <w:tcW w:w="618" w:type="dxa"/>
                  <w:vAlign w:val="center"/>
                </w:tcPr>
                <w:p w14:paraId="7778066F">
                  <w:pPr>
                    <w:jc w:val="center"/>
                    <w:rPr>
                      <w:b/>
                      <w:color w:val="auto"/>
                      <w:szCs w:val="21"/>
                    </w:rPr>
                  </w:pPr>
                  <w:r>
                    <w:rPr>
                      <w:b/>
                      <w:color w:val="auto"/>
                      <w:szCs w:val="21"/>
                    </w:rPr>
                    <w:t>I</w:t>
                  </w:r>
                </w:p>
              </w:tc>
              <w:tc>
                <w:tcPr>
                  <w:tcW w:w="739" w:type="dxa"/>
                  <w:vAlign w:val="center"/>
                </w:tcPr>
                <w:p w14:paraId="4FD0C4BC">
                  <w:pPr>
                    <w:jc w:val="center"/>
                    <w:rPr>
                      <w:b/>
                      <w:color w:val="auto"/>
                      <w:szCs w:val="21"/>
                    </w:rPr>
                  </w:pPr>
                  <w:r>
                    <w:rPr>
                      <w:b/>
                      <w:color w:val="auto"/>
                      <w:szCs w:val="21"/>
                    </w:rPr>
                    <w:t>II</w:t>
                  </w:r>
                </w:p>
              </w:tc>
              <w:tc>
                <w:tcPr>
                  <w:tcW w:w="591" w:type="dxa"/>
                  <w:vAlign w:val="center"/>
                </w:tcPr>
                <w:p w14:paraId="2B4C16FB">
                  <w:pPr>
                    <w:jc w:val="center"/>
                    <w:rPr>
                      <w:b/>
                      <w:color w:val="auto"/>
                      <w:szCs w:val="21"/>
                    </w:rPr>
                  </w:pPr>
                  <w:r>
                    <w:rPr>
                      <w:b/>
                      <w:color w:val="auto"/>
                      <w:szCs w:val="21"/>
                    </w:rPr>
                    <w:t>III</w:t>
                  </w:r>
                </w:p>
              </w:tc>
              <w:tc>
                <w:tcPr>
                  <w:tcW w:w="739" w:type="dxa"/>
                  <w:vAlign w:val="center"/>
                </w:tcPr>
                <w:p w14:paraId="1147051F">
                  <w:pPr>
                    <w:jc w:val="center"/>
                    <w:rPr>
                      <w:b/>
                      <w:color w:val="auto"/>
                      <w:szCs w:val="21"/>
                    </w:rPr>
                  </w:pPr>
                  <w:r>
                    <w:rPr>
                      <w:b/>
                      <w:color w:val="auto"/>
                      <w:szCs w:val="21"/>
                    </w:rPr>
                    <w:t>I</w:t>
                  </w:r>
                </w:p>
              </w:tc>
              <w:tc>
                <w:tcPr>
                  <w:tcW w:w="738" w:type="dxa"/>
                  <w:vAlign w:val="center"/>
                </w:tcPr>
                <w:p w14:paraId="7E7212AA">
                  <w:pPr>
                    <w:jc w:val="center"/>
                    <w:rPr>
                      <w:b/>
                      <w:color w:val="auto"/>
                      <w:szCs w:val="21"/>
                    </w:rPr>
                  </w:pPr>
                  <w:r>
                    <w:rPr>
                      <w:b/>
                      <w:color w:val="auto"/>
                      <w:szCs w:val="21"/>
                    </w:rPr>
                    <w:t>II</w:t>
                  </w:r>
                </w:p>
              </w:tc>
              <w:tc>
                <w:tcPr>
                  <w:tcW w:w="887" w:type="dxa"/>
                  <w:vAlign w:val="center"/>
                </w:tcPr>
                <w:p w14:paraId="7E2213F7">
                  <w:pPr>
                    <w:jc w:val="center"/>
                    <w:rPr>
                      <w:b/>
                      <w:color w:val="auto"/>
                      <w:szCs w:val="21"/>
                    </w:rPr>
                  </w:pPr>
                  <w:r>
                    <w:rPr>
                      <w:b/>
                      <w:color w:val="auto"/>
                      <w:szCs w:val="21"/>
                    </w:rPr>
                    <w:t>III</w:t>
                  </w:r>
                </w:p>
              </w:tc>
            </w:tr>
            <w:tr w14:paraId="265A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9" w:type="dxa"/>
                  <w:vAlign w:val="center"/>
                </w:tcPr>
                <w:p w14:paraId="15146059">
                  <w:pPr>
                    <w:jc w:val="center"/>
                    <w:rPr>
                      <w:bCs/>
                      <w:color w:val="auto"/>
                      <w:szCs w:val="21"/>
                    </w:rPr>
                  </w:pPr>
                  <w:r>
                    <w:rPr>
                      <w:bCs/>
                      <w:color w:val="auto"/>
                      <w:szCs w:val="21"/>
                    </w:rPr>
                    <w:t>A</w:t>
                  </w:r>
                </w:p>
              </w:tc>
              <w:tc>
                <w:tcPr>
                  <w:tcW w:w="1330" w:type="dxa"/>
                  <w:vAlign w:val="center"/>
                </w:tcPr>
                <w:p w14:paraId="4B3A5B4A">
                  <w:pPr>
                    <w:jc w:val="center"/>
                    <w:rPr>
                      <w:bCs/>
                      <w:color w:val="auto"/>
                      <w:szCs w:val="21"/>
                    </w:rPr>
                  </w:pPr>
                  <w:r>
                    <w:rPr>
                      <w:bCs/>
                      <w:color w:val="auto"/>
                      <w:szCs w:val="21"/>
                    </w:rPr>
                    <w:t>&lt;2</w:t>
                  </w:r>
                </w:p>
                <w:p w14:paraId="46012159">
                  <w:pPr>
                    <w:jc w:val="center"/>
                    <w:rPr>
                      <w:bCs/>
                      <w:color w:val="auto"/>
                      <w:szCs w:val="21"/>
                    </w:rPr>
                  </w:pPr>
                  <w:r>
                    <w:rPr>
                      <w:bCs/>
                      <w:color w:val="auto"/>
                      <w:szCs w:val="21"/>
                    </w:rPr>
                    <w:t>2-4</w:t>
                  </w:r>
                </w:p>
                <w:p w14:paraId="2CD67AF8">
                  <w:pPr>
                    <w:jc w:val="center"/>
                    <w:rPr>
                      <w:bCs/>
                      <w:color w:val="auto"/>
                      <w:szCs w:val="21"/>
                    </w:rPr>
                  </w:pPr>
                  <w:r>
                    <w:rPr>
                      <w:bCs/>
                      <w:color w:val="auto"/>
                      <w:szCs w:val="21"/>
                    </w:rPr>
                    <w:t>&gt;4</w:t>
                  </w:r>
                </w:p>
              </w:tc>
              <w:tc>
                <w:tcPr>
                  <w:tcW w:w="617" w:type="dxa"/>
                  <w:vAlign w:val="center"/>
                </w:tcPr>
                <w:p w14:paraId="389CDAC8">
                  <w:pPr>
                    <w:jc w:val="center"/>
                    <w:rPr>
                      <w:bCs/>
                      <w:color w:val="auto"/>
                      <w:szCs w:val="21"/>
                    </w:rPr>
                  </w:pPr>
                  <w:r>
                    <w:rPr>
                      <w:bCs/>
                      <w:color w:val="auto"/>
                      <w:szCs w:val="21"/>
                    </w:rPr>
                    <w:t>400</w:t>
                  </w:r>
                </w:p>
                <w:p w14:paraId="03E4A366">
                  <w:pPr>
                    <w:jc w:val="center"/>
                    <w:rPr>
                      <w:bCs/>
                      <w:color w:val="auto"/>
                      <w:szCs w:val="21"/>
                    </w:rPr>
                  </w:pPr>
                  <w:r>
                    <w:rPr>
                      <w:bCs/>
                      <w:color w:val="auto"/>
                      <w:szCs w:val="21"/>
                    </w:rPr>
                    <w:t>700</w:t>
                  </w:r>
                </w:p>
                <w:p w14:paraId="71318924">
                  <w:pPr>
                    <w:jc w:val="center"/>
                    <w:rPr>
                      <w:bCs/>
                      <w:color w:val="auto"/>
                      <w:szCs w:val="21"/>
                    </w:rPr>
                  </w:pPr>
                  <w:r>
                    <w:rPr>
                      <w:bCs/>
                      <w:color w:val="auto"/>
                      <w:szCs w:val="21"/>
                    </w:rPr>
                    <w:t>530</w:t>
                  </w:r>
                </w:p>
              </w:tc>
              <w:tc>
                <w:tcPr>
                  <w:tcW w:w="739" w:type="dxa"/>
                  <w:vAlign w:val="center"/>
                </w:tcPr>
                <w:p w14:paraId="268DEA33">
                  <w:pPr>
                    <w:jc w:val="center"/>
                    <w:rPr>
                      <w:bCs/>
                      <w:color w:val="auto"/>
                      <w:szCs w:val="21"/>
                    </w:rPr>
                  </w:pPr>
                  <w:r>
                    <w:rPr>
                      <w:bCs/>
                      <w:color w:val="auto"/>
                      <w:szCs w:val="21"/>
                    </w:rPr>
                    <w:t>400</w:t>
                  </w:r>
                </w:p>
                <w:p w14:paraId="7AD051E6">
                  <w:pPr>
                    <w:jc w:val="center"/>
                    <w:rPr>
                      <w:bCs/>
                      <w:color w:val="auto"/>
                      <w:szCs w:val="21"/>
                    </w:rPr>
                  </w:pPr>
                  <w:r>
                    <w:rPr>
                      <w:bCs/>
                      <w:color w:val="auto"/>
                      <w:szCs w:val="21"/>
                    </w:rPr>
                    <w:t>470</w:t>
                  </w:r>
                </w:p>
                <w:p w14:paraId="2274ADB2">
                  <w:pPr>
                    <w:jc w:val="center"/>
                    <w:rPr>
                      <w:bCs/>
                      <w:color w:val="auto"/>
                      <w:szCs w:val="21"/>
                    </w:rPr>
                  </w:pPr>
                  <w:r>
                    <w:rPr>
                      <w:bCs/>
                      <w:color w:val="auto"/>
                      <w:szCs w:val="21"/>
                    </w:rPr>
                    <w:t>350</w:t>
                  </w:r>
                </w:p>
              </w:tc>
              <w:tc>
                <w:tcPr>
                  <w:tcW w:w="563" w:type="dxa"/>
                  <w:vAlign w:val="center"/>
                </w:tcPr>
                <w:p w14:paraId="18C4A157">
                  <w:pPr>
                    <w:jc w:val="center"/>
                    <w:rPr>
                      <w:bCs/>
                      <w:color w:val="auto"/>
                      <w:szCs w:val="21"/>
                    </w:rPr>
                  </w:pPr>
                  <w:r>
                    <w:rPr>
                      <w:bCs/>
                      <w:color w:val="auto"/>
                      <w:szCs w:val="21"/>
                    </w:rPr>
                    <w:t>400</w:t>
                  </w:r>
                </w:p>
                <w:p w14:paraId="0C586696">
                  <w:pPr>
                    <w:jc w:val="center"/>
                    <w:rPr>
                      <w:bCs/>
                      <w:color w:val="auto"/>
                      <w:szCs w:val="21"/>
                    </w:rPr>
                  </w:pPr>
                  <w:r>
                    <w:rPr>
                      <w:bCs/>
                      <w:color w:val="auto"/>
                      <w:szCs w:val="21"/>
                    </w:rPr>
                    <w:t>350</w:t>
                  </w:r>
                </w:p>
                <w:p w14:paraId="4F0827D8">
                  <w:pPr>
                    <w:jc w:val="center"/>
                    <w:rPr>
                      <w:bCs/>
                      <w:color w:val="auto"/>
                      <w:szCs w:val="21"/>
                    </w:rPr>
                  </w:pPr>
                  <w:r>
                    <w:rPr>
                      <w:bCs/>
                      <w:color w:val="auto"/>
                      <w:szCs w:val="21"/>
                    </w:rPr>
                    <w:t>260</w:t>
                  </w:r>
                </w:p>
              </w:tc>
              <w:tc>
                <w:tcPr>
                  <w:tcW w:w="618" w:type="dxa"/>
                  <w:vAlign w:val="center"/>
                </w:tcPr>
                <w:p w14:paraId="480B9A76">
                  <w:pPr>
                    <w:jc w:val="center"/>
                    <w:rPr>
                      <w:bCs/>
                      <w:color w:val="auto"/>
                      <w:szCs w:val="21"/>
                    </w:rPr>
                  </w:pPr>
                  <w:r>
                    <w:rPr>
                      <w:bCs/>
                      <w:color w:val="auto"/>
                      <w:szCs w:val="21"/>
                    </w:rPr>
                    <w:t>400</w:t>
                  </w:r>
                </w:p>
                <w:p w14:paraId="3A005AFA">
                  <w:pPr>
                    <w:jc w:val="center"/>
                    <w:rPr>
                      <w:bCs/>
                      <w:color w:val="auto"/>
                      <w:szCs w:val="21"/>
                    </w:rPr>
                  </w:pPr>
                  <w:r>
                    <w:rPr>
                      <w:bCs/>
                      <w:color w:val="auto"/>
                      <w:szCs w:val="21"/>
                    </w:rPr>
                    <w:t>700</w:t>
                  </w:r>
                </w:p>
                <w:p w14:paraId="266CAD0F">
                  <w:pPr>
                    <w:jc w:val="center"/>
                    <w:rPr>
                      <w:bCs/>
                      <w:color w:val="auto"/>
                      <w:szCs w:val="21"/>
                    </w:rPr>
                  </w:pPr>
                  <w:r>
                    <w:rPr>
                      <w:bCs/>
                      <w:color w:val="auto"/>
                      <w:szCs w:val="21"/>
                    </w:rPr>
                    <w:t>530</w:t>
                  </w:r>
                </w:p>
              </w:tc>
              <w:tc>
                <w:tcPr>
                  <w:tcW w:w="739" w:type="dxa"/>
                  <w:vAlign w:val="center"/>
                </w:tcPr>
                <w:p w14:paraId="60ABF1A3">
                  <w:pPr>
                    <w:jc w:val="center"/>
                    <w:rPr>
                      <w:bCs/>
                      <w:color w:val="auto"/>
                      <w:szCs w:val="21"/>
                    </w:rPr>
                  </w:pPr>
                  <w:r>
                    <w:rPr>
                      <w:bCs/>
                      <w:color w:val="auto"/>
                      <w:szCs w:val="21"/>
                    </w:rPr>
                    <w:t>400</w:t>
                  </w:r>
                </w:p>
                <w:p w14:paraId="48C8BC1D">
                  <w:pPr>
                    <w:jc w:val="center"/>
                    <w:rPr>
                      <w:bCs/>
                      <w:color w:val="auto"/>
                      <w:szCs w:val="21"/>
                    </w:rPr>
                  </w:pPr>
                  <w:r>
                    <w:rPr>
                      <w:bCs/>
                      <w:color w:val="auto"/>
                      <w:szCs w:val="21"/>
                    </w:rPr>
                    <w:t>470</w:t>
                  </w:r>
                </w:p>
                <w:p w14:paraId="5A6F6F19">
                  <w:pPr>
                    <w:jc w:val="center"/>
                    <w:rPr>
                      <w:bCs/>
                      <w:color w:val="auto"/>
                      <w:szCs w:val="21"/>
                    </w:rPr>
                  </w:pPr>
                  <w:r>
                    <w:rPr>
                      <w:bCs/>
                      <w:color w:val="auto"/>
                      <w:szCs w:val="21"/>
                    </w:rPr>
                    <w:t>350</w:t>
                  </w:r>
                </w:p>
              </w:tc>
              <w:tc>
                <w:tcPr>
                  <w:tcW w:w="591" w:type="dxa"/>
                  <w:vAlign w:val="center"/>
                </w:tcPr>
                <w:p w14:paraId="491713DF">
                  <w:pPr>
                    <w:jc w:val="center"/>
                    <w:rPr>
                      <w:bCs/>
                      <w:color w:val="auto"/>
                      <w:szCs w:val="21"/>
                    </w:rPr>
                  </w:pPr>
                  <w:r>
                    <w:rPr>
                      <w:bCs/>
                      <w:color w:val="auto"/>
                      <w:szCs w:val="21"/>
                    </w:rPr>
                    <w:t>400</w:t>
                  </w:r>
                </w:p>
                <w:p w14:paraId="50B542BC">
                  <w:pPr>
                    <w:jc w:val="center"/>
                    <w:rPr>
                      <w:bCs/>
                      <w:color w:val="auto"/>
                      <w:szCs w:val="21"/>
                    </w:rPr>
                  </w:pPr>
                  <w:r>
                    <w:rPr>
                      <w:bCs/>
                      <w:color w:val="auto"/>
                      <w:szCs w:val="21"/>
                    </w:rPr>
                    <w:t>350</w:t>
                  </w:r>
                </w:p>
                <w:p w14:paraId="1A8B6379">
                  <w:pPr>
                    <w:jc w:val="center"/>
                    <w:rPr>
                      <w:bCs/>
                      <w:color w:val="auto"/>
                      <w:szCs w:val="21"/>
                    </w:rPr>
                  </w:pPr>
                  <w:r>
                    <w:rPr>
                      <w:bCs/>
                      <w:color w:val="auto"/>
                      <w:szCs w:val="21"/>
                    </w:rPr>
                    <w:t>260</w:t>
                  </w:r>
                </w:p>
              </w:tc>
              <w:tc>
                <w:tcPr>
                  <w:tcW w:w="739" w:type="dxa"/>
                  <w:vAlign w:val="center"/>
                </w:tcPr>
                <w:p w14:paraId="525D156D">
                  <w:pPr>
                    <w:jc w:val="center"/>
                    <w:rPr>
                      <w:bCs/>
                      <w:color w:val="auto"/>
                      <w:szCs w:val="21"/>
                    </w:rPr>
                  </w:pPr>
                  <w:r>
                    <w:rPr>
                      <w:bCs/>
                      <w:color w:val="auto"/>
                      <w:szCs w:val="21"/>
                    </w:rPr>
                    <w:t>80</w:t>
                  </w:r>
                </w:p>
                <w:p w14:paraId="333A7D45">
                  <w:pPr>
                    <w:jc w:val="center"/>
                    <w:rPr>
                      <w:bCs/>
                      <w:color w:val="auto"/>
                      <w:szCs w:val="21"/>
                    </w:rPr>
                  </w:pPr>
                  <w:r>
                    <w:rPr>
                      <w:bCs/>
                      <w:color w:val="auto"/>
                      <w:szCs w:val="21"/>
                    </w:rPr>
                    <w:t>380</w:t>
                  </w:r>
                </w:p>
                <w:p w14:paraId="130EAF9F">
                  <w:pPr>
                    <w:jc w:val="center"/>
                    <w:rPr>
                      <w:bCs/>
                      <w:color w:val="auto"/>
                      <w:szCs w:val="21"/>
                    </w:rPr>
                  </w:pPr>
                  <w:r>
                    <w:rPr>
                      <w:bCs/>
                      <w:color w:val="auto"/>
                      <w:szCs w:val="21"/>
                    </w:rPr>
                    <w:t>290</w:t>
                  </w:r>
                </w:p>
              </w:tc>
              <w:tc>
                <w:tcPr>
                  <w:tcW w:w="738" w:type="dxa"/>
                  <w:vAlign w:val="center"/>
                </w:tcPr>
                <w:p w14:paraId="63657F15">
                  <w:pPr>
                    <w:jc w:val="center"/>
                    <w:rPr>
                      <w:bCs/>
                      <w:color w:val="auto"/>
                      <w:szCs w:val="21"/>
                    </w:rPr>
                  </w:pPr>
                  <w:r>
                    <w:rPr>
                      <w:bCs/>
                      <w:color w:val="auto"/>
                      <w:szCs w:val="21"/>
                    </w:rPr>
                    <w:t>80</w:t>
                  </w:r>
                </w:p>
                <w:p w14:paraId="40F15345">
                  <w:pPr>
                    <w:jc w:val="center"/>
                    <w:rPr>
                      <w:bCs/>
                      <w:color w:val="auto"/>
                      <w:szCs w:val="21"/>
                    </w:rPr>
                  </w:pPr>
                  <w:r>
                    <w:rPr>
                      <w:bCs/>
                      <w:color w:val="auto"/>
                      <w:szCs w:val="21"/>
                    </w:rPr>
                    <w:t>250</w:t>
                  </w:r>
                </w:p>
                <w:p w14:paraId="4FEDBFA2">
                  <w:pPr>
                    <w:jc w:val="center"/>
                    <w:rPr>
                      <w:bCs/>
                      <w:color w:val="auto"/>
                      <w:szCs w:val="21"/>
                    </w:rPr>
                  </w:pPr>
                  <w:r>
                    <w:rPr>
                      <w:bCs/>
                      <w:color w:val="auto"/>
                      <w:szCs w:val="21"/>
                    </w:rPr>
                    <w:t>190</w:t>
                  </w:r>
                </w:p>
              </w:tc>
              <w:tc>
                <w:tcPr>
                  <w:tcW w:w="887" w:type="dxa"/>
                  <w:vAlign w:val="center"/>
                </w:tcPr>
                <w:p w14:paraId="5F58F056">
                  <w:pPr>
                    <w:jc w:val="center"/>
                    <w:rPr>
                      <w:bCs/>
                      <w:color w:val="auto"/>
                      <w:szCs w:val="21"/>
                    </w:rPr>
                  </w:pPr>
                  <w:r>
                    <w:rPr>
                      <w:bCs/>
                      <w:color w:val="auto"/>
                      <w:szCs w:val="21"/>
                    </w:rPr>
                    <w:t>80</w:t>
                  </w:r>
                </w:p>
                <w:p w14:paraId="5E832D7B">
                  <w:pPr>
                    <w:jc w:val="center"/>
                    <w:rPr>
                      <w:bCs/>
                      <w:color w:val="auto"/>
                      <w:szCs w:val="21"/>
                    </w:rPr>
                  </w:pPr>
                  <w:r>
                    <w:rPr>
                      <w:bCs/>
                      <w:color w:val="auto"/>
                      <w:szCs w:val="21"/>
                    </w:rPr>
                    <w:t>160</w:t>
                  </w:r>
                </w:p>
                <w:p w14:paraId="51C698EB">
                  <w:pPr>
                    <w:jc w:val="center"/>
                    <w:rPr>
                      <w:bCs/>
                      <w:color w:val="auto"/>
                      <w:szCs w:val="21"/>
                    </w:rPr>
                  </w:pPr>
                  <w:r>
                    <w:rPr>
                      <w:bCs/>
                      <w:color w:val="auto"/>
                      <w:szCs w:val="21"/>
                    </w:rPr>
                    <w:t>140</w:t>
                  </w:r>
                </w:p>
              </w:tc>
            </w:tr>
            <w:tr w14:paraId="48BD6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9" w:type="dxa"/>
                  <w:vAlign w:val="center"/>
                </w:tcPr>
                <w:p w14:paraId="2C8919D2">
                  <w:pPr>
                    <w:jc w:val="center"/>
                    <w:rPr>
                      <w:bCs/>
                      <w:color w:val="auto"/>
                      <w:szCs w:val="21"/>
                    </w:rPr>
                  </w:pPr>
                  <w:r>
                    <w:rPr>
                      <w:bCs/>
                      <w:color w:val="auto"/>
                      <w:szCs w:val="21"/>
                    </w:rPr>
                    <w:t>B</w:t>
                  </w:r>
                </w:p>
              </w:tc>
              <w:tc>
                <w:tcPr>
                  <w:tcW w:w="1330" w:type="dxa"/>
                  <w:vAlign w:val="center"/>
                </w:tcPr>
                <w:p w14:paraId="07B66668">
                  <w:pPr>
                    <w:jc w:val="center"/>
                    <w:rPr>
                      <w:bCs/>
                      <w:color w:val="auto"/>
                      <w:szCs w:val="21"/>
                    </w:rPr>
                  </w:pPr>
                  <w:r>
                    <w:rPr>
                      <w:bCs/>
                      <w:color w:val="auto"/>
                      <w:szCs w:val="21"/>
                    </w:rPr>
                    <w:t>&lt;2</w:t>
                  </w:r>
                </w:p>
                <w:p w14:paraId="3972EE3C">
                  <w:pPr>
                    <w:jc w:val="center"/>
                    <w:rPr>
                      <w:bCs/>
                      <w:color w:val="auto"/>
                      <w:szCs w:val="21"/>
                    </w:rPr>
                  </w:pPr>
                  <w:r>
                    <w:rPr>
                      <w:bCs/>
                      <w:color w:val="auto"/>
                      <w:szCs w:val="21"/>
                    </w:rPr>
                    <w:t>&gt;2</w:t>
                  </w:r>
                </w:p>
              </w:tc>
              <w:tc>
                <w:tcPr>
                  <w:tcW w:w="1920" w:type="dxa"/>
                  <w:gridSpan w:val="3"/>
                  <w:vAlign w:val="center"/>
                </w:tcPr>
                <w:p w14:paraId="08F7F561">
                  <w:pPr>
                    <w:jc w:val="center"/>
                    <w:rPr>
                      <w:bCs/>
                      <w:color w:val="auto"/>
                      <w:szCs w:val="21"/>
                    </w:rPr>
                  </w:pPr>
                  <w:r>
                    <w:rPr>
                      <w:bCs/>
                      <w:color w:val="auto"/>
                      <w:szCs w:val="21"/>
                    </w:rPr>
                    <w:t>0.01</w:t>
                  </w:r>
                </w:p>
                <w:p w14:paraId="39377134">
                  <w:pPr>
                    <w:jc w:val="center"/>
                    <w:rPr>
                      <w:bCs/>
                      <w:color w:val="auto"/>
                      <w:szCs w:val="21"/>
                    </w:rPr>
                  </w:pPr>
                  <w:r>
                    <w:rPr>
                      <w:bCs/>
                      <w:color w:val="auto"/>
                      <w:szCs w:val="21"/>
                    </w:rPr>
                    <w:t>0.021</w:t>
                  </w:r>
                </w:p>
              </w:tc>
              <w:tc>
                <w:tcPr>
                  <w:tcW w:w="1948" w:type="dxa"/>
                  <w:gridSpan w:val="3"/>
                  <w:vAlign w:val="center"/>
                </w:tcPr>
                <w:p w14:paraId="6DC9AD95">
                  <w:pPr>
                    <w:jc w:val="center"/>
                    <w:rPr>
                      <w:bCs/>
                      <w:color w:val="auto"/>
                      <w:szCs w:val="21"/>
                    </w:rPr>
                  </w:pPr>
                  <w:r>
                    <w:rPr>
                      <w:bCs/>
                      <w:color w:val="auto"/>
                      <w:szCs w:val="21"/>
                    </w:rPr>
                    <w:t>0.015</w:t>
                  </w:r>
                </w:p>
                <w:p w14:paraId="2AA1A75F">
                  <w:pPr>
                    <w:jc w:val="center"/>
                    <w:rPr>
                      <w:bCs/>
                      <w:color w:val="auto"/>
                      <w:szCs w:val="21"/>
                    </w:rPr>
                  </w:pPr>
                  <w:r>
                    <w:rPr>
                      <w:bCs/>
                      <w:color w:val="auto"/>
                      <w:szCs w:val="21"/>
                    </w:rPr>
                    <w:t>0.036</w:t>
                  </w:r>
                </w:p>
              </w:tc>
              <w:tc>
                <w:tcPr>
                  <w:tcW w:w="2364" w:type="dxa"/>
                  <w:gridSpan w:val="3"/>
                  <w:vAlign w:val="center"/>
                </w:tcPr>
                <w:p w14:paraId="68F8F0EB">
                  <w:pPr>
                    <w:jc w:val="center"/>
                    <w:rPr>
                      <w:bCs/>
                      <w:color w:val="auto"/>
                      <w:szCs w:val="21"/>
                    </w:rPr>
                  </w:pPr>
                  <w:r>
                    <w:rPr>
                      <w:bCs/>
                      <w:color w:val="auto"/>
                      <w:szCs w:val="21"/>
                    </w:rPr>
                    <w:t>0.015</w:t>
                  </w:r>
                </w:p>
                <w:p w14:paraId="2DB00CA2">
                  <w:pPr>
                    <w:jc w:val="center"/>
                    <w:rPr>
                      <w:bCs/>
                      <w:color w:val="auto"/>
                      <w:szCs w:val="21"/>
                    </w:rPr>
                  </w:pPr>
                  <w:r>
                    <w:rPr>
                      <w:bCs/>
                      <w:color w:val="auto"/>
                      <w:szCs w:val="21"/>
                    </w:rPr>
                    <w:t>0.036</w:t>
                  </w:r>
                </w:p>
              </w:tc>
            </w:tr>
            <w:tr w14:paraId="23CF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9" w:type="dxa"/>
                  <w:vAlign w:val="center"/>
                </w:tcPr>
                <w:p w14:paraId="06322F73">
                  <w:pPr>
                    <w:jc w:val="center"/>
                    <w:rPr>
                      <w:bCs/>
                      <w:color w:val="auto"/>
                      <w:szCs w:val="21"/>
                    </w:rPr>
                  </w:pPr>
                  <w:r>
                    <w:rPr>
                      <w:bCs/>
                      <w:color w:val="auto"/>
                      <w:szCs w:val="21"/>
                    </w:rPr>
                    <w:t>C</w:t>
                  </w:r>
                </w:p>
              </w:tc>
              <w:tc>
                <w:tcPr>
                  <w:tcW w:w="1330" w:type="dxa"/>
                  <w:vAlign w:val="center"/>
                </w:tcPr>
                <w:p w14:paraId="3FBEAFEE">
                  <w:pPr>
                    <w:jc w:val="center"/>
                    <w:rPr>
                      <w:bCs/>
                      <w:color w:val="auto"/>
                      <w:szCs w:val="21"/>
                    </w:rPr>
                  </w:pPr>
                  <w:r>
                    <w:rPr>
                      <w:bCs/>
                      <w:color w:val="auto"/>
                      <w:szCs w:val="21"/>
                    </w:rPr>
                    <w:t>&lt;2</w:t>
                  </w:r>
                </w:p>
                <w:p w14:paraId="763BD0AA">
                  <w:pPr>
                    <w:jc w:val="center"/>
                    <w:rPr>
                      <w:bCs/>
                      <w:color w:val="auto"/>
                      <w:szCs w:val="21"/>
                    </w:rPr>
                  </w:pPr>
                  <w:r>
                    <w:rPr>
                      <w:bCs/>
                      <w:color w:val="auto"/>
                      <w:szCs w:val="21"/>
                    </w:rPr>
                    <w:t>&gt;2</w:t>
                  </w:r>
                </w:p>
              </w:tc>
              <w:tc>
                <w:tcPr>
                  <w:tcW w:w="1920" w:type="dxa"/>
                  <w:gridSpan w:val="3"/>
                  <w:vAlign w:val="center"/>
                </w:tcPr>
                <w:p w14:paraId="29813CB8">
                  <w:pPr>
                    <w:jc w:val="center"/>
                    <w:rPr>
                      <w:bCs/>
                      <w:color w:val="auto"/>
                      <w:szCs w:val="21"/>
                    </w:rPr>
                  </w:pPr>
                  <w:r>
                    <w:rPr>
                      <w:bCs/>
                      <w:color w:val="auto"/>
                      <w:szCs w:val="21"/>
                    </w:rPr>
                    <w:t>1.85</w:t>
                  </w:r>
                </w:p>
                <w:p w14:paraId="74054E4B">
                  <w:pPr>
                    <w:jc w:val="center"/>
                    <w:rPr>
                      <w:bCs/>
                      <w:color w:val="auto"/>
                      <w:szCs w:val="21"/>
                    </w:rPr>
                  </w:pPr>
                  <w:r>
                    <w:rPr>
                      <w:bCs/>
                      <w:color w:val="auto"/>
                      <w:szCs w:val="21"/>
                    </w:rPr>
                    <w:t>1.85</w:t>
                  </w:r>
                </w:p>
              </w:tc>
              <w:tc>
                <w:tcPr>
                  <w:tcW w:w="1948" w:type="dxa"/>
                  <w:gridSpan w:val="3"/>
                  <w:vAlign w:val="center"/>
                </w:tcPr>
                <w:p w14:paraId="2E3C8735">
                  <w:pPr>
                    <w:jc w:val="center"/>
                    <w:rPr>
                      <w:bCs/>
                      <w:color w:val="auto"/>
                      <w:szCs w:val="21"/>
                    </w:rPr>
                  </w:pPr>
                  <w:r>
                    <w:rPr>
                      <w:bCs/>
                      <w:color w:val="auto"/>
                      <w:szCs w:val="21"/>
                    </w:rPr>
                    <w:t>1.79</w:t>
                  </w:r>
                </w:p>
                <w:p w14:paraId="434AA072">
                  <w:pPr>
                    <w:jc w:val="center"/>
                    <w:rPr>
                      <w:bCs/>
                      <w:color w:val="auto"/>
                      <w:szCs w:val="21"/>
                    </w:rPr>
                  </w:pPr>
                  <w:r>
                    <w:rPr>
                      <w:bCs/>
                      <w:color w:val="auto"/>
                      <w:szCs w:val="21"/>
                    </w:rPr>
                    <w:t>1.77</w:t>
                  </w:r>
                </w:p>
              </w:tc>
              <w:tc>
                <w:tcPr>
                  <w:tcW w:w="2364" w:type="dxa"/>
                  <w:gridSpan w:val="3"/>
                  <w:vAlign w:val="center"/>
                </w:tcPr>
                <w:p w14:paraId="1BEE9DE4">
                  <w:pPr>
                    <w:jc w:val="center"/>
                    <w:rPr>
                      <w:bCs/>
                      <w:color w:val="auto"/>
                      <w:szCs w:val="21"/>
                    </w:rPr>
                  </w:pPr>
                  <w:r>
                    <w:rPr>
                      <w:bCs/>
                      <w:color w:val="auto"/>
                      <w:szCs w:val="21"/>
                    </w:rPr>
                    <w:t>1.79</w:t>
                  </w:r>
                </w:p>
                <w:p w14:paraId="2CB57C8C">
                  <w:pPr>
                    <w:jc w:val="center"/>
                    <w:rPr>
                      <w:bCs/>
                      <w:color w:val="auto"/>
                      <w:szCs w:val="21"/>
                    </w:rPr>
                  </w:pPr>
                  <w:r>
                    <w:rPr>
                      <w:bCs/>
                      <w:color w:val="auto"/>
                      <w:szCs w:val="21"/>
                    </w:rPr>
                    <w:t>1.77</w:t>
                  </w:r>
                </w:p>
              </w:tc>
            </w:tr>
            <w:tr w14:paraId="7412B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9" w:type="dxa"/>
                  <w:vAlign w:val="center"/>
                </w:tcPr>
                <w:p w14:paraId="2E61EACF">
                  <w:pPr>
                    <w:jc w:val="center"/>
                    <w:rPr>
                      <w:bCs/>
                      <w:color w:val="auto"/>
                      <w:szCs w:val="21"/>
                    </w:rPr>
                  </w:pPr>
                  <w:r>
                    <w:rPr>
                      <w:bCs/>
                      <w:color w:val="auto"/>
                      <w:szCs w:val="21"/>
                    </w:rPr>
                    <w:t>D</w:t>
                  </w:r>
                </w:p>
              </w:tc>
              <w:tc>
                <w:tcPr>
                  <w:tcW w:w="1330" w:type="dxa"/>
                  <w:vAlign w:val="center"/>
                </w:tcPr>
                <w:p w14:paraId="2156C47E">
                  <w:pPr>
                    <w:jc w:val="center"/>
                    <w:rPr>
                      <w:bCs/>
                      <w:color w:val="auto"/>
                      <w:szCs w:val="21"/>
                    </w:rPr>
                  </w:pPr>
                  <w:r>
                    <w:rPr>
                      <w:bCs/>
                      <w:color w:val="auto"/>
                      <w:szCs w:val="21"/>
                    </w:rPr>
                    <w:t>&lt;2</w:t>
                  </w:r>
                </w:p>
                <w:p w14:paraId="5B90BB0E">
                  <w:pPr>
                    <w:jc w:val="center"/>
                    <w:rPr>
                      <w:bCs/>
                      <w:color w:val="auto"/>
                      <w:szCs w:val="21"/>
                    </w:rPr>
                  </w:pPr>
                  <w:r>
                    <w:rPr>
                      <w:bCs/>
                      <w:color w:val="auto"/>
                      <w:szCs w:val="21"/>
                    </w:rPr>
                    <w:t>&gt;2</w:t>
                  </w:r>
                </w:p>
              </w:tc>
              <w:tc>
                <w:tcPr>
                  <w:tcW w:w="1920" w:type="dxa"/>
                  <w:gridSpan w:val="3"/>
                  <w:vAlign w:val="center"/>
                </w:tcPr>
                <w:p w14:paraId="57EBB7DD">
                  <w:pPr>
                    <w:jc w:val="center"/>
                    <w:rPr>
                      <w:bCs/>
                      <w:color w:val="auto"/>
                      <w:szCs w:val="21"/>
                    </w:rPr>
                  </w:pPr>
                  <w:r>
                    <w:rPr>
                      <w:bCs/>
                      <w:color w:val="auto"/>
                      <w:szCs w:val="21"/>
                    </w:rPr>
                    <w:t>0.78</w:t>
                  </w:r>
                </w:p>
                <w:p w14:paraId="0FCE5DB0">
                  <w:pPr>
                    <w:jc w:val="center"/>
                    <w:rPr>
                      <w:bCs/>
                      <w:color w:val="auto"/>
                      <w:szCs w:val="21"/>
                    </w:rPr>
                  </w:pPr>
                  <w:r>
                    <w:rPr>
                      <w:bCs/>
                      <w:color w:val="auto"/>
                      <w:szCs w:val="21"/>
                    </w:rPr>
                    <w:t>0.84</w:t>
                  </w:r>
                </w:p>
              </w:tc>
              <w:tc>
                <w:tcPr>
                  <w:tcW w:w="1948" w:type="dxa"/>
                  <w:gridSpan w:val="3"/>
                  <w:vAlign w:val="center"/>
                </w:tcPr>
                <w:p w14:paraId="79C566A9">
                  <w:pPr>
                    <w:jc w:val="center"/>
                    <w:rPr>
                      <w:bCs/>
                      <w:color w:val="auto"/>
                      <w:szCs w:val="21"/>
                    </w:rPr>
                  </w:pPr>
                  <w:r>
                    <w:rPr>
                      <w:bCs/>
                      <w:color w:val="auto"/>
                      <w:szCs w:val="21"/>
                    </w:rPr>
                    <w:t>0.78</w:t>
                  </w:r>
                </w:p>
                <w:p w14:paraId="31047EA8">
                  <w:pPr>
                    <w:jc w:val="center"/>
                    <w:rPr>
                      <w:bCs/>
                      <w:color w:val="auto"/>
                      <w:szCs w:val="21"/>
                    </w:rPr>
                  </w:pPr>
                  <w:r>
                    <w:rPr>
                      <w:bCs/>
                      <w:color w:val="auto"/>
                      <w:szCs w:val="21"/>
                    </w:rPr>
                    <w:t>0.84</w:t>
                  </w:r>
                </w:p>
              </w:tc>
              <w:tc>
                <w:tcPr>
                  <w:tcW w:w="2364" w:type="dxa"/>
                  <w:gridSpan w:val="3"/>
                  <w:vAlign w:val="center"/>
                </w:tcPr>
                <w:p w14:paraId="77C2664C">
                  <w:pPr>
                    <w:jc w:val="center"/>
                    <w:rPr>
                      <w:bCs/>
                      <w:color w:val="auto"/>
                      <w:szCs w:val="21"/>
                    </w:rPr>
                  </w:pPr>
                  <w:r>
                    <w:rPr>
                      <w:bCs/>
                      <w:color w:val="auto"/>
                      <w:szCs w:val="21"/>
                    </w:rPr>
                    <w:t>0.57</w:t>
                  </w:r>
                </w:p>
                <w:p w14:paraId="112AF125">
                  <w:pPr>
                    <w:jc w:val="center"/>
                    <w:rPr>
                      <w:bCs/>
                      <w:color w:val="auto"/>
                      <w:szCs w:val="21"/>
                    </w:rPr>
                  </w:pPr>
                  <w:r>
                    <w:rPr>
                      <w:bCs/>
                      <w:color w:val="auto"/>
                      <w:szCs w:val="21"/>
                    </w:rPr>
                    <w:t>0.76</w:t>
                  </w:r>
                </w:p>
              </w:tc>
            </w:tr>
            <w:tr w14:paraId="3948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302" w:type="dxa"/>
                  <w:gridSpan w:val="11"/>
                  <w:vAlign w:val="center"/>
                </w:tcPr>
                <w:p w14:paraId="5B17F0AB">
                  <w:pPr>
                    <w:jc w:val="left"/>
                    <w:rPr>
                      <w:bCs/>
                      <w:color w:val="auto"/>
                      <w:szCs w:val="21"/>
                    </w:rPr>
                  </w:pPr>
                  <w:r>
                    <w:rPr>
                      <w:bCs/>
                      <w:color w:val="auto"/>
                      <w:szCs w:val="21"/>
                    </w:rPr>
                    <w:t>注：工业企业大气污染源分为三类</w:t>
                  </w:r>
                </w:p>
                <w:p w14:paraId="615EC814">
                  <w:pPr>
                    <w:jc w:val="left"/>
                    <w:rPr>
                      <w:bCs/>
                      <w:color w:val="auto"/>
                      <w:szCs w:val="21"/>
                    </w:rPr>
                  </w:pPr>
                  <w:r>
                    <w:rPr>
                      <w:bCs/>
                      <w:color w:val="auto"/>
                      <w:szCs w:val="21"/>
                    </w:rPr>
                    <w:t>I类：与无组织排放源共存的排放同种有害气体的排气筒的排放量，大于标准规定的允许排放量的三分之一者；</w:t>
                  </w:r>
                </w:p>
                <w:p w14:paraId="12B077E0">
                  <w:pPr>
                    <w:jc w:val="left"/>
                    <w:rPr>
                      <w:bCs/>
                      <w:color w:val="auto"/>
                      <w:szCs w:val="21"/>
                    </w:rPr>
                  </w:pPr>
                  <w:r>
                    <w:rPr>
                      <w:bCs/>
                      <w:color w:val="auto"/>
                      <w:szCs w:val="21"/>
                    </w:rPr>
                    <w:t>II类：与无组织排放源共存的排放同种有害气体的排气筒的排放量，小于标准规定的三分之一，或是虽无排放同种大气污染物之排气筒共存，但无组织排放的有害物质的容许浓度指标是按急性反应指标确定；</w:t>
                  </w:r>
                </w:p>
                <w:p w14:paraId="1D4E9090">
                  <w:pPr>
                    <w:jc w:val="left"/>
                    <w:rPr>
                      <w:bCs/>
                      <w:color w:val="auto"/>
                      <w:szCs w:val="21"/>
                    </w:rPr>
                  </w:pPr>
                  <w:r>
                    <w:rPr>
                      <w:bCs/>
                      <w:color w:val="auto"/>
                      <w:szCs w:val="21"/>
                    </w:rPr>
                    <w:t>III类：无排放同种有害物质的排气筒与无组织源共存，且无组织排放的有害物质的容许浓度是按慢性反应批指标确定者。</w:t>
                  </w:r>
                </w:p>
              </w:tc>
            </w:tr>
          </w:tbl>
          <w:p w14:paraId="22CE3D8F">
            <w:pPr>
              <w:spacing w:line="360" w:lineRule="auto"/>
              <w:ind w:firstLine="480" w:firstLineChars="200"/>
              <w:rPr>
                <w:bCs/>
                <w:color w:val="auto"/>
                <w:sz w:val="24"/>
              </w:rPr>
            </w:pPr>
            <w:r>
              <w:rPr>
                <w:bCs/>
                <w:color w:val="auto"/>
                <w:sz w:val="24"/>
              </w:rPr>
              <w:t>项目所在地年平均风速为1.3m/s，无组织单元A、B、C、D选取值参照上表，各无组织排放源卫生防护距离计算结果见下表：</w:t>
            </w:r>
          </w:p>
          <w:p w14:paraId="3FB334E3">
            <w:pPr>
              <w:ind w:firstLine="422" w:firstLineChars="200"/>
              <w:jc w:val="center"/>
              <w:rPr>
                <w:bCs/>
                <w:color w:val="auto"/>
                <w:szCs w:val="21"/>
              </w:rPr>
            </w:pPr>
            <w:r>
              <w:rPr>
                <w:b/>
                <w:color w:val="auto"/>
                <w:szCs w:val="21"/>
              </w:rPr>
              <w:t>表4-</w:t>
            </w:r>
            <w:r>
              <w:rPr>
                <w:rFonts w:hint="eastAsia"/>
                <w:b/>
                <w:color w:val="auto"/>
                <w:szCs w:val="21"/>
                <w:lang w:val="en-US" w:eastAsia="zh-CN"/>
              </w:rPr>
              <w:t>16</w:t>
            </w:r>
            <w:r>
              <w:rPr>
                <w:b/>
                <w:color w:val="auto"/>
                <w:szCs w:val="21"/>
              </w:rPr>
              <w:t xml:space="preserve"> 项目卫生防护距离</w:t>
            </w:r>
          </w:p>
          <w:tbl>
            <w:tblPr>
              <w:tblStyle w:val="25"/>
              <w:tblW w:w="828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6"/>
              <w:gridCol w:w="828"/>
              <w:gridCol w:w="868"/>
              <w:gridCol w:w="658"/>
              <w:gridCol w:w="662"/>
              <w:gridCol w:w="745"/>
              <w:gridCol w:w="739"/>
              <w:gridCol w:w="738"/>
              <w:gridCol w:w="1293"/>
              <w:gridCol w:w="1361"/>
            </w:tblGrid>
            <w:tr w14:paraId="65C8E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396" w:type="dxa"/>
                  <w:tcBorders>
                    <w:tl2br w:val="nil"/>
                    <w:tr2bl w:val="nil"/>
                  </w:tcBorders>
                  <w:vAlign w:val="center"/>
                </w:tcPr>
                <w:p w14:paraId="3721EC56">
                  <w:pPr>
                    <w:keepNext w:val="0"/>
                    <w:keepLines w:val="0"/>
                    <w:suppressLineNumbers w:val="0"/>
                    <w:spacing w:before="0" w:beforeAutospacing="0" w:after="0" w:afterAutospacing="0"/>
                    <w:ind w:left="0" w:right="0"/>
                    <w:jc w:val="center"/>
                    <w:rPr>
                      <w:b/>
                      <w:color w:val="auto"/>
                      <w:kern w:val="0"/>
                      <w:szCs w:val="21"/>
                    </w:rPr>
                  </w:pPr>
                  <w:r>
                    <w:rPr>
                      <w:b/>
                      <w:color w:val="auto"/>
                      <w:kern w:val="0"/>
                      <w:szCs w:val="21"/>
                    </w:rPr>
                    <w:t>序号</w:t>
                  </w:r>
                </w:p>
              </w:tc>
              <w:tc>
                <w:tcPr>
                  <w:tcW w:w="828" w:type="dxa"/>
                  <w:tcBorders>
                    <w:tl2br w:val="nil"/>
                    <w:tr2bl w:val="nil"/>
                  </w:tcBorders>
                  <w:vAlign w:val="center"/>
                </w:tcPr>
                <w:p w14:paraId="38487B09">
                  <w:pPr>
                    <w:keepNext w:val="0"/>
                    <w:keepLines w:val="0"/>
                    <w:suppressLineNumbers w:val="0"/>
                    <w:spacing w:before="0" w:beforeAutospacing="0" w:after="0" w:afterAutospacing="0"/>
                    <w:ind w:left="0" w:right="0"/>
                    <w:jc w:val="center"/>
                    <w:rPr>
                      <w:b/>
                      <w:color w:val="auto"/>
                      <w:kern w:val="0"/>
                      <w:szCs w:val="21"/>
                    </w:rPr>
                  </w:pPr>
                  <w:r>
                    <w:rPr>
                      <w:b/>
                      <w:color w:val="auto"/>
                      <w:kern w:val="0"/>
                      <w:szCs w:val="21"/>
                    </w:rPr>
                    <w:t>污染源</w:t>
                  </w:r>
                </w:p>
              </w:tc>
              <w:tc>
                <w:tcPr>
                  <w:tcW w:w="868" w:type="dxa"/>
                  <w:tcBorders>
                    <w:tl2br w:val="nil"/>
                    <w:tr2bl w:val="nil"/>
                  </w:tcBorders>
                  <w:vAlign w:val="center"/>
                </w:tcPr>
                <w:p w14:paraId="0E57F3ED">
                  <w:pPr>
                    <w:keepNext w:val="0"/>
                    <w:keepLines w:val="0"/>
                    <w:suppressLineNumbers w:val="0"/>
                    <w:spacing w:before="0" w:beforeAutospacing="0" w:after="0" w:afterAutospacing="0"/>
                    <w:ind w:left="0" w:right="0"/>
                    <w:jc w:val="center"/>
                    <w:rPr>
                      <w:b/>
                      <w:color w:val="auto"/>
                      <w:kern w:val="0"/>
                      <w:szCs w:val="21"/>
                    </w:rPr>
                  </w:pPr>
                  <w:r>
                    <w:rPr>
                      <w:b/>
                      <w:color w:val="auto"/>
                      <w:kern w:val="0"/>
                      <w:szCs w:val="21"/>
                    </w:rPr>
                    <w:t>污染源类型</w:t>
                  </w:r>
                </w:p>
              </w:tc>
              <w:tc>
                <w:tcPr>
                  <w:tcW w:w="658" w:type="dxa"/>
                  <w:tcBorders>
                    <w:tl2br w:val="nil"/>
                    <w:tr2bl w:val="nil"/>
                  </w:tcBorders>
                  <w:vAlign w:val="center"/>
                </w:tcPr>
                <w:p w14:paraId="702284DC">
                  <w:pPr>
                    <w:keepNext w:val="0"/>
                    <w:keepLines w:val="0"/>
                    <w:suppressLineNumbers w:val="0"/>
                    <w:spacing w:before="0" w:beforeAutospacing="0" w:after="0" w:afterAutospacing="0"/>
                    <w:ind w:left="0" w:right="0"/>
                    <w:jc w:val="center"/>
                    <w:rPr>
                      <w:b/>
                      <w:color w:val="auto"/>
                      <w:kern w:val="0"/>
                      <w:szCs w:val="21"/>
                    </w:rPr>
                  </w:pPr>
                  <w:r>
                    <w:rPr>
                      <w:b/>
                      <w:color w:val="auto"/>
                      <w:kern w:val="0"/>
                      <w:szCs w:val="21"/>
                    </w:rPr>
                    <w:t>污染物</w:t>
                  </w:r>
                </w:p>
              </w:tc>
              <w:tc>
                <w:tcPr>
                  <w:tcW w:w="662" w:type="dxa"/>
                  <w:tcBorders>
                    <w:tl2br w:val="nil"/>
                    <w:tr2bl w:val="nil"/>
                  </w:tcBorders>
                  <w:vAlign w:val="center"/>
                </w:tcPr>
                <w:p w14:paraId="5D077AC4">
                  <w:pPr>
                    <w:keepNext w:val="0"/>
                    <w:keepLines w:val="0"/>
                    <w:suppressLineNumbers w:val="0"/>
                    <w:spacing w:before="0" w:beforeAutospacing="0" w:after="0" w:afterAutospacing="0"/>
                    <w:ind w:left="0" w:right="0"/>
                    <w:jc w:val="center"/>
                    <w:rPr>
                      <w:b/>
                      <w:color w:val="auto"/>
                      <w:kern w:val="0"/>
                      <w:szCs w:val="21"/>
                    </w:rPr>
                  </w:pPr>
                  <w:r>
                    <w:rPr>
                      <w:b/>
                      <w:color w:val="auto"/>
                      <w:kern w:val="0"/>
                      <w:szCs w:val="21"/>
                    </w:rPr>
                    <w:t>参数A</w:t>
                  </w:r>
                </w:p>
              </w:tc>
              <w:tc>
                <w:tcPr>
                  <w:tcW w:w="745" w:type="dxa"/>
                  <w:tcBorders>
                    <w:tl2br w:val="nil"/>
                    <w:tr2bl w:val="nil"/>
                  </w:tcBorders>
                  <w:vAlign w:val="center"/>
                </w:tcPr>
                <w:p w14:paraId="2C65CA53">
                  <w:pPr>
                    <w:keepNext w:val="0"/>
                    <w:keepLines w:val="0"/>
                    <w:suppressLineNumbers w:val="0"/>
                    <w:spacing w:before="0" w:beforeAutospacing="0" w:after="0" w:afterAutospacing="0"/>
                    <w:ind w:left="0" w:right="0"/>
                    <w:jc w:val="center"/>
                    <w:rPr>
                      <w:b/>
                      <w:color w:val="auto"/>
                      <w:kern w:val="0"/>
                      <w:szCs w:val="21"/>
                    </w:rPr>
                  </w:pPr>
                  <w:r>
                    <w:rPr>
                      <w:b/>
                      <w:color w:val="auto"/>
                      <w:kern w:val="0"/>
                      <w:szCs w:val="21"/>
                    </w:rPr>
                    <w:t>参数B</w:t>
                  </w:r>
                </w:p>
              </w:tc>
              <w:tc>
                <w:tcPr>
                  <w:tcW w:w="739" w:type="dxa"/>
                  <w:tcBorders>
                    <w:tl2br w:val="nil"/>
                    <w:tr2bl w:val="nil"/>
                  </w:tcBorders>
                  <w:vAlign w:val="center"/>
                </w:tcPr>
                <w:p w14:paraId="7CE435BD">
                  <w:pPr>
                    <w:keepNext w:val="0"/>
                    <w:keepLines w:val="0"/>
                    <w:suppressLineNumbers w:val="0"/>
                    <w:spacing w:before="0" w:beforeAutospacing="0" w:after="0" w:afterAutospacing="0"/>
                    <w:ind w:left="0" w:right="0"/>
                    <w:jc w:val="center"/>
                    <w:rPr>
                      <w:b/>
                      <w:color w:val="auto"/>
                      <w:kern w:val="0"/>
                      <w:szCs w:val="21"/>
                    </w:rPr>
                  </w:pPr>
                  <w:r>
                    <w:rPr>
                      <w:b/>
                      <w:color w:val="auto"/>
                      <w:kern w:val="0"/>
                      <w:szCs w:val="21"/>
                    </w:rPr>
                    <w:t>参数C</w:t>
                  </w:r>
                </w:p>
              </w:tc>
              <w:tc>
                <w:tcPr>
                  <w:tcW w:w="738" w:type="dxa"/>
                  <w:tcBorders>
                    <w:tl2br w:val="nil"/>
                    <w:tr2bl w:val="nil"/>
                  </w:tcBorders>
                  <w:vAlign w:val="center"/>
                </w:tcPr>
                <w:p w14:paraId="16395879">
                  <w:pPr>
                    <w:keepNext w:val="0"/>
                    <w:keepLines w:val="0"/>
                    <w:suppressLineNumbers w:val="0"/>
                    <w:spacing w:before="0" w:beforeAutospacing="0" w:after="0" w:afterAutospacing="0"/>
                    <w:ind w:left="0" w:right="0"/>
                    <w:jc w:val="center"/>
                    <w:rPr>
                      <w:b/>
                      <w:color w:val="auto"/>
                      <w:kern w:val="0"/>
                      <w:szCs w:val="21"/>
                    </w:rPr>
                  </w:pPr>
                  <w:r>
                    <w:rPr>
                      <w:b/>
                      <w:color w:val="auto"/>
                      <w:kern w:val="0"/>
                      <w:szCs w:val="21"/>
                    </w:rPr>
                    <w:t>参数D</w:t>
                  </w:r>
                </w:p>
              </w:tc>
              <w:tc>
                <w:tcPr>
                  <w:tcW w:w="1293" w:type="dxa"/>
                  <w:tcBorders>
                    <w:tl2br w:val="nil"/>
                    <w:tr2bl w:val="nil"/>
                  </w:tcBorders>
                  <w:vAlign w:val="center"/>
                </w:tcPr>
                <w:p w14:paraId="2B508779">
                  <w:pPr>
                    <w:keepNext w:val="0"/>
                    <w:keepLines w:val="0"/>
                    <w:suppressLineNumbers w:val="0"/>
                    <w:spacing w:before="0" w:beforeAutospacing="0" w:after="0" w:afterAutospacing="0"/>
                    <w:ind w:left="0" w:right="0"/>
                    <w:jc w:val="center"/>
                    <w:rPr>
                      <w:b/>
                      <w:color w:val="auto"/>
                      <w:kern w:val="0"/>
                      <w:szCs w:val="21"/>
                    </w:rPr>
                  </w:pPr>
                  <w:r>
                    <w:rPr>
                      <w:b/>
                      <w:color w:val="auto"/>
                      <w:kern w:val="0"/>
                      <w:szCs w:val="21"/>
                    </w:rPr>
                    <w:t>卫生防护距离计算值（m）</w:t>
                  </w:r>
                </w:p>
              </w:tc>
              <w:tc>
                <w:tcPr>
                  <w:tcW w:w="1361" w:type="dxa"/>
                  <w:tcBorders>
                    <w:tl2br w:val="nil"/>
                    <w:tr2bl w:val="nil"/>
                  </w:tcBorders>
                  <w:vAlign w:val="center"/>
                </w:tcPr>
                <w:p w14:paraId="6F150FFD">
                  <w:pPr>
                    <w:keepNext w:val="0"/>
                    <w:keepLines w:val="0"/>
                    <w:suppressLineNumbers w:val="0"/>
                    <w:spacing w:before="0" w:beforeAutospacing="0" w:after="0" w:afterAutospacing="0"/>
                    <w:ind w:left="0" w:right="0"/>
                    <w:jc w:val="center"/>
                    <w:rPr>
                      <w:b/>
                      <w:color w:val="auto"/>
                      <w:kern w:val="0"/>
                      <w:szCs w:val="21"/>
                    </w:rPr>
                  </w:pPr>
                  <w:r>
                    <w:rPr>
                      <w:b/>
                      <w:color w:val="auto"/>
                      <w:kern w:val="0"/>
                      <w:szCs w:val="21"/>
                    </w:rPr>
                    <w:t>卫生防护距离（m）</w:t>
                  </w:r>
                </w:p>
              </w:tc>
            </w:tr>
            <w:tr w14:paraId="14DD9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96" w:type="dxa"/>
                  <w:tcBorders>
                    <w:tl2br w:val="nil"/>
                    <w:tr2bl w:val="nil"/>
                  </w:tcBorders>
                  <w:vAlign w:val="center"/>
                </w:tcPr>
                <w:p w14:paraId="4BA3EE00">
                  <w:pPr>
                    <w:keepNext w:val="0"/>
                    <w:keepLines w:val="0"/>
                    <w:suppressLineNumbers w:val="0"/>
                    <w:spacing w:before="0" w:beforeAutospacing="0" w:after="0" w:afterAutospacing="0"/>
                    <w:ind w:left="0" w:right="0"/>
                    <w:jc w:val="center"/>
                    <w:rPr>
                      <w:bCs/>
                      <w:color w:val="auto"/>
                      <w:kern w:val="0"/>
                      <w:szCs w:val="21"/>
                    </w:rPr>
                  </w:pPr>
                  <w:r>
                    <w:rPr>
                      <w:bCs/>
                      <w:color w:val="auto"/>
                      <w:kern w:val="0"/>
                      <w:szCs w:val="21"/>
                    </w:rPr>
                    <w:t>1</w:t>
                  </w:r>
                </w:p>
              </w:tc>
              <w:tc>
                <w:tcPr>
                  <w:tcW w:w="828" w:type="dxa"/>
                  <w:tcBorders>
                    <w:tl2br w:val="nil"/>
                    <w:tr2bl w:val="nil"/>
                  </w:tcBorders>
                  <w:vAlign w:val="center"/>
                </w:tcPr>
                <w:p w14:paraId="320CCD1F">
                  <w:pPr>
                    <w:keepNext w:val="0"/>
                    <w:keepLines w:val="0"/>
                    <w:suppressLineNumbers w:val="0"/>
                    <w:spacing w:before="0" w:beforeAutospacing="0" w:after="0" w:afterAutospacing="0"/>
                    <w:ind w:left="0" w:right="0"/>
                    <w:jc w:val="center"/>
                    <w:rPr>
                      <w:rFonts w:hint="eastAsia"/>
                      <w:color w:val="auto"/>
                      <w:szCs w:val="21"/>
                      <w:lang w:eastAsia="zh-CN"/>
                    </w:rPr>
                  </w:pPr>
                  <w:r>
                    <w:rPr>
                      <w:rFonts w:hint="eastAsia" w:eastAsia="宋体"/>
                      <w:color w:val="auto"/>
                      <w:szCs w:val="21"/>
                      <w:lang w:eastAsia="zh-CN"/>
                    </w:rPr>
                    <w:t>生产</w:t>
                  </w:r>
                </w:p>
                <w:p w14:paraId="663FFE59">
                  <w:pPr>
                    <w:keepNext w:val="0"/>
                    <w:keepLines w:val="0"/>
                    <w:suppressLineNumbers w:val="0"/>
                    <w:spacing w:before="0" w:beforeAutospacing="0" w:after="0" w:afterAutospacing="0"/>
                    <w:ind w:left="0" w:right="0"/>
                    <w:jc w:val="center"/>
                    <w:rPr>
                      <w:rFonts w:hint="eastAsia" w:eastAsia="宋体"/>
                      <w:color w:val="auto"/>
                      <w:kern w:val="0"/>
                      <w:szCs w:val="21"/>
                      <w:lang w:eastAsia="zh-CN"/>
                    </w:rPr>
                  </w:pPr>
                  <w:r>
                    <w:rPr>
                      <w:rFonts w:hint="eastAsia" w:eastAsia="宋体"/>
                      <w:color w:val="auto"/>
                      <w:szCs w:val="21"/>
                      <w:lang w:eastAsia="zh-CN"/>
                    </w:rPr>
                    <w:t>车间</w:t>
                  </w:r>
                </w:p>
              </w:tc>
              <w:tc>
                <w:tcPr>
                  <w:tcW w:w="868" w:type="dxa"/>
                  <w:tcBorders>
                    <w:tl2br w:val="nil"/>
                    <w:tr2bl w:val="nil"/>
                  </w:tcBorders>
                  <w:vAlign w:val="center"/>
                </w:tcPr>
                <w:p w14:paraId="1203C5EB">
                  <w:pPr>
                    <w:keepNext w:val="0"/>
                    <w:keepLines w:val="0"/>
                    <w:suppressLineNumbers w:val="0"/>
                    <w:spacing w:before="0" w:beforeAutospacing="0" w:after="0" w:afterAutospacing="0"/>
                    <w:ind w:left="0" w:right="0"/>
                    <w:jc w:val="center"/>
                    <w:rPr>
                      <w:bCs/>
                      <w:color w:val="auto"/>
                      <w:kern w:val="0"/>
                      <w:szCs w:val="21"/>
                    </w:rPr>
                  </w:pPr>
                  <w:r>
                    <w:rPr>
                      <w:bCs/>
                      <w:color w:val="auto"/>
                      <w:kern w:val="0"/>
                      <w:szCs w:val="21"/>
                    </w:rPr>
                    <w:t>面源</w:t>
                  </w:r>
                </w:p>
              </w:tc>
              <w:tc>
                <w:tcPr>
                  <w:tcW w:w="658" w:type="dxa"/>
                  <w:tcBorders>
                    <w:tl2br w:val="nil"/>
                    <w:tr2bl w:val="nil"/>
                  </w:tcBorders>
                  <w:vAlign w:val="center"/>
                </w:tcPr>
                <w:p w14:paraId="68B447EC">
                  <w:pPr>
                    <w:keepNext w:val="0"/>
                    <w:keepLines w:val="0"/>
                    <w:suppressLineNumbers w:val="0"/>
                    <w:spacing w:before="0" w:beforeAutospacing="0" w:after="0" w:afterAutospacing="0"/>
                    <w:ind w:left="0" w:right="0"/>
                    <w:jc w:val="center"/>
                    <w:rPr>
                      <w:color w:val="auto"/>
                      <w:kern w:val="0"/>
                      <w:szCs w:val="21"/>
                    </w:rPr>
                  </w:pPr>
                  <w:r>
                    <w:rPr>
                      <w:rFonts w:hint="eastAsia"/>
                      <w:color w:val="auto"/>
                      <w:szCs w:val="21"/>
                    </w:rPr>
                    <w:t>VOCs</w:t>
                  </w:r>
                </w:p>
              </w:tc>
              <w:tc>
                <w:tcPr>
                  <w:tcW w:w="662" w:type="dxa"/>
                  <w:tcBorders>
                    <w:tl2br w:val="nil"/>
                    <w:tr2bl w:val="nil"/>
                  </w:tcBorders>
                  <w:vAlign w:val="center"/>
                </w:tcPr>
                <w:p w14:paraId="0D3EA10A">
                  <w:pPr>
                    <w:keepNext w:val="0"/>
                    <w:keepLines w:val="0"/>
                    <w:suppressLineNumbers w:val="0"/>
                    <w:spacing w:before="0" w:beforeAutospacing="0" w:after="0" w:afterAutospacing="0"/>
                    <w:ind w:left="0" w:right="0"/>
                    <w:jc w:val="center"/>
                    <w:rPr>
                      <w:bCs/>
                      <w:color w:val="auto"/>
                      <w:kern w:val="0"/>
                      <w:szCs w:val="21"/>
                    </w:rPr>
                  </w:pPr>
                  <w:r>
                    <w:rPr>
                      <w:bCs/>
                      <w:color w:val="auto"/>
                      <w:kern w:val="0"/>
                      <w:szCs w:val="21"/>
                    </w:rPr>
                    <w:t>400</w:t>
                  </w:r>
                </w:p>
              </w:tc>
              <w:tc>
                <w:tcPr>
                  <w:tcW w:w="745" w:type="dxa"/>
                  <w:tcBorders>
                    <w:tl2br w:val="nil"/>
                    <w:tr2bl w:val="nil"/>
                  </w:tcBorders>
                  <w:vAlign w:val="center"/>
                </w:tcPr>
                <w:p w14:paraId="73DD9565">
                  <w:pPr>
                    <w:keepNext w:val="0"/>
                    <w:keepLines w:val="0"/>
                    <w:suppressLineNumbers w:val="0"/>
                    <w:spacing w:before="0" w:beforeAutospacing="0" w:after="0" w:afterAutospacing="0"/>
                    <w:ind w:left="0" w:right="0"/>
                    <w:jc w:val="center"/>
                    <w:rPr>
                      <w:bCs/>
                      <w:color w:val="auto"/>
                      <w:kern w:val="0"/>
                      <w:szCs w:val="21"/>
                    </w:rPr>
                  </w:pPr>
                  <w:r>
                    <w:rPr>
                      <w:bCs/>
                      <w:color w:val="auto"/>
                      <w:kern w:val="0"/>
                      <w:szCs w:val="21"/>
                    </w:rPr>
                    <w:t>0.01</w:t>
                  </w:r>
                </w:p>
              </w:tc>
              <w:tc>
                <w:tcPr>
                  <w:tcW w:w="739" w:type="dxa"/>
                  <w:tcBorders>
                    <w:tl2br w:val="nil"/>
                    <w:tr2bl w:val="nil"/>
                  </w:tcBorders>
                  <w:vAlign w:val="center"/>
                </w:tcPr>
                <w:p w14:paraId="76D1370F">
                  <w:pPr>
                    <w:keepNext w:val="0"/>
                    <w:keepLines w:val="0"/>
                    <w:suppressLineNumbers w:val="0"/>
                    <w:spacing w:before="0" w:beforeAutospacing="0" w:after="0" w:afterAutospacing="0"/>
                    <w:ind w:left="0" w:right="0"/>
                    <w:jc w:val="center"/>
                    <w:rPr>
                      <w:bCs/>
                      <w:color w:val="auto"/>
                      <w:kern w:val="0"/>
                      <w:szCs w:val="21"/>
                    </w:rPr>
                  </w:pPr>
                  <w:r>
                    <w:rPr>
                      <w:bCs/>
                      <w:color w:val="auto"/>
                      <w:kern w:val="0"/>
                      <w:szCs w:val="21"/>
                    </w:rPr>
                    <w:t>1.85</w:t>
                  </w:r>
                </w:p>
              </w:tc>
              <w:tc>
                <w:tcPr>
                  <w:tcW w:w="738" w:type="dxa"/>
                  <w:tcBorders>
                    <w:tl2br w:val="nil"/>
                    <w:tr2bl w:val="nil"/>
                  </w:tcBorders>
                  <w:vAlign w:val="center"/>
                </w:tcPr>
                <w:p w14:paraId="4B4A8A92">
                  <w:pPr>
                    <w:keepNext w:val="0"/>
                    <w:keepLines w:val="0"/>
                    <w:suppressLineNumbers w:val="0"/>
                    <w:spacing w:before="0" w:beforeAutospacing="0" w:after="0" w:afterAutospacing="0"/>
                    <w:ind w:left="0" w:right="0"/>
                    <w:jc w:val="center"/>
                    <w:rPr>
                      <w:bCs/>
                      <w:color w:val="auto"/>
                      <w:kern w:val="0"/>
                      <w:szCs w:val="21"/>
                    </w:rPr>
                  </w:pPr>
                  <w:r>
                    <w:rPr>
                      <w:bCs/>
                      <w:color w:val="auto"/>
                      <w:kern w:val="0"/>
                      <w:szCs w:val="21"/>
                    </w:rPr>
                    <w:t>0.78</w:t>
                  </w:r>
                </w:p>
              </w:tc>
              <w:tc>
                <w:tcPr>
                  <w:tcW w:w="1293" w:type="dxa"/>
                  <w:tcBorders>
                    <w:tl2br w:val="nil"/>
                    <w:tr2bl w:val="nil"/>
                  </w:tcBorders>
                  <w:vAlign w:val="center"/>
                </w:tcPr>
                <w:p w14:paraId="7A9DC0F3">
                  <w:pPr>
                    <w:keepNext w:val="0"/>
                    <w:keepLines w:val="0"/>
                    <w:suppressLineNumbers w:val="0"/>
                    <w:spacing w:before="0" w:beforeAutospacing="0" w:after="0" w:afterAutospacing="0"/>
                    <w:ind w:left="0" w:right="0"/>
                    <w:jc w:val="center"/>
                    <w:rPr>
                      <w:rFonts w:hint="default" w:eastAsia="宋体"/>
                      <w:bCs/>
                      <w:color w:val="auto"/>
                      <w:kern w:val="0"/>
                      <w:szCs w:val="21"/>
                      <w:highlight w:val="none"/>
                      <w:lang w:val="en-US" w:eastAsia="zh-CN"/>
                    </w:rPr>
                  </w:pPr>
                  <w:r>
                    <w:rPr>
                      <w:rFonts w:hint="eastAsia"/>
                      <w:bCs/>
                      <w:color w:val="auto"/>
                      <w:kern w:val="0"/>
                      <w:szCs w:val="21"/>
                      <w:highlight w:val="none"/>
                      <w:lang w:val="en-US" w:eastAsia="zh-CN"/>
                    </w:rPr>
                    <w:t>0.46</w:t>
                  </w:r>
                </w:p>
              </w:tc>
              <w:tc>
                <w:tcPr>
                  <w:tcW w:w="1361" w:type="dxa"/>
                  <w:tcBorders>
                    <w:tl2br w:val="nil"/>
                    <w:tr2bl w:val="nil"/>
                  </w:tcBorders>
                  <w:vAlign w:val="center"/>
                </w:tcPr>
                <w:p w14:paraId="51B76641">
                  <w:pPr>
                    <w:keepNext w:val="0"/>
                    <w:keepLines w:val="0"/>
                    <w:suppressLineNumbers w:val="0"/>
                    <w:spacing w:before="0" w:beforeAutospacing="0" w:after="0" w:afterAutospacing="0"/>
                    <w:ind w:left="0" w:right="0"/>
                    <w:jc w:val="center"/>
                    <w:rPr>
                      <w:bCs/>
                      <w:color w:val="auto"/>
                      <w:kern w:val="0"/>
                      <w:szCs w:val="21"/>
                      <w:highlight w:val="none"/>
                    </w:rPr>
                  </w:pPr>
                  <w:r>
                    <w:rPr>
                      <w:rFonts w:hint="eastAsia"/>
                      <w:bCs/>
                      <w:color w:val="auto"/>
                      <w:kern w:val="0"/>
                      <w:szCs w:val="21"/>
                      <w:highlight w:val="none"/>
                    </w:rPr>
                    <w:t>5</w:t>
                  </w:r>
                  <w:r>
                    <w:rPr>
                      <w:bCs/>
                      <w:color w:val="auto"/>
                      <w:kern w:val="0"/>
                      <w:szCs w:val="21"/>
                      <w:highlight w:val="none"/>
                    </w:rPr>
                    <w:t>0</w:t>
                  </w:r>
                </w:p>
              </w:tc>
            </w:tr>
          </w:tbl>
          <w:p w14:paraId="22869578">
            <w:pPr>
              <w:keepNext w:val="0"/>
              <w:keepLines w:val="0"/>
              <w:suppressLineNumbers w:val="0"/>
              <w:spacing w:before="0" w:beforeAutospacing="0" w:after="0" w:afterAutospacing="0" w:line="360" w:lineRule="auto"/>
              <w:ind w:left="0" w:right="0" w:firstLine="480" w:firstLineChars="200"/>
              <w:rPr>
                <w:b/>
                <w:bCs/>
                <w:color w:val="auto"/>
                <w:sz w:val="24"/>
                <w:u w:val="single"/>
              </w:rPr>
            </w:pPr>
            <w:r>
              <w:rPr>
                <w:rFonts w:hint="eastAsia"/>
                <w:color w:val="auto"/>
                <w:sz w:val="24"/>
              </w:rPr>
              <w:t>从上表数据分析可知，本项目无组织排放源的卫生防护距离不足50m，根据《大气有害物质无组织排放卫生防护距离推导技术导则 GB/T 39499-2020》中的规定，当卫生防护距离在50m以内时，级差为50m。</w:t>
            </w:r>
            <w:r>
              <w:rPr>
                <w:b/>
                <w:bCs/>
                <w:color w:val="auto"/>
                <w:sz w:val="24"/>
                <w:u w:val="none"/>
              </w:rPr>
              <w:t>综上，本项目卫生防护距离为生产车间为边界向外划定50m的卫生防护距离。</w:t>
            </w:r>
            <w:r>
              <w:rPr>
                <w:rFonts w:hint="eastAsia"/>
                <w:b/>
                <w:bCs/>
                <w:color w:val="auto"/>
                <w:sz w:val="24"/>
                <w:u w:val="none"/>
              </w:rPr>
              <w:t>根据项目外环境关系可知，项目卫生防护距离内无居民、学校、医院等环境敏感点。</w:t>
            </w:r>
          </w:p>
          <w:p w14:paraId="177B6F68">
            <w:pPr>
              <w:spacing w:line="360" w:lineRule="auto"/>
              <w:ind w:firstLine="460" w:firstLineChars="192"/>
              <w:rPr>
                <w:bCs/>
                <w:snapToGrid w:val="0"/>
                <w:color w:val="auto"/>
                <w:sz w:val="24"/>
              </w:rPr>
            </w:pPr>
            <w:r>
              <w:rPr>
                <w:bCs/>
                <w:snapToGrid w:val="0"/>
                <w:color w:val="auto"/>
                <w:sz w:val="24"/>
                <w:lang w:eastAsia="zh-TW"/>
              </w:rPr>
              <w:t>环评提出如下卫生防护距离设置要求：当地政府规划部门在划定的卫生防护距离范围内不得建设和规划居住用房、文教、医院及对环境质量要求较高的医药、食品企业等与项目不相容的敏感设施</w:t>
            </w:r>
            <w:r>
              <w:rPr>
                <w:bCs/>
                <w:snapToGrid w:val="0"/>
                <w:color w:val="auto"/>
                <w:sz w:val="24"/>
              </w:rPr>
              <w:t>。</w:t>
            </w:r>
          </w:p>
        </w:tc>
      </w:tr>
    </w:tbl>
    <w:p w14:paraId="544FB4AC">
      <w:pPr>
        <w:adjustRightInd w:val="0"/>
        <w:snapToGrid w:val="0"/>
        <w:jc w:val="center"/>
        <w:rPr>
          <w:bCs/>
          <w:color w:val="auto"/>
          <w:szCs w:val="21"/>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5"/>
        <w:tblW w:w="508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2826"/>
      </w:tblGrid>
      <w:tr w14:paraId="6A69CE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17" w:hRule="atLeast"/>
          <w:jc w:val="center"/>
        </w:trPr>
        <w:tc>
          <w:tcPr>
            <w:tcW w:w="202" w:type="pct"/>
            <w:tcMar>
              <w:left w:w="28" w:type="dxa"/>
              <w:right w:w="28" w:type="dxa"/>
            </w:tcMar>
            <w:vAlign w:val="center"/>
          </w:tcPr>
          <w:p w14:paraId="1DA9B441">
            <w:pPr>
              <w:adjustRightInd w:val="0"/>
              <w:snapToGrid w:val="0"/>
              <w:jc w:val="center"/>
              <w:rPr>
                <w:color w:val="auto"/>
                <w:szCs w:val="21"/>
              </w:rPr>
            </w:pPr>
            <w:r>
              <w:rPr>
                <w:color w:val="auto"/>
                <w:szCs w:val="21"/>
              </w:rPr>
              <w:t>运营期环境影响和保护措施</w:t>
            </w:r>
          </w:p>
        </w:tc>
        <w:tc>
          <w:tcPr>
            <w:tcW w:w="4797" w:type="pct"/>
            <w:vAlign w:val="center"/>
          </w:tcPr>
          <w:p w14:paraId="650A05E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color w:val="auto"/>
                <w:sz w:val="24"/>
              </w:rPr>
            </w:pPr>
            <w:r>
              <w:rPr>
                <w:rFonts w:hint="eastAsia"/>
                <w:b/>
                <w:color w:val="auto"/>
                <w:sz w:val="24"/>
              </w:rPr>
              <w:t>2.</w:t>
            </w:r>
            <w:r>
              <w:rPr>
                <w:b/>
                <w:color w:val="auto"/>
                <w:sz w:val="24"/>
              </w:rPr>
              <w:t>废水</w:t>
            </w:r>
          </w:p>
          <w:p w14:paraId="142E596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snapToGrid w:val="0"/>
                <w:color w:val="auto"/>
                <w:kern w:val="0"/>
                <w:sz w:val="24"/>
                <w:szCs w:val="20"/>
              </w:rPr>
            </w:pPr>
            <w:r>
              <w:rPr>
                <w:b/>
                <w:bCs/>
                <w:snapToGrid w:val="0"/>
                <w:color w:val="auto"/>
                <w:kern w:val="0"/>
                <w:sz w:val="24"/>
                <w:szCs w:val="20"/>
              </w:rPr>
              <w:t>（</w:t>
            </w:r>
            <w:r>
              <w:rPr>
                <w:rFonts w:hint="default" w:ascii="Times New Roman" w:hAnsi="Times New Roman" w:cs="Times New Roman"/>
                <w:b/>
                <w:bCs/>
                <w:snapToGrid w:val="0"/>
                <w:color w:val="auto"/>
                <w:kern w:val="0"/>
                <w:sz w:val="24"/>
                <w:szCs w:val="20"/>
              </w:rPr>
              <w:t>1）废水污染物排放源情况</w:t>
            </w:r>
          </w:p>
          <w:p w14:paraId="73485EC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sz w:val="24"/>
                <w:szCs w:val="24"/>
                <w:highlight w:val="none"/>
                <w:lang w:eastAsia="zh-CN"/>
              </w:rPr>
              <w:t>本项目车间定期清扫不冲洗</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因此</w:t>
            </w:r>
            <w:r>
              <w:rPr>
                <w:rFonts w:hint="default" w:ascii="Times New Roman" w:hAnsi="Times New Roman" w:cs="Times New Roman"/>
                <w:color w:val="auto"/>
                <w:sz w:val="24"/>
                <w:szCs w:val="24"/>
                <w:lang w:eastAsia="zh-CN"/>
              </w:rPr>
              <w:t>，本项目运营期外排废水主要为员工生活污水</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餐饮废水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lang w:eastAsia="zh-CN"/>
              </w:rPr>
              <w:t>生产废水为</w:t>
            </w:r>
            <w:r>
              <w:rPr>
                <w:rFonts w:hint="eastAsia" w:cs="Times New Roman"/>
                <w:color w:val="auto"/>
                <w:sz w:val="24"/>
                <w:szCs w:val="24"/>
                <w:lang w:val="en-US" w:eastAsia="zh-CN"/>
              </w:rPr>
              <w:t>冷却废水，</w:t>
            </w:r>
            <w:r>
              <w:rPr>
                <w:rFonts w:hint="eastAsia" w:ascii="宋体" w:hAnsi="宋体" w:cs="宋体"/>
                <w:color w:val="auto"/>
                <w:sz w:val="24"/>
                <w:szCs w:val="24"/>
                <w:lang w:val="en-US" w:eastAsia="zh-CN"/>
              </w:rPr>
              <w:t>本项目与现有工程共用1个循环冷却水池，现有工程冷却水循环使用不外排。本项目确定</w:t>
            </w:r>
            <w:r>
              <w:rPr>
                <w:rFonts w:hint="eastAsia" w:ascii="宋体" w:hAnsi="宋体" w:eastAsia="宋体" w:cs="宋体"/>
                <w:color w:val="auto"/>
                <w:sz w:val="24"/>
                <w:szCs w:val="24"/>
              </w:rPr>
              <w:t>冷却水经冷却</w:t>
            </w:r>
            <w:r>
              <w:rPr>
                <w:rFonts w:hint="eastAsia" w:ascii="宋体" w:hAnsi="宋体" w:cs="宋体"/>
                <w:color w:val="auto"/>
                <w:sz w:val="24"/>
                <w:szCs w:val="24"/>
                <w:lang w:val="en-US" w:eastAsia="zh-CN"/>
              </w:rPr>
              <w:t>水池</w:t>
            </w:r>
            <w:r>
              <w:rPr>
                <w:rFonts w:hint="eastAsia" w:ascii="宋体" w:hAnsi="宋体" w:eastAsia="宋体" w:cs="宋体"/>
                <w:color w:val="auto"/>
                <w:sz w:val="24"/>
                <w:szCs w:val="24"/>
              </w:rPr>
              <w:t>循环使用</w:t>
            </w:r>
            <w:r>
              <w:rPr>
                <w:rFonts w:hint="eastAsia" w:ascii="宋体" w:hAnsi="宋体" w:eastAsia="宋体" w:cs="宋体"/>
                <w:color w:val="auto"/>
                <w:sz w:val="24"/>
                <w:szCs w:val="24"/>
                <w:lang w:eastAsia="zh-CN"/>
              </w:rPr>
              <w:t>每</w:t>
            </w:r>
            <w:r>
              <w:rPr>
                <w:rFonts w:hint="eastAsia" w:ascii="宋体" w:hAnsi="宋体" w:cs="宋体"/>
                <w:color w:val="auto"/>
                <w:sz w:val="24"/>
                <w:szCs w:val="24"/>
                <w:lang w:val="en-US" w:eastAsia="zh-CN"/>
              </w:rPr>
              <w:t>月</w:t>
            </w:r>
            <w:r>
              <w:rPr>
                <w:rFonts w:hint="eastAsia" w:ascii="宋体" w:hAnsi="宋体" w:eastAsia="宋体" w:cs="宋体"/>
                <w:color w:val="auto"/>
                <w:sz w:val="24"/>
                <w:szCs w:val="24"/>
                <w:lang w:eastAsia="zh-CN"/>
              </w:rPr>
              <w:t>排放一次</w:t>
            </w:r>
            <w:r>
              <w:rPr>
                <w:rFonts w:hint="eastAsia" w:cs="Times New Roman"/>
                <w:color w:val="auto"/>
                <w:sz w:val="24"/>
                <w:szCs w:val="24"/>
                <w:lang w:val="en-US" w:eastAsia="zh-CN"/>
              </w:rPr>
              <w:t>、</w:t>
            </w:r>
            <w:r>
              <w:rPr>
                <w:rFonts w:hint="default" w:ascii="Times New Roman" w:hAnsi="Times New Roman" w:cs="Times New Roman"/>
                <w:color w:val="auto"/>
                <w:sz w:val="24"/>
                <w:szCs w:val="24"/>
                <w:lang w:eastAsia="zh-CN"/>
              </w:rPr>
              <w:t>洗版废水为</w:t>
            </w:r>
            <w:r>
              <w:rPr>
                <w:rFonts w:hint="default" w:ascii="Times New Roman" w:hAnsi="Times New Roman" w:cs="Times New Roman"/>
                <w:color w:val="auto"/>
                <w:sz w:val="24"/>
                <w:szCs w:val="24"/>
                <w:highlight w:val="none"/>
                <w:lang w:eastAsia="zh-CN"/>
              </w:rPr>
              <w:t>危废，委托有资质的单位定期收运处置</w:t>
            </w:r>
            <w:r>
              <w:rPr>
                <w:rFonts w:hint="default" w:ascii="Times New Roman" w:hAnsi="Times New Roman" w:cs="Times New Roman"/>
                <w:color w:val="auto"/>
                <w:sz w:val="24"/>
                <w:szCs w:val="24"/>
                <w:lang w:eastAsia="zh-CN"/>
              </w:rPr>
              <w:t>。</w:t>
            </w:r>
          </w:p>
          <w:p w14:paraId="0A606F9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rPr>
              <w:t>本项目废水污染物排放源情况见下表。</w:t>
            </w:r>
          </w:p>
          <w:p w14:paraId="5ADE33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Cs w:val="21"/>
              </w:rPr>
            </w:pPr>
            <w:r>
              <w:rPr>
                <w:b/>
                <w:color w:val="auto"/>
                <w:szCs w:val="21"/>
              </w:rPr>
              <w:t>表4-</w:t>
            </w:r>
            <w:r>
              <w:rPr>
                <w:rFonts w:hint="eastAsia"/>
                <w:b/>
                <w:color w:val="auto"/>
                <w:szCs w:val="21"/>
                <w:lang w:val="en-US" w:eastAsia="zh-CN"/>
              </w:rPr>
              <w:t>17</w:t>
            </w:r>
            <w:r>
              <w:rPr>
                <w:b/>
                <w:color w:val="auto"/>
                <w:szCs w:val="21"/>
              </w:rPr>
              <w:t xml:space="preserve">   </w:t>
            </w:r>
            <w:r>
              <w:rPr>
                <w:rFonts w:hint="eastAsia"/>
                <w:b/>
                <w:color w:val="auto"/>
                <w:szCs w:val="21"/>
                <w:lang w:val="en-US" w:eastAsia="zh-CN"/>
              </w:rPr>
              <w:t>本项目</w:t>
            </w:r>
            <w:r>
              <w:rPr>
                <w:rFonts w:hint="default"/>
                <w:b/>
                <w:color w:val="auto"/>
                <w:szCs w:val="21"/>
              </w:rPr>
              <w:t>废水污染物排放源情况表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
              <w:gridCol w:w="744"/>
              <w:gridCol w:w="885"/>
              <w:gridCol w:w="701"/>
              <w:gridCol w:w="855"/>
              <w:gridCol w:w="979"/>
              <w:gridCol w:w="1016"/>
              <w:gridCol w:w="1024"/>
              <w:gridCol w:w="668"/>
              <w:gridCol w:w="1009"/>
              <w:gridCol w:w="1165"/>
              <w:gridCol w:w="873"/>
              <w:gridCol w:w="696"/>
              <w:gridCol w:w="676"/>
              <w:gridCol w:w="991"/>
            </w:tblGrid>
            <w:tr w14:paraId="0B20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26" w:type="pct"/>
                  <w:vMerge w:val="restart"/>
                  <w:vAlign w:val="center"/>
                </w:tcPr>
                <w:p w14:paraId="636DC452">
                  <w:pPr>
                    <w:ind w:left="-105" w:leftChars="-50" w:right="-105" w:rightChars="-50"/>
                    <w:jc w:val="center"/>
                    <w:rPr>
                      <w:b/>
                      <w:color w:val="auto"/>
                      <w:szCs w:val="21"/>
                    </w:rPr>
                  </w:pPr>
                  <w:r>
                    <w:rPr>
                      <w:b/>
                      <w:color w:val="auto"/>
                      <w:szCs w:val="21"/>
                      <w:lang w:bidi="ar"/>
                    </w:rPr>
                    <w:t>序号</w:t>
                  </w:r>
                </w:p>
              </w:tc>
              <w:tc>
                <w:tcPr>
                  <w:tcW w:w="295" w:type="pct"/>
                  <w:vMerge w:val="restart"/>
                  <w:vAlign w:val="center"/>
                </w:tcPr>
                <w:p w14:paraId="4BA6AD8F">
                  <w:pPr>
                    <w:ind w:left="-105" w:leftChars="-50" w:right="-105" w:rightChars="-50"/>
                    <w:jc w:val="center"/>
                    <w:rPr>
                      <w:b/>
                      <w:color w:val="auto"/>
                      <w:szCs w:val="21"/>
                      <w:lang w:bidi="ar"/>
                    </w:rPr>
                  </w:pPr>
                  <w:r>
                    <w:rPr>
                      <w:b/>
                      <w:color w:val="auto"/>
                      <w:szCs w:val="21"/>
                      <w:lang w:bidi="ar"/>
                    </w:rPr>
                    <w:t>产污</w:t>
                  </w:r>
                </w:p>
                <w:p w14:paraId="4C3BF871">
                  <w:pPr>
                    <w:ind w:left="-105" w:leftChars="-50" w:right="-105" w:rightChars="-50"/>
                    <w:jc w:val="center"/>
                    <w:rPr>
                      <w:b/>
                      <w:color w:val="auto"/>
                      <w:szCs w:val="21"/>
                    </w:rPr>
                  </w:pPr>
                  <w:r>
                    <w:rPr>
                      <w:b/>
                      <w:color w:val="auto"/>
                      <w:szCs w:val="21"/>
                      <w:lang w:bidi="ar"/>
                    </w:rPr>
                    <w:t>环节</w:t>
                  </w:r>
                </w:p>
              </w:tc>
              <w:tc>
                <w:tcPr>
                  <w:tcW w:w="351" w:type="pct"/>
                  <w:vMerge w:val="restart"/>
                  <w:vAlign w:val="center"/>
                </w:tcPr>
                <w:p w14:paraId="327B94EF">
                  <w:pPr>
                    <w:ind w:left="-105" w:leftChars="-50" w:right="-105" w:rightChars="-50"/>
                    <w:jc w:val="center"/>
                    <w:rPr>
                      <w:b/>
                      <w:color w:val="auto"/>
                      <w:szCs w:val="21"/>
                    </w:rPr>
                  </w:pPr>
                  <w:r>
                    <w:rPr>
                      <w:b/>
                      <w:color w:val="auto"/>
                      <w:szCs w:val="21"/>
                      <w:lang w:bidi="ar"/>
                    </w:rPr>
                    <w:t>类别</w:t>
                  </w:r>
                </w:p>
              </w:tc>
              <w:tc>
                <w:tcPr>
                  <w:tcW w:w="278" w:type="pct"/>
                  <w:vMerge w:val="restart"/>
                  <w:vAlign w:val="center"/>
                </w:tcPr>
                <w:p w14:paraId="026086D4">
                  <w:pPr>
                    <w:ind w:left="-105" w:leftChars="-50" w:right="-105" w:rightChars="-50"/>
                    <w:jc w:val="center"/>
                    <w:rPr>
                      <w:b/>
                      <w:color w:val="auto"/>
                      <w:szCs w:val="21"/>
                    </w:rPr>
                  </w:pPr>
                  <w:r>
                    <w:rPr>
                      <w:b/>
                      <w:color w:val="auto"/>
                      <w:szCs w:val="21"/>
                      <w:lang w:bidi="ar"/>
                    </w:rPr>
                    <w:t>污染物种类</w:t>
                  </w:r>
                </w:p>
              </w:tc>
              <w:tc>
                <w:tcPr>
                  <w:tcW w:w="727" w:type="pct"/>
                  <w:gridSpan w:val="2"/>
                  <w:vAlign w:val="center"/>
                </w:tcPr>
                <w:p w14:paraId="464929C0">
                  <w:pPr>
                    <w:ind w:left="-105" w:leftChars="-50" w:right="-105" w:rightChars="-50"/>
                    <w:jc w:val="center"/>
                    <w:rPr>
                      <w:b/>
                      <w:color w:val="auto"/>
                      <w:szCs w:val="21"/>
                    </w:rPr>
                  </w:pPr>
                  <w:r>
                    <w:rPr>
                      <w:b/>
                      <w:color w:val="auto"/>
                      <w:szCs w:val="21"/>
                      <w:lang w:bidi="ar"/>
                    </w:rPr>
                    <w:t>污染物产生情况</w:t>
                  </w:r>
                </w:p>
              </w:tc>
              <w:tc>
                <w:tcPr>
                  <w:tcW w:w="1474" w:type="pct"/>
                  <w:gridSpan w:val="4"/>
                  <w:vAlign w:val="center"/>
                </w:tcPr>
                <w:p w14:paraId="123863DA">
                  <w:pPr>
                    <w:ind w:left="-105" w:leftChars="-50" w:right="-105" w:rightChars="-50"/>
                    <w:jc w:val="center"/>
                    <w:rPr>
                      <w:b/>
                      <w:color w:val="auto"/>
                      <w:szCs w:val="21"/>
                    </w:rPr>
                  </w:pPr>
                  <w:r>
                    <w:rPr>
                      <w:b/>
                      <w:color w:val="auto"/>
                      <w:szCs w:val="21"/>
                      <w:lang w:bidi="ar"/>
                    </w:rPr>
                    <w:t>废水污染治理措施</w:t>
                  </w:r>
                </w:p>
              </w:tc>
              <w:tc>
                <w:tcPr>
                  <w:tcW w:w="462" w:type="pct"/>
                  <w:vMerge w:val="restart"/>
                  <w:vAlign w:val="center"/>
                </w:tcPr>
                <w:p w14:paraId="5C7BD55D">
                  <w:pPr>
                    <w:ind w:left="-105" w:leftChars="-50" w:right="-105" w:rightChars="-50"/>
                    <w:jc w:val="center"/>
                    <w:rPr>
                      <w:b/>
                      <w:color w:val="auto"/>
                      <w:szCs w:val="21"/>
                    </w:rPr>
                  </w:pPr>
                  <w:r>
                    <w:rPr>
                      <w:b/>
                      <w:color w:val="auto"/>
                      <w:szCs w:val="21"/>
                      <w:lang w:bidi="ar"/>
                    </w:rPr>
                    <w:t>废水排放量（m</w:t>
                  </w:r>
                  <w:r>
                    <w:rPr>
                      <w:b/>
                      <w:color w:val="auto"/>
                      <w:szCs w:val="21"/>
                      <w:vertAlign w:val="superscript"/>
                      <w:lang w:bidi="ar"/>
                    </w:rPr>
                    <w:t>3</w:t>
                  </w:r>
                  <w:r>
                    <w:rPr>
                      <w:b/>
                      <w:color w:val="auto"/>
                      <w:szCs w:val="21"/>
                      <w:lang w:bidi="ar"/>
                    </w:rPr>
                    <w:t>）</w:t>
                  </w:r>
                </w:p>
              </w:tc>
              <w:tc>
                <w:tcPr>
                  <w:tcW w:w="622" w:type="pct"/>
                  <w:gridSpan w:val="2"/>
                  <w:vAlign w:val="center"/>
                </w:tcPr>
                <w:p w14:paraId="68D3F67B">
                  <w:pPr>
                    <w:ind w:left="-105" w:leftChars="-50" w:right="-105" w:rightChars="-50"/>
                    <w:jc w:val="center"/>
                    <w:rPr>
                      <w:b/>
                      <w:color w:val="auto"/>
                      <w:szCs w:val="21"/>
                    </w:rPr>
                  </w:pPr>
                  <w:r>
                    <w:rPr>
                      <w:b/>
                      <w:color w:val="auto"/>
                      <w:szCs w:val="21"/>
                      <w:lang w:bidi="ar"/>
                    </w:rPr>
                    <w:t>污染物排放情况</w:t>
                  </w:r>
                </w:p>
              </w:tc>
              <w:tc>
                <w:tcPr>
                  <w:tcW w:w="268" w:type="pct"/>
                  <w:vMerge w:val="restart"/>
                  <w:vAlign w:val="center"/>
                </w:tcPr>
                <w:p w14:paraId="4947699E">
                  <w:pPr>
                    <w:ind w:left="-105" w:leftChars="-50" w:right="-105" w:rightChars="-50"/>
                    <w:jc w:val="center"/>
                    <w:rPr>
                      <w:b/>
                      <w:color w:val="auto"/>
                      <w:szCs w:val="21"/>
                      <w:lang w:bidi="ar"/>
                    </w:rPr>
                  </w:pPr>
                  <w:r>
                    <w:rPr>
                      <w:b/>
                      <w:color w:val="auto"/>
                      <w:szCs w:val="21"/>
                      <w:lang w:bidi="ar"/>
                    </w:rPr>
                    <w:t>排放</w:t>
                  </w:r>
                </w:p>
                <w:p w14:paraId="66012612">
                  <w:pPr>
                    <w:ind w:left="-105" w:leftChars="-50" w:right="-105" w:rightChars="-50"/>
                    <w:jc w:val="center"/>
                    <w:rPr>
                      <w:b/>
                      <w:color w:val="auto"/>
                      <w:szCs w:val="21"/>
                    </w:rPr>
                  </w:pPr>
                  <w:r>
                    <w:rPr>
                      <w:b/>
                      <w:color w:val="auto"/>
                      <w:szCs w:val="21"/>
                      <w:lang w:bidi="ar"/>
                    </w:rPr>
                    <w:t>去向</w:t>
                  </w:r>
                </w:p>
              </w:tc>
              <w:tc>
                <w:tcPr>
                  <w:tcW w:w="393" w:type="pct"/>
                  <w:vMerge w:val="restart"/>
                  <w:vAlign w:val="center"/>
                </w:tcPr>
                <w:p w14:paraId="3DC78A71">
                  <w:pPr>
                    <w:ind w:left="-105" w:leftChars="-50" w:right="-105" w:rightChars="-50"/>
                    <w:jc w:val="center"/>
                    <w:rPr>
                      <w:b/>
                      <w:color w:val="auto"/>
                      <w:szCs w:val="21"/>
                    </w:rPr>
                  </w:pPr>
                  <w:r>
                    <w:rPr>
                      <w:b/>
                      <w:color w:val="auto"/>
                      <w:szCs w:val="21"/>
                      <w:lang w:bidi="ar"/>
                    </w:rPr>
                    <w:t>排放规律</w:t>
                  </w:r>
                </w:p>
              </w:tc>
            </w:tr>
            <w:tr w14:paraId="6CB1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26" w:type="pct"/>
                  <w:vMerge w:val="continue"/>
                  <w:vAlign w:val="center"/>
                </w:tcPr>
                <w:p w14:paraId="5AE4B101">
                  <w:pPr>
                    <w:rPr>
                      <w:color w:val="auto"/>
                      <w:szCs w:val="21"/>
                    </w:rPr>
                  </w:pPr>
                </w:p>
              </w:tc>
              <w:tc>
                <w:tcPr>
                  <w:tcW w:w="295" w:type="pct"/>
                  <w:vMerge w:val="continue"/>
                  <w:vAlign w:val="center"/>
                </w:tcPr>
                <w:p w14:paraId="42CF741B">
                  <w:pPr>
                    <w:rPr>
                      <w:color w:val="auto"/>
                      <w:szCs w:val="21"/>
                    </w:rPr>
                  </w:pPr>
                </w:p>
              </w:tc>
              <w:tc>
                <w:tcPr>
                  <w:tcW w:w="351" w:type="pct"/>
                  <w:vMerge w:val="continue"/>
                  <w:vAlign w:val="center"/>
                </w:tcPr>
                <w:p w14:paraId="5B1FDAD8">
                  <w:pPr>
                    <w:rPr>
                      <w:color w:val="auto"/>
                      <w:szCs w:val="21"/>
                    </w:rPr>
                  </w:pPr>
                </w:p>
              </w:tc>
              <w:tc>
                <w:tcPr>
                  <w:tcW w:w="278" w:type="pct"/>
                  <w:vMerge w:val="continue"/>
                  <w:vAlign w:val="center"/>
                </w:tcPr>
                <w:p w14:paraId="297D1931">
                  <w:pPr>
                    <w:rPr>
                      <w:color w:val="auto"/>
                      <w:szCs w:val="21"/>
                    </w:rPr>
                  </w:pPr>
                </w:p>
              </w:tc>
              <w:tc>
                <w:tcPr>
                  <w:tcW w:w="339" w:type="pct"/>
                  <w:vAlign w:val="center"/>
                </w:tcPr>
                <w:p w14:paraId="520A2E62">
                  <w:pPr>
                    <w:wordWrap w:val="0"/>
                    <w:ind w:left="-105" w:leftChars="-50" w:right="-105" w:rightChars="-50"/>
                    <w:jc w:val="center"/>
                    <w:rPr>
                      <w:b/>
                      <w:bCs/>
                      <w:color w:val="auto"/>
                      <w:szCs w:val="21"/>
                    </w:rPr>
                  </w:pPr>
                  <w:r>
                    <w:rPr>
                      <w:b/>
                      <w:color w:val="auto"/>
                      <w:szCs w:val="21"/>
                      <w:lang w:bidi="ar"/>
                    </w:rPr>
                    <w:t>产生浓度（mg/L）</w:t>
                  </w:r>
                </w:p>
              </w:tc>
              <w:tc>
                <w:tcPr>
                  <w:tcW w:w="388" w:type="pct"/>
                  <w:vAlign w:val="center"/>
                </w:tcPr>
                <w:p w14:paraId="34F63EF6">
                  <w:pPr>
                    <w:ind w:left="-105" w:leftChars="-50" w:right="-105" w:rightChars="-50"/>
                    <w:jc w:val="center"/>
                    <w:rPr>
                      <w:b/>
                      <w:color w:val="auto"/>
                      <w:szCs w:val="21"/>
                    </w:rPr>
                  </w:pPr>
                  <w:r>
                    <w:rPr>
                      <w:b/>
                      <w:color w:val="auto"/>
                      <w:szCs w:val="21"/>
                      <w:lang w:bidi="ar"/>
                    </w:rPr>
                    <w:t>年产生量（t/a）</w:t>
                  </w:r>
                </w:p>
              </w:tc>
              <w:tc>
                <w:tcPr>
                  <w:tcW w:w="403" w:type="pct"/>
                  <w:vAlign w:val="center"/>
                </w:tcPr>
                <w:p w14:paraId="6B4CCF34">
                  <w:pPr>
                    <w:ind w:left="-105" w:leftChars="-50" w:right="-105" w:rightChars="-50"/>
                    <w:jc w:val="center"/>
                    <w:rPr>
                      <w:b/>
                      <w:color w:val="auto"/>
                      <w:szCs w:val="21"/>
                    </w:rPr>
                  </w:pPr>
                  <w:r>
                    <w:rPr>
                      <w:b/>
                      <w:color w:val="auto"/>
                      <w:szCs w:val="21"/>
                      <w:lang w:bidi="ar"/>
                    </w:rPr>
                    <w:t>治理设施名称及工艺</w:t>
                  </w:r>
                </w:p>
              </w:tc>
              <w:tc>
                <w:tcPr>
                  <w:tcW w:w="406" w:type="pct"/>
                  <w:vAlign w:val="center"/>
                </w:tcPr>
                <w:p w14:paraId="1B1173C4">
                  <w:pPr>
                    <w:ind w:left="-105" w:leftChars="-50" w:right="-105" w:rightChars="-50"/>
                    <w:jc w:val="center"/>
                    <w:rPr>
                      <w:b/>
                      <w:color w:val="auto"/>
                      <w:szCs w:val="21"/>
                    </w:rPr>
                  </w:pPr>
                  <w:r>
                    <w:rPr>
                      <w:b/>
                      <w:color w:val="auto"/>
                      <w:szCs w:val="21"/>
                      <w:lang w:bidi="ar"/>
                    </w:rPr>
                    <w:t>处理能力</w:t>
                  </w:r>
                </w:p>
              </w:tc>
              <w:tc>
                <w:tcPr>
                  <w:tcW w:w="265" w:type="pct"/>
                  <w:vAlign w:val="center"/>
                </w:tcPr>
                <w:p w14:paraId="3C3549AE">
                  <w:pPr>
                    <w:ind w:left="-105" w:leftChars="-50" w:right="-105" w:rightChars="-50"/>
                    <w:jc w:val="center"/>
                    <w:rPr>
                      <w:b/>
                      <w:color w:val="auto"/>
                      <w:szCs w:val="21"/>
                      <w:lang w:bidi="ar"/>
                    </w:rPr>
                  </w:pPr>
                  <w:r>
                    <w:rPr>
                      <w:b/>
                      <w:color w:val="auto"/>
                      <w:szCs w:val="21"/>
                      <w:lang w:bidi="ar"/>
                    </w:rPr>
                    <w:t>治理</w:t>
                  </w:r>
                </w:p>
                <w:p w14:paraId="7282FF02">
                  <w:pPr>
                    <w:ind w:left="-105" w:leftChars="-50" w:right="-105" w:rightChars="-50"/>
                    <w:jc w:val="center"/>
                    <w:rPr>
                      <w:color w:val="auto"/>
                      <w:szCs w:val="21"/>
                    </w:rPr>
                  </w:pPr>
                  <w:r>
                    <w:rPr>
                      <w:b/>
                      <w:color w:val="auto"/>
                      <w:szCs w:val="21"/>
                      <w:lang w:bidi="ar"/>
                    </w:rPr>
                    <w:t>效率</w:t>
                  </w:r>
                </w:p>
              </w:tc>
              <w:tc>
                <w:tcPr>
                  <w:tcW w:w="399" w:type="pct"/>
                  <w:vAlign w:val="center"/>
                </w:tcPr>
                <w:p w14:paraId="0577B14B">
                  <w:pPr>
                    <w:ind w:left="-105" w:leftChars="-50" w:right="-105" w:rightChars="-50"/>
                    <w:jc w:val="center"/>
                    <w:rPr>
                      <w:b/>
                      <w:color w:val="auto"/>
                      <w:szCs w:val="21"/>
                    </w:rPr>
                  </w:pPr>
                  <w:r>
                    <w:rPr>
                      <w:b/>
                      <w:color w:val="auto"/>
                      <w:szCs w:val="21"/>
                      <w:lang w:bidi="ar"/>
                    </w:rPr>
                    <w:t>是否为可行技术</w:t>
                  </w:r>
                </w:p>
              </w:tc>
              <w:tc>
                <w:tcPr>
                  <w:tcW w:w="462" w:type="pct"/>
                  <w:vMerge w:val="continue"/>
                  <w:vAlign w:val="center"/>
                </w:tcPr>
                <w:p w14:paraId="2443183F">
                  <w:pPr>
                    <w:rPr>
                      <w:color w:val="auto"/>
                      <w:szCs w:val="21"/>
                    </w:rPr>
                  </w:pPr>
                </w:p>
              </w:tc>
              <w:tc>
                <w:tcPr>
                  <w:tcW w:w="346" w:type="pct"/>
                  <w:vAlign w:val="center"/>
                </w:tcPr>
                <w:p w14:paraId="73835DB9">
                  <w:pPr>
                    <w:wordWrap w:val="0"/>
                    <w:ind w:left="-105" w:leftChars="-50" w:right="-105" w:rightChars="-50"/>
                    <w:jc w:val="center"/>
                    <w:rPr>
                      <w:b/>
                      <w:color w:val="auto"/>
                      <w:szCs w:val="21"/>
                    </w:rPr>
                  </w:pPr>
                  <w:r>
                    <w:rPr>
                      <w:b/>
                      <w:color w:val="auto"/>
                      <w:szCs w:val="21"/>
                      <w:lang w:bidi="ar"/>
                    </w:rPr>
                    <w:t>排放浓度（mg/L）</w:t>
                  </w:r>
                </w:p>
              </w:tc>
              <w:tc>
                <w:tcPr>
                  <w:tcW w:w="276" w:type="pct"/>
                  <w:vAlign w:val="center"/>
                </w:tcPr>
                <w:p w14:paraId="6CD03C6E">
                  <w:pPr>
                    <w:wordWrap w:val="0"/>
                    <w:ind w:left="-105" w:leftChars="-50" w:right="-105" w:rightChars="-50"/>
                    <w:jc w:val="center"/>
                    <w:rPr>
                      <w:b/>
                      <w:color w:val="auto"/>
                      <w:szCs w:val="21"/>
                    </w:rPr>
                  </w:pPr>
                  <w:r>
                    <w:rPr>
                      <w:b/>
                      <w:color w:val="auto"/>
                      <w:szCs w:val="21"/>
                      <w:lang w:bidi="ar"/>
                    </w:rPr>
                    <w:t>排放量（t/a）</w:t>
                  </w:r>
                </w:p>
              </w:tc>
              <w:tc>
                <w:tcPr>
                  <w:tcW w:w="268" w:type="pct"/>
                  <w:vMerge w:val="continue"/>
                  <w:vAlign w:val="center"/>
                </w:tcPr>
                <w:p w14:paraId="3E702E11">
                  <w:pPr>
                    <w:rPr>
                      <w:color w:val="auto"/>
                      <w:szCs w:val="21"/>
                    </w:rPr>
                  </w:pPr>
                </w:p>
              </w:tc>
              <w:tc>
                <w:tcPr>
                  <w:tcW w:w="393" w:type="pct"/>
                  <w:vMerge w:val="continue"/>
                  <w:vAlign w:val="center"/>
                </w:tcPr>
                <w:p w14:paraId="0DBDAA6B">
                  <w:pPr>
                    <w:rPr>
                      <w:color w:val="auto"/>
                      <w:szCs w:val="21"/>
                    </w:rPr>
                  </w:pPr>
                </w:p>
              </w:tc>
            </w:tr>
            <w:tr w14:paraId="2119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6" w:type="pct"/>
                  <w:vMerge w:val="restart"/>
                  <w:vAlign w:val="center"/>
                </w:tcPr>
                <w:p w14:paraId="54BD7B67">
                  <w:pPr>
                    <w:ind w:left="-105" w:leftChars="-50" w:right="-105" w:rightChars="-50"/>
                    <w:jc w:val="center"/>
                    <w:rPr>
                      <w:color w:val="auto"/>
                      <w:szCs w:val="21"/>
                    </w:rPr>
                  </w:pPr>
                  <w:r>
                    <w:rPr>
                      <w:color w:val="auto"/>
                      <w:szCs w:val="21"/>
                      <w:lang w:bidi="ar"/>
                    </w:rPr>
                    <w:t>1</w:t>
                  </w:r>
                </w:p>
              </w:tc>
              <w:tc>
                <w:tcPr>
                  <w:tcW w:w="295" w:type="pct"/>
                  <w:vMerge w:val="restart"/>
                  <w:vAlign w:val="center"/>
                </w:tcPr>
                <w:p w14:paraId="1570AD9E">
                  <w:pPr>
                    <w:ind w:left="-105" w:leftChars="-50" w:right="-105" w:rightChars="-50"/>
                    <w:jc w:val="center"/>
                    <w:rPr>
                      <w:color w:val="auto"/>
                      <w:szCs w:val="21"/>
                      <w:lang w:bidi="ar"/>
                    </w:rPr>
                  </w:pPr>
                  <w:r>
                    <w:rPr>
                      <w:color w:val="auto"/>
                      <w:szCs w:val="21"/>
                      <w:lang w:bidi="ar"/>
                    </w:rPr>
                    <w:t>办公</w:t>
                  </w:r>
                </w:p>
                <w:p w14:paraId="0242445B">
                  <w:pPr>
                    <w:ind w:left="-105" w:leftChars="-50" w:right="-105" w:rightChars="-50"/>
                    <w:jc w:val="center"/>
                    <w:rPr>
                      <w:color w:val="auto"/>
                      <w:szCs w:val="21"/>
                      <w:lang w:bidi="ar"/>
                    </w:rPr>
                  </w:pPr>
                  <w:r>
                    <w:rPr>
                      <w:color w:val="auto"/>
                      <w:szCs w:val="21"/>
                      <w:lang w:bidi="ar"/>
                    </w:rPr>
                    <w:t>生活</w:t>
                  </w:r>
                </w:p>
                <w:p w14:paraId="568C8AA0">
                  <w:pPr>
                    <w:ind w:left="-105" w:leftChars="-50" w:right="-105" w:rightChars="-50"/>
                    <w:jc w:val="center"/>
                    <w:rPr>
                      <w:rFonts w:hint="eastAsia" w:eastAsia="宋体"/>
                      <w:color w:val="auto"/>
                      <w:lang w:val="en-US" w:eastAsia="zh-CN"/>
                    </w:rPr>
                  </w:pPr>
                  <w:r>
                    <w:rPr>
                      <w:rFonts w:hint="eastAsia" w:ascii="Times New Roman" w:hAnsi="Times New Roman" w:eastAsia="宋体" w:cs="Times New Roman"/>
                      <w:color w:val="auto"/>
                      <w:szCs w:val="21"/>
                      <w:lang w:val="en-US" w:eastAsia="zh-CN" w:bidi="ar"/>
                    </w:rPr>
                    <w:t>冷却</w:t>
                  </w:r>
                </w:p>
              </w:tc>
              <w:tc>
                <w:tcPr>
                  <w:tcW w:w="351" w:type="pct"/>
                  <w:vMerge w:val="restart"/>
                  <w:vAlign w:val="center"/>
                </w:tcPr>
                <w:p w14:paraId="09B03B59">
                  <w:pPr>
                    <w:ind w:left="-105" w:leftChars="-50" w:right="-105" w:rightChars="-50"/>
                    <w:jc w:val="center"/>
                    <w:rPr>
                      <w:color w:val="auto"/>
                      <w:szCs w:val="21"/>
                      <w:lang w:bidi="ar"/>
                    </w:rPr>
                  </w:pPr>
                  <w:r>
                    <w:rPr>
                      <w:color w:val="auto"/>
                      <w:szCs w:val="21"/>
                      <w:lang w:bidi="ar"/>
                    </w:rPr>
                    <w:t>生活污水</w:t>
                  </w:r>
                </w:p>
                <w:p w14:paraId="5B77C87B">
                  <w:pPr>
                    <w:ind w:left="-105" w:leftChars="-50" w:right="-105" w:rightChars="-50"/>
                    <w:jc w:val="center"/>
                    <w:rPr>
                      <w:color w:val="auto"/>
                      <w:szCs w:val="21"/>
                    </w:rPr>
                  </w:pPr>
                  <w:r>
                    <w:rPr>
                      <w:color w:val="auto"/>
                      <w:szCs w:val="21"/>
                    </w:rPr>
                    <w:t>餐饮废水</w:t>
                  </w:r>
                </w:p>
                <w:p w14:paraId="22972D15">
                  <w:pPr>
                    <w:ind w:left="-105" w:leftChars="-50" w:right="-105" w:rightChars="-50"/>
                    <w:jc w:val="center"/>
                    <w:rPr>
                      <w:rFonts w:hint="default" w:eastAsia="宋体"/>
                      <w:color w:val="auto"/>
                      <w:lang w:val="en-US" w:eastAsia="zh-CN"/>
                    </w:rPr>
                  </w:pPr>
                  <w:r>
                    <w:rPr>
                      <w:rFonts w:hint="eastAsia" w:ascii="Times New Roman" w:hAnsi="Times New Roman" w:eastAsia="宋体" w:cs="Times New Roman"/>
                      <w:color w:val="auto"/>
                      <w:szCs w:val="21"/>
                      <w:lang w:val="en-US" w:eastAsia="zh-CN" w:bidi="ar"/>
                    </w:rPr>
                    <w:t>冷却废水</w:t>
                  </w:r>
                </w:p>
              </w:tc>
              <w:tc>
                <w:tcPr>
                  <w:tcW w:w="278" w:type="pct"/>
                  <w:vAlign w:val="center"/>
                </w:tcPr>
                <w:p w14:paraId="7A40F7E8">
                  <w:pPr>
                    <w:ind w:left="-105" w:leftChars="-50" w:right="-105" w:rightChars="-50"/>
                    <w:jc w:val="center"/>
                    <w:rPr>
                      <w:color w:val="auto"/>
                      <w:szCs w:val="21"/>
                    </w:rPr>
                  </w:pPr>
                  <w:r>
                    <w:rPr>
                      <w:bCs/>
                      <w:color w:val="auto"/>
                      <w:szCs w:val="21"/>
                      <w:lang w:bidi="ar"/>
                    </w:rPr>
                    <w:t>COD</w:t>
                  </w:r>
                </w:p>
              </w:tc>
              <w:tc>
                <w:tcPr>
                  <w:tcW w:w="339" w:type="pct"/>
                  <w:vAlign w:val="center"/>
                </w:tcPr>
                <w:p w14:paraId="1FAE8382">
                  <w:pPr>
                    <w:ind w:left="-105" w:leftChars="-50" w:right="-105" w:rightChars="-50"/>
                    <w:jc w:val="center"/>
                    <w:rPr>
                      <w:color w:val="auto"/>
                      <w:szCs w:val="21"/>
                    </w:rPr>
                  </w:pPr>
                  <w:r>
                    <w:rPr>
                      <w:color w:val="auto"/>
                      <w:szCs w:val="21"/>
                      <w:lang w:bidi="ar"/>
                    </w:rPr>
                    <w:t>500</w:t>
                  </w:r>
                </w:p>
              </w:tc>
              <w:tc>
                <w:tcPr>
                  <w:tcW w:w="388" w:type="pct"/>
                  <w:vAlign w:val="center"/>
                </w:tcPr>
                <w:p w14:paraId="18E8C810">
                  <w:pPr>
                    <w:ind w:left="-105" w:leftChars="-50" w:right="-105" w:rightChars="-50"/>
                    <w:jc w:val="center"/>
                    <w:rPr>
                      <w:rFonts w:hint="default" w:eastAsia="宋体"/>
                      <w:color w:val="auto"/>
                      <w:szCs w:val="21"/>
                      <w:lang w:val="en-US" w:eastAsia="zh-CN"/>
                    </w:rPr>
                  </w:pPr>
                  <w:r>
                    <w:rPr>
                      <w:rFonts w:hint="eastAsia"/>
                      <w:color w:val="auto"/>
                      <w:szCs w:val="21"/>
                      <w:lang w:val="en-US" w:eastAsia="zh-CN"/>
                    </w:rPr>
                    <w:t>2.0820</w:t>
                  </w:r>
                </w:p>
              </w:tc>
              <w:tc>
                <w:tcPr>
                  <w:tcW w:w="403" w:type="pct"/>
                  <w:vMerge w:val="restart"/>
                  <w:vAlign w:val="center"/>
                </w:tcPr>
                <w:p w14:paraId="0B1A7BFA">
                  <w:pPr>
                    <w:jc w:val="center"/>
                    <w:rPr>
                      <w:color w:val="auto"/>
                      <w:szCs w:val="21"/>
                    </w:rPr>
                  </w:pPr>
                  <w:r>
                    <w:rPr>
                      <w:color w:val="auto"/>
                      <w:szCs w:val="21"/>
                    </w:rPr>
                    <w:t>预处理池</w:t>
                  </w:r>
                </w:p>
                <w:p w14:paraId="783FDCBC">
                  <w:pPr>
                    <w:jc w:val="center"/>
                    <w:rPr>
                      <w:rFonts w:hint="default" w:eastAsia="宋体"/>
                      <w:color w:val="auto"/>
                      <w:szCs w:val="21"/>
                      <w:lang w:val="en-US" w:eastAsia="zh-CN"/>
                    </w:rPr>
                  </w:pPr>
                  <w:r>
                    <w:rPr>
                      <w:rFonts w:hint="eastAsia"/>
                      <w:color w:val="auto"/>
                      <w:szCs w:val="21"/>
                      <w:lang w:val="en-US" w:eastAsia="zh-CN"/>
                    </w:rPr>
                    <w:t>油水分离器</w:t>
                  </w:r>
                </w:p>
              </w:tc>
              <w:tc>
                <w:tcPr>
                  <w:tcW w:w="406" w:type="pct"/>
                  <w:vMerge w:val="restart"/>
                  <w:vAlign w:val="center"/>
                </w:tcPr>
                <w:p w14:paraId="4D7A49E3">
                  <w:pPr>
                    <w:ind w:left="-105" w:leftChars="-50" w:right="-105" w:rightChars="-50"/>
                    <w:jc w:val="center"/>
                    <w:rPr>
                      <w:color w:val="auto"/>
                      <w:szCs w:val="21"/>
                      <w:vertAlign w:val="superscript"/>
                    </w:rPr>
                  </w:pPr>
                  <w:r>
                    <w:rPr>
                      <w:color w:val="auto"/>
                      <w:szCs w:val="21"/>
                    </w:rPr>
                    <w:t>预处理池1个</w:t>
                  </w:r>
                  <w:r>
                    <w:rPr>
                      <w:rFonts w:hint="eastAsia"/>
                      <w:color w:val="auto"/>
                      <w:szCs w:val="21"/>
                      <w:lang w:val="en-US" w:eastAsia="zh-CN"/>
                    </w:rPr>
                    <w:t>40</w:t>
                  </w:r>
                  <w:r>
                    <w:rPr>
                      <w:color w:val="auto"/>
                      <w:szCs w:val="21"/>
                    </w:rPr>
                    <w:t>m</w:t>
                  </w:r>
                  <w:r>
                    <w:rPr>
                      <w:color w:val="auto"/>
                      <w:szCs w:val="21"/>
                      <w:vertAlign w:val="superscript"/>
                    </w:rPr>
                    <w:t>3</w:t>
                  </w:r>
                </w:p>
                <w:p w14:paraId="0EE46535">
                  <w:pPr>
                    <w:ind w:left="-105" w:leftChars="-50" w:right="-105" w:rightChars="-50"/>
                    <w:jc w:val="center"/>
                    <w:rPr>
                      <w:color w:val="auto"/>
                      <w:szCs w:val="21"/>
                    </w:rPr>
                  </w:pPr>
                  <w:r>
                    <w:rPr>
                      <w:rFonts w:hint="eastAsia"/>
                      <w:color w:val="auto"/>
                      <w:szCs w:val="21"/>
                      <w:lang w:val="en-US" w:eastAsia="zh-CN"/>
                    </w:rPr>
                    <w:t>油水分离器</w:t>
                  </w:r>
                  <w:r>
                    <w:rPr>
                      <w:color w:val="auto"/>
                      <w:szCs w:val="21"/>
                    </w:rPr>
                    <w:t>1个</w:t>
                  </w:r>
                  <w:r>
                    <w:rPr>
                      <w:rFonts w:hint="eastAsia"/>
                      <w:color w:val="auto"/>
                      <w:szCs w:val="21"/>
                      <w:lang w:val="en-US" w:eastAsia="zh-CN"/>
                    </w:rPr>
                    <w:t>0.5</w:t>
                  </w:r>
                  <w:r>
                    <w:rPr>
                      <w:color w:val="auto"/>
                      <w:szCs w:val="21"/>
                    </w:rPr>
                    <w:t>m</w:t>
                  </w:r>
                  <w:r>
                    <w:rPr>
                      <w:color w:val="auto"/>
                      <w:szCs w:val="21"/>
                      <w:vertAlign w:val="superscript"/>
                    </w:rPr>
                    <w:t>3</w:t>
                  </w:r>
                </w:p>
              </w:tc>
              <w:tc>
                <w:tcPr>
                  <w:tcW w:w="265" w:type="pct"/>
                  <w:vAlign w:val="center"/>
                </w:tcPr>
                <w:p w14:paraId="2DC5363F">
                  <w:pPr>
                    <w:ind w:left="-105" w:leftChars="-50" w:right="-105" w:rightChars="-50"/>
                    <w:jc w:val="center"/>
                    <w:rPr>
                      <w:color w:val="auto"/>
                      <w:szCs w:val="21"/>
                    </w:rPr>
                  </w:pPr>
                  <w:r>
                    <w:rPr>
                      <w:color w:val="auto"/>
                      <w:szCs w:val="21"/>
                    </w:rPr>
                    <w:t>20%</w:t>
                  </w:r>
                </w:p>
              </w:tc>
              <w:tc>
                <w:tcPr>
                  <w:tcW w:w="399" w:type="pct"/>
                  <w:vMerge w:val="restart"/>
                  <w:vAlign w:val="center"/>
                </w:tcPr>
                <w:p w14:paraId="4AFF8801">
                  <w:pPr>
                    <w:ind w:left="-105" w:leftChars="-50" w:right="-105" w:rightChars="-50"/>
                    <w:jc w:val="center"/>
                    <w:rPr>
                      <w:color w:val="auto"/>
                      <w:szCs w:val="21"/>
                    </w:rPr>
                  </w:pPr>
                  <w:r>
                    <w:rPr>
                      <w:color w:val="auto"/>
                      <w:szCs w:val="21"/>
                    </w:rPr>
                    <w:sym w:font="Wingdings" w:char="00FE"/>
                  </w:r>
                  <w:r>
                    <w:rPr>
                      <w:color w:val="auto"/>
                      <w:szCs w:val="21"/>
                    </w:rPr>
                    <w:t>是</w:t>
                  </w:r>
                </w:p>
                <w:p w14:paraId="6341D9EF">
                  <w:pPr>
                    <w:ind w:left="-105" w:leftChars="-50" w:right="-105" w:rightChars="-50"/>
                    <w:jc w:val="center"/>
                    <w:rPr>
                      <w:color w:val="auto"/>
                      <w:szCs w:val="21"/>
                    </w:rPr>
                  </w:pPr>
                  <w:r>
                    <w:rPr>
                      <w:color w:val="auto"/>
                      <w:szCs w:val="21"/>
                    </w:rPr>
                    <w:sym w:font="Wingdings" w:char="00A8"/>
                  </w:r>
                  <w:r>
                    <w:rPr>
                      <w:color w:val="auto"/>
                      <w:szCs w:val="21"/>
                    </w:rPr>
                    <w:t>否</w:t>
                  </w:r>
                </w:p>
              </w:tc>
              <w:tc>
                <w:tcPr>
                  <w:tcW w:w="462" w:type="pct"/>
                  <w:vMerge w:val="restart"/>
                  <w:vAlign w:val="center"/>
                </w:tcPr>
                <w:p w14:paraId="73E0F8AE">
                  <w:pPr>
                    <w:ind w:left="-105" w:leftChars="-50" w:right="-105" w:rightChars="-50"/>
                    <w:jc w:val="center"/>
                    <w:rPr>
                      <w:rFonts w:hint="default" w:eastAsia="宋体"/>
                      <w:color w:val="auto"/>
                      <w:szCs w:val="21"/>
                      <w:lang w:val="en-US" w:eastAsia="zh-CN"/>
                    </w:rPr>
                  </w:pPr>
                  <w:r>
                    <w:rPr>
                      <w:rFonts w:hint="eastAsia"/>
                      <w:color w:val="auto"/>
                      <w:szCs w:val="21"/>
                      <w:lang w:val="en-US" w:eastAsia="zh-CN"/>
                    </w:rPr>
                    <w:t>4164</w:t>
                  </w:r>
                </w:p>
              </w:tc>
              <w:tc>
                <w:tcPr>
                  <w:tcW w:w="346" w:type="pct"/>
                  <w:vAlign w:val="center"/>
                </w:tcPr>
                <w:p w14:paraId="74B5C1CF">
                  <w:pPr>
                    <w:ind w:left="-105" w:leftChars="-50" w:right="-105" w:rightChars="-50"/>
                    <w:jc w:val="center"/>
                    <w:rPr>
                      <w:color w:val="auto"/>
                      <w:szCs w:val="21"/>
                    </w:rPr>
                  </w:pPr>
                  <w:r>
                    <w:rPr>
                      <w:color w:val="auto"/>
                      <w:szCs w:val="21"/>
                    </w:rPr>
                    <w:t>300</w:t>
                  </w:r>
                </w:p>
              </w:tc>
              <w:tc>
                <w:tcPr>
                  <w:tcW w:w="276" w:type="pct"/>
                  <w:vAlign w:val="center"/>
                </w:tcPr>
                <w:p w14:paraId="4DADADEB">
                  <w:pPr>
                    <w:ind w:left="-105" w:leftChars="-50" w:right="-105" w:rightChars="-50"/>
                    <w:jc w:val="center"/>
                    <w:rPr>
                      <w:rFonts w:hint="default" w:eastAsia="宋体"/>
                      <w:color w:val="auto"/>
                      <w:szCs w:val="21"/>
                      <w:lang w:val="en-US" w:eastAsia="zh-CN"/>
                    </w:rPr>
                  </w:pPr>
                  <w:r>
                    <w:rPr>
                      <w:rFonts w:hint="eastAsia"/>
                      <w:color w:val="auto"/>
                      <w:szCs w:val="21"/>
                      <w:lang w:val="en-US" w:eastAsia="zh-CN"/>
                    </w:rPr>
                    <w:t>1.2492</w:t>
                  </w:r>
                </w:p>
              </w:tc>
              <w:tc>
                <w:tcPr>
                  <w:tcW w:w="268" w:type="pct"/>
                  <w:vMerge w:val="restart"/>
                  <w:vAlign w:val="center"/>
                </w:tcPr>
                <w:p w14:paraId="472888FB">
                  <w:pPr>
                    <w:adjustRightInd w:val="0"/>
                    <w:snapToGrid w:val="0"/>
                    <w:ind w:left="-105" w:leftChars="-50" w:right="-105" w:rightChars="-50"/>
                    <w:jc w:val="center"/>
                    <w:rPr>
                      <w:b/>
                      <w:color w:val="auto"/>
                      <w:szCs w:val="21"/>
                    </w:rPr>
                  </w:pPr>
                  <w:r>
                    <w:rPr>
                      <w:rFonts w:hint="default" w:ascii="Times New Roman" w:hAnsi="Times New Roman" w:eastAsia="宋体" w:cs="Times New Roman"/>
                      <w:color w:val="auto"/>
                      <w:szCs w:val="21"/>
                    </w:rPr>
                    <w:t>大英县工业污水处理厂</w:t>
                  </w:r>
                </w:p>
              </w:tc>
              <w:tc>
                <w:tcPr>
                  <w:tcW w:w="393" w:type="pct"/>
                  <w:vMerge w:val="restart"/>
                  <w:vAlign w:val="center"/>
                </w:tcPr>
                <w:p w14:paraId="4D9E05A2">
                  <w:pPr>
                    <w:adjustRightInd w:val="0"/>
                    <w:snapToGrid w:val="0"/>
                    <w:ind w:left="-105" w:leftChars="-50" w:right="-105" w:rightChars="-50"/>
                    <w:jc w:val="center"/>
                    <w:rPr>
                      <w:color w:val="auto"/>
                      <w:szCs w:val="21"/>
                    </w:rPr>
                  </w:pPr>
                  <w:r>
                    <w:rPr>
                      <w:color w:val="auto"/>
                      <w:szCs w:val="21"/>
                      <w:lang w:bidi="ar"/>
                    </w:rPr>
                    <w:t>连续排放流量稳定</w:t>
                  </w:r>
                </w:p>
              </w:tc>
            </w:tr>
            <w:tr w14:paraId="011C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26" w:type="pct"/>
                  <w:vMerge w:val="continue"/>
                  <w:vAlign w:val="center"/>
                </w:tcPr>
                <w:p w14:paraId="09AD0041">
                  <w:pPr>
                    <w:rPr>
                      <w:color w:val="auto"/>
                      <w:szCs w:val="21"/>
                    </w:rPr>
                  </w:pPr>
                </w:p>
              </w:tc>
              <w:tc>
                <w:tcPr>
                  <w:tcW w:w="295" w:type="pct"/>
                  <w:vMerge w:val="continue"/>
                  <w:vAlign w:val="center"/>
                </w:tcPr>
                <w:p w14:paraId="130C68C5">
                  <w:pPr>
                    <w:rPr>
                      <w:color w:val="auto"/>
                      <w:szCs w:val="21"/>
                    </w:rPr>
                  </w:pPr>
                </w:p>
              </w:tc>
              <w:tc>
                <w:tcPr>
                  <w:tcW w:w="351" w:type="pct"/>
                  <w:vMerge w:val="continue"/>
                  <w:vAlign w:val="center"/>
                </w:tcPr>
                <w:p w14:paraId="1B265FCE">
                  <w:pPr>
                    <w:rPr>
                      <w:color w:val="auto"/>
                      <w:szCs w:val="21"/>
                    </w:rPr>
                  </w:pPr>
                </w:p>
              </w:tc>
              <w:tc>
                <w:tcPr>
                  <w:tcW w:w="278" w:type="pct"/>
                  <w:vAlign w:val="center"/>
                </w:tcPr>
                <w:p w14:paraId="251C882F">
                  <w:pPr>
                    <w:ind w:left="-105" w:leftChars="-50" w:right="-105" w:rightChars="-50"/>
                    <w:jc w:val="center"/>
                    <w:rPr>
                      <w:bCs/>
                      <w:color w:val="auto"/>
                      <w:szCs w:val="21"/>
                    </w:rPr>
                  </w:pPr>
                  <w:r>
                    <w:rPr>
                      <w:bCs/>
                      <w:color w:val="auto"/>
                      <w:szCs w:val="21"/>
                      <w:lang w:bidi="ar"/>
                    </w:rPr>
                    <w:t>BOD</w:t>
                  </w:r>
                  <w:r>
                    <w:rPr>
                      <w:bCs/>
                      <w:color w:val="auto"/>
                      <w:szCs w:val="21"/>
                      <w:vertAlign w:val="subscript"/>
                      <w:lang w:bidi="ar"/>
                    </w:rPr>
                    <w:t>5</w:t>
                  </w:r>
                </w:p>
              </w:tc>
              <w:tc>
                <w:tcPr>
                  <w:tcW w:w="339" w:type="pct"/>
                  <w:vAlign w:val="center"/>
                </w:tcPr>
                <w:p w14:paraId="7AFC2600">
                  <w:pPr>
                    <w:ind w:left="-105" w:leftChars="-50" w:right="-105" w:rightChars="-50"/>
                    <w:jc w:val="center"/>
                    <w:rPr>
                      <w:color w:val="auto"/>
                      <w:szCs w:val="21"/>
                    </w:rPr>
                  </w:pPr>
                  <w:r>
                    <w:rPr>
                      <w:color w:val="auto"/>
                      <w:szCs w:val="21"/>
                      <w:lang w:bidi="ar"/>
                    </w:rPr>
                    <w:t>300</w:t>
                  </w:r>
                </w:p>
              </w:tc>
              <w:tc>
                <w:tcPr>
                  <w:tcW w:w="388" w:type="pct"/>
                  <w:vAlign w:val="center"/>
                </w:tcPr>
                <w:p w14:paraId="6607C8DA">
                  <w:pPr>
                    <w:ind w:left="-105" w:leftChars="-50" w:right="-105" w:rightChars="-50"/>
                    <w:jc w:val="center"/>
                    <w:rPr>
                      <w:rFonts w:hint="default" w:eastAsia="宋体"/>
                      <w:color w:val="auto"/>
                      <w:szCs w:val="21"/>
                      <w:lang w:val="en-US" w:eastAsia="zh-CN"/>
                    </w:rPr>
                  </w:pPr>
                  <w:r>
                    <w:rPr>
                      <w:rFonts w:hint="eastAsia"/>
                      <w:color w:val="auto"/>
                      <w:szCs w:val="21"/>
                      <w:lang w:val="en-US" w:eastAsia="zh-CN"/>
                    </w:rPr>
                    <w:t>1.2492</w:t>
                  </w:r>
                </w:p>
              </w:tc>
              <w:tc>
                <w:tcPr>
                  <w:tcW w:w="403" w:type="pct"/>
                  <w:vMerge w:val="continue"/>
                  <w:vAlign w:val="center"/>
                </w:tcPr>
                <w:p w14:paraId="753EA28F">
                  <w:pPr>
                    <w:jc w:val="center"/>
                    <w:rPr>
                      <w:color w:val="auto"/>
                      <w:szCs w:val="21"/>
                    </w:rPr>
                  </w:pPr>
                </w:p>
              </w:tc>
              <w:tc>
                <w:tcPr>
                  <w:tcW w:w="406" w:type="pct"/>
                  <w:vMerge w:val="continue"/>
                  <w:vAlign w:val="center"/>
                </w:tcPr>
                <w:p w14:paraId="07E0A01D">
                  <w:pPr>
                    <w:rPr>
                      <w:color w:val="auto"/>
                      <w:szCs w:val="21"/>
                    </w:rPr>
                  </w:pPr>
                </w:p>
              </w:tc>
              <w:tc>
                <w:tcPr>
                  <w:tcW w:w="265" w:type="pct"/>
                  <w:vAlign w:val="center"/>
                </w:tcPr>
                <w:p w14:paraId="7BA27C59">
                  <w:pPr>
                    <w:ind w:left="-105" w:leftChars="-50" w:right="-105" w:rightChars="-50"/>
                    <w:jc w:val="center"/>
                    <w:rPr>
                      <w:color w:val="auto"/>
                      <w:szCs w:val="21"/>
                    </w:rPr>
                  </w:pPr>
                  <w:r>
                    <w:rPr>
                      <w:color w:val="auto"/>
                      <w:szCs w:val="21"/>
                    </w:rPr>
                    <w:t>20%</w:t>
                  </w:r>
                </w:p>
              </w:tc>
              <w:tc>
                <w:tcPr>
                  <w:tcW w:w="399" w:type="pct"/>
                  <w:vMerge w:val="continue"/>
                  <w:vAlign w:val="center"/>
                </w:tcPr>
                <w:p w14:paraId="4BE726D7">
                  <w:pPr>
                    <w:rPr>
                      <w:color w:val="auto"/>
                      <w:szCs w:val="21"/>
                    </w:rPr>
                  </w:pPr>
                </w:p>
              </w:tc>
              <w:tc>
                <w:tcPr>
                  <w:tcW w:w="462" w:type="pct"/>
                  <w:vMerge w:val="continue"/>
                  <w:vAlign w:val="center"/>
                </w:tcPr>
                <w:p w14:paraId="7D2E6179">
                  <w:pPr>
                    <w:rPr>
                      <w:color w:val="auto"/>
                      <w:szCs w:val="21"/>
                    </w:rPr>
                  </w:pPr>
                </w:p>
              </w:tc>
              <w:tc>
                <w:tcPr>
                  <w:tcW w:w="346" w:type="pct"/>
                  <w:vAlign w:val="center"/>
                </w:tcPr>
                <w:p w14:paraId="568C788B">
                  <w:pPr>
                    <w:ind w:left="-105" w:leftChars="-50" w:right="-105" w:rightChars="-50"/>
                    <w:jc w:val="center"/>
                    <w:rPr>
                      <w:color w:val="auto"/>
                      <w:szCs w:val="21"/>
                    </w:rPr>
                  </w:pPr>
                  <w:r>
                    <w:rPr>
                      <w:color w:val="auto"/>
                      <w:szCs w:val="21"/>
                    </w:rPr>
                    <w:t>200</w:t>
                  </w:r>
                </w:p>
              </w:tc>
              <w:tc>
                <w:tcPr>
                  <w:tcW w:w="276" w:type="pct"/>
                  <w:vAlign w:val="center"/>
                </w:tcPr>
                <w:p w14:paraId="37B1D0D1">
                  <w:pPr>
                    <w:ind w:left="-105" w:leftChars="-50" w:right="-105" w:rightChars="-50"/>
                    <w:jc w:val="center"/>
                    <w:rPr>
                      <w:rFonts w:hint="default" w:eastAsia="宋体"/>
                      <w:color w:val="auto"/>
                      <w:szCs w:val="21"/>
                      <w:lang w:val="en-US" w:eastAsia="zh-CN"/>
                    </w:rPr>
                  </w:pPr>
                  <w:r>
                    <w:rPr>
                      <w:rFonts w:hint="eastAsia"/>
                      <w:color w:val="auto"/>
                      <w:szCs w:val="21"/>
                      <w:lang w:val="en-US" w:eastAsia="zh-CN"/>
                    </w:rPr>
                    <w:t>0.8328</w:t>
                  </w:r>
                </w:p>
              </w:tc>
              <w:tc>
                <w:tcPr>
                  <w:tcW w:w="268" w:type="pct"/>
                  <w:vMerge w:val="continue"/>
                  <w:vAlign w:val="center"/>
                </w:tcPr>
                <w:p w14:paraId="20A802EA">
                  <w:pPr>
                    <w:rPr>
                      <w:color w:val="auto"/>
                      <w:szCs w:val="21"/>
                    </w:rPr>
                  </w:pPr>
                </w:p>
              </w:tc>
              <w:tc>
                <w:tcPr>
                  <w:tcW w:w="393" w:type="pct"/>
                  <w:vMerge w:val="continue"/>
                  <w:vAlign w:val="center"/>
                </w:tcPr>
                <w:p w14:paraId="297BCDCB">
                  <w:pPr>
                    <w:rPr>
                      <w:color w:val="auto"/>
                      <w:szCs w:val="21"/>
                    </w:rPr>
                  </w:pPr>
                </w:p>
              </w:tc>
            </w:tr>
            <w:tr w14:paraId="021BE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6" w:type="pct"/>
                  <w:vMerge w:val="continue"/>
                  <w:vAlign w:val="center"/>
                </w:tcPr>
                <w:p w14:paraId="19D0F943">
                  <w:pPr>
                    <w:rPr>
                      <w:color w:val="auto"/>
                      <w:szCs w:val="21"/>
                    </w:rPr>
                  </w:pPr>
                </w:p>
              </w:tc>
              <w:tc>
                <w:tcPr>
                  <w:tcW w:w="295" w:type="pct"/>
                  <w:vMerge w:val="continue"/>
                  <w:vAlign w:val="center"/>
                </w:tcPr>
                <w:p w14:paraId="5F46BFA6">
                  <w:pPr>
                    <w:rPr>
                      <w:color w:val="auto"/>
                      <w:szCs w:val="21"/>
                    </w:rPr>
                  </w:pPr>
                </w:p>
              </w:tc>
              <w:tc>
                <w:tcPr>
                  <w:tcW w:w="351" w:type="pct"/>
                  <w:vMerge w:val="continue"/>
                  <w:vAlign w:val="center"/>
                </w:tcPr>
                <w:p w14:paraId="646F717B">
                  <w:pPr>
                    <w:rPr>
                      <w:color w:val="auto"/>
                      <w:szCs w:val="21"/>
                    </w:rPr>
                  </w:pPr>
                </w:p>
              </w:tc>
              <w:tc>
                <w:tcPr>
                  <w:tcW w:w="278" w:type="pct"/>
                  <w:vAlign w:val="center"/>
                </w:tcPr>
                <w:p w14:paraId="02248A16">
                  <w:pPr>
                    <w:ind w:left="-105" w:leftChars="-50" w:right="-105" w:rightChars="-50"/>
                    <w:jc w:val="center"/>
                    <w:rPr>
                      <w:color w:val="auto"/>
                      <w:szCs w:val="21"/>
                    </w:rPr>
                  </w:pPr>
                  <w:r>
                    <w:rPr>
                      <w:bCs/>
                      <w:color w:val="auto"/>
                      <w:szCs w:val="21"/>
                      <w:lang w:bidi="ar"/>
                    </w:rPr>
                    <w:t>SS</w:t>
                  </w:r>
                </w:p>
              </w:tc>
              <w:tc>
                <w:tcPr>
                  <w:tcW w:w="339" w:type="pct"/>
                  <w:vAlign w:val="center"/>
                </w:tcPr>
                <w:p w14:paraId="3A1126BB">
                  <w:pPr>
                    <w:ind w:left="-105" w:leftChars="-50" w:right="-105" w:rightChars="-50"/>
                    <w:jc w:val="center"/>
                    <w:rPr>
                      <w:color w:val="auto"/>
                      <w:szCs w:val="21"/>
                    </w:rPr>
                  </w:pPr>
                  <w:r>
                    <w:rPr>
                      <w:color w:val="auto"/>
                      <w:szCs w:val="21"/>
                      <w:lang w:bidi="ar"/>
                    </w:rPr>
                    <w:t>100</w:t>
                  </w:r>
                </w:p>
              </w:tc>
              <w:tc>
                <w:tcPr>
                  <w:tcW w:w="388" w:type="pct"/>
                  <w:vAlign w:val="center"/>
                </w:tcPr>
                <w:p w14:paraId="2F6C0AF6">
                  <w:pPr>
                    <w:ind w:left="-105" w:leftChars="-50" w:right="-105" w:rightChars="-50"/>
                    <w:jc w:val="center"/>
                    <w:rPr>
                      <w:rFonts w:hint="default" w:eastAsia="宋体"/>
                      <w:color w:val="auto"/>
                      <w:szCs w:val="21"/>
                      <w:lang w:val="en-US" w:eastAsia="zh-CN"/>
                    </w:rPr>
                  </w:pPr>
                  <w:r>
                    <w:rPr>
                      <w:rFonts w:hint="eastAsia"/>
                      <w:color w:val="auto"/>
                      <w:szCs w:val="21"/>
                      <w:lang w:val="en-US" w:eastAsia="zh-CN"/>
                    </w:rPr>
                    <w:t>0.4164</w:t>
                  </w:r>
                </w:p>
              </w:tc>
              <w:tc>
                <w:tcPr>
                  <w:tcW w:w="403" w:type="pct"/>
                  <w:vMerge w:val="continue"/>
                  <w:vAlign w:val="center"/>
                </w:tcPr>
                <w:p w14:paraId="288C276D">
                  <w:pPr>
                    <w:jc w:val="center"/>
                    <w:rPr>
                      <w:color w:val="auto"/>
                      <w:szCs w:val="21"/>
                    </w:rPr>
                  </w:pPr>
                </w:p>
              </w:tc>
              <w:tc>
                <w:tcPr>
                  <w:tcW w:w="406" w:type="pct"/>
                  <w:vMerge w:val="continue"/>
                  <w:vAlign w:val="center"/>
                </w:tcPr>
                <w:p w14:paraId="4ED3D1B0">
                  <w:pPr>
                    <w:rPr>
                      <w:color w:val="auto"/>
                      <w:szCs w:val="21"/>
                    </w:rPr>
                  </w:pPr>
                </w:p>
              </w:tc>
              <w:tc>
                <w:tcPr>
                  <w:tcW w:w="265" w:type="pct"/>
                  <w:vAlign w:val="center"/>
                </w:tcPr>
                <w:p w14:paraId="3952B9E4">
                  <w:pPr>
                    <w:ind w:left="-105" w:leftChars="-50" w:right="-105" w:rightChars="-50"/>
                    <w:jc w:val="center"/>
                    <w:rPr>
                      <w:color w:val="auto"/>
                      <w:szCs w:val="21"/>
                    </w:rPr>
                  </w:pPr>
                  <w:r>
                    <w:rPr>
                      <w:color w:val="auto"/>
                      <w:szCs w:val="21"/>
                    </w:rPr>
                    <w:t>30%</w:t>
                  </w:r>
                </w:p>
              </w:tc>
              <w:tc>
                <w:tcPr>
                  <w:tcW w:w="399" w:type="pct"/>
                  <w:vMerge w:val="continue"/>
                  <w:vAlign w:val="center"/>
                </w:tcPr>
                <w:p w14:paraId="6B8062D0">
                  <w:pPr>
                    <w:rPr>
                      <w:color w:val="auto"/>
                      <w:szCs w:val="21"/>
                    </w:rPr>
                  </w:pPr>
                </w:p>
              </w:tc>
              <w:tc>
                <w:tcPr>
                  <w:tcW w:w="462" w:type="pct"/>
                  <w:vMerge w:val="continue"/>
                  <w:vAlign w:val="center"/>
                </w:tcPr>
                <w:p w14:paraId="66E32FD9">
                  <w:pPr>
                    <w:rPr>
                      <w:color w:val="auto"/>
                      <w:szCs w:val="21"/>
                    </w:rPr>
                  </w:pPr>
                </w:p>
              </w:tc>
              <w:tc>
                <w:tcPr>
                  <w:tcW w:w="346" w:type="pct"/>
                  <w:vAlign w:val="center"/>
                </w:tcPr>
                <w:p w14:paraId="7CB18956">
                  <w:pPr>
                    <w:ind w:left="-105" w:leftChars="-50" w:right="-105" w:rightChars="-50"/>
                    <w:jc w:val="center"/>
                    <w:rPr>
                      <w:color w:val="auto"/>
                      <w:szCs w:val="21"/>
                    </w:rPr>
                  </w:pPr>
                  <w:r>
                    <w:rPr>
                      <w:color w:val="auto"/>
                      <w:szCs w:val="21"/>
                    </w:rPr>
                    <w:t>80</w:t>
                  </w:r>
                </w:p>
              </w:tc>
              <w:tc>
                <w:tcPr>
                  <w:tcW w:w="276" w:type="pct"/>
                  <w:vAlign w:val="center"/>
                </w:tcPr>
                <w:p w14:paraId="3EE52B6E">
                  <w:pPr>
                    <w:ind w:left="-105" w:leftChars="-50" w:right="-105" w:rightChars="-50"/>
                    <w:jc w:val="center"/>
                    <w:rPr>
                      <w:rFonts w:hint="default" w:eastAsia="宋体"/>
                      <w:color w:val="auto"/>
                      <w:szCs w:val="21"/>
                      <w:lang w:val="en-US" w:eastAsia="zh-CN"/>
                    </w:rPr>
                  </w:pPr>
                  <w:r>
                    <w:rPr>
                      <w:rFonts w:hint="eastAsia"/>
                      <w:color w:val="auto"/>
                      <w:szCs w:val="21"/>
                      <w:lang w:val="en-US" w:eastAsia="zh-CN"/>
                    </w:rPr>
                    <w:t>0.3331</w:t>
                  </w:r>
                </w:p>
              </w:tc>
              <w:tc>
                <w:tcPr>
                  <w:tcW w:w="268" w:type="pct"/>
                  <w:vMerge w:val="continue"/>
                  <w:vAlign w:val="center"/>
                </w:tcPr>
                <w:p w14:paraId="6E3B5710">
                  <w:pPr>
                    <w:rPr>
                      <w:color w:val="auto"/>
                      <w:szCs w:val="21"/>
                    </w:rPr>
                  </w:pPr>
                </w:p>
              </w:tc>
              <w:tc>
                <w:tcPr>
                  <w:tcW w:w="393" w:type="pct"/>
                  <w:vMerge w:val="continue"/>
                  <w:vAlign w:val="center"/>
                </w:tcPr>
                <w:p w14:paraId="338C89F4">
                  <w:pPr>
                    <w:rPr>
                      <w:color w:val="auto"/>
                      <w:szCs w:val="21"/>
                    </w:rPr>
                  </w:pPr>
                </w:p>
              </w:tc>
            </w:tr>
            <w:tr w14:paraId="2AD0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26" w:type="pct"/>
                  <w:vMerge w:val="continue"/>
                  <w:vAlign w:val="center"/>
                </w:tcPr>
                <w:p w14:paraId="22274289">
                  <w:pPr>
                    <w:rPr>
                      <w:color w:val="auto"/>
                      <w:szCs w:val="21"/>
                    </w:rPr>
                  </w:pPr>
                </w:p>
              </w:tc>
              <w:tc>
                <w:tcPr>
                  <w:tcW w:w="295" w:type="pct"/>
                  <w:vMerge w:val="continue"/>
                  <w:vAlign w:val="center"/>
                </w:tcPr>
                <w:p w14:paraId="68067192">
                  <w:pPr>
                    <w:rPr>
                      <w:color w:val="auto"/>
                      <w:szCs w:val="21"/>
                    </w:rPr>
                  </w:pPr>
                </w:p>
              </w:tc>
              <w:tc>
                <w:tcPr>
                  <w:tcW w:w="351" w:type="pct"/>
                  <w:vMerge w:val="continue"/>
                  <w:vAlign w:val="center"/>
                </w:tcPr>
                <w:p w14:paraId="0B963E3A">
                  <w:pPr>
                    <w:rPr>
                      <w:color w:val="auto"/>
                      <w:szCs w:val="21"/>
                    </w:rPr>
                  </w:pPr>
                </w:p>
              </w:tc>
              <w:tc>
                <w:tcPr>
                  <w:tcW w:w="278" w:type="pct"/>
                  <w:vAlign w:val="center"/>
                </w:tcPr>
                <w:p w14:paraId="70D6E560">
                  <w:pPr>
                    <w:ind w:left="-105" w:leftChars="-50" w:right="-105" w:rightChars="-50"/>
                    <w:jc w:val="center"/>
                    <w:rPr>
                      <w:bCs/>
                      <w:color w:val="auto"/>
                      <w:szCs w:val="21"/>
                      <w:lang w:bidi="ar"/>
                    </w:rPr>
                  </w:pPr>
                  <w:r>
                    <w:rPr>
                      <w:bCs/>
                      <w:color w:val="auto"/>
                      <w:szCs w:val="21"/>
                      <w:lang w:bidi="ar"/>
                    </w:rPr>
                    <w:t>氨氮</w:t>
                  </w:r>
                </w:p>
              </w:tc>
              <w:tc>
                <w:tcPr>
                  <w:tcW w:w="339" w:type="pct"/>
                  <w:vAlign w:val="center"/>
                </w:tcPr>
                <w:p w14:paraId="398D03CD">
                  <w:pPr>
                    <w:ind w:left="-105" w:leftChars="-50" w:right="-105" w:rightChars="-50"/>
                    <w:jc w:val="center"/>
                    <w:rPr>
                      <w:color w:val="auto"/>
                      <w:szCs w:val="21"/>
                      <w:lang w:bidi="ar"/>
                    </w:rPr>
                  </w:pPr>
                  <w:r>
                    <w:rPr>
                      <w:color w:val="auto"/>
                      <w:szCs w:val="21"/>
                      <w:lang w:bidi="ar"/>
                    </w:rPr>
                    <w:t>45</w:t>
                  </w:r>
                </w:p>
              </w:tc>
              <w:tc>
                <w:tcPr>
                  <w:tcW w:w="388" w:type="pct"/>
                  <w:vAlign w:val="center"/>
                </w:tcPr>
                <w:p w14:paraId="2EFED760">
                  <w:pPr>
                    <w:ind w:left="-105" w:leftChars="-50" w:right="-105" w:rightChars="-50"/>
                    <w:jc w:val="center"/>
                    <w:rPr>
                      <w:rFonts w:hint="default" w:eastAsia="宋体"/>
                      <w:color w:val="auto"/>
                      <w:szCs w:val="21"/>
                      <w:lang w:val="en-US" w:eastAsia="zh-CN"/>
                    </w:rPr>
                  </w:pPr>
                  <w:r>
                    <w:rPr>
                      <w:rFonts w:hint="eastAsia"/>
                      <w:color w:val="auto"/>
                      <w:szCs w:val="21"/>
                      <w:lang w:val="en-US" w:eastAsia="zh-CN"/>
                    </w:rPr>
                    <w:t>0.1874</w:t>
                  </w:r>
                </w:p>
              </w:tc>
              <w:tc>
                <w:tcPr>
                  <w:tcW w:w="403" w:type="pct"/>
                  <w:vMerge w:val="continue"/>
                  <w:vAlign w:val="center"/>
                </w:tcPr>
                <w:p w14:paraId="29DEB64F">
                  <w:pPr>
                    <w:jc w:val="center"/>
                    <w:rPr>
                      <w:color w:val="auto"/>
                      <w:szCs w:val="21"/>
                    </w:rPr>
                  </w:pPr>
                </w:p>
              </w:tc>
              <w:tc>
                <w:tcPr>
                  <w:tcW w:w="406" w:type="pct"/>
                  <w:vMerge w:val="continue"/>
                  <w:vAlign w:val="center"/>
                </w:tcPr>
                <w:p w14:paraId="16C83B5A">
                  <w:pPr>
                    <w:rPr>
                      <w:color w:val="auto"/>
                      <w:szCs w:val="21"/>
                    </w:rPr>
                  </w:pPr>
                </w:p>
              </w:tc>
              <w:tc>
                <w:tcPr>
                  <w:tcW w:w="265" w:type="pct"/>
                  <w:vAlign w:val="center"/>
                </w:tcPr>
                <w:p w14:paraId="548EE683">
                  <w:pPr>
                    <w:ind w:left="-105" w:leftChars="-50" w:right="-105" w:rightChars="-50"/>
                    <w:jc w:val="center"/>
                    <w:rPr>
                      <w:color w:val="auto"/>
                      <w:szCs w:val="21"/>
                    </w:rPr>
                  </w:pPr>
                  <w:r>
                    <w:rPr>
                      <w:color w:val="auto"/>
                      <w:szCs w:val="21"/>
                    </w:rPr>
                    <w:t>0%</w:t>
                  </w:r>
                </w:p>
              </w:tc>
              <w:tc>
                <w:tcPr>
                  <w:tcW w:w="399" w:type="pct"/>
                  <w:vMerge w:val="continue"/>
                  <w:vAlign w:val="center"/>
                </w:tcPr>
                <w:p w14:paraId="141BA75B">
                  <w:pPr>
                    <w:rPr>
                      <w:color w:val="auto"/>
                      <w:szCs w:val="21"/>
                    </w:rPr>
                  </w:pPr>
                </w:p>
              </w:tc>
              <w:tc>
                <w:tcPr>
                  <w:tcW w:w="462" w:type="pct"/>
                  <w:vMerge w:val="continue"/>
                  <w:vAlign w:val="center"/>
                </w:tcPr>
                <w:p w14:paraId="123C5D7D">
                  <w:pPr>
                    <w:rPr>
                      <w:color w:val="auto"/>
                      <w:szCs w:val="21"/>
                    </w:rPr>
                  </w:pPr>
                </w:p>
              </w:tc>
              <w:tc>
                <w:tcPr>
                  <w:tcW w:w="346" w:type="pct"/>
                  <w:vAlign w:val="center"/>
                </w:tcPr>
                <w:p w14:paraId="19C1C49C">
                  <w:pPr>
                    <w:ind w:left="-105" w:leftChars="-50" w:right="-105" w:rightChars="-50"/>
                    <w:jc w:val="center"/>
                    <w:rPr>
                      <w:color w:val="auto"/>
                      <w:szCs w:val="21"/>
                    </w:rPr>
                  </w:pPr>
                  <w:r>
                    <w:rPr>
                      <w:color w:val="auto"/>
                      <w:szCs w:val="21"/>
                    </w:rPr>
                    <w:t>45</w:t>
                  </w:r>
                </w:p>
              </w:tc>
              <w:tc>
                <w:tcPr>
                  <w:tcW w:w="276" w:type="pct"/>
                  <w:vAlign w:val="center"/>
                </w:tcPr>
                <w:p w14:paraId="6E968167">
                  <w:pPr>
                    <w:ind w:left="-105" w:leftChars="-50" w:right="-105" w:rightChars="-50"/>
                    <w:jc w:val="center"/>
                    <w:rPr>
                      <w:rFonts w:hint="default" w:eastAsia="宋体"/>
                      <w:color w:val="auto"/>
                      <w:szCs w:val="21"/>
                      <w:lang w:val="en-US" w:eastAsia="zh-CN"/>
                    </w:rPr>
                  </w:pPr>
                  <w:r>
                    <w:rPr>
                      <w:rFonts w:hint="eastAsia"/>
                      <w:color w:val="auto"/>
                      <w:szCs w:val="21"/>
                      <w:lang w:val="en-US" w:eastAsia="zh-CN"/>
                    </w:rPr>
                    <w:t>0.1874</w:t>
                  </w:r>
                </w:p>
              </w:tc>
              <w:tc>
                <w:tcPr>
                  <w:tcW w:w="268" w:type="pct"/>
                  <w:vMerge w:val="continue"/>
                  <w:vAlign w:val="center"/>
                </w:tcPr>
                <w:p w14:paraId="60B84356">
                  <w:pPr>
                    <w:rPr>
                      <w:color w:val="auto"/>
                      <w:szCs w:val="21"/>
                    </w:rPr>
                  </w:pPr>
                </w:p>
              </w:tc>
              <w:tc>
                <w:tcPr>
                  <w:tcW w:w="393" w:type="pct"/>
                  <w:vMerge w:val="continue"/>
                  <w:vAlign w:val="center"/>
                </w:tcPr>
                <w:p w14:paraId="6EAF5CE3">
                  <w:pPr>
                    <w:rPr>
                      <w:color w:val="auto"/>
                      <w:szCs w:val="21"/>
                    </w:rPr>
                  </w:pPr>
                </w:p>
              </w:tc>
            </w:tr>
            <w:tr w14:paraId="7DDD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 w:hRule="atLeast"/>
                <w:jc w:val="center"/>
              </w:trPr>
              <w:tc>
                <w:tcPr>
                  <w:tcW w:w="126" w:type="pct"/>
                  <w:vMerge w:val="continue"/>
                  <w:vAlign w:val="center"/>
                </w:tcPr>
                <w:p w14:paraId="7594FBD8">
                  <w:pPr>
                    <w:rPr>
                      <w:color w:val="auto"/>
                      <w:szCs w:val="21"/>
                    </w:rPr>
                  </w:pPr>
                </w:p>
              </w:tc>
              <w:tc>
                <w:tcPr>
                  <w:tcW w:w="295" w:type="pct"/>
                  <w:vMerge w:val="continue"/>
                  <w:vAlign w:val="center"/>
                </w:tcPr>
                <w:p w14:paraId="4D69CC28">
                  <w:pPr>
                    <w:rPr>
                      <w:color w:val="auto"/>
                      <w:szCs w:val="21"/>
                    </w:rPr>
                  </w:pPr>
                </w:p>
              </w:tc>
              <w:tc>
                <w:tcPr>
                  <w:tcW w:w="351" w:type="pct"/>
                  <w:vMerge w:val="continue"/>
                  <w:vAlign w:val="center"/>
                </w:tcPr>
                <w:p w14:paraId="661186B4">
                  <w:pPr>
                    <w:rPr>
                      <w:color w:val="auto"/>
                      <w:szCs w:val="21"/>
                    </w:rPr>
                  </w:pPr>
                </w:p>
              </w:tc>
              <w:tc>
                <w:tcPr>
                  <w:tcW w:w="278" w:type="pct"/>
                  <w:vAlign w:val="center"/>
                </w:tcPr>
                <w:p w14:paraId="06EA9C0F">
                  <w:pPr>
                    <w:ind w:left="-105" w:leftChars="-50" w:right="-105" w:rightChars="-50"/>
                    <w:jc w:val="center"/>
                    <w:rPr>
                      <w:bCs/>
                      <w:color w:val="auto"/>
                      <w:szCs w:val="21"/>
                      <w:lang w:bidi="ar"/>
                    </w:rPr>
                  </w:pPr>
                  <w:r>
                    <w:rPr>
                      <w:bCs/>
                      <w:color w:val="auto"/>
                      <w:szCs w:val="21"/>
                      <w:lang w:bidi="ar"/>
                    </w:rPr>
                    <w:t>总磷</w:t>
                  </w:r>
                </w:p>
              </w:tc>
              <w:tc>
                <w:tcPr>
                  <w:tcW w:w="339" w:type="pct"/>
                  <w:vAlign w:val="center"/>
                </w:tcPr>
                <w:p w14:paraId="41CC188A">
                  <w:pPr>
                    <w:ind w:left="-105" w:leftChars="-50" w:right="-105" w:rightChars="-50"/>
                    <w:jc w:val="center"/>
                    <w:rPr>
                      <w:color w:val="auto"/>
                      <w:szCs w:val="21"/>
                      <w:lang w:bidi="ar"/>
                    </w:rPr>
                  </w:pPr>
                  <w:r>
                    <w:rPr>
                      <w:color w:val="auto"/>
                      <w:szCs w:val="21"/>
                      <w:lang w:bidi="ar"/>
                    </w:rPr>
                    <w:t>5</w:t>
                  </w:r>
                </w:p>
              </w:tc>
              <w:tc>
                <w:tcPr>
                  <w:tcW w:w="388" w:type="pct"/>
                  <w:vAlign w:val="center"/>
                </w:tcPr>
                <w:p w14:paraId="05970736">
                  <w:pPr>
                    <w:ind w:left="-105" w:leftChars="-50" w:right="-105" w:rightChars="-50"/>
                    <w:jc w:val="center"/>
                    <w:rPr>
                      <w:rFonts w:hint="default" w:eastAsia="宋体"/>
                      <w:color w:val="auto"/>
                      <w:szCs w:val="21"/>
                      <w:lang w:val="en-US" w:eastAsia="zh-CN"/>
                    </w:rPr>
                  </w:pPr>
                  <w:r>
                    <w:rPr>
                      <w:rFonts w:hint="eastAsia"/>
                      <w:color w:val="auto"/>
                      <w:szCs w:val="21"/>
                      <w:lang w:val="en-US" w:eastAsia="zh-CN"/>
                    </w:rPr>
                    <w:t>0.0208</w:t>
                  </w:r>
                </w:p>
              </w:tc>
              <w:tc>
                <w:tcPr>
                  <w:tcW w:w="403" w:type="pct"/>
                  <w:vMerge w:val="continue"/>
                  <w:vAlign w:val="center"/>
                </w:tcPr>
                <w:p w14:paraId="1322EC87">
                  <w:pPr>
                    <w:jc w:val="center"/>
                    <w:rPr>
                      <w:color w:val="auto"/>
                      <w:szCs w:val="21"/>
                    </w:rPr>
                  </w:pPr>
                </w:p>
              </w:tc>
              <w:tc>
                <w:tcPr>
                  <w:tcW w:w="406" w:type="pct"/>
                  <w:vMerge w:val="continue"/>
                  <w:vAlign w:val="center"/>
                </w:tcPr>
                <w:p w14:paraId="058677E7">
                  <w:pPr>
                    <w:rPr>
                      <w:color w:val="auto"/>
                      <w:szCs w:val="21"/>
                    </w:rPr>
                  </w:pPr>
                </w:p>
              </w:tc>
              <w:tc>
                <w:tcPr>
                  <w:tcW w:w="265" w:type="pct"/>
                  <w:vAlign w:val="center"/>
                </w:tcPr>
                <w:p w14:paraId="4BE4DAFE">
                  <w:pPr>
                    <w:ind w:left="-105" w:leftChars="-50" w:right="-105" w:rightChars="-50"/>
                    <w:jc w:val="center"/>
                    <w:rPr>
                      <w:color w:val="auto"/>
                      <w:szCs w:val="21"/>
                    </w:rPr>
                  </w:pPr>
                  <w:r>
                    <w:rPr>
                      <w:color w:val="auto"/>
                      <w:szCs w:val="21"/>
                    </w:rPr>
                    <w:t>40%</w:t>
                  </w:r>
                </w:p>
              </w:tc>
              <w:tc>
                <w:tcPr>
                  <w:tcW w:w="399" w:type="pct"/>
                  <w:vMerge w:val="continue"/>
                  <w:vAlign w:val="center"/>
                </w:tcPr>
                <w:p w14:paraId="55F69999">
                  <w:pPr>
                    <w:rPr>
                      <w:color w:val="auto"/>
                      <w:szCs w:val="21"/>
                    </w:rPr>
                  </w:pPr>
                </w:p>
              </w:tc>
              <w:tc>
                <w:tcPr>
                  <w:tcW w:w="462" w:type="pct"/>
                  <w:vMerge w:val="continue"/>
                  <w:vAlign w:val="center"/>
                </w:tcPr>
                <w:p w14:paraId="4E05DEE5">
                  <w:pPr>
                    <w:rPr>
                      <w:color w:val="auto"/>
                      <w:szCs w:val="21"/>
                    </w:rPr>
                  </w:pPr>
                </w:p>
              </w:tc>
              <w:tc>
                <w:tcPr>
                  <w:tcW w:w="346" w:type="pct"/>
                  <w:vAlign w:val="center"/>
                </w:tcPr>
                <w:p w14:paraId="6564BE3D">
                  <w:pPr>
                    <w:ind w:left="-105" w:leftChars="-50" w:right="-105" w:rightChars="-50"/>
                    <w:jc w:val="center"/>
                    <w:rPr>
                      <w:color w:val="auto"/>
                      <w:szCs w:val="21"/>
                    </w:rPr>
                  </w:pPr>
                  <w:r>
                    <w:rPr>
                      <w:color w:val="auto"/>
                      <w:szCs w:val="21"/>
                    </w:rPr>
                    <w:t>3</w:t>
                  </w:r>
                </w:p>
              </w:tc>
              <w:tc>
                <w:tcPr>
                  <w:tcW w:w="276" w:type="pct"/>
                  <w:vAlign w:val="center"/>
                </w:tcPr>
                <w:p w14:paraId="30FF45F5">
                  <w:pPr>
                    <w:ind w:left="-105" w:leftChars="-50" w:right="-105" w:rightChars="-50"/>
                    <w:jc w:val="center"/>
                    <w:rPr>
                      <w:rFonts w:hint="default" w:eastAsia="宋体"/>
                      <w:color w:val="auto"/>
                      <w:szCs w:val="21"/>
                      <w:lang w:val="en-US" w:eastAsia="zh-CN"/>
                    </w:rPr>
                  </w:pPr>
                  <w:r>
                    <w:rPr>
                      <w:rFonts w:hint="eastAsia"/>
                      <w:color w:val="auto"/>
                      <w:szCs w:val="21"/>
                      <w:lang w:val="en-US" w:eastAsia="zh-CN"/>
                    </w:rPr>
                    <w:t>0.0125</w:t>
                  </w:r>
                </w:p>
              </w:tc>
              <w:tc>
                <w:tcPr>
                  <w:tcW w:w="268" w:type="pct"/>
                  <w:vMerge w:val="continue"/>
                  <w:vAlign w:val="center"/>
                </w:tcPr>
                <w:p w14:paraId="79C6A00A">
                  <w:pPr>
                    <w:rPr>
                      <w:color w:val="auto"/>
                      <w:szCs w:val="21"/>
                    </w:rPr>
                  </w:pPr>
                </w:p>
              </w:tc>
              <w:tc>
                <w:tcPr>
                  <w:tcW w:w="393" w:type="pct"/>
                  <w:vMerge w:val="continue"/>
                  <w:vAlign w:val="center"/>
                </w:tcPr>
                <w:p w14:paraId="415A9AC5">
                  <w:pPr>
                    <w:rPr>
                      <w:color w:val="auto"/>
                      <w:szCs w:val="21"/>
                    </w:rPr>
                  </w:pPr>
                </w:p>
              </w:tc>
            </w:tr>
            <w:tr w14:paraId="797AD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26" w:type="pct"/>
                  <w:vMerge w:val="continue"/>
                  <w:vAlign w:val="center"/>
                </w:tcPr>
                <w:p w14:paraId="1819F7A4">
                  <w:pPr>
                    <w:rPr>
                      <w:color w:val="auto"/>
                      <w:szCs w:val="21"/>
                    </w:rPr>
                  </w:pPr>
                </w:p>
              </w:tc>
              <w:tc>
                <w:tcPr>
                  <w:tcW w:w="295" w:type="pct"/>
                  <w:vMerge w:val="continue"/>
                  <w:vAlign w:val="center"/>
                </w:tcPr>
                <w:p w14:paraId="5807A8A4">
                  <w:pPr>
                    <w:rPr>
                      <w:color w:val="auto"/>
                      <w:szCs w:val="21"/>
                    </w:rPr>
                  </w:pPr>
                </w:p>
              </w:tc>
              <w:tc>
                <w:tcPr>
                  <w:tcW w:w="351" w:type="pct"/>
                  <w:vMerge w:val="continue"/>
                  <w:vAlign w:val="center"/>
                </w:tcPr>
                <w:p w14:paraId="5BE5B3FA">
                  <w:pPr>
                    <w:rPr>
                      <w:color w:val="auto"/>
                      <w:szCs w:val="21"/>
                    </w:rPr>
                  </w:pPr>
                </w:p>
              </w:tc>
              <w:tc>
                <w:tcPr>
                  <w:tcW w:w="278" w:type="pct"/>
                  <w:vAlign w:val="center"/>
                </w:tcPr>
                <w:p w14:paraId="413B7883">
                  <w:pPr>
                    <w:ind w:left="-105" w:leftChars="-50" w:right="-105" w:rightChars="-50"/>
                    <w:jc w:val="center"/>
                    <w:rPr>
                      <w:rFonts w:hint="default" w:eastAsia="宋体"/>
                      <w:bCs/>
                      <w:color w:val="auto"/>
                      <w:szCs w:val="21"/>
                      <w:lang w:val="en-US" w:eastAsia="zh-CN" w:bidi="ar"/>
                    </w:rPr>
                  </w:pPr>
                  <w:r>
                    <w:rPr>
                      <w:rFonts w:hint="eastAsia"/>
                      <w:bCs/>
                      <w:color w:val="auto"/>
                      <w:szCs w:val="21"/>
                      <w:lang w:val="en-US" w:eastAsia="zh-CN" w:bidi="ar"/>
                    </w:rPr>
                    <w:t>动植物油</w:t>
                  </w:r>
                </w:p>
              </w:tc>
              <w:tc>
                <w:tcPr>
                  <w:tcW w:w="339" w:type="pct"/>
                  <w:vAlign w:val="center"/>
                </w:tcPr>
                <w:p w14:paraId="5D455337">
                  <w:pPr>
                    <w:ind w:left="-105" w:leftChars="-50" w:right="-105" w:rightChars="-50"/>
                    <w:jc w:val="center"/>
                    <w:rPr>
                      <w:rFonts w:hint="default" w:eastAsia="宋体"/>
                      <w:color w:val="auto"/>
                      <w:szCs w:val="21"/>
                      <w:lang w:val="en-US" w:eastAsia="zh-CN" w:bidi="ar"/>
                    </w:rPr>
                  </w:pPr>
                  <w:r>
                    <w:rPr>
                      <w:rFonts w:hint="eastAsia"/>
                      <w:color w:val="auto"/>
                      <w:szCs w:val="21"/>
                      <w:lang w:val="en-US" w:eastAsia="zh-CN" w:bidi="ar"/>
                    </w:rPr>
                    <w:t>150</w:t>
                  </w:r>
                </w:p>
              </w:tc>
              <w:tc>
                <w:tcPr>
                  <w:tcW w:w="388" w:type="pct"/>
                  <w:vAlign w:val="center"/>
                </w:tcPr>
                <w:p w14:paraId="7C218B75">
                  <w:pPr>
                    <w:ind w:left="-105" w:leftChars="-50" w:right="-105" w:rightChars="-50"/>
                    <w:jc w:val="center"/>
                    <w:rPr>
                      <w:rFonts w:hint="default" w:eastAsia="等线"/>
                      <w:color w:val="auto"/>
                      <w:szCs w:val="21"/>
                      <w:lang w:val="en-US" w:eastAsia="zh-CN"/>
                    </w:rPr>
                  </w:pPr>
                  <w:r>
                    <w:rPr>
                      <w:rFonts w:hint="eastAsia" w:eastAsia="等线"/>
                      <w:color w:val="auto"/>
                      <w:szCs w:val="21"/>
                      <w:lang w:val="en-US" w:eastAsia="zh-CN"/>
                    </w:rPr>
                    <w:t>0.6246</w:t>
                  </w:r>
                </w:p>
              </w:tc>
              <w:tc>
                <w:tcPr>
                  <w:tcW w:w="403" w:type="pct"/>
                  <w:vMerge w:val="continue"/>
                  <w:vAlign w:val="center"/>
                </w:tcPr>
                <w:p w14:paraId="3068D3B3">
                  <w:pPr>
                    <w:jc w:val="center"/>
                    <w:rPr>
                      <w:color w:val="auto"/>
                      <w:szCs w:val="21"/>
                    </w:rPr>
                  </w:pPr>
                </w:p>
              </w:tc>
              <w:tc>
                <w:tcPr>
                  <w:tcW w:w="406" w:type="pct"/>
                  <w:vMerge w:val="continue"/>
                  <w:vAlign w:val="center"/>
                </w:tcPr>
                <w:p w14:paraId="77BE2C00">
                  <w:pPr>
                    <w:rPr>
                      <w:color w:val="auto"/>
                      <w:szCs w:val="21"/>
                    </w:rPr>
                  </w:pPr>
                </w:p>
              </w:tc>
              <w:tc>
                <w:tcPr>
                  <w:tcW w:w="265" w:type="pct"/>
                  <w:vAlign w:val="center"/>
                </w:tcPr>
                <w:p w14:paraId="32D96FB1">
                  <w:pPr>
                    <w:ind w:left="-105" w:leftChars="-50" w:right="-105" w:rightChars="-50"/>
                    <w:jc w:val="center"/>
                    <w:rPr>
                      <w:rFonts w:hint="default" w:eastAsia="宋体"/>
                      <w:color w:val="auto"/>
                      <w:szCs w:val="21"/>
                      <w:lang w:val="en-US" w:eastAsia="zh-CN"/>
                    </w:rPr>
                  </w:pPr>
                  <w:r>
                    <w:rPr>
                      <w:rFonts w:hint="eastAsia"/>
                      <w:color w:val="auto"/>
                      <w:szCs w:val="21"/>
                      <w:lang w:val="en-US" w:eastAsia="zh-CN"/>
                    </w:rPr>
                    <w:t>75%</w:t>
                  </w:r>
                </w:p>
              </w:tc>
              <w:tc>
                <w:tcPr>
                  <w:tcW w:w="399" w:type="pct"/>
                  <w:vMerge w:val="continue"/>
                  <w:vAlign w:val="center"/>
                </w:tcPr>
                <w:p w14:paraId="7CBEEBD9">
                  <w:pPr>
                    <w:rPr>
                      <w:color w:val="auto"/>
                      <w:szCs w:val="21"/>
                    </w:rPr>
                  </w:pPr>
                </w:p>
              </w:tc>
              <w:tc>
                <w:tcPr>
                  <w:tcW w:w="462" w:type="pct"/>
                  <w:vMerge w:val="continue"/>
                  <w:vAlign w:val="center"/>
                </w:tcPr>
                <w:p w14:paraId="6C8CF1EB">
                  <w:pPr>
                    <w:rPr>
                      <w:color w:val="auto"/>
                      <w:szCs w:val="21"/>
                    </w:rPr>
                  </w:pPr>
                </w:p>
              </w:tc>
              <w:tc>
                <w:tcPr>
                  <w:tcW w:w="346" w:type="pct"/>
                  <w:vAlign w:val="center"/>
                </w:tcPr>
                <w:p w14:paraId="6131D467">
                  <w:pPr>
                    <w:ind w:left="-105" w:leftChars="-50" w:right="-105" w:rightChars="-50"/>
                    <w:jc w:val="center"/>
                    <w:rPr>
                      <w:rFonts w:hint="default" w:eastAsia="宋体"/>
                      <w:color w:val="auto"/>
                      <w:szCs w:val="21"/>
                      <w:lang w:val="en-US" w:eastAsia="zh-CN"/>
                    </w:rPr>
                  </w:pPr>
                  <w:r>
                    <w:rPr>
                      <w:rFonts w:hint="eastAsia"/>
                      <w:color w:val="auto"/>
                      <w:szCs w:val="21"/>
                      <w:lang w:val="en-US" w:eastAsia="zh-CN"/>
                    </w:rPr>
                    <w:t>37.5</w:t>
                  </w:r>
                </w:p>
              </w:tc>
              <w:tc>
                <w:tcPr>
                  <w:tcW w:w="276" w:type="pct"/>
                  <w:vAlign w:val="center"/>
                </w:tcPr>
                <w:p w14:paraId="7E0AC36A">
                  <w:pPr>
                    <w:ind w:left="-105" w:leftChars="-50" w:right="-105" w:rightChars="-50"/>
                    <w:jc w:val="center"/>
                    <w:rPr>
                      <w:rFonts w:hint="default" w:eastAsia="等线"/>
                      <w:color w:val="auto"/>
                      <w:szCs w:val="21"/>
                      <w:lang w:val="en-US" w:eastAsia="zh-CN"/>
                    </w:rPr>
                  </w:pPr>
                  <w:r>
                    <w:rPr>
                      <w:rFonts w:hint="eastAsia" w:eastAsia="等线"/>
                      <w:color w:val="auto"/>
                      <w:szCs w:val="21"/>
                      <w:lang w:val="en-US" w:eastAsia="zh-CN"/>
                    </w:rPr>
                    <w:t>0.1562</w:t>
                  </w:r>
                </w:p>
              </w:tc>
              <w:tc>
                <w:tcPr>
                  <w:tcW w:w="268" w:type="pct"/>
                  <w:vMerge w:val="continue"/>
                  <w:vAlign w:val="center"/>
                </w:tcPr>
                <w:p w14:paraId="4FE1BE91">
                  <w:pPr>
                    <w:rPr>
                      <w:color w:val="auto"/>
                      <w:szCs w:val="21"/>
                    </w:rPr>
                  </w:pPr>
                </w:p>
              </w:tc>
              <w:tc>
                <w:tcPr>
                  <w:tcW w:w="393" w:type="pct"/>
                  <w:vMerge w:val="continue"/>
                  <w:vAlign w:val="center"/>
                </w:tcPr>
                <w:p w14:paraId="1986E37F">
                  <w:pPr>
                    <w:rPr>
                      <w:color w:val="auto"/>
                      <w:szCs w:val="21"/>
                    </w:rPr>
                  </w:pPr>
                </w:p>
              </w:tc>
            </w:tr>
          </w:tbl>
          <w:p w14:paraId="7B92E4E3">
            <w:pPr>
              <w:snapToGrid w:val="0"/>
              <w:spacing w:before="120" w:beforeLines="50" w:line="360" w:lineRule="auto"/>
              <w:ind w:firstLine="480" w:firstLineChars="200"/>
              <w:rPr>
                <w:color w:val="auto"/>
                <w:sz w:val="24"/>
              </w:rPr>
            </w:pPr>
            <w:r>
              <w:rPr>
                <w:color w:val="auto"/>
                <w:sz w:val="24"/>
              </w:rPr>
              <w:t>本项目废水类别、污染物及污染治理设施信息</w:t>
            </w:r>
            <w:r>
              <w:rPr>
                <w:rFonts w:hint="eastAsia"/>
                <w:color w:val="auto"/>
                <w:sz w:val="24"/>
              </w:rPr>
              <w:t>见下表</w:t>
            </w:r>
            <w:r>
              <w:rPr>
                <w:color w:val="auto"/>
                <w:sz w:val="24"/>
              </w:rPr>
              <w:t>。</w:t>
            </w:r>
          </w:p>
          <w:p w14:paraId="4CF33150">
            <w:pPr>
              <w:jc w:val="center"/>
              <w:rPr>
                <w:b/>
                <w:color w:val="auto"/>
                <w:szCs w:val="21"/>
              </w:rPr>
            </w:pPr>
            <w:r>
              <w:rPr>
                <w:b/>
                <w:color w:val="auto"/>
                <w:szCs w:val="21"/>
              </w:rPr>
              <w:t>表4-1</w:t>
            </w:r>
            <w:r>
              <w:rPr>
                <w:rFonts w:hint="eastAsia"/>
                <w:b/>
                <w:color w:val="auto"/>
                <w:szCs w:val="21"/>
                <w:lang w:val="en-US" w:eastAsia="zh-CN"/>
              </w:rPr>
              <w:t>8</w:t>
            </w:r>
            <w:r>
              <w:rPr>
                <w:b/>
                <w:color w:val="auto"/>
                <w:szCs w:val="21"/>
              </w:rPr>
              <w:t xml:space="preserve">  废水类别、污染物及污染治理设施信息表</w:t>
            </w:r>
          </w:p>
          <w:tbl>
            <w:tblPr>
              <w:tblStyle w:val="25"/>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921"/>
              <w:gridCol w:w="1040"/>
              <w:gridCol w:w="1103"/>
              <w:gridCol w:w="1121"/>
              <w:gridCol w:w="1159"/>
              <w:gridCol w:w="977"/>
              <w:gridCol w:w="1144"/>
              <w:gridCol w:w="939"/>
              <w:gridCol w:w="674"/>
              <w:gridCol w:w="1098"/>
              <w:gridCol w:w="1990"/>
            </w:tblGrid>
            <w:tr w14:paraId="701979F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76" w:type="pct"/>
                  <w:vMerge w:val="restart"/>
                  <w:tcBorders>
                    <w:top w:val="single" w:color="auto" w:sz="12" w:space="0"/>
                    <w:left w:val="nil"/>
                    <w:bottom w:val="single" w:color="auto" w:sz="4" w:space="0"/>
                    <w:right w:val="single" w:color="auto" w:sz="4" w:space="0"/>
                  </w:tcBorders>
                  <w:noWrap w:val="0"/>
                  <w:vAlign w:val="center"/>
                </w:tcPr>
                <w:p w14:paraId="7491F8CA">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序号</w:t>
                  </w:r>
                </w:p>
              </w:tc>
              <w:tc>
                <w:tcPr>
                  <w:tcW w:w="365" w:type="pct"/>
                  <w:vMerge w:val="restart"/>
                  <w:tcBorders>
                    <w:top w:val="single" w:color="auto" w:sz="12" w:space="0"/>
                    <w:left w:val="single" w:color="auto" w:sz="4" w:space="0"/>
                    <w:bottom w:val="single" w:color="auto" w:sz="4" w:space="0"/>
                    <w:right w:val="single" w:color="auto" w:sz="4" w:space="0"/>
                  </w:tcBorders>
                  <w:noWrap w:val="0"/>
                  <w:vAlign w:val="center"/>
                </w:tcPr>
                <w:p w14:paraId="571DAC2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bidi="ar"/>
                    </w:rPr>
                    <w:t>产污环节</w:t>
                  </w:r>
                </w:p>
              </w:tc>
              <w:tc>
                <w:tcPr>
                  <w:tcW w:w="412" w:type="pct"/>
                  <w:vMerge w:val="restart"/>
                  <w:tcBorders>
                    <w:top w:val="single" w:color="auto" w:sz="12" w:space="0"/>
                    <w:left w:val="single" w:color="auto" w:sz="4" w:space="0"/>
                    <w:bottom w:val="single" w:color="auto" w:sz="4" w:space="0"/>
                    <w:right w:val="single" w:color="auto" w:sz="4" w:space="0"/>
                  </w:tcBorders>
                  <w:noWrap w:val="0"/>
                  <w:vAlign w:val="center"/>
                </w:tcPr>
                <w:p w14:paraId="115963D3">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废水类别</w:t>
                  </w:r>
                </w:p>
              </w:tc>
              <w:tc>
                <w:tcPr>
                  <w:tcW w:w="437" w:type="pct"/>
                  <w:vMerge w:val="restart"/>
                  <w:tcBorders>
                    <w:top w:val="single" w:color="auto" w:sz="12" w:space="0"/>
                    <w:left w:val="single" w:color="auto" w:sz="4" w:space="0"/>
                    <w:bottom w:val="single" w:color="auto" w:sz="4" w:space="0"/>
                    <w:right w:val="single" w:color="auto" w:sz="4" w:space="0"/>
                  </w:tcBorders>
                  <w:noWrap w:val="0"/>
                  <w:vAlign w:val="center"/>
                </w:tcPr>
                <w:p w14:paraId="0C343A3C">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污染物种类</w:t>
                  </w:r>
                </w:p>
              </w:tc>
              <w:tc>
                <w:tcPr>
                  <w:tcW w:w="444" w:type="pct"/>
                  <w:vMerge w:val="restart"/>
                  <w:tcBorders>
                    <w:top w:val="single" w:color="auto" w:sz="12" w:space="0"/>
                    <w:left w:val="single" w:color="auto" w:sz="4" w:space="0"/>
                    <w:bottom w:val="single" w:color="auto" w:sz="4" w:space="0"/>
                    <w:right w:val="single" w:color="auto" w:sz="4" w:space="0"/>
                  </w:tcBorders>
                  <w:noWrap w:val="0"/>
                  <w:vAlign w:val="center"/>
                </w:tcPr>
                <w:p w14:paraId="112B16A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排放去向</w:t>
                  </w:r>
                </w:p>
              </w:tc>
              <w:tc>
                <w:tcPr>
                  <w:tcW w:w="459" w:type="pct"/>
                  <w:vMerge w:val="restart"/>
                  <w:tcBorders>
                    <w:top w:val="single" w:color="auto" w:sz="12" w:space="0"/>
                    <w:left w:val="single" w:color="auto" w:sz="4" w:space="0"/>
                    <w:bottom w:val="single" w:color="auto" w:sz="4" w:space="0"/>
                    <w:right w:val="single" w:color="auto" w:sz="4" w:space="0"/>
                  </w:tcBorders>
                  <w:noWrap w:val="0"/>
                  <w:vAlign w:val="center"/>
                </w:tcPr>
                <w:p w14:paraId="410533E1">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排放规律</w:t>
                  </w:r>
                </w:p>
              </w:tc>
              <w:tc>
                <w:tcPr>
                  <w:tcW w:w="1212" w:type="pct"/>
                  <w:gridSpan w:val="3"/>
                  <w:tcBorders>
                    <w:top w:val="single" w:color="auto" w:sz="12" w:space="0"/>
                    <w:left w:val="single" w:color="auto" w:sz="4" w:space="0"/>
                    <w:bottom w:val="single" w:color="auto" w:sz="4" w:space="0"/>
                    <w:right w:val="single" w:color="auto" w:sz="4" w:space="0"/>
                  </w:tcBorders>
                  <w:noWrap w:val="0"/>
                  <w:vAlign w:val="center"/>
                </w:tcPr>
                <w:p w14:paraId="67876788">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污染治理措施</w:t>
                  </w:r>
                </w:p>
              </w:tc>
              <w:tc>
                <w:tcPr>
                  <w:tcW w:w="267" w:type="pct"/>
                  <w:vMerge w:val="restart"/>
                  <w:tcBorders>
                    <w:top w:val="single" w:color="auto" w:sz="12" w:space="0"/>
                    <w:left w:val="single" w:color="auto" w:sz="4" w:space="0"/>
                    <w:bottom w:val="single" w:color="auto" w:sz="4" w:space="0"/>
                    <w:right w:val="single" w:color="auto" w:sz="4" w:space="0"/>
                  </w:tcBorders>
                  <w:noWrap w:val="0"/>
                  <w:vAlign w:val="center"/>
                </w:tcPr>
                <w:p w14:paraId="468B90C5">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排放口编号</w:t>
                  </w:r>
                </w:p>
              </w:tc>
              <w:tc>
                <w:tcPr>
                  <w:tcW w:w="435" w:type="pct"/>
                  <w:vMerge w:val="restart"/>
                  <w:tcBorders>
                    <w:top w:val="single" w:color="auto" w:sz="12" w:space="0"/>
                    <w:left w:val="single" w:color="auto" w:sz="4" w:space="0"/>
                    <w:bottom w:val="single" w:color="auto" w:sz="4" w:space="0"/>
                    <w:right w:val="single" w:color="auto" w:sz="4" w:space="0"/>
                  </w:tcBorders>
                  <w:noWrap w:val="0"/>
                  <w:vAlign w:val="center"/>
                </w:tcPr>
                <w:p w14:paraId="7369F930">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排放口是否符合要求</w:t>
                  </w:r>
                </w:p>
              </w:tc>
              <w:tc>
                <w:tcPr>
                  <w:tcW w:w="788" w:type="pct"/>
                  <w:vMerge w:val="restart"/>
                  <w:tcBorders>
                    <w:top w:val="single" w:color="auto" w:sz="12" w:space="0"/>
                    <w:left w:val="single" w:color="auto" w:sz="4" w:space="0"/>
                    <w:bottom w:val="single" w:color="auto" w:sz="4" w:space="0"/>
                    <w:right w:val="nil"/>
                  </w:tcBorders>
                  <w:noWrap w:val="0"/>
                  <w:vAlign w:val="center"/>
                </w:tcPr>
                <w:p w14:paraId="520416FC">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排放口类型</w:t>
                  </w:r>
                </w:p>
              </w:tc>
            </w:tr>
            <w:tr w14:paraId="2FFF458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76" w:type="pct"/>
                  <w:vMerge w:val="continue"/>
                  <w:tcBorders>
                    <w:top w:val="single" w:color="auto" w:sz="12" w:space="0"/>
                    <w:left w:val="nil"/>
                    <w:bottom w:val="single" w:color="auto" w:sz="4" w:space="0"/>
                    <w:right w:val="single" w:color="auto" w:sz="4" w:space="0"/>
                  </w:tcBorders>
                  <w:noWrap w:val="0"/>
                  <w:vAlign w:val="center"/>
                </w:tcPr>
                <w:p w14:paraId="485B313D">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365" w:type="pct"/>
                  <w:vMerge w:val="continue"/>
                  <w:tcBorders>
                    <w:top w:val="single" w:color="auto" w:sz="12" w:space="0"/>
                    <w:left w:val="single" w:color="auto" w:sz="4" w:space="0"/>
                    <w:bottom w:val="single" w:color="auto" w:sz="4" w:space="0"/>
                    <w:right w:val="single" w:color="auto" w:sz="4" w:space="0"/>
                  </w:tcBorders>
                  <w:noWrap w:val="0"/>
                  <w:vAlign w:val="center"/>
                </w:tcPr>
                <w:p w14:paraId="6D9DB8D5">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412" w:type="pct"/>
                  <w:vMerge w:val="continue"/>
                  <w:tcBorders>
                    <w:top w:val="single" w:color="auto" w:sz="12" w:space="0"/>
                    <w:left w:val="single" w:color="auto" w:sz="4" w:space="0"/>
                    <w:bottom w:val="single" w:color="auto" w:sz="4" w:space="0"/>
                    <w:right w:val="single" w:color="auto" w:sz="4" w:space="0"/>
                  </w:tcBorders>
                  <w:noWrap w:val="0"/>
                  <w:vAlign w:val="center"/>
                </w:tcPr>
                <w:p w14:paraId="1AFD9F49">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437" w:type="pct"/>
                  <w:vMerge w:val="continue"/>
                  <w:tcBorders>
                    <w:top w:val="single" w:color="auto" w:sz="12" w:space="0"/>
                    <w:left w:val="single" w:color="auto" w:sz="4" w:space="0"/>
                    <w:bottom w:val="single" w:color="auto" w:sz="4" w:space="0"/>
                    <w:right w:val="single" w:color="auto" w:sz="4" w:space="0"/>
                  </w:tcBorders>
                  <w:noWrap w:val="0"/>
                  <w:vAlign w:val="center"/>
                </w:tcPr>
                <w:p w14:paraId="7D0D8499">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444" w:type="pct"/>
                  <w:vMerge w:val="continue"/>
                  <w:tcBorders>
                    <w:top w:val="single" w:color="auto" w:sz="12" w:space="0"/>
                    <w:left w:val="single" w:color="auto" w:sz="4" w:space="0"/>
                    <w:bottom w:val="single" w:color="auto" w:sz="4" w:space="0"/>
                    <w:right w:val="single" w:color="auto" w:sz="4" w:space="0"/>
                  </w:tcBorders>
                  <w:noWrap w:val="0"/>
                  <w:vAlign w:val="center"/>
                </w:tcPr>
                <w:p w14:paraId="33D43C66">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459" w:type="pct"/>
                  <w:vMerge w:val="continue"/>
                  <w:tcBorders>
                    <w:top w:val="single" w:color="auto" w:sz="12" w:space="0"/>
                    <w:left w:val="single" w:color="auto" w:sz="4" w:space="0"/>
                    <w:bottom w:val="single" w:color="auto" w:sz="4" w:space="0"/>
                    <w:right w:val="single" w:color="auto" w:sz="4" w:space="0"/>
                  </w:tcBorders>
                  <w:noWrap w:val="0"/>
                  <w:vAlign w:val="center"/>
                </w:tcPr>
                <w:p w14:paraId="20B8BC92">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72BD830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污染治理设施编号</w:t>
                  </w:r>
                </w:p>
              </w:tc>
              <w:tc>
                <w:tcPr>
                  <w:tcW w:w="453" w:type="pct"/>
                  <w:tcBorders>
                    <w:top w:val="single" w:color="auto" w:sz="4" w:space="0"/>
                    <w:left w:val="single" w:color="auto" w:sz="4" w:space="0"/>
                    <w:bottom w:val="single" w:color="auto" w:sz="4" w:space="0"/>
                    <w:right w:val="single" w:color="auto" w:sz="4" w:space="0"/>
                  </w:tcBorders>
                  <w:noWrap w:val="0"/>
                  <w:vAlign w:val="center"/>
                </w:tcPr>
                <w:p w14:paraId="19E3A0BC">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污染治理设施名称</w:t>
                  </w:r>
                </w:p>
              </w:tc>
              <w:tc>
                <w:tcPr>
                  <w:tcW w:w="372" w:type="pct"/>
                  <w:tcBorders>
                    <w:top w:val="single" w:color="auto" w:sz="4" w:space="0"/>
                    <w:left w:val="single" w:color="auto" w:sz="4" w:space="0"/>
                    <w:bottom w:val="single" w:color="auto" w:sz="4" w:space="0"/>
                    <w:right w:val="single" w:color="auto" w:sz="4" w:space="0"/>
                  </w:tcBorders>
                  <w:noWrap w:val="0"/>
                  <w:vAlign w:val="center"/>
                </w:tcPr>
                <w:p w14:paraId="1C55B816">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污染治理设施工艺</w:t>
                  </w:r>
                </w:p>
              </w:tc>
              <w:tc>
                <w:tcPr>
                  <w:tcW w:w="267" w:type="pct"/>
                  <w:vMerge w:val="continue"/>
                  <w:tcBorders>
                    <w:top w:val="single" w:color="auto" w:sz="12" w:space="0"/>
                    <w:left w:val="single" w:color="auto" w:sz="4" w:space="0"/>
                    <w:bottom w:val="single" w:color="auto" w:sz="4" w:space="0"/>
                    <w:right w:val="single" w:color="auto" w:sz="4" w:space="0"/>
                  </w:tcBorders>
                  <w:noWrap w:val="0"/>
                  <w:vAlign w:val="center"/>
                </w:tcPr>
                <w:p w14:paraId="2792B865">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435" w:type="pct"/>
                  <w:vMerge w:val="continue"/>
                  <w:tcBorders>
                    <w:top w:val="single" w:color="auto" w:sz="12" w:space="0"/>
                    <w:left w:val="single" w:color="auto" w:sz="4" w:space="0"/>
                    <w:bottom w:val="single" w:color="auto" w:sz="4" w:space="0"/>
                    <w:right w:val="single" w:color="auto" w:sz="4" w:space="0"/>
                  </w:tcBorders>
                  <w:noWrap w:val="0"/>
                  <w:vAlign w:val="center"/>
                </w:tcPr>
                <w:p w14:paraId="232E131B">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788" w:type="pct"/>
                  <w:vMerge w:val="continue"/>
                  <w:tcBorders>
                    <w:top w:val="single" w:color="auto" w:sz="12" w:space="0"/>
                    <w:left w:val="single" w:color="auto" w:sz="4" w:space="0"/>
                    <w:bottom w:val="single" w:color="auto" w:sz="4" w:space="0"/>
                    <w:right w:val="nil"/>
                  </w:tcBorders>
                  <w:noWrap w:val="0"/>
                  <w:vAlign w:val="center"/>
                </w:tcPr>
                <w:p w14:paraId="0A67824F">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r>
            <w:tr w14:paraId="6DF5ED5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76" w:type="pct"/>
                  <w:tcBorders>
                    <w:top w:val="single" w:color="auto" w:sz="4" w:space="0"/>
                    <w:left w:val="nil"/>
                    <w:bottom w:val="single" w:color="auto" w:sz="12" w:space="0"/>
                    <w:right w:val="single" w:color="auto" w:sz="4" w:space="0"/>
                  </w:tcBorders>
                  <w:noWrap w:val="0"/>
                  <w:vAlign w:val="center"/>
                </w:tcPr>
                <w:p w14:paraId="156AD35C">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1</w:t>
                  </w:r>
                </w:p>
              </w:tc>
              <w:tc>
                <w:tcPr>
                  <w:tcW w:w="365" w:type="pct"/>
                  <w:tcBorders>
                    <w:top w:val="single" w:color="auto" w:sz="4" w:space="0"/>
                    <w:left w:val="single" w:color="auto" w:sz="4" w:space="0"/>
                    <w:right w:val="single" w:color="auto" w:sz="4" w:space="0"/>
                  </w:tcBorders>
                  <w:noWrap w:val="0"/>
                  <w:vAlign w:val="center"/>
                </w:tcPr>
                <w:p w14:paraId="3B03F77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办公生活</w:t>
                  </w:r>
                </w:p>
                <w:p w14:paraId="65F550A1">
                  <w:pPr>
                    <w:pStyle w:val="24"/>
                    <w:ind w:left="0" w:leftChars="0" w:firstLine="0" w:firstLineChars="0"/>
                    <w:jc w:val="center"/>
                    <w:rPr>
                      <w:rFonts w:hint="eastAsia" w:eastAsia="宋体"/>
                      <w:color w:val="auto"/>
                      <w:lang w:val="en-US" w:eastAsia="zh-CN"/>
                    </w:rPr>
                  </w:pPr>
                  <w:r>
                    <w:rPr>
                      <w:rFonts w:hint="eastAsia" w:cs="Times New Roman"/>
                      <w:color w:val="auto"/>
                      <w:sz w:val="21"/>
                      <w:szCs w:val="21"/>
                      <w:lang w:val="en-US" w:eastAsia="zh-CN" w:bidi="ar"/>
                    </w:rPr>
                    <w:t>冷却</w:t>
                  </w:r>
                </w:p>
              </w:tc>
              <w:tc>
                <w:tcPr>
                  <w:tcW w:w="412" w:type="pct"/>
                  <w:tcBorders>
                    <w:top w:val="single" w:color="auto" w:sz="4" w:space="0"/>
                    <w:left w:val="single" w:color="auto" w:sz="4" w:space="0"/>
                    <w:right w:val="single" w:color="auto" w:sz="4" w:space="0"/>
                  </w:tcBorders>
                  <w:noWrap w:val="0"/>
                  <w:vAlign w:val="center"/>
                </w:tcPr>
                <w:p w14:paraId="01CFCDC2">
                  <w:pPr>
                    <w:keepNext w:val="0"/>
                    <w:keepLines w:val="0"/>
                    <w:suppressLineNumbers w:val="0"/>
                    <w:adjustRightInd w:val="0"/>
                    <w:snapToGrid w:val="0"/>
                    <w:spacing w:before="0" w:beforeAutospacing="0" w:after="0" w:afterAutospacing="0"/>
                    <w:ind w:left="-105" w:leftChars="-50" w:right="-105" w:rightChars="-50"/>
                    <w:jc w:val="center"/>
                    <w:rPr>
                      <w:rFonts w:hint="default"/>
                      <w:color w:val="auto"/>
                      <w:lang w:val="en-US" w:eastAsia="zh-CN"/>
                    </w:rPr>
                  </w:pPr>
                  <w:r>
                    <w:rPr>
                      <w:rFonts w:hint="default" w:ascii="Times New Roman" w:hAnsi="Times New Roman" w:eastAsia="宋体" w:cs="Times New Roman"/>
                      <w:color w:val="auto"/>
                      <w:sz w:val="21"/>
                      <w:szCs w:val="21"/>
                    </w:rPr>
                    <w:t>生活污水</w:t>
                  </w:r>
                  <w:r>
                    <w:rPr>
                      <w:rFonts w:hint="eastAsia" w:cs="Times New Roman"/>
                      <w:color w:val="auto"/>
                      <w:sz w:val="21"/>
                      <w:szCs w:val="21"/>
                      <w:lang w:val="en-US" w:eastAsia="zh-CN"/>
                    </w:rPr>
                    <w:t>餐饮废水冷却废水</w:t>
                  </w:r>
                </w:p>
              </w:tc>
              <w:tc>
                <w:tcPr>
                  <w:tcW w:w="437" w:type="pct"/>
                  <w:tcBorders>
                    <w:top w:val="single" w:color="auto" w:sz="4" w:space="0"/>
                    <w:left w:val="single" w:color="auto" w:sz="4" w:space="0"/>
                    <w:right w:val="single" w:color="auto" w:sz="4" w:space="0"/>
                  </w:tcBorders>
                  <w:noWrap w:val="0"/>
                  <w:vAlign w:val="center"/>
                </w:tcPr>
                <w:p w14:paraId="2EFB4605">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COD、BOD</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szCs w:val="21"/>
                    </w:rPr>
                    <w:t>、SS等</w:t>
                  </w:r>
                </w:p>
              </w:tc>
              <w:tc>
                <w:tcPr>
                  <w:tcW w:w="444" w:type="pct"/>
                  <w:tcBorders>
                    <w:top w:val="single" w:color="auto" w:sz="4" w:space="0"/>
                    <w:left w:val="single" w:color="auto" w:sz="4" w:space="0"/>
                    <w:right w:val="single" w:color="auto" w:sz="4" w:space="0"/>
                  </w:tcBorders>
                  <w:noWrap w:val="0"/>
                  <w:vAlign w:val="center"/>
                </w:tcPr>
                <w:p w14:paraId="0A39D091">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大英县工业污水处理厂</w:t>
                  </w:r>
                </w:p>
              </w:tc>
              <w:tc>
                <w:tcPr>
                  <w:tcW w:w="459" w:type="pct"/>
                  <w:tcBorders>
                    <w:top w:val="single" w:color="auto" w:sz="4" w:space="0"/>
                    <w:left w:val="single" w:color="auto" w:sz="4" w:space="0"/>
                    <w:right w:val="single" w:color="auto" w:sz="4" w:space="0"/>
                  </w:tcBorders>
                  <w:noWrap w:val="0"/>
                  <w:vAlign w:val="center"/>
                </w:tcPr>
                <w:p w14:paraId="60C383CB">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连续排放，流量稳定</w:t>
                  </w:r>
                </w:p>
              </w:tc>
              <w:tc>
                <w:tcPr>
                  <w:tcW w:w="387" w:type="pct"/>
                  <w:tcBorders>
                    <w:top w:val="single" w:color="auto" w:sz="4" w:space="0"/>
                    <w:left w:val="single" w:color="auto" w:sz="4" w:space="0"/>
                    <w:right w:val="single" w:color="auto" w:sz="4" w:space="0"/>
                  </w:tcBorders>
                  <w:noWrap w:val="0"/>
                  <w:vAlign w:val="center"/>
                </w:tcPr>
                <w:p w14:paraId="4DDB2546">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TW</w:t>
                  </w:r>
                  <w:r>
                    <w:rPr>
                      <w:rFonts w:hint="default" w:ascii="Times New Roman" w:hAnsi="Times New Roman" w:eastAsia="宋体" w:cs="Times New Roman"/>
                      <w:color w:val="auto"/>
                      <w:lang w:val="en-US" w:eastAsia="zh-CN"/>
                    </w:rPr>
                    <w:t>0</w:t>
                  </w:r>
                  <w:r>
                    <w:rPr>
                      <w:rFonts w:hint="default" w:ascii="Times New Roman" w:hAnsi="Times New Roman" w:eastAsia="宋体" w:cs="Times New Roman"/>
                      <w:color w:val="auto"/>
                    </w:rPr>
                    <w:t>01</w:t>
                  </w:r>
                </w:p>
              </w:tc>
              <w:tc>
                <w:tcPr>
                  <w:tcW w:w="453" w:type="pct"/>
                  <w:tcBorders>
                    <w:top w:val="single" w:color="auto" w:sz="4" w:space="0"/>
                    <w:left w:val="single" w:color="auto" w:sz="4" w:space="0"/>
                    <w:right w:val="single" w:color="auto" w:sz="4" w:space="0"/>
                  </w:tcBorders>
                  <w:noWrap w:val="0"/>
                  <w:vAlign w:val="center"/>
                </w:tcPr>
                <w:p w14:paraId="40ADCA26">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lang w:eastAsia="zh-CN"/>
                    </w:rPr>
                  </w:pPr>
                  <w:r>
                    <w:rPr>
                      <w:rFonts w:hint="eastAsia" w:cs="Times New Roman"/>
                      <w:color w:val="auto"/>
                      <w:sz w:val="21"/>
                      <w:szCs w:val="21"/>
                      <w:lang w:val="en-US" w:eastAsia="zh-CN"/>
                    </w:rPr>
                    <w:t>油水分离器、</w:t>
                  </w:r>
                  <w:r>
                    <w:rPr>
                      <w:rFonts w:hint="default" w:ascii="Times New Roman" w:hAnsi="Times New Roman" w:eastAsia="宋体" w:cs="Times New Roman"/>
                      <w:color w:val="auto"/>
                      <w:sz w:val="21"/>
                      <w:szCs w:val="21"/>
                      <w:lang w:eastAsia="zh-CN"/>
                    </w:rPr>
                    <w:t>预处理池</w:t>
                  </w:r>
                </w:p>
              </w:tc>
              <w:tc>
                <w:tcPr>
                  <w:tcW w:w="372" w:type="pct"/>
                  <w:tcBorders>
                    <w:top w:val="single" w:color="auto" w:sz="4" w:space="0"/>
                    <w:left w:val="single" w:color="auto" w:sz="4" w:space="0"/>
                    <w:right w:val="single" w:color="auto" w:sz="4" w:space="0"/>
                  </w:tcBorders>
                  <w:noWrap w:val="0"/>
                  <w:vAlign w:val="center"/>
                </w:tcPr>
                <w:p w14:paraId="432CAE7A">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隔油+沉淀</w:t>
                  </w:r>
                </w:p>
              </w:tc>
              <w:tc>
                <w:tcPr>
                  <w:tcW w:w="267" w:type="pct"/>
                  <w:tcBorders>
                    <w:top w:val="single" w:color="auto" w:sz="4" w:space="0"/>
                    <w:left w:val="single" w:color="auto" w:sz="4" w:space="0"/>
                    <w:right w:val="single" w:color="auto" w:sz="4" w:space="0"/>
                  </w:tcBorders>
                  <w:noWrap w:val="0"/>
                  <w:vAlign w:val="center"/>
                </w:tcPr>
                <w:p w14:paraId="657236DF">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rPr>
                  </w:pPr>
                  <w:r>
                    <w:rPr>
                      <w:rFonts w:hint="default" w:ascii="Times New Roman" w:hAnsi="Times New Roman" w:eastAsia="宋体" w:cs="Times New Roman"/>
                      <w:color w:val="auto"/>
                    </w:rPr>
                    <w:t>DW0</w:t>
                  </w:r>
                  <w:r>
                    <w:rPr>
                      <w:rFonts w:hint="default" w:ascii="Times New Roman" w:hAnsi="Times New Roman" w:eastAsia="宋体" w:cs="Times New Roman"/>
                      <w:color w:val="auto"/>
                      <w:lang w:val="en-US" w:eastAsia="zh-CN"/>
                    </w:rPr>
                    <w:t>0</w:t>
                  </w:r>
                  <w:r>
                    <w:rPr>
                      <w:rFonts w:hint="default" w:ascii="Times New Roman" w:hAnsi="Times New Roman" w:eastAsia="宋体" w:cs="Times New Roman"/>
                      <w:color w:val="auto"/>
                    </w:rPr>
                    <w:t>1</w:t>
                  </w:r>
                </w:p>
              </w:tc>
              <w:tc>
                <w:tcPr>
                  <w:tcW w:w="435" w:type="pct"/>
                  <w:tcBorders>
                    <w:top w:val="single" w:color="auto" w:sz="4" w:space="0"/>
                    <w:left w:val="single" w:color="auto" w:sz="4" w:space="0"/>
                    <w:right w:val="single" w:color="auto" w:sz="4" w:space="0"/>
                  </w:tcBorders>
                  <w:noWrap w:val="0"/>
                  <w:vAlign w:val="center"/>
                </w:tcPr>
                <w:p w14:paraId="69C64CB7">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w:t>
                  </w:r>
                </w:p>
                <w:p w14:paraId="14584C4B">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□否</w:t>
                  </w:r>
                </w:p>
              </w:tc>
              <w:tc>
                <w:tcPr>
                  <w:tcW w:w="788" w:type="pct"/>
                  <w:tcBorders>
                    <w:top w:val="single" w:color="auto" w:sz="4" w:space="0"/>
                    <w:left w:val="single" w:color="auto" w:sz="4" w:space="0"/>
                    <w:right w:val="nil"/>
                  </w:tcBorders>
                  <w:noWrap w:val="0"/>
                  <w:vAlign w:val="center"/>
                </w:tcPr>
                <w:p w14:paraId="6D61604F">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√企业总排</w:t>
                  </w:r>
                </w:p>
                <w:p w14:paraId="0872CFA8">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□雨水排放</w:t>
                  </w:r>
                </w:p>
                <w:p w14:paraId="0F724F56">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□清净下水排放</w:t>
                  </w:r>
                </w:p>
                <w:p w14:paraId="4392ECE2">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□温排水排放</w:t>
                  </w:r>
                </w:p>
                <w:p w14:paraId="62566073">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□车间或车间处理设施排放</w:t>
                  </w:r>
                </w:p>
              </w:tc>
            </w:tr>
          </w:tbl>
          <w:p w14:paraId="4CF8C869">
            <w:pPr>
              <w:snapToGrid w:val="0"/>
              <w:spacing w:before="120" w:beforeLines="50" w:line="360" w:lineRule="auto"/>
              <w:ind w:firstLine="480" w:firstLineChars="200"/>
              <w:rPr>
                <w:b/>
                <w:color w:val="auto"/>
                <w:sz w:val="24"/>
              </w:rPr>
            </w:pPr>
            <w:r>
              <w:rPr>
                <w:color w:val="auto"/>
                <w:sz w:val="24"/>
              </w:rPr>
              <w:t>本项目废</w:t>
            </w:r>
            <w:r>
              <w:rPr>
                <w:rFonts w:hint="eastAsia"/>
                <w:color w:val="auto"/>
                <w:sz w:val="24"/>
              </w:rPr>
              <w:t>水</w:t>
            </w:r>
            <w:r>
              <w:rPr>
                <w:color w:val="auto"/>
                <w:sz w:val="24"/>
              </w:rPr>
              <w:t>排放口情况如下表所示。</w:t>
            </w:r>
          </w:p>
          <w:p w14:paraId="3D70DF35">
            <w:pPr>
              <w:jc w:val="center"/>
              <w:rPr>
                <w:b/>
                <w:color w:val="auto"/>
                <w:szCs w:val="21"/>
              </w:rPr>
            </w:pPr>
            <w:r>
              <w:rPr>
                <w:b/>
                <w:color w:val="auto"/>
                <w:szCs w:val="21"/>
              </w:rPr>
              <w:t>表4-1</w:t>
            </w:r>
            <w:r>
              <w:rPr>
                <w:rFonts w:hint="eastAsia"/>
                <w:b/>
                <w:color w:val="auto"/>
                <w:szCs w:val="21"/>
                <w:lang w:val="en-US" w:eastAsia="zh-CN"/>
              </w:rPr>
              <w:t>9</w:t>
            </w:r>
            <w:r>
              <w:rPr>
                <w:b/>
                <w:color w:val="auto"/>
                <w:szCs w:val="21"/>
              </w:rPr>
              <w:t xml:space="preserve">  废水间接排放口基本情况表</w:t>
            </w:r>
          </w:p>
          <w:tbl>
            <w:tblPr>
              <w:tblStyle w:val="25"/>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1024"/>
              <w:gridCol w:w="1007"/>
              <w:gridCol w:w="944"/>
              <w:gridCol w:w="1148"/>
              <w:gridCol w:w="1189"/>
              <w:gridCol w:w="982"/>
              <w:gridCol w:w="989"/>
              <w:gridCol w:w="982"/>
              <w:gridCol w:w="1176"/>
              <w:gridCol w:w="2564"/>
            </w:tblGrid>
            <w:tr w14:paraId="3F66C62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vMerge w:val="restart"/>
                  <w:tcBorders>
                    <w:top w:val="single" w:color="auto" w:sz="12" w:space="0"/>
                    <w:left w:val="nil"/>
                    <w:bottom w:val="single" w:color="auto" w:sz="4" w:space="0"/>
                    <w:right w:val="single" w:color="auto" w:sz="4" w:space="0"/>
                  </w:tcBorders>
                  <w:noWrap w:val="0"/>
                  <w:vAlign w:val="center"/>
                </w:tcPr>
                <w:p w14:paraId="4DF91EE6">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序号</w:t>
                  </w:r>
                </w:p>
              </w:tc>
              <w:tc>
                <w:tcPr>
                  <w:tcW w:w="406" w:type="pct"/>
                  <w:vMerge w:val="restart"/>
                  <w:tcBorders>
                    <w:top w:val="single" w:color="auto" w:sz="12" w:space="0"/>
                    <w:left w:val="single" w:color="auto" w:sz="4" w:space="0"/>
                    <w:bottom w:val="single" w:color="auto" w:sz="4" w:space="0"/>
                    <w:right w:val="single" w:color="auto" w:sz="4" w:space="0"/>
                  </w:tcBorders>
                  <w:noWrap w:val="0"/>
                  <w:vAlign w:val="center"/>
                </w:tcPr>
                <w:p w14:paraId="74D36C23">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排放口编号</w:t>
                  </w:r>
                </w:p>
              </w:tc>
              <w:tc>
                <w:tcPr>
                  <w:tcW w:w="773" w:type="pct"/>
                  <w:gridSpan w:val="2"/>
                  <w:tcBorders>
                    <w:top w:val="single" w:color="auto" w:sz="12" w:space="0"/>
                    <w:left w:val="single" w:color="auto" w:sz="4" w:space="0"/>
                    <w:bottom w:val="single" w:color="auto" w:sz="4" w:space="0"/>
                    <w:right w:val="single" w:color="auto" w:sz="4" w:space="0"/>
                  </w:tcBorders>
                  <w:noWrap w:val="0"/>
                  <w:vAlign w:val="center"/>
                </w:tcPr>
                <w:p w14:paraId="4DD0F899">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排放口地理坐标</w:t>
                  </w:r>
                </w:p>
              </w:tc>
              <w:tc>
                <w:tcPr>
                  <w:tcW w:w="455" w:type="pct"/>
                  <w:vMerge w:val="restart"/>
                  <w:tcBorders>
                    <w:top w:val="single" w:color="auto" w:sz="12" w:space="0"/>
                    <w:left w:val="single" w:color="auto" w:sz="4" w:space="0"/>
                    <w:bottom w:val="single" w:color="auto" w:sz="4" w:space="0"/>
                    <w:right w:val="single" w:color="auto" w:sz="4" w:space="0"/>
                  </w:tcBorders>
                  <w:noWrap w:val="0"/>
                  <w:vAlign w:val="center"/>
                </w:tcPr>
                <w:p w14:paraId="3C0B434B">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废水排放量(万t/a)</w:t>
                  </w:r>
                </w:p>
              </w:tc>
              <w:tc>
                <w:tcPr>
                  <w:tcW w:w="471" w:type="pct"/>
                  <w:vMerge w:val="restart"/>
                  <w:tcBorders>
                    <w:top w:val="single" w:color="auto" w:sz="12" w:space="0"/>
                    <w:left w:val="single" w:color="auto" w:sz="4" w:space="0"/>
                    <w:bottom w:val="single" w:color="auto" w:sz="4" w:space="0"/>
                    <w:right w:val="single" w:color="auto" w:sz="4" w:space="0"/>
                  </w:tcBorders>
                  <w:noWrap w:val="0"/>
                  <w:vAlign w:val="center"/>
                </w:tcPr>
                <w:p w14:paraId="76DC61B6">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排放去向</w:t>
                  </w:r>
                </w:p>
              </w:tc>
              <w:tc>
                <w:tcPr>
                  <w:tcW w:w="389" w:type="pct"/>
                  <w:vMerge w:val="restart"/>
                  <w:tcBorders>
                    <w:top w:val="single" w:color="auto" w:sz="12" w:space="0"/>
                    <w:left w:val="single" w:color="auto" w:sz="4" w:space="0"/>
                    <w:bottom w:val="single" w:color="auto" w:sz="4" w:space="0"/>
                    <w:right w:val="single" w:color="auto" w:sz="4" w:space="0"/>
                  </w:tcBorders>
                  <w:noWrap w:val="0"/>
                  <w:vAlign w:val="center"/>
                </w:tcPr>
                <w:p w14:paraId="5426017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排放规律</w:t>
                  </w:r>
                </w:p>
              </w:tc>
              <w:tc>
                <w:tcPr>
                  <w:tcW w:w="392" w:type="pct"/>
                  <w:vMerge w:val="restart"/>
                  <w:tcBorders>
                    <w:top w:val="single" w:color="auto" w:sz="12" w:space="0"/>
                    <w:left w:val="single" w:color="auto" w:sz="4" w:space="0"/>
                    <w:bottom w:val="single" w:color="auto" w:sz="4" w:space="0"/>
                    <w:right w:val="single" w:color="auto" w:sz="4" w:space="0"/>
                  </w:tcBorders>
                  <w:noWrap w:val="0"/>
                  <w:vAlign w:val="center"/>
                </w:tcPr>
                <w:p w14:paraId="60BD8A1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排放口类型</w:t>
                  </w:r>
                </w:p>
              </w:tc>
              <w:tc>
                <w:tcPr>
                  <w:tcW w:w="1871" w:type="pct"/>
                  <w:gridSpan w:val="3"/>
                  <w:tcBorders>
                    <w:top w:val="single" w:color="auto" w:sz="12" w:space="0"/>
                    <w:left w:val="single" w:color="auto" w:sz="4" w:space="0"/>
                    <w:bottom w:val="single" w:color="auto" w:sz="4" w:space="0"/>
                    <w:right w:val="nil"/>
                  </w:tcBorders>
                  <w:noWrap w:val="0"/>
                  <w:vAlign w:val="center"/>
                </w:tcPr>
                <w:p w14:paraId="2ED51896">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受纳污水处理厂信息</w:t>
                  </w:r>
                </w:p>
              </w:tc>
            </w:tr>
            <w:tr w14:paraId="7BA39D8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vMerge w:val="continue"/>
                  <w:tcBorders>
                    <w:top w:val="single" w:color="auto" w:sz="12" w:space="0"/>
                    <w:left w:val="nil"/>
                    <w:bottom w:val="single" w:color="auto" w:sz="4" w:space="0"/>
                    <w:right w:val="single" w:color="auto" w:sz="4" w:space="0"/>
                  </w:tcBorders>
                  <w:noWrap w:val="0"/>
                  <w:vAlign w:val="center"/>
                </w:tcPr>
                <w:p w14:paraId="1D4E4051">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406" w:type="pct"/>
                  <w:vMerge w:val="continue"/>
                  <w:tcBorders>
                    <w:top w:val="single" w:color="auto" w:sz="12" w:space="0"/>
                    <w:left w:val="single" w:color="auto" w:sz="4" w:space="0"/>
                    <w:bottom w:val="single" w:color="auto" w:sz="4" w:space="0"/>
                    <w:right w:val="single" w:color="auto" w:sz="4" w:space="0"/>
                  </w:tcBorders>
                  <w:noWrap w:val="0"/>
                  <w:vAlign w:val="center"/>
                </w:tcPr>
                <w:p w14:paraId="0E5CFE00">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399" w:type="pct"/>
                  <w:tcBorders>
                    <w:top w:val="single" w:color="auto" w:sz="4" w:space="0"/>
                    <w:left w:val="single" w:color="auto" w:sz="4" w:space="0"/>
                    <w:bottom w:val="single" w:color="auto" w:sz="4" w:space="0"/>
                    <w:right w:val="single" w:color="auto" w:sz="4" w:space="0"/>
                  </w:tcBorders>
                  <w:noWrap w:val="0"/>
                  <w:vAlign w:val="center"/>
                </w:tcPr>
                <w:p w14:paraId="0D58BE21">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经度</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5A83AF21">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纬度</w:t>
                  </w:r>
                </w:p>
              </w:tc>
              <w:tc>
                <w:tcPr>
                  <w:tcW w:w="455" w:type="pct"/>
                  <w:vMerge w:val="continue"/>
                  <w:tcBorders>
                    <w:top w:val="single" w:color="auto" w:sz="12" w:space="0"/>
                    <w:left w:val="single" w:color="auto" w:sz="4" w:space="0"/>
                    <w:bottom w:val="single" w:color="auto" w:sz="4" w:space="0"/>
                    <w:right w:val="single" w:color="auto" w:sz="4" w:space="0"/>
                  </w:tcBorders>
                  <w:noWrap w:val="0"/>
                  <w:vAlign w:val="center"/>
                </w:tcPr>
                <w:p w14:paraId="16376067">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471" w:type="pct"/>
                  <w:vMerge w:val="continue"/>
                  <w:tcBorders>
                    <w:top w:val="single" w:color="auto" w:sz="12" w:space="0"/>
                    <w:left w:val="single" w:color="auto" w:sz="4" w:space="0"/>
                    <w:bottom w:val="single" w:color="auto" w:sz="4" w:space="0"/>
                    <w:right w:val="single" w:color="auto" w:sz="4" w:space="0"/>
                  </w:tcBorders>
                  <w:noWrap w:val="0"/>
                  <w:vAlign w:val="center"/>
                </w:tcPr>
                <w:p w14:paraId="4F09B13C">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389" w:type="pct"/>
                  <w:vMerge w:val="continue"/>
                  <w:tcBorders>
                    <w:top w:val="single" w:color="auto" w:sz="12" w:space="0"/>
                    <w:left w:val="single" w:color="auto" w:sz="4" w:space="0"/>
                    <w:bottom w:val="single" w:color="auto" w:sz="4" w:space="0"/>
                    <w:right w:val="single" w:color="auto" w:sz="4" w:space="0"/>
                  </w:tcBorders>
                  <w:noWrap w:val="0"/>
                  <w:vAlign w:val="center"/>
                </w:tcPr>
                <w:p w14:paraId="516D2B99">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392" w:type="pct"/>
                  <w:vMerge w:val="continue"/>
                  <w:tcBorders>
                    <w:top w:val="single" w:color="auto" w:sz="12" w:space="0"/>
                    <w:left w:val="single" w:color="auto" w:sz="4" w:space="0"/>
                    <w:bottom w:val="single" w:color="auto" w:sz="4" w:space="0"/>
                    <w:right w:val="single" w:color="auto" w:sz="4" w:space="0"/>
                  </w:tcBorders>
                  <w:noWrap w:val="0"/>
                  <w:vAlign w:val="center"/>
                </w:tcPr>
                <w:p w14:paraId="68DA3D24">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389" w:type="pct"/>
                  <w:tcBorders>
                    <w:top w:val="single" w:color="auto" w:sz="4" w:space="0"/>
                    <w:left w:val="single" w:color="auto" w:sz="4" w:space="0"/>
                    <w:bottom w:val="single" w:color="auto" w:sz="4" w:space="0"/>
                    <w:right w:val="single" w:color="auto" w:sz="4" w:space="0"/>
                  </w:tcBorders>
                  <w:noWrap w:val="0"/>
                  <w:vAlign w:val="center"/>
                </w:tcPr>
                <w:p w14:paraId="596B3DDF">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名称</w:t>
                  </w:r>
                </w:p>
              </w:tc>
              <w:tc>
                <w:tcPr>
                  <w:tcW w:w="466" w:type="pct"/>
                  <w:tcBorders>
                    <w:top w:val="single" w:color="auto" w:sz="4" w:space="0"/>
                    <w:left w:val="single" w:color="auto" w:sz="4" w:space="0"/>
                    <w:bottom w:val="single" w:color="auto" w:sz="4" w:space="0"/>
                    <w:right w:val="single" w:color="auto" w:sz="4" w:space="0"/>
                  </w:tcBorders>
                  <w:noWrap w:val="0"/>
                  <w:vAlign w:val="center"/>
                </w:tcPr>
                <w:p w14:paraId="3C2D3EBA">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污染物种类</w:t>
                  </w:r>
                </w:p>
              </w:tc>
              <w:tc>
                <w:tcPr>
                  <w:tcW w:w="1016" w:type="pct"/>
                  <w:tcBorders>
                    <w:top w:val="single" w:color="auto" w:sz="4" w:space="0"/>
                    <w:left w:val="single" w:color="auto" w:sz="4" w:space="0"/>
                    <w:bottom w:val="single" w:color="auto" w:sz="4" w:space="0"/>
                    <w:right w:val="nil"/>
                  </w:tcBorders>
                  <w:noWrap w:val="0"/>
                  <w:vAlign w:val="center"/>
                </w:tcPr>
                <w:p w14:paraId="3417DC6A">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国家或地方污染物排放标准浓度限值（mg/L）</w:t>
                  </w:r>
                </w:p>
              </w:tc>
            </w:tr>
            <w:tr w14:paraId="127F8CF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vMerge w:val="restart"/>
                  <w:tcBorders>
                    <w:top w:val="single" w:color="auto" w:sz="4" w:space="0"/>
                    <w:left w:val="nil"/>
                    <w:right w:val="single" w:color="auto" w:sz="4" w:space="0"/>
                  </w:tcBorders>
                  <w:noWrap w:val="0"/>
                  <w:vAlign w:val="center"/>
                </w:tcPr>
                <w:p w14:paraId="61F07759">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406" w:type="pct"/>
                  <w:vMerge w:val="restart"/>
                  <w:tcBorders>
                    <w:top w:val="single" w:color="auto" w:sz="4" w:space="0"/>
                    <w:left w:val="single" w:color="auto" w:sz="4" w:space="0"/>
                    <w:right w:val="single" w:color="auto" w:sz="4" w:space="0"/>
                  </w:tcBorders>
                  <w:noWrap w:val="0"/>
                  <w:vAlign w:val="center"/>
                </w:tcPr>
                <w:p w14:paraId="4A4EE85F">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DW0</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1</w:t>
                  </w:r>
                </w:p>
              </w:tc>
              <w:tc>
                <w:tcPr>
                  <w:tcW w:w="399" w:type="pct"/>
                  <w:vMerge w:val="restart"/>
                  <w:tcBorders>
                    <w:top w:val="single" w:color="auto" w:sz="4" w:space="0"/>
                    <w:left w:val="single" w:color="auto" w:sz="4" w:space="0"/>
                    <w:right w:val="single" w:color="auto" w:sz="4" w:space="0"/>
                  </w:tcBorders>
                  <w:noWrap w:val="0"/>
                  <w:vAlign w:val="center"/>
                </w:tcPr>
                <w:p w14:paraId="62F18551">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374" w:type="pct"/>
                  <w:vMerge w:val="restart"/>
                  <w:tcBorders>
                    <w:top w:val="single" w:color="auto" w:sz="4" w:space="0"/>
                    <w:left w:val="single" w:color="auto" w:sz="4" w:space="0"/>
                    <w:right w:val="single" w:color="auto" w:sz="4" w:space="0"/>
                  </w:tcBorders>
                  <w:noWrap w:val="0"/>
                  <w:vAlign w:val="center"/>
                </w:tcPr>
                <w:p w14:paraId="2B3413EF">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455" w:type="pct"/>
                  <w:vMerge w:val="restart"/>
                  <w:tcBorders>
                    <w:top w:val="single" w:color="auto" w:sz="4" w:space="0"/>
                    <w:left w:val="single" w:color="auto" w:sz="4" w:space="0"/>
                    <w:bottom w:val="single" w:color="auto" w:sz="12" w:space="0"/>
                    <w:right w:val="single" w:color="auto" w:sz="4" w:space="0"/>
                  </w:tcBorders>
                  <w:noWrap w:val="0"/>
                  <w:vAlign w:val="center"/>
                </w:tcPr>
                <w:p w14:paraId="295B27C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0.02805</w:t>
                  </w:r>
                </w:p>
              </w:tc>
              <w:tc>
                <w:tcPr>
                  <w:tcW w:w="471" w:type="pct"/>
                  <w:vMerge w:val="restart"/>
                  <w:tcBorders>
                    <w:top w:val="single" w:color="auto" w:sz="4" w:space="0"/>
                    <w:left w:val="single" w:color="auto" w:sz="4" w:space="0"/>
                    <w:bottom w:val="single" w:color="auto" w:sz="12" w:space="0"/>
                    <w:right w:val="single" w:color="auto" w:sz="4" w:space="0"/>
                  </w:tcBorders>
                  <w:noWrap w:val="0"/>
                  <w:vAlign w:val="center"/>
                </w:tcPr>
                <w:p w14:paraId="00A567F9">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大英县工业污水处理厂</w:t>
                  </w:r>
                </w:p>
              </w:tc>
              <w:tc>
                <w:tcPr>
                  <w:tcW w:w="389" w:type="pct"/>
                  <w:vMerge w:val="restart"/>
                  <w:tcBorders>
                    <w:top w:val="single" w:color="auto" w:sz="4" w:space="0"/>
                    <w:left w:val="single" w:color="auto" w:sz="4" w:space="0"/>
                    <w:bottom w:val="single" w:color="auto" w:sz="12" w:space="0"/>
                    <w:right w:val="single" w:color="auto" w:sz="4" w:space="0"/>
                  </w:tcBorders>
                  <w:noWrap w:val="0"/>
                  <w:vAlign w:val="center"/>
                </w:tcPr>
                <w:p w14:paraId="492F413F">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连续排放，流量稳定</w:t>
                  </w:r>
                </w:p>
              </w:tc>
              <w:tc>
                <w:tcPr>
                  <w:tcW w:w="392" w:type="pct"/>
                  <w:vMerge w:val="restart"/>
                  <w:tcBorders>
                    <w:top w:val="single" w:color="auto" w:sz="4" w:space="0"/>
                    <w:left w:val="single" w:color="auto" w:sz="4" w:space="0"/>
                    <w:bottom w:val="single" w:color="auto" w:sz="12" w:space="0"/>
                    <w:right w:val="single" w:color="auto" w:sz="4" w:space="0"/>
                  </w:tcBorders>
                  <w:noWrap w:val="0"/>
                  <w:vAlign w:val="center"/>
                </w:tcPr>
                <w:p w14:paraId="5C0A6477">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一般排放口</w:t>
                  </w:r>
                </w:p>
              </w:tc>
              <w:tc>
                <w:tcPr>
                  <w:tcW w:w="389" w:type="pct"/>
                  <w:vMerge w:val="restart"/>
                  <w:tcBorders>
                    <w:top w:val="single" w:color="auto" w:sz="4" w:space="0"/>
                    <w:left w:val="single" w:color="auto" w:sz="4" w:space="0"/>
                    <w:bottom w:val="single" w:color="auto" w:sz="12" w:space="0"/>
                    <w:right w:val="single" w:color="auto" w:sz="4" w:space="0"/>
                  </w:tcBorders>
                  <w:noWrap w:val="0"/>
                  <w:vAlign w:val="center"/>
                </w:tcPr>
                <w:p w14:paraId="5DB339B3">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大英县工业污水处理厂</w:t>
                  </w:r>
                </w:p>
              </w:tc>
              <w:tc>
                <w:tcPr>
                  <w:tcW w:w="466" w:type="pct"/>
                  <w:tcBorders>
                    <w:top w:val="single" w:color="auto" w:sz="4" w:space="0"/>
                    <w:left w:val="single" w:color="auto" w:sz="4" w:space="0"/>
                    <w:bottom w:val="single" w:color="auto" w:sz="4" w:space="0"/>
                    <w:right w:val="single" w:color="auto" w:sz="4" w:space="0"/>
                  </w:tcBorders>
                  <w:noWrap w:val="0"/>
                  <w:vAlign w:val="center"/>
                </w:tcPr>
                <w:p w14:paraId="3890476B">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r>
                    <w:rPr>
                      <w:rFonts w:hint="default" w:ascii="Times New Roman" w:hAnsi="Times New Roman" w:eastAsia="宋体" w:cs="Times New Roman"/>
                      <w:color w:val="auto"/>
                      <w:szCs w:val="21"/>
                      <w:vertAlign w:val="subscript"/>
                    </w:rPr>
                    <w:t>Cr</w:t>
                  </w:r>
                </w:p>
              </w:tc>
              <w:tc>
                <w:tcPr>
                  <w:tcW w:w="1016" w:type="pct"/>
                  <w:tcBorders>
                    <w:top w:val="single" w:color="auto" w:sz="4" w:space="0"/>
                    <w:left w:val="single" w:color="auto" w:sz="4" w:space="0"/>
                    <w:bottom w:val="single" w:color="auto" w:sz="4" w:space="0"/>
                    <w:right w:val="nil"/>
                  </w:tcBorders>
                  <w:noWrap w:val="0"/>
                  <w:vAlign w:val="center"/>
                </w:tcPr>
                <w:p w14:paraId="58BA307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20</w:t>
                  </w:r>
                </w:p>
              </w:tc>
            </w:tr>
            <w:tr w14:paraId="2211BAD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 w:type="pct"/>
                  <w:vMerge w:val="continue"/>
                  <w:tcBorders>
                    <w:left w:val="nil"/>
                    <w:right w:val="single" w:color="auto" w:sz="4" w:space="0"/>
                  </w:tcBorders>
                  <w:noWrap w:val="0"/>
                  <w:vAlign w:val="center"/>
                </w:tcPr>
                <w:p w14:paraId="70227B43">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406" w:type="pct"/>
                  <w:vMerge w:val="continue"/>
                  <w:tcBorders>
                    <w:left w:val="single" w:color="auto" w:sz="4" w:space="0"/>
                    <w:right w:val="single" w:color="auto" w:sz="4" w:space="0"/>
                  </w:tcBorders>
                  <w:noWrap w:val="0"/>
                  <w:vAlign w:val="center"/>
                </w:tcPr>
                <w:p w14:paraId="5E852769">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399" w:type="pct"/>
                  <w:vMerge w:val="continue"/>
                  <w:tcBorders>
                    <w:left w:val="single" w:color="auto" w:sz="4" w:space="0"/>
                    <w:right w:val="single" w:color="auto" w:sz="4" w:space="0"/>
                  </w:tcBorders>
                  <w:noWrap w:val="0"/>
                  <w:vAlign w:val="center"/>
                </w:tcPr>
                <w:p w14:paraId="65755816">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374" w:type="pct"/>
                  <w:vMerge w:val="continue"/>
                  <w:tcBorders>
                    <w:left w:val="single" w:color="auto" w:sz="4" w:space="0"/>
                    <w:right w:val="single" w:color="auto" w:sz="4" w:space="0"/>
                  </w:tcBorders>
                  <w:noWrap w:val="0"/>
                  <w:vAlign w:val="center"/>
                </w:tcPr>
                <w:p w14:paraId="079C686C">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455" w:type="pct"/>
                  <w:vMerge w:val="continue"/>
                  <w:tcBorders>
                    <w:top w:val="single" w:color="auto" w:sz="4" w:space="0"/>
                    <w:left w:val="single" w:color="auto" w:sz="4" w:space="0"/>
                    <w:bottom w:val="single" w:color="auto" w:sz="12" w:space="0"/>
                    <w:right w:val="single" w:color="auto" w:sz="4" w:space="0"/>
                  </w:tcBorders>
                  <w:noWrap w:val="0"/>
                  <w:vAlign w:val="center"/>
                </w:tcPr>
                <w:p w14:paraId="6D1429E4">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471" w:type="pct"/>
                  <w:vMerge w:val="continue"/>
                  <w:tcBorders>
                    <w:top w:val="single" w:color="auto" w:sz="4" w:space="0"/>
                    <w:left w:val="single" w:color="auto" w:sz="4" w:space="0"/>
                    <w:bottom w:val="single" w:color="auto" w:sz="12" w:space="0"/>
                    <w:right w:val="single" w:color="auto" w:sz="4" w:space="0"/>
                  </w:tcBorders>
                  <w:noWrap w:val="0"/>
                  <w:vAlign w:val="center"/>
                </w:tcPr>
                <w:p w14:paraId="5CDD653E">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389" w:type="pct"/>
                  <w:vMerge w:val="continue"/>
                  <w:tcBorders>
                    <w:top w:val="single" w:color="auto" w:sz="4" w:space="0"/>
                    <w:left w:val="single" w:color="auto" w:sz="4" w:space="0"/>
                    <w:bottom w:val="single" w:color="auto" w:sz="12" w:space="0"/>
                    <w:right w:val="single" w:color="auto" w:sz="4" w:space="0"/>
                  </w:tcBorders>
                  <w:noWrap w:val="0"/>
                  <w:vAlign w:val="center"/>
                </w:tcPr>
                <w:p w14:paraId="6CFC85AF">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392" w:type="pct"/>
                  <w:vMerge w:val="continue"/>
                  <w:tcBorders>
                    <w:top w:val="single" w:color="auto" w:sz="4" w:space="0"/>
                    <w:left w:val="single" w:color="auto" w:sz="4" w:space="0"/>
                    <w:bottom w:val="single" w:color="auto" w:sz="12" w:space="0"/>
                    <w:right w:val="single" w:color="auto" w:sz="4" w:space="0"/>
                  </w:tcBorders>
                  <w:noWrap w:val="0"/>
                  <w:vAlign w:val="center"/>
                </w:tcPr>
                <w:p w14:paraId="6B3D7310">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389" w:type="pct"/>
                  <w:vMerge w:val="continue"/>
                  <w:tcBorders>
                    <w:top w:val="single" w:color="auto" w:sz="4" w:space="0"/>
                    <w:left w:val="single" w:color="auto" w:sz="4" w:space="0"/>
                    <w:bottom w:val="single" w:color="auto" w:sz="12" w:space="0"/>
                    <w:right w:val="single" w:color="auto" w:sz="4" w:space="0"/>
                  </w:tcBorders>
                  <w:noWrap w:val="0"/>
                  <w:vAlign w:val="center"/>
                </w:tcPr>
                <w:p w14:paraId="6EC98E17">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466" w:type="pct"/>
                  <w:tcBorders>
                    <w:top w:val="single" w:color="auto" w:sz="4" w:space="0"/>
                    <w:left w:val="single" w:color="auto" w:sz="4" w:space="0"/>
                    <w:right w:val="single" w:color="auto" w:sz="4" w:space="0"/>
                  </w:tcBorders>
                  <w:noWrap w:val="0"/>
                  <w:vAlign w:val="center"/>
                </w:tcPr>
                <w:p w14:paraId="4F20D20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p>
              </w:tc>
              <w:tc>
                <w:tcPr>
                  <w:tcW w:w="1016" w:type="pct"/>
                  <w:tcBorders>
                    <w:top w:val="single" w:color="auto" w:sz="4" w:space="0"/>
                    <w:left w:val="single" w:color="auto" w:sz="4" w:space="0"/>
                    <w:bottom w:val="single" w:color="auto" w:sz="4" w:space="0"/>
                    <w:right w:val="nil"/>
                  </w:tcBorders>
                  <w:noWrap w:val="0"/>
                  <w:vAlign w:val="center"/>
                </w:tcPr>
                <w:p w14:paraId="68F5198C">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w:t>
                  </w:r>
                </w:p>
              </w:tc>
            </w:tr>
            <w:tr w14:paraId="20FEC36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240" w:type="pct"/>
                  <w:vMerge w:val="continue"/>
                  <w:tcBorders>
                    <w:left w:val="nil"/>
                    <w:right w:val="single" w:color="auto" w:sz="4" w:space="0"/>
                  </w:tcBorders>
                  <w:noWrap w:val="0"/>
                  <w:vAlign w:val="center"/>
                </w:tcPr>
                <w:p w14:paraId="2921548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p>
              </w:tc>
              <w:tc>
                <w:tcPr>
                  <w:tcW w:w="406" w:type="pct"/>
                  <w:vMerge w:val="continue"/>
                  <w:tcBorders>
                    <w:left w:val="single" w:color="auto" w:sz="4" w:space="0"/>
                    <w:right w:val="single" w:color="auto" w:sz="4" w:space="0"/>
                  </w:tcBorders>
                  <w:noWrap w:val="0"/>
                  <w:vAlign w:val="center"/>
                </w:tcPr>
                <w:p w14:paraId="14C9FF7C">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p>
              </w:tc>
              <w:tc>
                <w:tcPr>
                  <w:tcW w:w="399" w:type="pct"/>
                  <w:vMerge w:val="continue"/>
                  <w:tcBorders>
                    <w:left w:val="single" w:color="auto" w:sz="4" w:space="0"/>
                    <w:right w:val="single" w:color="auto" w:sz="4" w:space="0"/>
                  </w:tcBorders>
                  <w:noWrap w:val="0"/>
                  <w:vAlign w:val="center"/>
                </w:tcPr>
                <w:p w14:paraId="327ACCA8">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p>
              </w:tc>
              <w:tc>
                <w:tcPr>
                  <w:tcW w:w="374" w:type="pct"/>
                  <w:vMerge w:val="continue"/>
                  <w:tcBorders>
                    <w:left w:val="single" w:color="auto" w:sz="4" w:space="0"/>
                    <w:right w:val="single" w:color="auto" w:sz="4" w:space="0"/>
                  </w:tcBorders>
                  <w:noWrap w:val="0"/>
                  <w:vAlign w:val="center"/>
                </w:tcPr>
                <w:p w14:paraId="0590B706">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p>
              </w:tc>
              <w:tc>
                <w:tcPr>
                  <w:tcW w:w="455" w:type="pct"/>
                  <w:vMerge w:val="continue"/>
                  <w:tcBorders>
                    <w:top w:val="single" w:color="auto" w:sz="4" w:space="0"/>
                    <w:left w:val="single" w:color="auto" w:sz="4" w:space="0"/>
                    <w:bottom w:val="single" w:color="auto" w:sz="4" w:space="0"/>
                    <w:right w:val="single" w:color="auto" w:sz="4" w:space="0"/>
                  </w:tcBorders>
                  <w:noWrap w:val="0"/>
                  <w:vAlign w:val="center"/>
                </w:tcPr>
                <w:p w14:paraId="58350BAB">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14:paraId="653A1913">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389" w:type="pct"/>
                  <w:vMerge w:val="continue"/>
                  <w:tcBorders>
                    <w:top w:val="single" w:color="auto" w:sz="4" w:space="0"/>
                    <w:left w:val="single" w:color="auto" w:sz="4" w:space="0"/>
                    <w:bottom w:val="single" w:color="auto" w:sz="4" w:space="0"/>
                    <w:right w:val="single" w:color="auto" w:sz="4" w:space="0"/>
                  </w:tcBorders>
                  <w:noWrap w:val="0"/>
                  <w:vAlign w:val="center"/>
                </w:tcPr>
                <w:p w14:paraId="58737D96">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392" w:type="pct"/>
                  <w:vMerge w:val="continue"/>
                  <w:tcBorders>
                    <w:top w:val="single" w:color="auto" w:sz="4" w:space="0"/>
                    <w:left w:val="single" w:color="auto" w:sz="4" w:space="0"/>
                    <w:bottom w:val="single" w:color="auto" w:sz="4" w:space="0"/>
                    <w:right w:val="single" w:color="auto" w:sz="4" w:space="0"/>
                  </w:tcBorders>
                  <w:noWrap w:val="0"/>
                  <w:vAlign w:val="center"/>
                </w:tcPr>
                <w:p w14:paraId="157A41E0">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389" w:type="pct"/>
                  <w:vMerge w:val="continue"/>
                  <w:tcBorders>
                    <w:top w:val="single" w:color="auto" w:sz="4" w:space="0"/>
                    <w:left w:val="single" w:color="auto" w:sz="4" w:space="0"/>
                    <w:bottom w:val="single" w:color="auto" w:sz="4" w:space="0"/>
                    <w:right w:val="single" w:color="auto" w:sz="4" w:space="0"/>
                  </w:tcBorders>
                  <w:noWrap w:val="0"/>
                  <w:vAlign w:val="center"/>
                </w:tcPr>
                <w:p w14:paraId="052EE50F">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466" w:type="pct"/>
                  <w:tcBorders>
                    <w:top w:val="single" w:color="auto" w:sz="4" w:space="0"/>
                    <w:left w:val="single" w:color="auto" w:sz="4" w:space="0"/>
                    <w:bottom w:val="single" w:color="000000" w:sz="6" w:space="0"/>
                    <w:right w:val="single" w:color="auto" w:sz="4" w:space="0"/>
                  </w:tcBorders>
                  <w:noWrap w:val="0"/>
                  <w:vAlign w:val="center"/>
                </w:tcPr>
                <w:p w14:paraId="6C4FFE03">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1016" w:type="pct"/>
                  <w:tcBorders>
                    <w:top w:val="single" w:color="auto" w:sz="4" w:space="0"/>
                    <w:left w:val="single" w:color="auto" w:sz="4" w:space="0"/>
                    <w:bottom w:val="single" w:color="000000" w:sz="6" w:space="0"/>
                    <w:right w:val="nil"/>
                  </w:tcBorders>
                  <w:noWrap w:val="0"/>
                  <w:vAlign w:val="center"/>
                </w:tcPr>
                <w:p w14:paraId="20ACD445">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w:t>
                  </w:r>
                </w:p>
              </w:tc>
            </w:tr>
            <w:tr w14:paraId="44BCEC6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240" w:type="pct"/>
                  <w:vMerge w:val="continue"/>
                  <w:tcBorders>
                    <w:left w:val="nil"/>
                    <w:right w:val="single" w:color="auto" w:sz="4" w:space="0"/>
                  </w:tcBorders>
                  <w:noWrap w:val="0"/>
                  <w:vAlign w:val="center"/>
                </w:tcPr>
                <w:p w14:paraId="20843B06">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p>
              </w:tc>
              <w:tc>
                <w:tcPr>
                  <w:tcW w:w="406" w:type="pct"/>
                  <w:vMerge w:val="continue"/>
                  <w:tcBorders>
                    <w:left w:val="single" w:color="auto" w:sz="4" w:space="0"/>
                    <w:right w:val="single" w:color="auto" w:sz="4" w:space="0"/>
                  </w:tcBorders>
                  <w:noWrap w:val="0"/>
                  <w:vAlign w:val="center"/>
                </w:tcPr>
                <w:p w14:paraId="7F0D84C3">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p>
              </w:tc>
              <w:tc>
                <w:tcPr>
                  <w:tcW w:w="399" w:type="pct"/>
                  <w:vMerge w:val="continue"/>
                  <w:tcBorders>
                    <w:left w:val="single" w:color="auto" w:sz="4" w:space="0"/>
                    <w:right w:val="single" w:color="auto" w:sz="4" w:space="0"/>
                  </w:tcBorders>
                  <w:noWrap w:val="0"/>
                  <w:vAlign w:val="center"/>
                </w:tcPr>
                <w:p w14:paraId="28E83106">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p>
              </w:tc>
              <w:tc>
                <w:tcPr>
                  <w:tcW w:w="374" w:type="pct"/>
                  <w:vMerge w:val="continue"/>
                  <w:tcBorders>
                    <w:left w:val="single" w:color="auto" w:sz="4" w:space="0"/>
                    <w:right w:val="single" w:color="auto" w:sz="4" w:space="0"/>
                  </w:tcBorders>
                  <w:noWrap w:val="0"/>
                  <w:vAlign w:val="center"/>
                </w:tcPr>
                <w:p w14:paraId="56AABFE0">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p>
              </w:tc>
              <w:tc>
                <w:tcPr>
                  <w:tcW w:w="455" w:type="pct"/>
                  <w:vMerge w:val="continue"/>
                  <w:tcBorders>
                    <w:left w:val="single" w:color="auto" w:sz="4" w:space="0"/>
                    <w:bottom w:val="single" w:color="auto" w:sz="12" w:space="0"/>
                    <w:right w:val="single" w:color="auto" w:sz="4" w:space="0"/>
                  </w:tcBorders>
                  <w:noWrap w:val="0"/>
                  <w:vAlign w:val="center"/>
                </w:tcPr>
                <w:p w14:paraId="6D324F88">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471" w:type="pct"/>
                  <w:vMerge w:val="continue"/>
                  <w:tcBorders>
                    <w:left w:val="single" w:color="auto" w:sz="4" w:space="0"/>
                    <w:bottom w:val="single" w:color="auto" w:sz="12" w:space="0"/>
                    <w:right w:val="single" w:color="auto" w:sz="4" w:space="0"/>
                  </w:tcBorders>
                  <w:noWrap w:val="0"/>
                  <w:vAlign w:val="center"/>
                </w:tcPr>
                <w:p w14:paraId="09D0D3C6">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389" w:type="pct"/>
                  <w:vMerge w:val="continue"/>
                  <w:tcBorders>
                    <w:left w:val="single" w:color="auto" w:sz="4" w:space="0"/>
                    <w:bottom w:val="single" w:color="auto" w:sz="12" w:space="0"/>
                    <w:right w:val="single" w:color="auto" w:sz="4" w:space="0"/>
                  </w:tcBorders>
                  <w:noWrap w:val="0"/>
                  <w:vAlign w:val="center"/>
                </w:tcPr>
                <w:p w14:paraId="0AABF23A">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392" w:type="pct"/>
                  <w:vMerge w:val="continue"/>
                  <w:tcBorders>
                    <w:left w:val="single" w:color="auto" w:sz="4" w:space="0"/>
                    <w:bottom w:val="single" w:color="auto" w:sz="12" w:space="0"/>
                    <w:right w:val="single" w:color="auto" w:sz="4" w:space="0"/>
                  </w:tcBorders>
                  <w:noWrap w:val="0"/>
                  <w:vAlign w:val="center"/>
                </w:tcPr>
                <w:p w14:paraId="74FDF0EA">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389" w:type="pct"/>
                  <w:vMerge w:val="continue"/>
                  <w:tcBorders>
                    <w:left w:val="single" w:color="auto" w:sz="4" w:space="0"/>
                    <w:bottom w:val="single" w:color="auto" w:sz="12" w:space="0"/>
                    <w:right w:val="single" w:color="auto" w:sz="4" w:space="0"/>
                  </w:tcBorders>
                  <w:noWrap w:val="0"/>
                  <w:vAlign w:val="center"/>
                </w:tcPr>
                <w:p w14:paraId="45446FCA">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rPr>
                  </w:pPr>
                </w:p>
              </w:tc>
              <w:tc>
                <w:tcPr>
                  <w:tcW w:w="466" w:type="pct"/>
                  <w:tcBorders>
                    <w:top w:val="single" w:color="000000" w:sz="6" w:space="0"/>
                    <w:left w:val="single" w:color="auto" w:sz="4" w:space="0"/>
                    <w:right w:val="single" w:color="auto" w:sz="4" w:space="0"/>
                  </w:tcBorders>
                  <w:noWrap w:val="0"/>
                  <w:vAlign w:val="center"/>
                </w:tcPr>
                <w:p w14:paraId="10CEBA06">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总磷</w:t>
                  </w:r>
                </w:p>
              </w:tc>
              <w:tc>
                <w:tcPr>
                  <w:tcW w:w="1016" w:type="pct"/>
                  <w:tcBorders>
                    <w:top w:val="single" w:color="000000" w:sz="6" w:space="0"/>
                    <w:left w:val="single" w:color="auto" w:sz="4" w:space="0"/>
                    <w:bottom w:val="single" w:color="auto" w:sz="12" w:space="0"/>
                    <w:right w:val="nil"/>
                  </w:tcBorders>
                  <w:noWrap w:val="0"/>
                  <w:vAlign w:val="center"/>
                </w:tcPr>
                <w:p w14:paraId="6768C57F">
                  <w:pPr>
                    <w:keepNext w:val="0"/>
                    <w:keepLines w:val="0"/>
                    <w:suppressLineNumbers w:val="0"/>
                    <w:adjustRightInd w:val="0"/>
                    <w:snapToGrid w:val="0"/>
                    <w:spacing w:before="0" w:beforeAutospacing="0" w:after="0" w:afterAutospacing="0"/>
                    <w:ind w:left="-105" w:leftChars="-50" w:right="-105" w:rightChars="-5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0.</w:t>
                  </w:r>
                  <w:r>
                    <w:rPr>
                      <w:rFonts w:hint="eastAsia" w:cs="Times New Roman"/>
                      <w:color w:val="auto"/>
                      <w:szCs w:val="21"/>
                      <w:lang w:val="en-US" w:eastAsia="zh-CN"/>
                    </w:rPr>
                    <w:t>2</w:t>
                  </w:r>
                </w:p>
              </w:tc>
            </w:tr>
          </w:tbl>
          <w:p w14:paraId="5BB21F5D">
            <w:pPr>
              <w:snapToGrid w:val="0"/>
              <w:spacing w:before="120" w:beforeLines="50" w:line="360" w:lineRule="auto"/>
              <w:ind w:firstLine="480" w:firstLineChars="200"/>
              <w:rPr>
                <w:color w:val="auto"/>
                <w:sz w:val="24"/>
              </w:rPr>
            </w:pPr>
            <w:r>
              <w:rPr>
                <w:color w:val="auto"/>
                <w:sz w:val="24"/>
              </w:rPr>
              <w:t>本项目废水污染物排放信息</w:t>
            </w:r>
            <w:r>
              <w:rPr>
                <w:rFonts w:hint="eastAsia"/>
                <w:color w:val="auto"/>
                <w:sz w:val="24"/>
              </w:rPr>
              <w:t>见下表。</w:t>
            </w:r>
          </w:p>
          <w:p w14:paraId="36F0C13B">
            <w:pPr>
              <w:adjustRightInd w:val="0"/>
              <w:snapToGrid w:val="0"/>
              <w:jc w:val="center"/>
              <w:rPr>
                <w:b/>
                <w:color w:val="auto"/>
                <w:szCs w:val="21"/>
              </w:rPr>
            </w:pPr>
            <w:r>
              <w:rPr>
                <w:b/>
                <w:color w:val="auto"/>
                <w:szCs w:val="21"/>
              </w:rPr>
              <w:t>表4-</w:t>
            </w:r>
            <w:r>
              <w:rPr>
                <w:rFonts w:hint="eastAsia"/>
                <w:b/>
                <w:color w:val="auto"/>
                <w:szCs w:val="21"/>
                <w:lang w:val="en-US" w:eastAsia="zh-CN"/>
              </w:rPr>
              <w:t>20</w:t>
            </w:r>
            <w:r>
              <w:rPr>
                <w:b/>
                <w:color w:val="auto"/>
                <w:szCs w:val="21"/>
              </w:rPr>
              <w:t xml:space="preserve">    废水污染物排放信息表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1678"/>
              <w:gridCol w:w="2475"/>
              <w:gridCol w:w="2429"/>
              <w:gridCol w:w="2419"/>
              <w:gridCol w:w="2442"/>
            </w:tblGrid>
            <w:tr w14:paraId="745F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59" w:type="pct"/>
                  <w:vAlign w:val="center"/>
                </w:tcPr>
                <w:p w14:paraId="05CB03E5">
                  <w:pPr>
                    <w:adjustRightInd w:val="0"/>
                    <w:snapToGrid w:val="0"/>
                    <w:jc w:val="center"/>
                    <w:rPr>
                      <w:b/>
                      <w:color w:val="auto"/>
                      <w:szCs w:val="21"/>
                    </w:rPr>
                  </w:pPr>
                  <w:r>
                    <w:rPr>
                      <w:b/>
                      <w:color w:val="auto"/>
                      <w:szCs w:val="21"/>
                      <w:lang w:val="zh-CN"/>
                    </w:rPr>
                    <w:t>序号</w:t>
                  </w:r>
                </w:p>
              </w:tc>
              <w:tc>
                <w:tcPr>
                  <w:tcW w:w="666" w:type="pct"/>
                  <w:vAlign w:val="center"/>
                </w:tcPr>
                <w:p w14:paraId="3E1E4B40">
                  <w:pPr>
                    <w:adjustRightInd w:val="0"/>
                    <w:snapToGrid w:val="0"/>
                    <w:jc w:val="center"/>
                    <w:rPr>
                      <w:b/>
                      <w:color w:val="auto"/>
                      <w:szCs w:val="21"/>
                    </w:rPr>
                  </w:pPr>
                  <w:r>
                    <w:rPr>
                      <w:b/>
                      <w:color w:val="auto"/>
                      <w:szCs w:val="21"/>
                      <w:lang w:val="zh-CN"/>
                    </w:rPr>
                    <w:t>排放口编号</w:t>
                  </w:r>
                </w:p>
              </w:tc>
              <w:tc>
                <w:tcPr>
                  <w:tcW w:w="982" w:type="pct"/>
                  <w:vAlign w:val="center"/>
                </w:tcPr>
                <w:p w14:paraId="7F680A64">
                  <w:pPr>
                    <w:adjustRightInd w:val="0"/>
                    <w:snapToGrid w:val="0"/>
                    <w:jc w:val="center"/>
                    <w:rPr>
                      <w:b/>
                      <w:color w:val="auto"/>
                      <w:szCs w:val="21"/>
                    </w:rPr>
                  </w:pPr>
                  <w:r>
                    <w:rPr>
                      <w:b/>
                      <w:color w:val="auto"/>
                      <w:szCs w:val="21"/>
                      <w:lang w:val="zh-CN"/>
                    </w:rPr>
                    <w:t>污染物种类</w:t>
                  </w:r>
                </w:p>
              </w:tc>
              <w:tc>
                <w:tcPr>
                  <w:tcW w:w="964" w:type="pct"/>
                  <w:vAlign w:val="center"/>
                </w:tcPr>
                <w:p w14:paraId="121F0AB1">
                  <w:pPr>
                    <w:adjustRightInd w:val="0"/>
                    <w:snapToGrid w:val="0"/>
                    <w:jc w:val="center"/>
                    <w:rPr>
                      <w:b/>
                      <w:color w:val="auto"/>
                      <w:szCs w:val="21"/>
                    </w:rPr>
                  </w:pPr>
                  <w:r>
                    <w:rPr>
                      <w:b/>
                      <w:color w:val="auto"/>
                      <w:szCs w:val="21"/>
                      <w:lang w:val="zh-CN"/>
                    </w:rPr>
                    <w:t>排放浓度</w:t>
                  </w:r>
                  <w:r>
                    <w:rPr>
                      <w:b/>
                      <w:color w:val="auto"/>
                      <w:szCs w:val="21"/>
                    </w:rPr>
                    <w:t>（mg/L）</w:t>
                  </w:r>
                </w:p>
              </w:tc>
              <w:tc>
                <w:tcPr>
                  <w:tcW w:w="960" w:type="pct"/>
                  <w:vAlign w:val="center"/>
                </w:tcPr>
                <w:p w14:paraId="62C12074">
                  <w:pPr>
                    <w:adjustRightInd w:val="0"/>
                    <w:snapToGrid w:val="0"/>
                    <w:jc w:val="center"/>
                    <w:rPr>
                      <w:b/>
                      <w:color w:val="auto"/>
                      <w:szCs w:val="21"/>
                    </w:rPr>
                  </w:pPr>
                  <w:r>
                    <w:rPr>
                      <w:b/>
                      <w:color w:val="auto"/>
                      <w:szCs w:val="21"/>
                      <w:lang w:val="zh-CN"/>
                    </w:rPr>
                    <w:t>日排放量</w:t>
                  </w:r>
                  <w:r>
                    <w:rPr>
                      <w:b/>
                      <w:color w:val="auto"/>
                      <w:szCs w:val="21"/>
                    </w:rPr>
                    <w:t>（t/d）</w:t>
                  </w:r>
                </w:p>
              </w:tc>
              <w:tc>
                <w:tcPr>
                  <w:tcW w:w="969" w:type="pct"/>
                  <w:vAlign w:val="center"/>
                </w:tcPr>
                <w:p w14:paraId="009D5AD6">
                  <w:pPr>
                    <w:adjustRightInd w:val="0"/>
                    <w:snapToGrid w:val="0"/>
                    <w:jc w:val="center"/>
                    <w:rPr>
                      <w:b/>
                      <w:color w:val="auto"/>
                      <w:szCs w:val="21"/>
                    </w:rPr>
                  </w:pPr>
                  <w:r>
                    <w:rPr>
                      <w:b/>
                      <w:color w:val="auto"/>
                      <w:szCs w:val="21"/>
                      <w:lang w:val="zh-CN"/>
                    </w:rPr>
                    <w:t>年排放量</w:t>
                  </w:r>
                  <w:r>
                    <w:rPr>
                      <w:b/>
                      <w:color w:val="auto"/>
                      <w:szCs w:val="21"/>
                    </w:rPr>
                    <w:t>（t/a）</w:t>
                  </w:r>
                </w:p>
              </w:tc>
            </w:tr>
            <w:tr w14:paraId="40D4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459" w:type="pct"/>
                  <w:vMerge w:val="restart"/>
                  <w:vAlign w:val="center"/>
                </w:tcPr>
                <w:p w14:paraId="78997FD3">
                  <w:pPr>
                    <w:adjustRightInd w:val="0"/>
                    <w:snapToGrid w:val="0"/>
                    <w:jc w:val="center"/>
                    <w:rPr>
                      <w:color w:val="auto"/>
                      <w:szCs w:val="21"/>
                    </w:rPr>
                  </w:pPr>
                  <w:r>
                    <w:rPr>
                      <w:color w:val="auto"/>
                      <w:szCs w:val="21"/>
                    </w:rPr>
                    <w:t>1</w:t>
                  </w:r>
                </w:p>
              </w:tc>
              <w:tc>
                <w:tcPr>
                  <w:tcW w:w="666" w:type="pct"/>
                  <w:vMerge w:val="restart"/>
                  <w:vAlign w:val="center"/>
                </w:tcPr>
                <w:p w14:paraId="775D3194">
                  <w:pPr>
                    <w:adjustRightInd w:val="0"/>
                    <w:snapToGrid w:val="0"/>
                    <w:jc w:val="center"/>
                    <w:rPr>
                      <w:color w:val="auto"/>
                      <w:szCs w:val="21"/>
                    </w:rPr>
                  </w:pPr>
                  <w:r>
                    <w:rPr>
                      <w:color w:val="auto"/>
                      <w:szCs w:val="21"/>
                    </w:rPr>
                    <w:t>DW001</w:t>
                  </w:r>
                </w:p>
              </w:tc>
              <w:tc>
                <w:tcPr>
                  <w:tcW w:w="982" w:type="pct"/>
                  <w:vAlign w:val="center"/>
                </w:tcPr>
                <w:p w14:paraId="179D6817">
                  <w:pPr>
                    <w:adjustRightInd w:val="0"/>
                    <w:snapToGrid w:val="0"/>
                    <w:jc w:val="center"/>
                    <w:rPr>
                      <w:color w:val="auto"/>
                      <w:szCs w:val="21"/>
                    </w:rPr>
                  </w:pPr>
                  <w:r>
                    <w:rPr>
                      <w:color w:val="auto"/>
                      <w:szCs w:val="21"/>
                    </w:rPr>
                    <w:t>COD</w:t>
                  </w:r>
                  <w:r>
                    <w:rPr>
                      <w:color w:val="auto"/>
                      <w:szCs w:val="21"/>
                      <w:vertAlign w:val="subscript"/>
                    </w:rPr>
                    <w:t>Cr</w:t>
                  </w:r>
                </w:p>
              </w:tc>
              <w:tc>
                <w:tcPr>
                  <w:tcW w:w="964" w:type="pct"/>
                  <w:vAlign w:val="center"/>
                </w:tcPr>
                <w:p w14:paraId="5F5A816F">
                  <w:pPr>
                    <w:adjustRightInd w:val="0"/>
                    <w:snapToGrid w:val="0"/>
                    <w:spacing w:line="25" w:lineRule="atLeast"/>
                    <w:jc w:val="center"/>
                    <w:rPr>
                      <w:color w:val="auto"/>
                      <w:szCs w:val="21"/>
                    </w:rPr>
                  </w:pPr>
                  <w:r>
                    <w:rPr>
                      <w:color w:val="auto"/>
                      <w:szCs w:val="21"/>
                    </w:rPr>
                    <w:t>500</w:t>
                  </w:r>
                </w:p>
              </w:tc>
              <w:tc>
                <w:tcPr>
                  <w:tcW w:w="960" w:type="pct"/>
                  <w:vAlign w:val="center"/>
                </w:tcPr>
                <w:p w14:paraId="2C75674F">
                  <w:pPr>
                    <w:adjustRightInd w:val="0"/>
                    <w:snapToGrid w:val="0"/>
                    <w:jc w:val="center"/>
                    <w:rPr>
                      <w:rFonts w:hint="default" w:eastAsia="宋体"/>
                      <w:color w:val="auto"/>
                      <w:szCs w:val="21"/>
                      <w:lang w:val="en-US" w:eastAsia="zh-CN"/>
                    </w:rPr>
                  </w:pPr>
                  <w:r>
                    <w:rPr>
                      <w:rFonts w:hint="eastAsia"/>
                      <w:color w:val="auto"/>
                      <w:szCs w:val="21"/>
                      <w:lang w:val="en-US" w:eastAsia="zh-CN"/>
                    </w:rPr>
                    <w:t>0.0069</w:t>
                  </w:r>
                </w:p>
              </w:tc>
              <w:tc>
                <w:tcPr>
                  <w:tcW w:w="2457" w:type="dxa"/>
                  <w:vAlign w:val="center"/>
                </w:tcPr>
                <w:p w14:paraId="2E479E61">
                  <w:pPr>
                    <w:ind w:left="-105" w:leftChars="-50" w:right="-105" w:rightChars="-50"/>
                    <w:jc w:val="center"/>
                    <w:rPr>
                      <w:rFonts w:hint="default" w:eastAsia="宋体"/>
                      <w:color w:val="auto"/>
                      <w:szCs w:val="21"/>
                      <w:lang w:val="en-US" w:eastAsia="zh-CN"/>
                    </w:rPr>
                  </w:pPr>
                  <w:r>
                    <w:rPr>
                      <w:rFonts w:hint="eastAsia"/>
                      <w:color w:val="auto"/>
                      <w:szCs w:val="21"/>
                      <w:lang w:val="en-US" w:eastAsia="zh-CN"/>
                    </w:rPr>
                    <w:t>2.0820</w:t>
                  </w:r>
                </w:p>
              </w:tc>
            </w:tr>
            <w:tr w14:paraId="0DF8C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9" w:type="pct"/>
                  <w:vMerge w:val="continue"/>
                  <w:vAlign w:val="center"/>
                </w:tcPr>
                <w:p w14:paraId="3EAFC1FA">
                  <w:pPr>
                    <w:adjustRightInd w:val="0"/>
                    <w:snapToGrid w:val="0"/>
                    <w:jc w:val="center"/>
                    <w:rPr>
                      <w:color w:val="auto"/>
                      <w:szCs w:val="21"/>
                    </w:rPr>
                  </w:pPr>
                </w:p>
              </w:tc>
              <w:tc>
                <w:tcPr>
                  <w:tcW w:w="666" w:type="pct"/>
                  <w:vMerge w:val="continue"/>
                  <w:vAlign w:val="center"/>
                </w:tcPr>
                <w:p w14:paraId="5135DC30">
                  <w:pPr>
                    <w:adjustRightInd w:val="0"/>
                    <w:snapToGrid w:val="0"/>
                    <w:jc w:val="center"/>
                    <w:rPr>
                      <w:color w:val="auto"/>
                      <w:szCs w:val="21"/>
                    </w:rPr>
                  </w:pPr>
                </w:p>
              </w:tc>
              <w:tc>
                <w:tcPr>
                  <w:tcW w:w="982" w:type="pct"/>
                  <w:vAlign w:val="center"/>
                </w:tcPr>
                <w:p w14:paraId="10C27484">
                  <w:pPr>
                    <w:adjustRightInd w:val="0"/>
                    <w:snapToGrid w:val="0"/>
                    <w:jc w:val="center"/>
                    <w:rPr>
                      <w:color w:val="auto"/>
                      <w:szCs w:val="21"/>
                    </w:rPr>
                  </w:pPr>
                  <w:r>
                    <w:rPr>
                      <w:color w:val="auto"/>
                      <w:szCs w:val="21"/>
                    </w:rPr>
                    <w:t>BOD</w:t>
                  </w:r>
                  <w:r>
                    <w:rPr>
                      <w:color w:val="auto"/>
                      <w:szCs w:val="21"/>
                      <w:vertAlign w:val="subscript"/>
                    </w:rPr>
                    <w:t>5</w:t>
                  </w:r>
                </w:p>
              </w:tc>
              <w:tc>
                <w:tcPr>
                  <w:tcW w:w="964" w:type="pct"/>
                  <w:vAlign w:val="center"/>
                </w:tcPr>
                <w:p w14:paraId="58374D0B">
                  <w:pPr>
                    <w:adjustRightInd w:val="0"/>
                    <w:snapToGrid w:val="0"/>
                    <w:spacing w:line="25" w:lineRule="atLeast"/>
                    <w:jc w:val="center"/>
                    <w:rPr>
                      <w:color w:val="auto"/>
                      <w:szCs w:val="21"/>
                    </w:rPr>
                  </w:pPr>
                  <w:r>
                    <w:rPr>
                      <w:color w:val="auto"/>
                      <w:szCs w:val="21"/>
                    </w:rPr>
                    <w:t>300</w:t>
                  </w:r>
                </w:p>
              </w:tc>
              <w:tc>
                <w:tcPr>
                  <w:tcW w:w="960" w:type="pct"/>
                  <w:vAlign w:val="center"/>
                </w:tcPr>
                <w:p w14:paraId="29F9D56D">
                  <w:pPr>
                    <w:adjustRightInd w:val="0"/>
                    <w:snapToGrid w:val="0"/>
                    <w:jc w:val="center"/>
                    <w:rPr>
                      <w:rFonts w:hint="default" w:eastAsia="宋体"/>
                      <w:color w:val="auto"/>
                      <w:szCs w:val="21"/>
                      <w:lang w:val="en-US" w:eastAsia="zh-CN"/>
                    </w:rPr>
                  </w:pPr>
                  <w:r>
                    <w:rPr>
                      <w:rFonts w:hint="eastAsia"/>
                      <w:color w:val="auto"/>
                      <w:szCs w:val="21"/>
                      <w:lang w:val="en-US" w:eastAsia="zh-CN"/>
                    </w:rPr>
                    <w:t>0.0042</w:t>
                  </w:r>
                </w:p>
              </w:tc>
              <w:tc>
                <w:tcPr>
                  <w:tcW w:w="2457" w:type="dxa"/>
                  <w:vAlign w:val="center"/>
                </w:tcPr>
                <w:p w14:paraId="08E4C937">
                  <w:pPr>
                    <w:ind w:left="-105" w:leftChars="-50" w:right="-105" w:rightChars="-50"/>
                    <w:jc w:val="center"/>
                    <w:rPr>
                      <w:rFonts w:hint="default" w:eastAsia="宋体"/>
                      <w:color w:val="auto"/>
                      <w:szCs w:val="21"/>
                      <w:lang w:val="en-US" w:eastAsia="zh-CN"/>
                    </w:rPr>
                  </w:pPr>
                  <w:r>
                    <w:rPr>
                      <w:rFonts w:hint="eastAsia"/>
                      <w:color w:val="auto"/>
                      <w:szCs w:val="21"/>
                      <w:lang w:val="en-US" w:eastAsia="zh-CN"/>
                    </w:rPr>
                    <w:t>1.2492</w:t>
                  </w:r>
                </w:p>
              </w:tc>
            </w:tr>
            <w:tr w14:paraId="6E93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459" w:type="pct"/>
                  <w:vMerge w:val="continue"/>
                  <w:vAlign w:val="center"/>
                </w:tcPr>
                <w:p w14:paraId="646D18C0">
                  <w:pPr>
                    <w:adjustRightInd w:val="0"/>
                    <w:snapToGrid w:val="0"/>
                    <w:jc w:val="center"/>
                    <w:rPr>
                      <w:color w:val="auto"/>
                      <w:szCs w:val="21"/>
                    </w:rPr>
                  </w:pPr>
                </w:p>
              </w:tc>
              <w:tc>
                <w:tcPr>
                  <w:tcW w:w="666" w:type="pct"/>
                  <w:vMerge w:val="continue"/>
                  <w:vAlign w:val="center"/>
                </w:tcPr>
                <w:p w14:paraId="1EBC025F">
                  <w:pPr>
                    <w:adjustRightInd w:val="0"/>
                    <w:snapToGrid w:val="0"/>
                    <w:jc w:val="center"/>
                    <w:rPr>
                      <w:color w:val="auto"/>
                      <w:szCs w:val="21"/>
                    </w:rPr>
                  </w:pPr>
                </w:p>
              </w:tc>
              <w:tc>
                <w:tcPr>
                  <w:tcW w:w="982" w:type="pct"/>
                  <w:vAlign w:val="center"/>
                </w:tcPr>
                <w:p w14:paraId="43DD91E0">
                  <w:pPr>
                    <w:adjustRightInd w:val="0"/>
                    <w:snapToGrid w:val="0"/>
                    <w:jc w:val="center"/>
                    <w:rPr>
                      <w:color w:val="auto"/>
                      <w:szCs w:val="21"/>
                    </w:rPr>
                  </w:pPr>
                  <w:r>
                    <w:rPr>
                      <w:color w:val="auto"/>
                      <w:szCs w:val="21"/>
                    </w:rPr>
                    <w:t>SS</w:t>
                  </w:r>
                </w:p>
              </w:tc>
              <w:tc>
                <w:tcPr>
                  <w:tcW w:w="964" w:type="pct"/>
                  <w:vAlign w:val="center"/>
                </w:tcPr>
                <w:p w14:paraId="763D479C">
                  <w:pPr>
                    <w:adjustRightInd w:val="0"/>
                    <w:snapToGrid w:val="0"/>
                    <w:spacing w:line="25" w:lineRule="atLeast"/>
                    <w:jc w:val="center"/>
                    <w:rPr>
                      <w:color w:val="auto"/>
                      <w:szCs w:val="21"/>
                    </w:rPr>
                  </w:pPr>
                  <w:r>
                    <w:rPr>
                      <w:color w:val="auto"/>
                      <w:szCs w:val="21"/>
                    </w:rPr>
                    <w:t>400</w:t>
                  </w:r>
                </w:p>
              </w:tc>
              <w:tc>
                <w:tcPr>
                  <w:tcW w:w="960" w:type="pct"/>
                  <w:vAlign w:val="center"/>
                </w:tcPr>
                <w:p w14:paraId="53AE1BA9">
                  <w:pPr>
                    <w:adjustRightInd w:val="0"/>
                    <w:snapToGrid w:val="0"/>
                    <w:jc w:val="center"/>
                    <w:rPr>
                      <w:rFonts w:hint="default" w:eastAsia="宋体"/>
                      <w:color w:val="auto"/>
                      <w:szCs w:val="21"/>
                      <w:lang w:val="en-US" w:eastAsia="zh-CN"/>
                    </w:rPr>
                  </w:pPr>
                  <w:r>
                    <w:rPr>
                      <w:rFonts w:hint="eastAsia"/>
                      <w:color w:val="auto"/>
                      <w:szCs w:val="21"/>
                      <w:lang w:val="en-US" w:eastAsia="zh-CN"/>
                    </w:rPr>
                    <w:t>0.0055</w:t>
                  </w:r>
                </w:p>
              </w:tc>
              <w:tc>
                <w:tcPr>
                  <w:tcW w:w="969" w:type="pct"/>
                  <w:vAlign w:val="center"/>
                </w:tcPr>
                <w:p w14:paraId="25644353">
                  <w:pPr>
                    <w:adjustRightInd w:val="0"/>
                    <w:snapToGrid w:val="0"/>
                    <w:jc w:val="center"/>
                    <w:rPr>
                      <w:rFonts w:hint="default" w:eastAsia="宋体"/>
                      <w:color w:val="auto"/>
                      <w:szCs w:val="21"/>
                      <w:lang w:val="en-US" w:eastAsia="zh-CN"/>
                    </w:rPr>
                  </w:pPr>
                  <w:r>
                    <w:rPr>
                      <w:rFonts w:hint="eastAsia"/>
                      <w:color w:val="auto"/>
                      <w:szCs w:val="21"/>
                      <w:lang w:val="en-US" w:eastAsia="zh-CN"/>
                    </w:rPr>
                    <w:t>1.6656</w:t>
                  </w:r>
                </w:p>
              </w:tc>
            </w:tr>
            <w:tr w14:paraId="24F3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9" w:type="pct"/>
                  <w:vMerge w:val="continue"/>
                  <w:vAlign w:val="center"/>
                </w:tcPr>
                <w:p w14:paraId="32269580">
                  <w:pPr>
                    <w:adjustRightInd w:val="0"/>
                    <w:snapToGrid w:val="0"/>
                    <w:jc w:val="center"/>
                    <w:rPr>
                      <w:color w:val="auto"/>
                      <w:szCs w:val="21"/>
                    </w:rPr>
                  </w:pPr>
                </w:p>
              </w:tc>
              <w:tc>
                <w:tcPr>
                  <w:tcW w:w="666" w:type="pct"/>
                  <w:vMerge w:val="continue"/>
                  <w:vAlign w:val="center"/>
                </w:tcPr>
                <w:p w14:paraId="690F3848">
                  <w:pPr>
                    <w:adjustRightInd w:val="0"/>
                    <w:snapToGrid w:val="0"/>
                    <w:jc w:val="center"/>
                    <w:rPr>
                      <w:color w:val="auto"/>
                      <w:szCs w:val="21"/>
                    </w:rPr>
                  </w:pPr>
                </w:p>
              </w:tc>
              <w:tc>
                <w:tcPr>
                  <w:tcW w:w="982" w:type="pct"/>
                  <w:vAlign w:val="center"/>
                </w:tcPr>
                <w:p w14:paraId="19BF6AA2">
                  <w:pPr>
                    <w:adjustRightInd w:val="0"/>
                    <w:snapToGrid w:val="0"/>
                    <w:jc w:val="center"/>
                    <w:rPr>
                      <w:color w:val="auto"/>
                      <w:szCs w:val="21"/>
                    </w:rPr>
                  </w:pPr>
                  <w:r>
                    <w:rPr>
                      <w:color w:val="auto"/>
                      <w:szCs w:val="21"/>
                    </w:rPr>
                    <w:t>NH</w:t>
                  </w:r>
                  <w:r>
                    <w:rPr>
                      <w:color w:val="auto"/>
                      <w:szCs w:val="21"/>
                      <w:vertAlign w:val="subscript"/>
                    </w:rPr>
                    <w:t>3</w:t>
                  </w:r>
                  <w:r>
                    <w:rPr>
                      <w:color w:val="auto"/>
                      <w:szCs w:val="21"/>
                    </w:rPr>
                    <w:t>-N</w:t>
                  </w:r>
                </w:p>
              </w:tc>
              <w:tc>
                <w:tcPr>
                  <w:tcW w:w="964" w:type="pct"/>
                </w:tcPr>
                <w:p w14:paraId="2341F5F5">
                  <w:pPr>
                    <w:adjustRightInd w:val="0"/>
                    <w:snapToGrid w:val="0"/>
                    <w:spacing w:line="25" w:lineRule="atLeast"/>
                    <w:jc w:val="center"/>
                    <w:rPr>
                      <w:color w:val="auto"/>
                      <w:szCs w:val="21"/>
                    </w:rPr>
                  </w:pPr>
                  <w:r>
                    <w:rPr>
                      <w:color w:val="auto"/>
                      <w:szCs w:val="21"/>
                    </w:rPr>
                    <w:t>45</w:t>
                  </w:r>
                </w:p>
              </w:tc>
              <w:tc>
                <w:tcPr>
                  <w:tcW w:w="960" w:type="pct"/>
                  <w:vAlign w:val="center"/>
                </w:tcPr>
                <w:p w14:paraId="29CDB643">
                  <w:pPr>
                    <w:adjustRightInd w:val="0"/>
                    <w:snapToGrid w:val="0"/>
                    <w:jc w:val="center"/>
                    <w:rPr>
                      <w:rFonts w:hint="default" w:eastAsia="宋体"/>
                      <w:color w:val="auto"/>
                      <w:szCs w:val="21"/>
                      <w:lang w:val="en-US" w:eastAsia="zh-CN"/>
                    </w:rPr>
                  </w:pPr>
                  <w:r>
                    <w:rPr>
                      <w:rFonts w:hint="eastAsia"/>
                      <w:color w:val="auto"/>
                      <w:szCs w:val="21"/>
                      <w:lang w:val="en-US" w:eastAsia="zh-CN"/>
                    </w:rPr>
                    <w:t>0.0006</w:t>
                  </w:r>
                </w:p>
              </w:tc>
              <w:tc>
                <w:tcPr>
                  <w:tcW w:w="969" w:type="pct"/>
                  <w:vAlign w:val="center"/>
                </w:tcPr>
                <w:p w14:paraId="5F198C4E">
                  <w:pPr>
                    <w:adjustRightInd w:val="0"/>
                    <w:snapToGrid w:val="0"/>
                    <w:jc w:val="center"/>
                    <w:rPr>
                      <w:rFonts w:hint="default" w:eastAsia="宋体"/>
                      <w:color w:val="auto"/>
                      <w:szCs w:val="21"/>
                      <w:lang w:val="en-US" w:eastAsia="zh-CN"/>
                    </w:rPr>
                  </w:pPr>
                  <w:r>
                    <w:rPr>
                      <w:rFonts w:hint="eastAsia"/>
                      <w:color w:val="auto"/>
                      <w:szCs w:val="21"/>
                      <w:lang w:val="en-US" w:eastAsia="zh-CN"/>
                    </w:rPr>
                    <w:t>0.1874</w:t>
                  </w:r>
                </w:p>
              </w:tc>
            </w:tr>
            <w:tr w14:paraId="25F4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459" w:type="pct"/>
                  <w:vMerge w:val="continue"/>
                  <w:vAlign w:val="center"/>
                </w:tcPr>
                <w:p w14:paraId="46FF4789">
                  <w:pPr>
                    <w:adjustRightInd w:val="0"/>
                    <w:snapToGrid w:val="0"/>
                    <w:jc w:val="center"/>
                    <w:rPr>
                      <w:color w:val="auto"/>
                      <w:szCs w:val="21"/>
                    </w:rPr>
                  </w:pPr>
                </w:p>
              </w:tc>
              <w:tc>
                <w:tcPr>
                  <w:tcW w:w="666" w:type="pct"/>
                  <w:vMerge w:val="continue"/>
                  <w:vAlign w:val="center"/>
                </w:tcPr>
                <w:p w14:paraId="5A27DA4E">
                  <w:pPr>
                    <w:adjustRightInd w:val="0"/>
                    <w:snapToGrid w:val="0"/>
                    <w:jc w:val="center"/>
                    <w:rPr>
                      <w:color w:val="auto"/>
                      <w:szCs w:val="21"/>
                    </w:rPr>
                  </w:pPr>
                </w:p>
              </w:tc>
              <w:tc>
                <w:tcPr>
                  <w:tcW w:w="982" w:type="pct"/>
                  <w:vAlign w:val="center"/>
                </w:tcPr>
                <w:p w14:paraId="4B691631">
                  <w:pPr>
                    <w:adjustRightInd w:val="0"/>
                    <w:snapToGrid w:val="0"/>
                    <w:jc w:val="center"/>
                    <w:rPr>
                      <w:color w:val="auto"/>
                      <w:szCs w:val="21"/>
                    </w:rPr>
                  </w:pPr>
                  <w:r>
                    <w:rPr>
                      <w:color w:val="auto"/>
                      <w:szCs w:val="21"/>
                    </w:rPr>
                    <w:t>TN</w:t>
                  </w:r>
                </w:p>
              </w:tc>
              <w:tc>
                <w:tcPr>
                  <w:tcW w:w="964" w:type="pct"/>
                </w:tcPr>
                <w:p w14:paraId="7609E97E">
                  <w:pPr>
                    <w:adjustRightInd w:val="0"/>
                    <w:snapToGrid w:val="0"/>
                    <w:spacing w:line="25" w:lineRule="atLeast"/>
                    <w:jc w:val="center"/>
                    <w:rPr>
                      <w:color w:val="auto"/>
                      <w:szCs w:val="21"/>
                    </w:rPr>
                  </w:pPr>
                  <w:r>
                    <w:rPr>
                      <w:color w:val="auto"/>
                      <w:szCs w:val="21"/>
                    </w:rPr>
                    <w:t>70</w:t>
                  </w:r>
                </w:p>
              </w:tc>
              <w:tc>
                <w:tcPr>
                  <w:tcW w:w="960" w:type="pct"/>
                  <w:vAlign w:val="center"/>
                </w:tcPr>
                <w:p w14:paraId="558B7CD3">
                  <w:pPr>
                    <w:adjustRightInd w:val="0"/>
                    <w:snapToGrid w:val="0"/>
                    <w:jc w:val="center"/>
                    <w:rPr>
                      <w:rFonts w:hint="default" w:eastAsia="宋体"/>
                      <w:color w:val="auto"/>
                      <w:szCs w:val="21"/>
                      <w:lang w:val="en-US" w:eastAsia="zh-CN"/>
                    </w:rPr>
                  </w:pPr>
                  <w:r>
                    <w:rPr>
                      <w:rFonts w:hint="eastAsia"/>
                      <w:color w:val="auto"/>
                      <w:szCs w:val="21"/>
                      <w:lang w:val="en-US" w:eastAsia="zh-CN"/>
                    </w:rPr>
                    <w:t>0.0010</w:t>
                  </w:r>
                </w:p>
              </w:tc>
              <w:tc>
                <w:tcPr>
                  <w:tcW w:w="969" w:type="pct"/>
                  <w:vAlign w:val="center"/>
                </w:tcPr>
                <w:p w14:paraId="25E997EB">
                  <w:pPr>
                    <w:adjustRightInd w:val="0"/>
                    <w:snapToGrid w:val="0"/>
                    <w:jc w:val="center"/>
                    <w:rPr>
                      <w:rFonts w:hint="default" w:eastAsia="宋体"/>
                      <w:color w:val="auto"/>
                      <w:szCs w:val="21"/>
                      <w:lang w:val="en-US" w:eastAsia="zh-CN"/>
                    </w:rPr>
                  </w:pPr>
                  <w:r>
                    <w:rPr>
                      <w:rFonts w:hint="eastAsia"/>
                      <w:color w:val="auto"/>
                      <w:szCs w:val="21"/>
                      <w:highlight w:val="none"/>
                      <w:lang w:val="en-US" w:eastAsia="zh-CN"/>
                    </w:rPr>
                    <w:t>0.2915</w:t>
                  </w:r>
                </w:p>
              </w:tc>
            </w:tr>
            <w:tr w14:paraId="2F05E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9" w:type="pct"/>
                  <w:vMerge w:val="continue"/>
                  <w:vAlign w:val="center"/>
                </w:tcPr>
                <w:p w14:paraId="72C78519">
                  <w:pPr>
                    <w:adjustRightInd w:val="0"/>
                    <w:snapToGrid w:val="0"/>
                    <w:jc w:val="center"/>
                    <w:rPr>
                      <w:color w:val="auto"/>
                      <w:szCs w:val="21"/>
                    </w:rPr>
                  </w:pPr>
                </w:p>
              </w:tc>
              <w:tc>
                <w:tcPr>
                  <w:tcW w:w="666" w:type="pct"/>
                  <w:vMerge w:val="continue"/>
                  <w:vAlign w:val="center"/>
                </w:tcPr>
                <w:p w14:paraId="36E044F7">
                  <w:pPr>
                    <w:adjustRightInd w:val="0"/>
                    <w:snapToGrid w:val="0"/>
                    <w:jc w:val="center"/>
                    <w:rPr>
                      <w:color w:val="auto"/>
                      <w:szCs w:val="21"/>
                    </w:rPr>
                  </w:pPr>
                </w:p>
              </w:tc>
              <w:tc>
                <w:tcPr>
                  <w:tcW w:w="982" w:type="pct"/>
                  <w:vAlign w:val="center"/>
                </w:tcPr>
                <w:p w14:paraId="4744D7CE">
                  <w:pPr>
                    <w:adjustRightInd w:val="0"/>
                    <w:snapToGrid w:val="0"/>
                    <w:jc w:val="center"/>
                    <w:rPr>
                      <w:color w:val="auto"/>
                      <w:szCs w:val="21"/>
                    </w:rPr>
                  </w:pPr>
                  <w:r>
                    <w:rPr>
                      <w:color w:val="auto"/>
                      <w:szCs w:val="21"/>
                    </w:rPr>
                    <w:t>TP</w:t>
                  </w:r>
                </w:p>
              </w:tc>
              <w:tc>
                <w:tcPr>
                  <w:tcW w:w="964" w:type="pct"/>
                </w:tcPr>
                <w:p w14:paraId="5947F6A9">
                  <w:pPr>
                    <w:adjustRightInd w:val="0"/>
                    <w:snapToGrid w:val="0"/>
                    <w:spacing w:line="25" w:lineRule="atLeast"/>
                    <w:jc w:val="center"/>
                    <w:rPr>
                      <w:color w:val="auto"/>
                      <w:szCs w:val="21"/>
                    </w:rPr>
                  </w:pPr>
                  <w:r>
                    <w:rPr>
                      <w:color w:val="auto"/>
                      <w:szCs w:val="21"/>
                    </w:rPr>
                    <w:t>8</w:t>
                  </w:r>
                </w:p>
              </w:tc>
              <w:tc>
                <w:tcPr>
                  <w:tcW w:w="960" w:type="pct"/>
                  <w:vAlign w:val="center"/>
                </w:tcPr>
                <w:p w14:paraId="7A958F9F">
                  <w:pPr>
                    <w:adjustRightInd w:val="0"/>
                    <w:snapToGrid w:val="0"/>
                    <w:jc w:val="center"/>
                    <w:rPr>
                      <w:rFonts w:hint="default" w:eastAsia="宋体"/>
                      <w:color w:val="auto"/>
                      <w:szCs w:val="21"/>
                      <w:lang w:val="en-US" w:eastAsia="zh-CN"/>
                    </w:rPr>
                  </w:pPr>
                  <w:r>
                    <w:rPr>
                      <w:rFonts w:hint="eastAsia"/>
                      <w:color w:val="auto"/>
                      <w:szCs w:val="21"/>
                      <w:lang w:val="en-US" w:eastAsia="zh-CN"/>
                    </w:rPr>
                    <w:t>0.0001</w:t>
                  </w:r>
                </w:p>
              </w:tc>
              <w:tc>
                <w:tcPr>
                  <w:tcW w:w="969" w:type="pct"/>
                  <w:vAlign w:val="center"/>
                </w:tcPr>
                <w:p w14:paraId="60DE3635">
                  <w:pPr>
                    <w:adjustRightInd w:val="0"/>
                    <w:snapToGrid w:val="0"/>
                    <w:jc w:val="center"/>
                    <w:rPr>
                      <w:rFonts w:hint="default" w:eastAsia="宋体"/>
                      <w:color w:val="auto"/>
                      <w:szCs w:val="21"/>
                      <w:lang w:val="en-US" w:eastAsia="zh-CN"/>
                    </w:rPr>
                  </w:pPr>
                  <w:r>
                    <w:rPr>
                      <w:rFonts w:hint="eastAsia"/>
                      <w:color w:val="auto"/>
                      <w:szCs w:val="21"/>
                      <w:lang w:val="en-US" w:eastAsia="zh-CN"/>
                    </w:rPr>
                    <w:t>0.0333</w:t>
                  </w:r>
                </w:p>
              </w:tc>
            </w:tr>
          </w:tbl>
          <w:p w14:paraId="5F112855">
            <w:pPr>
              <w:adjustRightInd w:val="0"/>
              <w:snapToGrid w:val="0"/>
              <w:jc w:val="center"/>
              <w:rPr>
                <w:b/>
                <w:color w:val="auto"/>
                <w:szCs w:val="21"/>
              </w:rPr>
            </w:pPr>
          </w:p>
          <w:p w14:paraId="57BEEC9A">
            <w:pPr>
              <w:widowControl/>
              <w:spacing w:line="360" w:lineRule="auto"/>
              <w:textAlignment w:val="bottom"/>
              <w:rPr>
                <w:bCs/>
                <w:color w:val="auto"/>
                <w:spacing w:val="-10"/>
                <w:kern w:val="0"/>
                <w:sz w:val="24"/>
              </w:rPr>
            </w:pPr>
          </w:p>
        </w:tc>
      </w:tr>
    </w:tbl>
    <w:p w14:paraId="30D45B38">
      <w:pPr>
        <w:adjustRightInd w:val="0"/>
        <w:snapToGrid w:val="0"/>
        <w:spacing w:line="360" w:lineRule="auto"/>
        <w:rPr>
          <w:b/>
          <w:color w:val="auto"/>
          <w:kern w:val="0"/>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5"/>
        <w:tblW w:w="91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6"/>
        <w:gridCol w:w="8925"/>
      </w:tblGrid>
      <w:tr w14:paraId="038A8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39" w:hRule="atLeast"/>
          <w:jc w:val="center"/>
        </w:trPr>
        <w:tc>
          <w:tcPr>
            <w:tcW w:w="266" w:type="dxa"/>
            <w:tcMar>
              <w:left w:w="28" w:type="dxa"/>
              <w:right w:w="28" w:type="dxa"/>
            </w:tcMar>
            <w:vAlign w:val="center"/>
          </w:tcPr>
          <w:p w14:paraId="0B16B7C3">
            <w:pPr>
              <w:adjustRightInd w:val="0"/>
              <w:snapToGrid w:val="0"/>
              <w:jc w:val="center"/>
              <w:rPr>
                <w:bCs/>
                <w:color w:val="auto"/>
                <w:szCs w:val="21"/>
              </w:rPr>
            </w:pPr>
            <w:r>
              <w:rPr>
                <w:bCs/>
                <w:color w:val="auto"/>
                <w:szCs w:val="21"/>
              </w:rPr>
              <w:t>运营</w:t>
            </w:r>
          </w:p>
          <w:p w14:paraId="0AE9F1BC">
            <w:pPr>
              <w:adjustRightInd w:val="0"/>
              <w:snapToGrid w:val="0"/>
              <w:jc w:val="center"/>
              <w:rPr>
                <w:bCs/>
                <w:color w:val="auto"/>
                <w:szCs w:val="21"/>
              </w:rPr>
            </w:pPr>
            <w:r>
              <w:rPr>
                <w:bCs/>
                <w:color w:val="auto"/>
                <w:szCs w:val="21"/>
              </w:rPr>
              <w:t>期环</w:t>
            </w:r>
          </w:p>
          <w:p w14:paraId="32F3467A">
            <w:pPr>
              <w:adjustRightInd w:val="0"/>
              <w:snapToGrid w:val="0"/>
              <w:jc w:val="center"/>
              <w:rPr>
                <w:bCs/>
                <w:color w:val="auto"/>
                <w:szCs w:val="21"/>
              </w:rPr>
            </w:pPr>
            <w:r>
              <w:rPr>
                <w:bCs/>
                <w:color w:val="auto"/>
                <w:szCs w:val="21"/>
              </w:rPr>
              <w:t>境影</w:t>
            </w:r>
          </w:p>
          <w:p w14:paraId="49C735A9">
            <w:pPr>
              <w:adjustRightInd w:val="0"/>
              <w:snapToGrid w:val="0"/>
              <w:jc w:val="center"/>
              <w:rPr>
                <w:bCs/>
                <w:color w:val="auto"/>
                <w:szCs w:val="21"/>
              </w:rPr>
            </w:pPr>
            <w:r>
              <w:rPr>
                <w:bCs/>
                <w:color w:val="auto"/>
                <w:szCs w:val="21"/>
              </w:rPr>
              <w:t>响和</w:t>
            </w:r>
          </w:p>
          <w:p w14:paraId="35B0061E">
            <w:pPr>
              <w:adjustRightInd w:val="0"/>
              <w:snapToGrid w:val="0"/>
              <w:jc w:val="center"/>
              <w:rPr>
                <w:bCs/>
                <w:color w:val="auto"/>
                <w:szCs w:val="21"/>
              </w:rPr>
            </w:pPr>
            <w:r>
              <w:rPr>
                <w:bCs/>
                <w:color w:val="auto"/>
                <w:szCs w:val="21"/>
              </w:rPr>
              <w:t>保护</w:t>
            </w:r>
          </w:p>
          <w:p w14:paraId="3235928A">
            <w:pPr>
              <w:adjustRightInd w:val="0"/>
              <w:snapToGrid w:val="0"/>
              <w:jc w:val="center"/>
              <w:rPr>
                <w:bCs/>
                <w:color w:val="auto"/>
                <w:szCs w:val="21"/>
              </w:rPr>
            </w:pPr>
            <w:r>
              <w:rPr>
                <w:bCs/>
                <w:color w:val="auto"/>
                <w:szCs w:val="21"/>
              </w:rPr>
              <w:t>措施</w:t>
            </w:r>
          </w:p>
        </w:tc>
        <w:tc>
          <w:tcPr>
            <w:tcW w:w="8925" w:type="dxa"/>
            <w:tcBorders>
              <w:top w:val="single" w:color="auto" w:sz="4" w:space="0"/>
              <w:bottom w:val="single" w:color="auto" w:sz="4" w:space="0"/>
              <w:right w:val="single" w:color="auto" w:sz="4" w:space="0"/>
            </w:tcBorders>
            <w:vAlign w:val="center"/>
          </w:tcPr>
          <w:p w14:paraId="0FC3A0FE">
            <w:pPr>
              <w:spacing w:line="360" w:lineRule="auto"/>
              <w:ind w:firstLine="463" w:firstLineChars="192"/>
              <w:rPr>
                <w:b/>
                <w:color w:val="auto"/>
                <w:sz w:val="24"/>
              </w:rPr>
            </w:pPr>
            <w:r>
              <w:rPr>
                <w:rFonts w:hint="eastAsia"/>
                <w:b/>
                <w:color w:val="auto"/>
                <w:sz w:val="24"/>
              </w:rPr>
              <w:t>（2）废水污染物源强核算</w:t>
            </w:r>
          </w:p>
          <w:p w14:paraId="6B18945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本项目车间定期清扫不冲洗</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因此</w:t>
            </w:r>
            <w:r>
              <w:rPr>
                <w:rFonts w:hint="default" w:ascii="Times New Roman" w:hAnsi="Times New Roman" w:cs="Times New Roman"/>
                <w:color w:val="auto"/>
                <w:sz w:val="24"/>
                <w:szCs w:val="24"/>
                <w:lang w:eastAsia="zh-CN"/>
              </w:rPr>
              <w:t>，本项目运营期外排废水主要为员工生活污水</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餐饮废水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lang w:eastAsia="zh-CN"/>
              </w:rPr>
              <w:t>生产废水为</w:t>
            </w:r>
            <w:r>
              <w:rPr>
                <w:rFonts w:hint="eastAsia" w:cs="Times New Roman"/>
                <w:color w:val="auto"/>
                <w:sz w:val="24"/>
                <w:szCs w:val="24"/>
                <w:lang w:val="en-US" w:eastAsia="zh-CN"/>
              </w:rPr>
              <w:t>冷却废水，</w:t>
            </w:r>
            <w:r>
              <w:rPr>
                <w:rFonts w:hint="eastAsia" w:ascii="宋体" w:hAnsi="宋体" w:cs="宋体"/>
                <w:color w:val="auto"/>
                <w:sz w:val="24"/>
                <w:szCs w:val="24"/>
                <w:lang w:val="en-US" w:eastAsia="zh-CN"/>
              </w:rPr>
              <w:t>本项目与现有工程共用1个循环冷却水池，现有工程冷却水循环使用不外排。本项目确定</w:t>
            </w:r>
            <w:r>
              <w:rPr>
                <w:rFonts w:hint="eastAsia" w:ascii="宋体" w:hAnsi="宋体" w:eastAsia="宋体" w:cs="宋体"/>
                <w:color w:val="auto"/>
                <w:sz w:val="24"/>
                <w:szCs w:val="24"/>
              </w:rPr>
              <w:t>冷却水经冷却</w:t>
            </w:r>
            <w:r>
              <w:rPr>
                <w:rFonts w:hint="eastAsia" w:ascii="宋体" w:hAnsi="宋体" w:cs="宋体"/>
                <w:color w:val="auto"/>
                <w:sz w:val="24"/>
                <w:szCs w:val="24"/>
                <w:lang w:val="en-US" w:eastAsia="zh-CN"/>
              </w:rPr>
              <w:t>水池</w:t>
            </w:r>
            <w:r>
              <w:rPr>
                <w:rFonts w:hint="eastAsia" w:ascii="宋体" w:hAnsi="宋体" w:eastAsia="宋体" w:cs="宋体"/>
                <w:color w:val="auto"/>
                <w:sz w:val="24"/>
                <w:szCs w:val="24"/>
              </w:rPr>
              <w:t>循环使用</w:t>
            </w:r>
            <w:r>
              <w:rPr>
                <w:rFonts w:hint="eastAsia" w:ascii="宋体" w:hAnsi="宋体" w:eastAsia="宋体" w:cs="宋体"/>
                <w:color w:val="auto"/>
                <w:sz w:val="24"/>
                <w:szCs w:val="24"/>
                <w:lang w:eastAsia="zh-CN"/>
              </w:rPr>
              <w:t>每</w:t>
            </w:r>
            <w:r>
              <w:rPr>
                <w:rFonts w:hint="eastAsia" w:ascii="宋体" w:hAnsi="宋体" w:cs="宋体"/>
                <w:color w:val="auto"/>
                <w:sz w:val="24"/>
                <w:szCs w:val="24"/>
                <w:lang w:val="en-US" w:eastAsia="zh-CN"/>
              </w:rPr>
              <w:t>月</w:t>
            </w:r>
            <w:r>
              <w:rPr>
                <w:rFonts w:hint="eastAsia" w:ascii="宋体" w:hAnsi="宋体" w:eastAsia="宋体" w:cs="宋体"/>
                <w:color w:val="auto"/>
                <w:sz w:val="24"/>
                <w:szCs w:val="24"/>
                <w:lang w:eastAsia="zh-CN"/>
              </w:rPr>
              <w:t>排放一次</w:t>
            </w:r>
            <w:r>
              <w:rPr>
                <w:rFonts w:hint="eastAsia" w:cs="Times New Roman"/>
                <w:color w:val="auto"/>
                <w:sz w:val="24"/>
                <w:szCs w:val="24"/>
                <w:lang w:val="en-US" w:eastAsia="zh-CN"/>
              </w:rPr>
              <w:t>、</w:t>
            </w:r>
            <w:r>
              <w:rPr>
                <w:rFonts w:hint="default" w:ascii="Times New Roman" w:hAnsi="Times New Roman" w:cs="Times New Roman"/>
                <w:color w:val="auto"/>
                <w:sz w:val="24"/>
                <w:szCs w:val="24"/>
                <w:lang w:eastAsia="zh-CN"/>
              </w:rPr>
              <w:t>洗版废水为</w:t>
            </w:r>
            <w:r>
              <w:rPr>
                <w:rFonts w:hint="default" w:ascii="Times New Roman" w:hAnsi="Times New Roman" w:cs="Times New Roman"/>
                <w:color w:val="auto"/>
                <w:sz w:val="24"/>
                <w:szCs w:val="24"/>
                <w:highlight w:val="none"/>
                <w:lang w:eastAsia="zh-CN"/>
              </w:rPr>
              <w:t>危废，委托有资质的单位定期收运处置。</w:t>
            </w:r>
          </w:p>
          <w:p w14:paraId="56B00F67">
            <w:pPr>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（1）废水产生情况</w:t>
            </w:r>
          </w:p>
          <w:p w14:paraId="24D52C03">
            <w:pPr>
              <w:pStyle w:val="92"/>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①生产废水</w:t>
            </w:r>
          </w:p>
          <w:p w14:paraId="67995E4B">
            <w:pPr>
              <w:adjustRightInd w:val="0"/>
              <w:snapToGrid w:val="0"/>
              <w:spacing w:line="360" w:lineRule="auto"/>
              <w:ind w:firstLine="482" w:firstLineChars="200"/>
              <w:jc w:val="left"/>
              <w:rPr>
                <w:rFonts w:hint="eastAsia" w:ascii="Times New Roman" w:hAnsi="Times New Roman" w:eastAsia="宋体" w:cs="Times New Roman"/>
                <w:color w:val="auto"/>
                <w:sz w:val="24"/>
                <w:szCs w:val="20"/>
                <w:lang w:val="en-US" w:eastAsia="zh-CN"/>
              </w:rPr>
            </w:pPr>
            <w:r>
              <w:rPr>
                <w:rFonts w:hint="default" w:ascii="Times New Roman" w:hAnsi="Times New Roman" w:cs="Times New Roman"/>
                <w:b/>
                <w:bCs/>
                <w:color w:val="auto"/>
                <w:sz w:val="24"/>
                <w:szCs w:val="20"/>
              </w:rPr>
              <w:t>冷却</w:t>
            </w:r>
            <w:r>
              <w:rPr>
                <w:rFonts w:hint="eastAsia" w:ascii="Times New Roman" w:hAnsi="Times New Roman" w:cs="Times New Roman"/>
                <w:b/>
                <w:bCs/>
                <w:color w:val="auto"/>
                <w:sz w:val="24"/>
                <w:szCs w:val="20"/>
                <w:lang w:eastAsia="zh-CN"/>
              </w:rPr>
              <w:t>废</w:t>
            </w:r>
            <w:r>
              <w:rPr>
                <w:rFonts w:hint="default" w:ascii="Times New Roman" w:hAnsi="Times New Roman" w:cs="Times New Roman"/>
                <w:b/>
                <w:bCs/>
                <w:color w:val="auto"/>
                <w:sz w:val="24"/>
                <w:szCs w:val="20"/>
              </w:rPr>
              <w:t>水</w:t>
            </w:r>
            <w:r>
              <w:rPr>
                <w:rFonts w:hint="default" w:ascii="Times New Roman" w:hAnsi="Times New Roman" w:cs="Times New Roman"/>
                <w:color w:val="auto"/>
                <w:sz w:val="24"/>
                <w:szCs w:val="20"/>
                <w:highlight w:val="none"/>
              </w:rPr>
              <w:t>：</w:t>
            </w:r>
            <w:r>
              <w:rPr>
                <w:rFonts w:ascii="Times New Roman" w:hAnsi="Times New Roman" w:eastAsia="宋体" w:cs="Times New Roman"/>
                <w:color w:val="auto"/>
                <w:sz w:val="24"/>
              </w:rPr>
              <w:t>项目</w:t>
            </w:r>
            <w:r>
              <w:rPr>
                <w:rFonts w:hint="eastAsia" w:ascii="Times New Roman" w:hAnsi="Times New Roman" w:eastAsia="宋体" w:cs="Times New Roman"/>
                <w:color w:val="auto"/>
                <w:sz w:val="24"/>
              </w:rPr>
              <w:t>注塑</w:t>
            </w:r>
            <w:r>
              <w:rPr>
                <w:rFonts w:ascii="Times New Roman" w:hAnsi="Times New Roman" w:eastAsia="宋体" w:cs="Times New Roman"/>
                <w:color w:val="auto"/>
                <w:sz w:val="24"/>
              </w:rPr>
              <w:t>过程需要使用冷却水对</w:t>
            </w:r>
            <w:r>
              <w:rPr>
                <w:rFonts w:hint="eastAsia" w:ascii="Times New Roman" w:hAnsi="Times New Roman" w:eastAsia="宋体" w:cs="Times New Roman"/>
                <w:color w:val="auto"/>
                <w:sz w:val="24"/>
              </w:rPr>
              <w:t>注塑机</w:t>
            </w:r>
            <w:r>
              <w:rPr>
                <w:rFonts w:ascii="Times New Roman" w:hAnsi="Times New Roman" w:eastAsia="宋体" w:cs="Times New Roman"/>
                <w:color w:val="auto"/>
                <w:sz w:val="24"/>
              </w:rPr>
              <w:t>进行间接冷却，</w:t>
            </w:r>
            <w:r>
              <w:rPr>
                <w:rFonts w:hint="default" w:ascii="Times New Roman" w:hAnsi="Times New Roman" w:cs="Times New Roman"/>
                <w:color w:val="auto"/>
                <w:sz w:val="24"/>
                <w:szCs w:val="20"/>
                <w:highlight w:val="none"/>
              </w:rPr>
              <w:t>水不与产品接触，</w:t>
            </w:r>
            <w:r>
              <w:rPr>
                <w:rFonts w:ascii="Times New Roman" w:hAnsi="Times New Roman" w:eastAsia="宋体" w:cs="Times New Roman"/>
                <w:color w:val="auto"/>
                <w:sz w:val="24"/>
              </w:rPr>
              <w:t>冷却水经冷却</w:t>
            </w:r>
            <w:r>
              <w:rPr>
                <w:rFonts w:hint="eastAsia" w:ascii="Times New Roman" w:hAnsi="Times New Roman" w:cs="Times New Roman"/>
                <w:color w:val="auto"/>
                <w:sz w:val="24"/>
                <w:lang w:val="en-US" w:eastAsia="zh-CN"/>
              </w:rPr>
              <w:t>水池</w:t>
            </w:r>
            <w:r>
              <w:rPr>
                <w:rFonts w:ascii="Times New Roman" w:hAnsi="Times New Roman" w:eastAsia="宋体" w:cs="Times New Roman"/>
                <w:color w:val="auto"/>
                <w:sz w:val="24"/>
              </w:rPr>
              <w:t>冷却后循环使用，</w:t>
            </w:r>
            <w:r>
              <w:rPr>
                <w:rFonts w:hint="eastAsia" w:ascii="Times New Roman" w:hAnsi="Times New Roman" w:eastAsia="宋体" w:cs="Times New Roman"/>
                <w:color w:val="auto"/>
                <w:sz w:val="24"/>
              </w:rPr>
              <w:t>定期</w:t>
            </w:r>
            <w:r>
              <w:rPr>
                <w:rFonts w:ascii="Times New Roman" w:hAnsi="Times New Roman" w:eastAsia="宋体" w:cs="Times New Roman"/>
                <w:color w:val="auto"/>
                <w:sz w:val="24"/>
              </w:rPr>
              <w:t>补充</w:t>
            </w:r>
            <w:r>
              <w:rPr>
                <w:rFonts w:hint="eastAsia" w:ascii="Times New Roman" w:hAnsi="Times New Roman" w:eastAsia="宋体" w:cs="Times New Roman"/>
                <w:color w:val="auto"/>
                <w:sz w:val="24"/>
              </w:rPr>
              <w:t>，定期排放</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冷却塔</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冷却水</w:t>
            </w:r>
            <w:r>
              <w:rPr>
                <w:rFonts w:hint="eastAsia" w:ascii="Times New Roman" w:hAnsi="Times New Roman" w:eastAsia="宋体" w:cs="Times New Roman"/>
                <w:color w:val="auto"/>
                <w:sz w:val="24"/>
              </w:rPr>
              <w:t>每</w:t>
            </w:r>
            <w:r>
              <w:rPr>
                <w:rFonts w:hint="eastAsia" w:ascii="Times New Roman" w:hAnsi="Times New Roman" w:cs="Times New Roman"/>
                <w:color w:val="auto"/>
                <w:sz w:val="24"/>
                <w:lang w:val="en-US" w:eastAsia="zh-CN"/>
              </w:rPr>
              <w:t>月</w:t>
            </w:r>
            <w:r>
              <w:rPr>
                <w:rFonts w:ascii="Times New Roman" w:hAnsi="Times New Roman" w:eastAsia="宋体" w:cs="Times New Roman"/>
                <w:color w:val="auto"/>
                <w:sz w:val="24"/>
              </w:rPr>
              <w:t>外排</w:t>
            </w:r>
            <w:r>
              <w:rPr>
                <w:rFonts w:hint="eastAsia" w:ascii="Times New Roman" w:hAnsi="Times New Roman" w:eastAsia="宋体" w:cs="Times New Roman"/>
                <w:color w:val="auto"/>
                <w:sz w:val="24"/>
              </w:rPr>
              <w:t>一次，</w:t>
            </w:r>
            <w:r>
              <w:rPr>
                <w:rFonts w:ascii="Times New Roman" w:hAnsi="Times New Roman" w:eastAsia="宋体" w:cs="Times New Roman"/>
                <w:color w:val="auto"/>
                <w:sz w:val="24"/>
                <w:lang w:val="en-US" w:eastAsia="zh-CN"/>
              </w:rPr>
              <w:t>项目冷却池容积为</w:t>
            </w:r>
            <w:r>
              <w:rPr>
                <w:rFonts w:hint="eastAsia" w:ascii="Times New Roman" w:hAnsi="Times New Roman" w:eastAsia="宋体" w:cs="Times New Roman"/>
                <w:color w:val="auto"/>
                <w:sz w:val="24"/>
                <w:lang w:val="en-US" w:eastAsia="zh-CN"/>
              </w:rPr>
              <w:t>1</w:t>
            </w:r>
            <w:r>
              <w:rPr>
                <w:rFonts w:ascii="Times New Roman" w:hAnsi="Times New Roman" w:eastAsia="宋体" w:cs="Times New Roman"/>
                <w:color w:val="auto"/>
                <w:sz w:val="24"/>
                <w:lang w:val="en-US" w:eastAsia="zh-CN"/>
              </w:rPr>
              <w:t>m</w:t>
            </w:r>
            <w:r>
              <w:rPr>
                <w:rFonts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vertAlign w:val="baseline"/>
                <w:lang w:val="en-US" w:eastAsia="zh-CN"/>
              </w:rPr>
              <w:t>，</w:t>
            </w:r>
            <w:r>
              <w:rPr>
                <w:rFonts w:hint="eastAsia" w:ascii="Times New Roman" w:hAnsi="Times New Roman" w:eastAsia="宋体" w:cs="Times New Roman"/>
                <w:color w:val="auto"/>
                <w:sz w:val="24"/>
              </w:rPr>
              <w:t>废水量</w:t>
            </w:r>
            <w:r>
              <w:rPr>
                <w:rFonts w:hint="eastAsia" w:cs="Times New Roman"/>
                <w:color w:val="auto"/>
                <w:sz w:val="24"/>
                <w:lang w:val="en-US" w:eastAsia="zh-CN"/>
              </w:rPr>
              <w:t>12</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/a</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0.04</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d</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冷却水</w:t>
            </w:r>
            <w:r>
              <w:rPr>
                <w:rFonts w:ascii="Times New Roman" w:hAnsi="Times New Roman" w:eastAsia="宋体" w:cs="Times New Roman"/>
                <w:color w:val="auto"/>
                <w:sz w:val="24"/>
              </w:rPr>
              <w:t>每日补充新鲜水量为</w:t>
            </w:r>
            <w:r>
              <w:rPr>
                <w:rFonts w:hint="eastAsia" w:cs="Times New Roman"/>
                <w:color w:val="auto"/>
                <w:sz w:val="24"/>
                <w:lang w:val="en-US" w:eastAsia="zh-CN"/>
              </w:rPr>
              <w:t>0.1</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/d，即</w:t>
            </w:r>
            <w:r>
              <w:rPr>
                <w:rFonts w:hint="eastAsia" w:cs="Times New Roman"/>
                <w:color w:val="auto"/>
                <w:sz w:val="24"/>
                <w:lang w:val="en-US" w:eastAsia="zh-CN"/>
              </w:rPr>
              <w:t>30</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/a</w:t>
            </w:r>
            <w:r>
              <w:rPr>
                <w:rFonts w:hint="eastAsia" w:ascii="Times New Roman" w:hAnsi="Times New Roman" w:cs="Times New Roman"/>
                <w:color w:val="auto"/>
                <w:sz w:val="24"/>
                <w:lang w:eastAsia="zh-CN"/>
              </w:rPr>
              <w:t>。</w:t>
            </w:r>
          </w:p>
          <w:p w14:paraId="7D470BA9">
            <w:pPr>
              <w:pStyle w:val="61"/>
              <w:adjustRightInd/>
              <w:spacing w:before="0" w:after="0" w:line="360" w:lineRule="auto"/>
              <w:ind w:firstLine="482" w:firstLineChars="200"/>
              <w:textAlignment w:val="auto"/>
              <w:rPr>
                <w:rFonts w:eastAsia="宋体"/>
                <w:color w:val="auto"/>
                <w:kern w:val="2"/>
                <w:sz w:val="24"/>
                <w:szCs w:val="24"/>
                <w:highlight w:val="none"/>
              </w:rPr>
            </w:pPr>
            <w:r>
              <w:rPr>
                <w:rFonts w:eastAsia="宋体"/>
                <w:b/>
                <w:bCs/>
                <w:color w:val="auto"/>
                <w:kern w:val="2"/>
                <w:sz w:val="24"/>
                <w:szCs w:val="24"/>
                <w:highlight w:val="none"/>
              </w:rPr>
              <w:t>治理措施：</w:t>
            </w:r>
            <w:r>
              <w:rPr>
                <w:rFonts w:hint="eastAsia" w:ascii="Times New Roman" w:hAnsi="Times New Roman" w:eastAsia="宋体" w:cs="Times New Roman"/>
                <w:color w:val="auto"/>
                <w:sz w:val="24"/>
                <w:highlight w:val="none"/>
              </w:rPr>
              <w:t>冷却废水</w:t>
            </w:r>
            <w:r>
              <w:rPr>
                <w:rFonts w:hint="eastAsia" w:eastAsia="宋体"/>
                <w:color w:val="auto"/>
                <w:kern w:val="2"/>
                <w:sz w:val="24"/>
                <w:szCs w:val="24"/>
                <w:highlight w:val="none"/>
              </w:rPr>
              <w:t>排入</w:t>
            </w:r>
            <w:r>
              <w:rPr>
                <w:rFonts w:eastAsia="宋体"/>
                <w:color w:val="auto"/>
                <w:kern w:val="2"/>
                <w:sz w:val="24"/>
                <w:szCs w:val="24"/>
                <w:highlight w:val="none"/>
              </w:rPr>
              <w:t>厂区</w:t>
            </w:r>
            <w:r>
              <w:rPr>
                <w:rFonts w:hint="eastAsia" w:eastAsia="宋体"/>
                <w:color w:val="auto"/>
                <w:kern w:val="2"/>
                <w:sz w:val="24"/>
                <w:szCs w:val="24"/>
                <w:highlight w:val="none"/>
              </w:rPr>
              <w:t>已建的预处理池（</w:t>
            </w:r>
            <w:r>
              <w:rPr>
                <w:rFonts w:hint="eastAsia" w:eastAsia="宋体"/>
                <w:color w:val="auto"/>
                <w:kern w:val="2"/>
                <w:sz w:val="24"/>
                <w:szCs w:val="24"/>
                <w:highlight w:val="none"/>
                <w:lang w:val="en-US" w:eastAsia="zh-CN"/>
              </w:rPr>
              <w:t>40</w:t>
            </w:r>
            <w:r>
              <w:rPr>
                <w:rFonts w:hint="eastAsia" w:eastAsia="宋体"/>
                <w:color w:val="auto"/>
                <w:kern w:val="2"/>
                <w:sz w:val="24"/>
                <w:szCs w:val="24"/>
                <w:highlight w:val="none"/>
              </w:rPr>
              <w:t>m</w:t>
            </w:r>
            <w:r>
              <w:rPr>
                <w:rFonts w:hint="eastAsia" w:eastAsia="宋体"/>
                <w:color w:val="auto"/>
                <w:kern w:val="2"/>
                <w:sz w:val="24"/>
                <w:szCs w:val="24"/>
                <w:highlight w:val="none"/>
                <w:vertAlign w:val="superscript"/>
              </w:rPr>
              <w:t>3</w:t>
            </w:r>
            <w:r>
              <w:rPr>
                <w:rFonts w:hint="eastAsia" w:eastAsia="宋体"/>
                <w:color w:val="auto"/>
                <w:kern w:val="2"/>
                <w:sz w:val="24"/>
                <w:szCs w:val="24"/>
                <w:highlight w:val="none"/>
              </w:rPr>
              <w:t>）进行处理，经处理达《污水综合排放标准》（GB8978-1996）三级标准后，通过园区污水管网排入大英县</w:t>
            </w:r>
            <w:r>
              <w:rPr>
                <w:rFonts w:hint="eastAsia" w:eastAsia="宋体"/>
                <w:color w:val="auto"/>
                <w:kern w:val="2"/>
                <w:sz w:val="24"/>
                <w:szCs w:val="24"/>
                <w:highlight w:val="none"/>
                <w:lang w:val="en-US" w:eastAsia="zh-CN"/>
              </w:rPr>
              <w:t>工业</w:t>
            </w:r>
            <w:r>
              <w:rPr>
                <w:rFonts w:hint="eastAsia" w:eastAsia="宋体"/>
                <w:color w:val="auto"/>
                <w:kern w:val="2"/>
                <w:sz w:val="24"/>
                <w:szCs w:val="24"/>
                <w:highlight w:val="none"/>
              </w:rPr>
              <w:t>污水处理厂，达标后排入郪江。</w:t>
            </w:r>
          </w:p>
          <w:p w14:paraId="47E9106A">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2"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b/>
                <w:bCs/>
                <w:color w:val="auto"/>
                <w:sz w:val="24"/>
                <w:szCs w:val="24"/>
                <w:lang w:eastAsia="zh-CN"/>
              </w:rPr>
              <w:t>洗版废水</w:t>
            </w:r>
            <w:r>
              <w:rPr>
                <w:rFonts w:hint="eastAsia" w:ascii="Times New Roman" w:hAnsi="Times New Roman" w:cs="Times New Roman"/>
                <w:b/>
                <w:bCs/>
                <w:color w:val="auto"/>
                <w:sz w:val="24"/>
                <w:szCs w:val="24"/>
                <w:lang w:eastAsia="zh-CN"/>
              </w:rPr>
              <w:t>：</w:t>
            </w:r>
            <w:r>
              <w:rPr>
                <w:rFonts w:hint="default" w:ascii="Times New Roman" w:hAnsi="Times New Roman" w:eastAsia="宋体" w:cs="Times New Roman"/>
                <w:color w:val="auto"/>
                <w:kern w:val="2"/>
                <w:sz w:val="24"/>
                <w:szCs w:val="24"/>
                <w:lang w:val="en-US" w:eastAsia="zh-CN" w:bidi="ar-SA"/>
              </w:rPr>
              <w:t>本次</w:t>
            </w:r>
            <w:r>
              <w:rPr>
                <w:rFonts w:hint="eastAsia" w:ascii="Times New Roman" w:hAnsi="Times New Roman" w:cs="Times New Roman"/>
                <w:color w:val="auto"/>
                <w:kern w:val="2"/>
                <w:sz w:val="24"/>
                <w:szCs w:val="24"/>
                <w:lang w:val="en-US" w:eastAsia="zh-CN" w:bidi="ar-SA"/>
              </w:rPr>
              <w:t>扩建</w:t>
            </w:r>
            <w:r>
              <w:rPr>
                <w:rFonts w:hint="default" w:ascii="Times New Roman" w:hAnsi="Times New Roman" w:eastAsia="宋体" w:cs="Times New Roman"/>
                <w:color w:val="auto"/>
                <w:kern w:val="2"/>
                <w:sz w:val="24"/>
                <w:szCs w:val="24"/>
                <w:lang w:val="en-US" w:eastAsia="zh-CN" w:bidi="ar-SA"/>
              </w:rPr>
              <w:t>新增</w:t>
            </w:r>
            <w:r>
              <w:rPr>
                <w:rFonts w:hint="eastAsia" w:ascii="Times New Roman" w:hAnsi="Times New Roman"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台CTP制版机，制版工序中洗版水经循环过滤装置处理后循环使用，定期排放，将产生生产废水：当循环水的pH值达不到洗版需求时，需对循环水进行更换，此过程将产生洗版废液。循环处理系统水箱的容积约40L，受循环水蒸发损失等因素影响，根据洗版水循环过滤系统运行经验，需定期补充新鲜水约0.02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/d，年补水量6.0m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/a。循环水量为40L，平均每10天更换一次，每次更换废水量为40L。因此，新增用水量为7.2m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/a，产生的生产废水共计约为1.2m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/a。更换废水同时对滤芯进行更换，产生的滤材滤渣及洗版废液作为危废，采取密闭容器收储后转移至危废暂存间暂存，委托有资质的单位定期收运处置。</w:t>
            </w:r>
          </w:p>
          <w:p w14:paraId="03B75724">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洗版水循环过滤系统净化原理：洗版机废水通过水管与过滤装置进口连接，过滤装置装于循环水箱的上部,其出水口与水箱联通,通过循环水泵与洗版机的进水口连接。控制器分别与循环水泵、高液位传感器、低液位传感器和酸碱度探头连接。过滤装置滤材构成为无纺布+纤维棉+活性炭，最大设备处理能力为50L/h。洗版水循环过滤系统可将冲过版的水经过本装置滤材多级过滤后，使其达到可再次洗版的要求，实现洗版用水的回收循环使用，当过滤滤芯吸附饱和，洗版循环水pH达不到要求时对滤芯及循环水进行更换，可节约95%以上的洗版用水量并相应减少污水产生的量。</w:t>
            </w:r>
          </w:p>
          <w:p w14:paraId="7ECDAFBB">
            <w:pPr>
              <w:pStyle w:val="92"/>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②生活污水</w:t>
            </w:r>
          </w:p>
          <w:p w14:paraId="254026B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bCs/>
                <w:color w:val="auto"/>
                <w:sz w:val="24"/>
                <w:szCs w:val="24"/>
                <w:lang w:eastAsia="zh-CN"/>
              </w:rPr>
              <w:t>办公生活污水：</w:t>
            </w:r>
            <w:r>
              <w:rPr>
                <w:rFonts w:hint="eastAsia" w:ascii="Times New Roman" w:hAnsi="Times New Roman" w:eastAsia="宋体" w:cs="Times New Roman"/>
                <w:color w:val="auto"/>
                <w:sz w:val="24"/>
                <w:szCs w:val="24"/>
                <w:highlight w:val="none"/>
              </w:rPr>
              <w:t>区内设置有职工食堂和倒班宿舍，</w:t>
            </w:r>
            <w:r>
              <w:rPr>
                <w:rFonts w:hint="eastAsia" w:ascii="Times New Roman" w:hAnsi="Times New Roman" w:eastAsia="宋体" w:cs="Times New Roman"/>
                <w:color w:val="auto"/>
                <w:sz w:val="24"/>
                <w:szCs w:val="24"/>
                <w:highlight w:val="none"/>
                <w:lang w:val="en-US" w:eastAsia="zh-CN"/>
              </w:rPr>
              <w:t>本项目新增</w:t>
            </w:r>
            <w:r>
              <w:rPr>
                <w:rFonts w:hint="eastAsia" w:ascii="Times New Roman" w:hAnsi="Times New Roman" w:eastAsia="宋体" w:cs="Times New Roman"/>
                <w:color w:val="auto"/>
                <w:sz w:val="24"/>
                <w:szCs w:val="24"/>
                <w:highlight w:val="none"/>
              </w:rPr>
              <w:t>劳动定员</w:t>
            </w:r>
            <w:r>
              <w:rPr>
                <w:rFonts w:hint="eastAsia" w:ascii="Times New Roman" w:hAnsi="Times New Roman" w:eastAsia="宋体" w:cs="Times New Roman"/>
                <w:color w:val="auto"/>
                <w:sz w:val="24"/>
                <w:szCs w:val="24"/>
                <w:highlight w:val="none"/>
                <w:lang w:val="en-US" w:eastAsia="zh-CN"/>
              </w:rPr>
              <w:t>125</w:t>
            </w:r>
            <w:r>
              <w:rPr>
                <w:rFonts w:hint="eastAsia" w:ascii="Times New Roman" w:hAnsi="Times New Roman" w:eastAsia="宋体" w:cs="Times New Roman"/>
                <w:color w:val="auto"/>
                <w:sz w:val="24"/>
                <w:szCs w:val="24"/>
                <w:highlight w:val="none"/>
              </w:rPr>
              <w:t>人</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全年平均工作300天</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。根据《四川省用水定额》（川府函〔2021〕8号）及实际情况，本项目职工日常办公及生活用水量按100L/人·d计，则办公及生活用水量为</w:t>
            </w:r>
            <w:r>
              <w:rPr>
                <w:rFonts w:hint="eastAsia" w:ascii="Times New Roman" w:hAnsi="Times New Roman" w:eastAsia="宋体" w:cs="Times New Roman"/>
                <w:color w:val="auto"/>
                <w:sz w:val="24"/>
                <w:szCs w:val="24"/>
                <w:highlight w:val="none"/>
                <w:lang w:val="en-US" w:eastAsia="zh-CN"/>
              </w:rPr>
              <w:t>12.5</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val="en-US" w:eastAsia="zh-CN"/>
              </w:rPr>
              <w:t>3750</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/a），污水产生系数按80%计，则本项目办公及生活污水产生量为</w:t>
            </w:r>
            <w:r>
              <w:rPr>
                <w:rFonts w:hint="eastAsia"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val="en-US" w:eastAsia="zh-CN"/>
              </w:rPr>
              <w:t>3000</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/a）</w:t>
            </w:r>
            <w:r>
              <w:rPr>
                <w:rFonts w:hint="default" w:ascii="Times New Roman" w:hAnsi="Times New Roman" w:cs="Times New Roman"/>
                <w:color w:val="auto"/>
                <w:sz w:val="24"/>
                <w:szCs w:val="24"/>
                <w:lang w:eastAsia="zh-CN"/>
              </w:rPr>
              <w:t>。</w:t>
            </w:r>
          </w:p>
          <w:p w14:paraId="5FD0130B">
            <w:pPr>
              <w:pStyle w:val="24"/>
              <w:keepNext w:val="0"/>
              <w:keepLines w:val="0"/>
              <w:pageBreakBefore w:val="0"/>
              <w:widowControl w:val="0"/>
              <w:tabs>
                <w:tab w:val="left" w:pos="420"/>
                <w:tab w:val="left" w:pos="870"/>
                <w:tab w:val="left" w:pos="3150"/>
              </w:tabs>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餐饮</w:t>
            </w:r>
            <w:r>
              <w:rPr>
                <w:rFonts w:hint="eastAsia" w:ascii="Times New Roman" w:hAnsi="Times New Roman" w:eastAsia="宋体" w:cs="Times New Roman"/>
                <w:color w:val="auto"/>
                <w:kern w:val="2"/>
                <w:sz w:val="24"/>
                <w:szCs w:val="24"/>
                <w:lang w:val="en-US" w:eastAsia="zh-CN" w:bidi="ar-SA"/>
              </w:rPr>
              <w:t>废水</w:t>
            </w:r>
            <w:r>
              <w:rPr>
                <w:rFonts w:hint="default" w:ascii="Times New Roman" w:hAnsi="Times New Roman" w:eastAsia="宋体" w:cs="Times New Roman"/>
                <w:color w:val="auto"/>
                <w:kern w:val="2"/>
                <w:sz w:val="24"/>
                <w:szCs w:val="24"/>
                <w:lang w:val="en-US" w:eastAsia="zh-CN" w:bidi="ar-SA"/>
              </w:rPr>
              <w:t>：餐饮用水按30L/人•d计算，</w:t>
            </w:r>
            <w:r>
              <w:rPr>
                <w:rFonts w:hint="eastAsia" w:ascii="Times New Roman" w:hAnsi="Times New Roman" w:eastAsia="宋体" w:cs="Times New Roman"/>
                <w:color w:val="auto"/>
                <w:kern w:val="2"/>
                <w:sz w:val="24"/>
                <w:szCs w:val="24"/>
                <w:lang w:val="en-US" w:eastAsia="zh-CN" w:bidi="ar-SA"/>
              </w:rPr>
              <w:t>现有工程未设置食堂，本项目新增食堂，新增用餐人数按160人计，</w:t>
            </w:r>
            <w:r>
              <w:rPr>
                <w:rFonts w:hint="default" w:ascii="Times New Roman" w:hAnsi="Times New Roman" w:eastAsia="宋体" w:cs="Times New Roman"/>
                <w:color w:val="auto"/>
                <w:kern w:val="2"/>
                <w:sz w:val="24"/>
                <w:szCs w:val="24"/>
                <w:lang w:val="en-US" w:eastAsia="zh-CN" w:bidi="ar-SA"/>
              </w:rPr>
              <w:t>则新增食堂日用水量为</w:t>
            </w:r>
            <w:r>
              <w:rPr>
                <w:rFonts w:hint="eastAsia" w:ascii="Times New Roman" w:hAnsi="Times New Roman" w:eastAsia="宋体" w:cs="Times New Roman"/>
                <w:color w:val="auto"/>
                <w:kern w:val="2"/>
                <w:sz w:val="24"/>
                <w:szCs w:val="24"/>
                <w:lang w:val="en-US" w:eastAsia="zh-CN" w:bidi="ar-SA"/>
              </w:rPr>
              <w:t>4.8</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w:t>
            </w:r>
            <w:r>
              <w:rPr>
                <w:rFonts w:hint="eastAsia" w:ascii="Times New Roman" w:hAnsi="Times New Roman" w:eastAsia="宋体" w:cs="Times New Roman"/>
                <w:color w:val="auto"/>
                <w:kern w:val="2"/>
                <w:sz w:val="24"/>
                <w:szCs w:val="24"/>
                <w:lang w:val="en-US" w:eastAsia="zh-CN" w:bidi="ar-SA"/>
              </w:rPr>
              <w:t>1440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/a），餐饮废水量按用水量的8</w:t>
            </w:r>
            <w:r>
              <w:rPr>
                <w:rFonts w:hint="eastAsia" w:ascii="Times New Roman" w:hAnsi="Times New Roman" w:eastAsia="宋体" w:cs="Times New Roman"/>
                <w:color w:val="auto"/>
                <w:kern w:val="2"/>
                <w:sz w:val="24"/>
                <w:szCs w:val="24"/>
                <w:lang w:val="en-US" w:eastAsia="zh-CN" w:bidi="ar-SA"/>
              </w:rPr>
              <w:t>0</w:t>
            </w:r>
            <w:r>
              <w:rPr>
                <w:rFonts w:hint="default" w:ascii="Times New Roman" w:hAnsi="Times New Roman" w:eastAsia="宋体" w:cs="Times New Roman"/>
                <w:color w:val="auto"/>
                <w:kern w:val="2"/>
                <w:sz w:val="24"/>
                <w:szCs w:val="24"/>
                <w:lang w:val="en-US" w:eastAsia="zh-CN" w:bidi="ar-SA"/>
              </w:rPr>
              <w:t>%计，则本项目新增餐饮废水产生量为</w:t>
            </w:r>
            <w:r>
              <w:rPr>
                <w:rFonts w:hint="eastAsia" w:ascii="Times New Roman" w:hAnsi="Times New Roman" w:eastAsia="宋体" w:cs="Times New Roman"/>
                <w:color w:val="auto"/>
                <w:kern w:val="2"/>
                <w:sz w:val="24"/>
                <w:szCs w:val="24"/>
                <w:lang w:val="en-US" w:eastAsia="zh-CN" w:bidi="ar-SA"/>
              </w:rPr>
              <w:t>3.84</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w:t>
            </w:r>
            <w:r>
              <w:rPr>
                <w:rFonts w:hint="eastAsia" w:ascii="Times New Roman" w:hAnsi="Times New Roman" w:eastAsia="宋体" w:cs="Times New Roman"/>
                <w:color w:val="auto"/>
                <w:kern w:val="2"/>
                <w:sz w:val="24"/>
                <w:szCs w:val="24"/>
                <w:lang w:val="en-US" w:eastAsia="zh-CN" w:bidi="ar-SA"/>
              </w:rPr>
              <w:t>1152</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w:t>
            </w:r>
            <w:r>
              <w:rPr>
                <w:rFonts w:hint="eastAsia" w:ascii="Times New Roman" w:hAnsi="Times New Roman" w:eastAsia="宋体" w:cs="Times New Roman"/>
                <w:color w:val="auto"/>
                <w:kern w:val="2"/>
                <w:sz w:val="24"/>
                <w:szCs w:val="24"/>
                <w:lang w:val="en-US" w:eastAsia="zh-CN" w:bidi="ar-SA"/>
              </w:rPr>
              <w:t>。</w:t>
            </w:r>
          </w:p>
          <w:p w14:paraId="381E2414">
            <w:pPr>
              <w:pStyle w:val="61"/>
              <w:adjustRightInd/>
              <w:spacing w:before="0" w:after="0" w:line="360" w:lineRule="auto"/>
              <w:ind w:firstLine="482" w:firstLineChars="200"/>
              <w:textAlignment w:val="auto"/>
              <w:rPr>
                <w:rFonts w:eastAsia="宋体"/>
                <w:b/>
                <w:bCs/>
                <w:color w:val="auto"/>
                <w:kern w:val="2"/>
                <w:sz w:val="24"/>
                <w:szCs w:val="24"/>
              </w:rPr>
            </w:pPr>
            <w:r>
              <w:rPr>
                <w:rFonts w:hint="eastAsia" w:eastAsia="宋体"/>
                <w:b/>
                <w:bCs/>
                <w:color w:val="auto"/>
                <w:kern w:val="2"/>
                <w:sz w:val="24"/>
                <w:szCs w:val="24"/>
              </w:rPr>
              <w:t>拟采取的</w:t>
            </w:r>
            <w:r>
              <w:rPr>
                <w:rFonts w:eastAsia="宋体"/>
                <w:b/>
                <w:bCs/>
                <w:color w:val="auto"/>
                <w:kern w:val="2"/>
                <w:sz w:val="24"/>
                <w:szCs w:val="24"/>
              </w:rPr>
              <w:t>治理措施：</w:t>
            </w:r>
          </w:p>
          <w:p w14:paraId="3A096E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color w:val="auto"/>
                <w:sz w:val="24"/>
              </w:rPr>
            </w:pPr>
            <w:r>
              <w:rPr>
                <w:rFonts w:hint="eastAsia" w:eastAsia="宋体"/>
                <w:color w:val="auto"/>
                <w:sz w:val="24"/>
                <w:szCs w:val="24"/>
              </w:rPr>
              <w:t>食堂废水</w:t>
            </w:r>
            <w:r>
              <w:rPr>
                <w:rFonts w:hint="eastAsia" w:eastAsia="宋体"/>
                <w:color w:val="auto"/>
                <w:kern w:val="2"/>
                <w:sz w:val="24"/>
                <w:szCs w:val="24"/>
              </w:rPr>
              <w:t>新建1个油水分离器，容积为0.5m</w:t>
            </w:r>
            <w:r>
              <w:rPr>
                <w:rFonts w:eastAsia="宋体"/>
                <w:color w:val="auto"/>
                <w:kern w:val="2"/>
                <w:sz w:val="24"/>
                <w:szCs w:val="24"/>
                <w:vertAlign w:val="superscript"/>
              </w:rPr>
              <w:t>3</w:t>
            </w:r>
            <w:r>
              <w:rPr>
                <w:rFonts w:hint="eastAsia" w:eastAsia="宋体"/>
                <w:color w:val="auto"/>
                <w:kern w:val="2"/>
                <w:sz w:val="24"/>
                <w:szCs w:val="24"/>
              </w:rPr>
              <w:t>，本项目</w:t>
            </w:r>
            <w:r>
              <w:rPr>
                <w:rFonts w:eastAsia="宋体"/>
                <w:color w:val="auto"/>
                <w:kern w:val="2"/>
                <w:sz w:val="24"/>
                <w:szCs w:val="24"/>
              </w:rPr>
              <w:t>食堂产生的餐饮废水</w:t>
            </w:r>
            <w:r>
              <w:rPr>
                <w:rFonts w:hint="eastAsia" w:eastAsia="宋体"/>
                <w:color w:val="auto"/>
                <w:kern w:val="2"/>
                <w:sz w:val="24"/>
                <w:szCs w:val="24"/>
              </w:rPr>
              <w:t>经新建的油水分离器</w:t>
            </w:r>
            <w:r>
              <w:rPr>
                <w:rFonts w:eastAsia="宋体"/>
                <w:color w:val="auto"/>
                <w:kern w:val="2"/>
                <w:sz w:val="24"/>
                <w:szCs w:val="24"/>
              </w:rPr>
              <w:t>分离油污后</w:t>
            </w:r>
            <w:r>
              <w:rPr>
                <w:rFonts w:hint="eastAsia" w:eastAsia="宋体"/>
                <w:color w:val="auto"/>
                <w:kern w:val="2"/>
                <w:sz w:val="24"/>
                <w:szCs w:val="24"/>
              </w:rPr>
              <w:t>，与生活污水一起排入</w:t>
            </w:r>
            <w:r>
              <w:rPr>
                <w:rFonts w:eastAsia="宋体"/>
                <w:color w:val="auto"/>
                <w:kern w:val="2"/>
                <w:sz w:val="24"/>
                <w:szCs w:val="24"/>
              </w:rPr>
              <w:t>厂区</w:t>
            </w:r>
            <w:r>
              <w:rPr>
                <w:rFonts w:hint="eastAsia" w:eastAsia="宋体"/>
                <w:color w:val="auto"/>
                <w:kern w:val="2"/>
                <w:sz w:val="24"/>
                <w:szCs w:val="24"/>
              </w:rPr>
              <w:t>已建的预处理池（</w:t>
            </w:r>
            <w:r>
              <w:rPr>
                <w:rFonts w:hint="eastAsia" w:eastAsia="宋体"/>
                <w:color w:val="auto"/>
                <w:kern w:val="2"/>
                <w:sz w:val="24"/>
                <w:szCs w:val="24"/>
                <w:lang w:val="en-US" w:eastAsia="zh-CN"/>
              </w:rPr>
              <w:t>40</w:t>
            </w:r>
            <w:r>
              <w:rPr>
                <w:rFonts w:hint="eastAsia" w:eastAsia="宋体"/>
                <w:color w:val="auto"/>
                <w:kern w:val="2"/>
                <w:sz w:val="24"/>
                <w:szCs w:val="24"/>
              </w:rPr>
              <w:t>m</w:t>
            </w:r>
            <w:r>
              <w:rPr>
                <w:rFonts w:hint="eastAsia" w:eastAsia="宋体"/>
                <w:color w:val="auto"/>
                <w:kern w:val="2"/>
                <w:sz w:val="24"/>
                <w:szCs w:val="24"/>
                <w:vertAlign w:val="superscript"/>
              </w:rPr>
              <w:t>3</w:t>
            </w:r>
            <w:r>
              <w:rPr>
                <w:rFonts w:hint="eastAsia" w:eastAsia="宋体"/>
                <w:color w:val="auto"/>
                <w:kern w:val="2"/>
                <w:sz w:val="24"/>
                <w:szCs w:val="24"/>
              </w:rPr>
              <w:t>），处理达</w:t>
            </w:r>
            <w:r>
              <w:rPr>
                <w:rFonts w:hint="eastAsia"/>
                <w:color w:val="auto"/>
                <w:sz w:val="24"/>
              </w:rPr>
              <w:t>《污水综合排放标准》（GB8978-1996）三级标准后，排入《污水综合排放标准》（GB8978-1996）三级标准后，排入大英县</w:t>
            </w:r>
            <w:r>
              <w:rPr>
                <w:rFonts w:hint="eastAsia"/>
                <w:color w:val="auto"/>
                <w:sz w:val="24"/>
                <w:lang w:val="en-US" w:eastAsia="zh-CN"/>
              </w:rPr>
              <w:t>工业</w:t>
            </w:r>
            <w:r>
              <w:rPr>
                <w:rFonts w:hint="eastAsia"/>
                <w:color w:val="auto"/>
                <w:sz w:val="24"/>
              </w:rPr>
              <w:t>污水处理厂，达标后排入郪江</w:t>
            </w:r>
            <w:r>
              <w:rPr>
                <w:rFonts w:hint="eastAsia"/>
                <w:color w:val="auto"/>
                <w:sz w:val="24"/>
                <w:lang w:eastAsia="zh-CN"/>
              </w:rPr>
              <w:t>。</w:t>
            </w:r>
          </w:p>
          <w:p w14:paraId="659C67D4">
            <w:pPr>
              <w:spacing w:line="360" w:lineRule="auto"/>
              <w:ind w:firstLine="463" w:firstLineChars="192"/>
              <w:rPr>
                <w:b/>
                <w:color w:val="auto"/>
                <w:sz w:val="24"/>
              </w:rPr>
            </w:pPr>
            <w:r>
              <w:rPr>
                <w:b/>
                <w:color w:val="auto"/>
                <w:sz w:val="24"/>
              </w:rPr>
              <w:t>（</w:t>
            </w:r>
            <w:r>
              <w:rPr>
                <w:rFonts w:hint="eastAsia"/>
                <w:b/>
                <w:color w:val="auto"/>
                <w:sz w:val="24"/>
              </w:rPr>
              <w:t>3）纳入</w:t>
            </w:r>
            <w:r>
              <w:rPr>
                <w:b/>
                <w:color w:val="auto"/>
                <w:sz w:val="24"/>
              </w:rPr>
              <w:t>污水处理厂可行性分析</w:t>
            </w:r>
          </w:p>
          <w:p w14:paraId="4AFF3AFA">
            <w:pPr>
              <w:adjustRightInd w:val="0"/>
              <w:snapToGrid w:val="0"/>
              <w:spacing w:line="360" w:lineRule="auto"/>
              <w:ind w:firstLine="480" w:firstLineChars="200"/>
              <w:rPr>
                <w:color w:val="auto"/>
                <w:sz w:val="24"/>
              </w:rPr>
            </w:pPr>
            <w:r>
              <w:rPr>
                <w:rFonts w:hint="eastAsia"/>
                <w:color w:val="auto"/>
                <w:sz w:val="24"/>
              </w:rPr>
              <w:t>大英县工业污水处理厂建设项目位于遂宁市大英县工业集中发展区（四川大英经济开发区）长沟附近，总占地约100亩。大英县工业污水处理厂总规模3万m3/d，分三期建设（其中一期1万m</w:t>
            </w:r>
            <w:r>
              <w:rPr>
                <w:rFonts w:hint="eastAsia"/>
                <w:color w:val="auto"/>
                <w:sz w:val="24"/>
                <w:vertAlign w:val="superscript"/>
              </w:rPr>
              <w:t>3</w:t>
            </w:r>
            <w:r>
              <w:rPr>
                <w:rFonts w:hint="eastAsia"/>
                <w:color w:val="auto"/>
                <w:sz w:val="24"/>
              </w:rPr>
              <w:t>/d、二期1万m</w:t>
            </w:r>
            <w:r>
              <w:rPr>
                <w:rFonts w:hint="eastAsia"/>
                <w:color w:val="auto"/>
                <w:sz w:val="24"/>
                <w:vertAlign w:val="superscript"/>
              </w:rPr>
              <w:t>3</w:t>
            </w:r>
            <w:r>
              <w:rPr>
                <w:rFonts w:hint="eastAsia"/>
                <w:color w:val="auto"/>
                <w:sz w:val="24"/>
              </w:rPr>
              <w:t>/d、三期1万m</w:t>
            </w:r>
            <w:r>
              <w:rPr>
                <w:rFonts w:hint="eastAsia"/>
                <w:color w:val="auto"/>
                <w:sz w:val="24"/>
                <w:vertAlign w:val="superscript"/>
              </w:rPr>
              <w:t>3</w:t>
            </w:r>
            <w:r>
              <w:rPr>
                <w:rFonts w:hint="eastAsia"/>
                <w:color w:val="auto"/>
                <w:sz w:val="24"/>
              </w:rPr>
              <w:t>/d）。大英县工业污水处理厂建设项目一期工程设计规模为1万m</w:t>
            </w:r>
            <w:r>
              <w:rPr>
                <w:rFonts w:hint="eastAsia"/>
                <w:color w:val="auto"/>
                <w:sz w:val="24"/>
                <w:vertAlign w:val="superscript"/>
              </w:rPr>
              <w:t>3</w:t>
            </w:r>
            <w:r>
              <w:rPr>
                <w:rFonts w:hint="eastAsia"/>
                <w:color w:val="auto"/>
                <w:sz w:val="24"/>
              </w:rPr>
              <w:t>/d，主要接纳大英县工业集中发展区内现有企业以及近期（2020年）入驻项目排水，处理工艺为“收集、预处理+水解酸化+A2/O一体化自回流改良型氧化沟+MBR+中性催化+化学除磷（含高效沉淀、精密过滤）+垂直流人工湿地”组合工艺。大英县工业污水处理厂建设项目环境影响报告书于2018年7月经遂宁市环境保护局批复（遂环评函【2018】85号），该项目于2018年3月动工建设，2019年3月建成，目前已经投入运营，本项目污水量为</w:t>
            </w:r>
            <w:r>
              <w:rPr>
                <w:rFonts w:hint="eastAsia"/>
                <w:color w:val="auto"/>
                <w:sz w:val="24"/>
                <w:lang w:val="en-US" w:eastAsia="zh-CN"/>
              </w:rPr>
              <w:t>13.84</w:t>
            </w:r>
            <w:r>
              <w:rPr>
                <w:rFonts w:hint="eastAsia"/>
                <w:color w:val="auto"/>
                <w:sz w:val="24"/>
              </w:rPr>
              <w:t>m</w:t>
            </w:r>
            <w:r>
              <w:rPr>
                <w:rFonts w:hint="eastAsia"/>
                <w:color w:val="auto"/>
                <w:sz w:val="24"/>
                <w:vertAlign w:val="superscript"/>
              </w:rPr>
              <w:t>3</w:t>
            </w:r>
            <w:r>
              <w:rPr>
                <w:rFonts w:hint="eastAsia"/>
                <w:color w:val="auto"/>
                <w:sz w:val="24"/>
              </w:rPr>
              <w:t>/d，目前园区污水处理厂尚有富余能力接纳本项目废水。</w:t>
            </w:r>
          </w:p>
          <w:p w14:paraId="39C78F67">
            <w:pPr>
              <w:adjustRightInd w:val="0"/>
              <w:snapToGrid w:val="0"/>
              <w:spacing w:line="360" w:lineRule="auto"/>
              <w:ind w:firstLine="480" w:firstLineChars="200"/>
              <w:rPr>
                <w:rFonts w:hint="eastAsia"/>
                <w:color w:val="auto"/>
                <w:sz w:val="24"/>
              </w:rPr>
            </w:pPr>
            <w:r>
              <w:rPr>
                <w:rFonts w:hint="eastAsia"/>
                <w:color w:val="auto"/>
                <w:sz w:val="24"/>
              </w:rPr>
              <w:t>本项目废水可处理达到《污水综合排放标准》（GB8978-1996）三级标准</w:t>
            </w:r>
            <w:r>
              <w:rPr>
                <w:rFonts w:hint="eastAsia"/>
                <w:color w:val="auto"/>
                <w:sz w:val="24"/>
                <w:lang w:eastAsia="zh-CN"/>
              </w:rPr>
              <w:t>（</w:t>
            </w:r>
            <w:r>
              <w:rPr>
                <w:rFonts w:hint="eastAsia"/>
                <w:color w:val="auto"/>
                <w:sz w:val="24"/>
                <w:lang w:val="en-US" w:eastAsia="zh-CN"/>
              </w:rPr>
              <w:t>即</w:t>
            </w:r>
            <w:r>
              <w:rPr>
                <w:rFonts w:hint="eastAsia"/>
                <w:color w:val="auto"/>
                <w:sz w:val="24"/>
              </w:rPr>
              <w:t>园区污水处理厂进水标准</w:t>
            </w:r>
            <w:r>
              <w:rPr>
                <w:rFonts w:hint="eastAsia"/>
                <w:color w:val="auto"/>
                <w:sz w:val="24"/>
                <w:lang w:eastAsia="zh-CN"/>
              </w:rPr>
              <w:t>）</w:t>
            </w:r>
            <w:r>
              <w:rPr>
                <w:rFonts w:hint="eastAsia"/>
                <w:color w:val="auto"/>
                <w:sz w:val="24"/>
              </w:rPr>
              <w:t>后经市政管网进入园区污水处理厂</w:t>
            </w:r>
            <w:r>
              <w:rPr>
                <w:rFonts w:hint="eastAsia"/>
                <w:color w:val="auto"/>
                <w:sz w:val="24"/>
                <w:lang w:val="en-US" w:eastAsia="zh-CN"/>
              </w:rPr>
              <w:t>处理后达标排放</w:t>
            </w:r>
            <w:r>
              <w:rPr>
                <w:rFonts w:hint="eastAsia"/>
                <w:color w:val="auto"/>
                <w:sz w:val="24"/>
              </w:rPr>
              <w:t>。</w:t>
            </w:r>
          </w:p>
          <w:p w14:paraId="6FF25E4D">
            <w:pPr>
              <w:pStyle w:val="92"/>
              <w:spacing w:before="43" w:line="356" w:lineRule="auto"/>
              <w:ind w:left="116" w:right="27" w:firstLine="425"/>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综上，就服务范围、处理能力而言，本项目废水拟采取处理措施可行，污染物可实现达标排放，不会对地表水产生明显影响。</w:t>
            </w:r>
          </w:p>
          <w:p w14:paraId="7613FD6F">
            <w:pPr>
              <w:spacing w:line="360" w:lineRule="auto"/>
              <w:ind w:firstLine="472" w:firstLineChars="196"/>
              <w:jc w:val="left"/>
              <w:rPr>
                <w:rFonts w:eastAsia="SimSun,Bold"/>
                <w:b/>
                <w:bCs/>
                <w:color w:val="auto"/>
                <w:sz w:val="24"/>
              </w:rPr>
            </w:pPr>
            <w:r>
              <w:rPr>
                <w:rFonts w:hint="eastAsia" w:eastAsia="SimSun,Bold"/>
                <w:b/>
                <w:bCs/>
                <w:color w:val="auto"/>
                <w:sz w:val="24"/>
              </w:rPr>
              <w:t>3、噪声</w:t>
            </w:r>
          </w:p>
          <w:p w14:paraId="5A8FA43E">
            <w:pPr>
              <w:adjustRightInd w:val="0"/>
              <w:snapToGrid w:val="0"/>
              <w:spacing w:line="360" w:lineRule="auto"/>
              <w:ind w:firstLine="482" w:firstLineChars="200"/>
              <w:rPr>
                <w:b/>
                <w:bCs/>
                <w:color w:val="auto"/>
                <w:sz w:val="24"/>
              </w:rPr>
            </w:pPr>
            <w:r>
              <w:rPr>
                <w:rFonts w:hint="eastAsia"/>
                <w:b/>
                <w:bCs/>
                <w:color w:val="auto"/>
                <w:sz w:val="24"/>
              </w:rPr>
              <w:t>（1）源强及治理措施</w:t>
            </w:r>
          </w:p>
          <w:p w14:paraId="2ADA8A0A">
            <w:pPr>
              <w:adjustRightInd w:val="0"/>
              <w:snapToGrid w:val="0"/>
              <w:spacing w:line="360" w:lineRule="auto"/>
              <w:ind w:firstLine="480" w:firstLineChars="200"/>
              <w:rPr>
                <w:color w:val="auto"/>
                <w:sz w:val="24"/>
              </w:rPr>
            </w:pPr>
            <w:r>
              <w:rPr>
                <w:rFonts w:hint="eastAsia"/>
                <w:color w:val="auto"/>
                <w:sz w:val="24"/>
              </w:rPr>
              <w:t>本项目营运期间噪声主要来自生产设备，</w:t>
            </w:r>
            <w:r>
              <w:rPr>
                <w:color w:val="auto"/>
                <w:sz w:val="24"/>
              </w:rPr>
              <w:t>项目</w:t>
            </w:r>
            <w:r>
              <w:rPr>
                <w:rFonts w:hint="eastAsia"/>
                <w:color w:val="auto"/>
                <w:sz w:val="24"/>
              </w:rPr>
              <w:t>噪声源相关情况见下表</w:t>
            </w:r>
            <w:r>
              <w:rPr>
                <w:color w:val="auto"/>
                <w:sz w:val="24"/>
              </w:rPr>
              <w:t>。</w:t>
            </w:r>
          </w:p>
          <w:p w14:paraId="5E61F763">
            <w:pPr>
              <w:jc w:val="center"/>
              <w:rPr>
                <w:b/>
                <w:bCs/>
                <w:color w:val="auto"/>
                <w:szCs w:val="21"/>
              </w:rPr>
            </w:pPr>
            <w:r>
              <w:rPr>
                <w:b/>
                <w:bCs/>
                <w:color w:val="auto"/>
                <w:szCs w:val="21"/>
              </w:rPr>
              <w:t>表4-</w:t>
            </w:r>
            <w:r>
              <w:rPr>
                <w:rFonts w:hint="eastAsia"/>
                <w:b/>
                <w:bCs/>
                <w:color w:val="auto"/>
                <w:szCs w:val="21"/>
                <w:lang w:val="en-US" w:eastAsia="zh-CN"/>
              </w:rPr>
              <w:t>21</w:t>
            </w:r>
            <w:r>
              <w:rPr>
                <w:b/>
                <w:bCs/>
                <w:color w:val="auto"/>
                <w:szCs w:val="21"/>
              </w:rPr>
              <w:t xml:space="preserve">  </w:t>
            </w:r>
            <w:r>
              <w:rPr>
                <w:rFonts w:hint="eastAsia"/>
                <w:b/>
                <w:bCs/>
                <w:color w:val="auto"/>
                <w:szCs w:val="21"/>
              </w:rPr>
              <w:t>工业企业噪声源强调查清单（室外声源）</w:t>
            </w:r>
          </w:p>
          <w:tbl>
            <w:tblPr>
              <w:tblStyle w:val="25"/>
              <w:tblW w:w="86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1964"/>
              <w:gridCol w:w="509"/>
              <w:gridCol w:w="768"/>
              <w:gridCol w:w="790"/>
              <w:gridCol w:w="580"/>
              <w:gridCol w:w="1435"/>
              <w:gridCol w:w="1528"/>
              <w:gridCol w:w="722"/>
            </w:tblGrid>
            <w:tr w14:paraId="6B95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403" w:type="dxa"/>
                  <w:vMerge w:val="restart"/>
                  <w:shd w:val="clear" w:color="auto" w:fill="auto"/>
                  <w:noWrap/>
                  <w:vAlign w:val="center"/>
                </w:tcPr>
                <w:p w14:paraId="2A1DCE94">
                  <w:pPr>
                    <w:widowControl/>
                    <w:adjustRightInd w:val="0"/>
                    <w:jc w:val="center"/>
                    <w:rPr>
                      <w:b/>
                      <w:bCs/>
                      <w:color w:val="auto"/>
                      <w:kern w:val="0"/>
                      <w:szCs w:val="21"/>
                    </w:rPr>
                  </w:pPr>
                  <w:r>
                    <w:rPr>
                      <w:b/>
                      <w:bCs/>
                      <w:color w:val="auto"/>
                      <w:kern w:val="0"/>
                      <w:szCs w:val="21"/>
                    </w:rPr>
                    <w:t>序号</w:t>
                  </w:r>
                </w:p>
              </w:tc>
              <w:tc>
                <w:tcPr>
                  <w:tcW w:w="1964" w:type="dxa"/>
                  <w:vMerge w:val="restart"/>
                  <w:shd w:val="clear" w:color="auto" w:fill="auto"/>
                  <w:vAlign w:val="center"/>
                </w:tcPr>
                <w:p w14:paraId="6AF5153C">
                  <w:pPr>
                    <w:widowControl/>
                    <w:adjustRightInd w:val="0"/>
                    <w:jc w:val="center"/>
                    <w:rPr>
                      <w:b/>
                      <w:bCs/>
                      <w:color w:val="auto"/>
                      <w:kern w:val="0"/>
                      <w:szCs w:val="21"/>
                    </w:rPr>
                  </w:pPr>
                  <w:r>
                    <w:rPr>
                      <w:b/>
                      <w:bCs/>
                      <w:color w:val="auto"/>
                      <w:kern w:val="0"/>
                      <w:szCs w:val="21"/>
                    </w:rPr>
                    <w:t>声源名称</w:t>
                  </w:r>
                </w:p>
              </w:tc>
              <w:tc>
                <w:tcPr>
                  <w:tcW w:w="509" w:type="dxa"/>
                  <w:vMerge w:val="restart"/>
                  <w:shd w:val="clear" w:color="auto" w:fill="auto"/>
                  <w:noWrap/>
                  <w:vAlign w:val="center"/>
                </w:tcPr>
                <w:p w14:paraId="288A681F">
                  <w:pPr>
                    <w:widowControl/>
                    <w:adjustRightInd w:val="0"/>
                    <w:jc w:val="center"/>
                    <w:rPr>
                      <w:b/>
                      <w:bCs/>
                      <w:color w:val="auto"/>
                      <w:kern w:val="0"/>
                      <w:szCs w:val="21"/>
                    </w:rPr>
                  </w:pPr>
                  <w:r>
                    <w:rPr>
                      <w:b/>
                      <w:bCs/>
                      <w:color w:val="auto"/>
                      <w:kern w:val="0"/>
                      <w:szCs w:val="21"/>
                    </w:rPr>
                    <w:t>型号</w:t>
                  </w:r>
                </w:p>
              </w:tc>
              <w:tc>
                <w:tcPr>
                  <w:tcW w:w="2138" w:type="dxa"/>
                  <w:gridSpan w:val="3"/>
                  <w:shd w:val="clear" w:color="auto" w:fill="auto"/>
                  <w:noWrap/>
                  <w:vAlign w:val="center"/>
                </w:tcPr>
                <w:p w14:paraId="481FF6E3">
                  <w:pPr>
                    <w:widowControl/>
                    <w:adjustRightInd w:val="0"/>
                    <w:jc w:val="center"/>
                    <w:rPr>
                      <w:b/>
                      <w:bCs/>
                      <w:color w:val="auto"/>
                      <w:kern w:val="0"/>
                      <w:szCs w:val="21"/>
                    </w:rPr>
                  </w:pPr>
                  <w:r>
                    <w:rPr>
                      <w:b/>
                      <w:bCs/>
                      <w:color w:val="auto"/>
                      <w:kern w:val="0"/>
                      <w:szCs w:val="21"/>
                    </w:rPr>
                    <w:t>空间相对位置/m</w:t>
                  </w:r>
                </w:p>
              </w:tc>
              <w:tc>
                <w:tcPr>
                  <w:tcW w:w="1435" w:type="dxa"/>
                  <w:vMerge w:val="restart"/>
                  <w:shd w:val="clear" w:color="auto" w:fill="auto"/>
                  <w:vAlign w:val="center"/>
                </w:tcPr>
                <w:p w14:paraId="601588DA">
                  <w:pPr>
                    <w:widowControl/>
                    <w:adjustRightInd w:val="0"/>
                    <w:jc w:val="center"/>
                    <w:rPr>
                      <w:b/>
                      <w:bCs/>
                      <w:color w:val="auto"/>
                      <w:kern w:val="0"/>
                      <w:szCs w:val="21"/>
                    </w:rPr>
                  </w:pPr>
                  <w:r>
                    <w:rPr>
                      <w:b/>
                      <w:bCs/>
                      <w:color w:val="auto"/>
                      <w:kern w:val="0"/>
                      <w:szCs w:val="21"/>
                    </w:rPr>
                    <w:t>（声压级/距声源距离）/（dB(A)/m）</w:t>
                  </w:r>
                </w:p>
              </w:tc>
              <w:tc>
                <w:tcPr>
                  <w:tcW w:w="1528" w:type="dxa"/>
                  <w:vMerge w:val="restart"/>
                  <w:shd w:val="clear" w:color="auto" w:fill="auto"/>
                  <w:vAlign w:val="center"/>
                </w:tcPr>
                <w:p w14:paraId="729148D9">
                  <w:pPr>
                    <w:widowControl/>
                    <w:adjustRightInd w:val="0"/>
                    <w:jc w:val="center"/>
                    <w:rPr>
                      <w:b/>
                      <w:bCs/>
                      <w:color w:val="auto"/>
                      <w:kern w:val="0"/>
                      <w:szCs w:val="21"/>
                    </w:rPr>
                  </w:pPr>
                  <w:r>
                    <w:rPr>
                      <w:b/>
                      <w:bCs/>
                      <w:color w:val="auto"/>
                      <w:kern w:val="0"/>
                      <w:szCs w:val="21"/>
                    </w:rPr>
                    <w:t>声源控制措施</w:t>
                  </w:r>
                </w:p>
              </w:tc>
              <w:tc>
                <w:tcPr>
                  <w:tcW w:w="722" w:type="dxa"/>
                  <w:vMerge w:val="restart"/>
                  <w:shd w:val="clear" w:color="auto" w:fill="auto"/>
                  <w:vAlign w:val="center"/>
                </w:tcPr>
                <w:p w14:paraId="6045280B">
                  <w:pPr>
                    <w:widowControl/>
                    <w:adjustRightInd w:val="0"/>
                    <w:jc w:val="center"/>
                    <w:rPr>
                      <w:b/>
                      <w:bCs/>
                      <w:color w:val="auto"/>
                      <w:kern w:val="0"/>
                      <w:szCs w:val="21"/>
                    </w:rPr>
                  </w:pPr>
                  <w:r>
                    <w:rPr>
                      <w:b/>
                      <w:bCs/>
                      <w:color w:val="auto"/>
                      <w:kern w:val="0"/>
                      <w:szCs w:val="21"/>
                    </w:rPr>
                    <w:t>运行时段</w:t>
                  </w:r>
                </w:p>
              </w:tc>
            </w:tr>
            <w:tr w14:paraId="4F81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403" w:type="dxa"/>
                  <w:vMerge w:val="continue"/>
                  <w:shd w:val="clear" w:color="auto" w:fill="auto"/>
                  <w:noWrap/>
                  <w:vAlign w:val="center"/>
                </w:tcPr>
                <w:p w14:paraId="75B09284">
                  <w:pPr>
                    <w:widowControl/>
                    <w:adjustRightInd w:val="0"/>
                    <w:jc w:val="center"/>
                    <w:rPr>
                      <w:color w:val="auto"/>
                      <w:kern w:val="0"/>
                      <w:szCs w:val="21"/>
                    </w:rPr>
                  </w:pPr>
                </w:p>
              </w:tc>
              <w:tc>
                <w:tcPr>
                  <w:tcW w:w="1964" w:type="dxa"/>
                  <w:vMerge w:val="continue"/>
                  <w:shd w:val="clear" w:color="auto" w:fill="auto"/>
                  <w:vAlign w:val="center"/>
                </w:tcPr>
                <w:p w14:paraId="602F2FB8">
                  <w:pPr>
                    <w:widowControl/>
                    <w:adjustRightInd w:val="0"/>
                    <w:jc w:val="center"/>
                    <w:rPr>
                      <w:color w:val="auto"/>
                      <w:kern w:val="0"/>
                      <w:szCs w:val="21"/>
                    </w:rPr>
                  </w:pPr>
                </w:p>
              </w:tc>
              <w:tc>
                <w:tcPr>
                  <w:tcW w:w="509" w:type="dxa"/>
                  <w:vMerge w:val="continue"/>
                  <w:shd w:val="clear" w:color="auto" w:fill="auto"/>
                  <w:noWrap/>
                  <w:vAlign w:val="center"/>
                </w:tcPr>
                <w:p w14:paraId="3D7F5E25">
                  <w:pPr>
                    <w:widowControl/>
                    <w:adjustRightInd w:val="0"/>
                    <w:jc w:val="center"/>
                    <w:rPr>
                      <w:color w:val="auto"/>
                      <w:kern w:val="0"/>
                      <w:szCs w:val="21"/>
                    </w:rPr>
                  </w:pPr>
                </w:p>
              </w:tc>
              <w:tc>
                <w:tcPr>
                  <w:tcW w:w="768" w:type="dxa"/>
                  <w:shd w:val="clear" w:color="auto" w:fill="auto"/>
                  <w:noWrap/>
                  <w:vAlign w:val="center"/>
                </w:tcPr>
                <w:p w14:paraId="49E77894">
                  <w:pPr>
                    <w:adjustRightInd w:val="0"/>
                    <w:jc w:val="center"/>
                    <w:rPr>
                      <w:b/>
                      <w:bCs/>
                      <w:color w:val="auto"/>
                      <w:kern w:val="0"/>
                      <w:szCs w:val="21"/>
                    </w:rPr>
                  </w:pPr>
                  <w:r>
                    <w:rPr>
                      <w:b/>
                      <w:bCs/>
                      <w:color w:val="auto"/>
                      <w:kern w:val="0"/>
                      <w:szCs w:val="21"/>
                    </w:rPr>
                    <w:t>X</w:t>
                  </w:r>
                </w:p>
              </w:tc>
              <w:tc>
                <w:tcPr>
                  <w:tcW w:w="790" w:type="dxa"/>
                  <w:shd w:val="clear" w:color="auto" w:fill="auto"/>
                  <w:noWrap/>
                  <w:vAlign w:val="center"/>
                </w:tcPr>
                <w:p w14:paraId="24610A56">
                  <w:pPr>
                    <w:adjustRightInd w:val="0"/>
                    <w:jc w:val="center"/>
                    <w:rPr>
                      <w:b/>
                      <w:bCs/>
                      <w:color w:val="auto"/>
                      <w:kern w:val="0"/>
                      <w:szCs w:val="21"/>
                    </w:rPr>
                  </w:pPr>
                  <w:r>
                    <w:rPr>
                      <w:b/>
                      <w:bCs/>
                      <w:color w:val="auto"/>
                      <w:kern w:val="0"/>
                      <w:szCs w:val="21"/>
                    </w:rPr>
                    <w:t>Y</w:t>
                  </w:r>
                </w:p>
              </w:tc>
              <w:tc>
                <w:tcPr>
                  <w:tcW w:w="580" w:type="dxa"/>
                  <w:shd w:val="clear" w:color="auto" w:fill="auto"/>
                  <w:noWrap/>
                  <w:vAlign w:val="center"/>
                </w:tcPr>
                <w:p w14:paraId="56CFD66A">
                  <w:pPr>
                    <w:adjustRightInd w:val="0"/>
                    <w:jc w:val="center"/>
                    <w:rPr>
                      <w:b/>
                      <w:bCs/>
                      <w:color w:val="auto"/>
                      <w:kern w:val="0"/>
                      <w:szCs w:val="21"/>
                    </w:rPr>
                  </w:pPr>
                  <w:r>
                    <w:rPr>
                      <w:b/>
                      <w:bCs/>
                      <w:color w:val="auto"/>
                      <w:kern w:val="0"/>
                      <w:szCs w:val="21"/>
                    </w:rPr>
                    <w:t>Z</w:t>
                  </w:r>
                </w:p>
              </w:tc>
              <w:tc>
                <w:tcPr>
                  <w:tcW w:w="1435" w:type="dxa"/>
                  <w:vMerge w:val="continue"/>
                  <w:shd w:val="clear" w:color="auto" w:fill="auto"/>
                  <w:vAlign w:val="center"/>
                </w:tcPr>
                <w:p w14:paraId="6C2F3B94">
                  <w:pPr>
                    <w:widowControl/>
                    <w:adjustRightInd w:val="0"/>
                    <w:jc w:val="center"/>
                    <w:rPr>
                      <w:color w:val="auto"/>
                      <w:kern w:val="0"/>
                      <w:szCs w:val="21"/>
                    </w:rPr>
                  </w:pPr>
                </w:p>
              </w:tc>
              <w:tc>
                <w:tcPr>
                  <w:tcW w:w="1528" w:type="dxa"/>
                  <w:vMerge w:val="continue"/>
                  <w:shd w:val="clear" w:color="auto" w:fill="auto"/>
                  <w:vAlign w:val="center"/>
                </w:tcPr>
                <w:p w14:paraId="378E4CB3">
                  <w:pPr>
                    <w:widowControl/>
                    <w:adjustRightInd w:val="0"/>
                    <w:jc w:val="center"/>
                    <w:rPr>
                      <w:color w:val="auto"/>
                      <w:kern w:val="0"/>
                      <w:szCs w:val="21"/>
                    </w:rPr>
                  </w:pPr>
                </w:p>
              </w:tc>
              <w:tc>
                <w:tcPr>
                  <w:tcW w:w="722" w:type="dxa"/>
                  <w:vMerge w:val="continue"/>
                  <w:shd w:val="clear" w:color="auto" w:fill="auto"/>
                  <w:vAlign w:val="center"/>
                </w:tcPr>
                <w:p w14:paraId="42ECDCEE">
                  <w:pPr>
                    <w:widowControl/>
                    <w:adjustRightInd w:val="0"/>
                    <w:jc w:val="center"/>
                    <w:rPr>
                      <w:color w:val="auto"/>
                      <w:kern w:val="0"/>
                      <w:szCs w:val="21"/>
                    </w:rPr>
                  </w:pPr>
                </w:p>
              </w:tc>
            </w:tr>
            <w:tr w14:paraId="25EE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403" w:type="dxa"/>
                  <w:shd w:val="clear" w:color="auto" w:fill="auto"/>
                  <w:noWrap/>
                  <w:vAlign w:val="center"/>
                </w:tcPr>
                <w:p w14:paraId="0C4A7FB3">
                  <w:pPr>
                    <w:widowControl/>
                    <w:adjustRightInd w:val="0"/>
                    <w:jc w:val="center"/>
                    <w:rPr>
                      <w:rFonts w:hint="eastAsia" w:eastAsia="宋体"/>
                      <w:color w:val="auto"/>
                      <w:kern w:val="0"/>
                      <w:szCs w:val="21"/>
                      <w:lang w:val="en-US" w:eastAsia="zh-CN"/>
                    </w:rPr>
                  </w:pPr>
                  <w:r>
                    <w:rPr>
                      <w:rFonts w:hint="eastAsia"/>
                      <w:color w:val="auto"/>
                      <w:kern w:val="0"/>
                      <w:szCs w:val="21"/>
                      <w:lang w:val="en-US" w:eastAsia="zh-CN"/>
                    </w:rPr>
                    <w:t>1</w:t>
                  </w:r>
                </w:p>
              </w:tc>
              <w:tc>
                <w:tcPr>
                  <w:tcW w:w="1964" w:type="dxa"/>
                  <w:shd w:val="clear" w:color="auto" w:fill="auto"/>
                  <w:noWrap/>
                  <w:vAlign w:val="center"/>
                </w:tcPr>
                <w:p w14:paraId="09F65277">
                  <w:pPr>
                    <w:widowControl/>
                    <w:adjustRightInd w:val="0"/>
                    <w:spacing w:line="320" w:lineRule="exact"/>
                    <w:jc w:val="center"/>
                    <w:rPr>
                      <w:rFonts w:hint="eastAsia"/>
                      <w:color w:val="auto"/>
                    </w:rPr>
                  </w:pPr>
                  <w:r>
                    <w:rPr>
                      <w:rFonts w:hint="eastAsia"/>
                      <w:color w:val="auto"/>
                      <w:kern w:val="0"/>
                      <w:szCs w:val="21"/>
                    </w:rPr>
                    <w:t>两级活性炭TA002风机</w:t>
                  </w:r>
                </w:p>
              </w:tc>
              <w:tc>
                <w:tcPr>
                  <w:tcW w:w="509" w:type="dxa"/>
                  <w:shd w:val="clear" w:color="auto" w:fill="auto"/>
                  <w:noWrap/>
                  <w:vAlign w:val="center"/>
                </w:tcPr>
                <w:p w14:paraId="631FD07A">
                  <w:pPr>
                    <w:widowControl/>
                    <w:adjustRightInd w:val="0"/>
                    <w:jc w:val="center"/>
                    <w:rPr>
                      <w:color w:val="auto"/>
                      <w:kern w:val="0"/>
                      <w:szCs w:val="21"/>
                    </w:rPr>
                  </w:pPr>
                  <w:r>
                    <w:rPr>
                      <w:color w:val="auto"/>
                      <w:kern w:val="0"/>
                      <w:szCs w:val="21"/>
                    </w:rPr>
                    <w:t>/</w:t>
                  </w:r>
                </w:p>
              </w:tc>
              <w:tc>
                <w:tcPr>
                  <w:tcW w:w="768" w:type="dxa"/>
                  <w:shd w:val="clear" w:color="auto" w:fill="auto"/>
                  <w:noWrap/>
                  <w:vAlign w:val="center"/>
                </w:tcPr>
                <w:p w14:paraId="3BC1E856">
                  <w:pPr>
                    <w:widowControl/>
                    <w:adjustRightInd w:val="0"/>
                    <w:jc w:val="center"/>
                    <w:rPr>
                      <w:rFonts w:hint="default"/>
                      <w:color w:val="auto"/>
                      <w:kern w:val="0"/>
                      <w:szCs w:val="21"/>
                      <w:lang w:val="en-US" w:eastAsia="zh-CN"/>
                    </w:rPr>
                  </w:pPr>
                  <w:r>
                    <w:rPr>
                      <w:rFonts w:hint="eastAsia"/>
                      <w:color w:val="auto"/>
                      <w:kern w:val="0"/>
                      <w:szCs w:val="21"/>
                      <w:lang w:val="en-US" w:eastAsia="zh-CN"/>
                    </w:rPr>
                    <w:t>43</w:t>
                  </w:r>
                </w:p>
              </w:tc>
              <w:tc>
                <w:tcPr>
                  <w:tcW w:w="790" w:type="dxa"/>
                  <w:shd w:val="clear" w:color="auto" w:fill="auto"/>
                  <w:noWrap/>
                  <w:vAlign w:val="center"/>
                </w:tcPr>
                <w:p w14:paraId="54397171">
                  <w:pPr>
                    <w:widowControl/>
                    <w:adjustRightInd w:val="0"/>
                    <w:jc w:val="center"/>
                    <w:rPr>
                      <w:rFonts w:hint="default"/>
                      <w:color w:val="auto"/>
                      <w:kern w:val="0"/>
                      <w:szCs w:val="21"/>
                      <w:lang w:val="en-US" w:eastAsia="zh-CN"/>
                    </w:rPr>
                  </w:pPr>
                  <w:r>
                    <w:rPr>
                      <w:rFonts w:hint="eastAsia"/>
                      <w:color w:val="auto"/>
                      <w:kern w:val="0"/>
                      <w:szCs w:val="21"/>
                      <w:lang w:val="en-US" w:eastAsia="zh-CN"/>
                    </w:rPr>
                    <w:t>0</w:t>
                  </w:r>
                </w:p>
              </w:tc>
              <w:tc>
                <w:tcPr>
                  <w:tcW w:w="580" w:type="dxa"/>
                  <w:shd w:val="clear" w:color="auto" w:fill="auto"/>
                  <w:noWrap/>
                  <w:vAlign w:val="center"/>
                </w:tcPr>
                <w:p w14:paraId="6CF917F4">
                  <w:pPr>
                    <w:widowControl/>
                    <w:adjustRightInd w:val="0"/>
                    <w:jc w:val="center"/>
                    <w:rPr>
                      <w:rFonts w:hint="default"/>
                      <w:color w:val="auto"/>
                      <w:kern w:val="0"/>
                      <w:szCs w:val="21"/>
                      <w:lang w:val="en-US" w:eastAsia="zh-CN"/>
                    </w:rPr>
                  </w:pPr>
                  <w:r>
                    <w:rPr>
                      <w:rFonts w:hint="eastAsia"/>
                      <w:color w:val="auto"/>
                      <w:kern w:val="0"/>
                      <w:szCs w:val="21"/>
                      <w:lang w:val="en-US" w:eastAsia="zh-CN"/>
                    </w:rPr>
                    <w:t>1.2</w:t>
                  </w:r>
                </w:p>
              </w:tc>
              <w:tc>
                <w:tcPr>
                  <w:tcW w:w="1435" w:type="dxa"/>
                  <w:shd w:val="clear" w:color="auto" w:fill="auto"/>
                  <w:noWrap/>
                  <w:vAlign w:val="center"/>
                </w:tcPr>
                <w:p w14:paraId="4C460DF7">
                  <w:pPr>
                    <w:widowControl/>
                    <w:adjustRightInd w:val="0"/>
                    <w:jc w:val="center"/>
                    <w:rPr>
                      <w:rFonts w:hint="eastAsia"/>
                      <w:color w:val="auto"/>
                      <w:kern w:val="0"/>
                      <w:szCs w:val="21"/>
                      <w:lang w:val="en-US" w:eastAsia="zh-CN"/>
                    </w:rPr>
                  </w:pPr>
                  <w:r>
                    <w:rPr>
                      <w:rFonts w:hint="eastAsia"/>
                      <w:color w:val="auto"/>
                      <w:kern w:val="0"/>
                      <w:szCs w:val="21"/>
                      <w:lang w:val="en-US" w:eastAsia="zh-CN"/>
                    </w:rPr>
                    <w:t>60</w:t>
                  </w:r>
                  <w:r>
                    <w:rPr>
                      <w:color w:val="auto"/>
                      <w:kern w:val="0"/>
                      <w:szCs w:val="21"/>
                    </w:rPr>
                    <w:t>/1</w:t>
                  </w:r>
                </w:p>
              </w:tc>
              <w:tc>
                <w:tcPr>
                  <w:tcW w:w="1528" w:type="dxa"/>
                  <w:shd w:val="clear" w:color="auto" w:fill="auto"/>
                  <w:noWrap/>
                  <w:vAlign w:val="center"/>
                </w:tcPr>
                <w:p w14:paraId="2668D334">
                  <w:pPr>
                    <w:widowControl/>
                    <w:adjustRightInd w:val="0"/>
                    <w:jc w:val="center"/>
                    <w:rPr>
                      <w:rFonts w:hint="eastAsia"/>
                      <w:color w:val="auto"/>
                      <w:kern w:val="0"/>
                      <w:szCs w:val="21"/>
                    </w:rPr>
                  </w:pPr>
                  <w:r>
                    <w:rPr>
                      <w:rFonts w:hint="eastAsia"/>
                      <w:color w:val="auto"/>
                      <w:kern w:val="0"/>
                      <w:szCs w:val="21"/>
                    </w:rPr>
                    <w:t>隔声、减振</w:t>
                  </w:r>
                  <w:r>
                    <w:rPr>
                      <w:rFonts w:hint="eastAsia"/>
                      <w:color w:val="auto"/>
                      <w:kern w:val="0"/>
                      <w:szCs w:val="21"/>
                      <w:lang w:eastAsia="zh-CN"/>
                    </w:rPr>
                    <w:t>、</w:t>
                  </w:r>
                  <w:r>
                    <w:rPr>
                      <w:rFonts w:hint="eastAsia"/>
                      <w:color w:val="auto"/>
                      <w:kern w:val="0"/>
                      <w:szCs w:val="21"/>
                      <w:lang w:val="en-US" w:eastAsia="zh-CN"/>
                    </w:rPr>
                    <w:t>柔性连接</w:t>
                  </w:r>
                </w:p>
              </w:tc>
              <w:tc>
                <w:tcPr>
                  <w:tcW w:w="722" w:type="dxa"/>
                  <w:shd w:val="clear" w:color="auto" w:fill="auto"/>
                  <w:noWrap/>
                  <w:vAlign w:val="center"/>
                </w:tcPr>
                <w:p w14:paraId="66EA0AED">
                  <w:pPr>
                    <w:widowControl/>
                    <w:adjustRightInd w:val="0"/>
                    <w:jc w:val="center"/>
                    <w:rPr>
                      <w:rFonts w:hint="eastAsia"/>
                      <w:color w:val="auto"/>
                      <w:kern w:val="0"/>
                      <w:szCs w:val="21"/>
                      <w:lang w:val="en-US" w:eastAsia="zh-CN"/>
                    </w:rPr>
                  </w:pPr>
                  <w:r>
                    <w:rPr>
                      <w:rFonts w:hint="eastAsia"/>
                      <w:color w:val="auto"/>
                      <w:kern w:val="0"/>
                      <w:szCs w:val="21"/>
                      <w:lang w:val="en-US" w:eastAsia="zh-CN"/>
                    </w:rPr>
                    <w:t>16</w:t>
                  </w:r>
                  <w:r>
                    <w:rPr>
                      <w:rFonts w:hint="eastAsia"/>
                      <w:color w:val="auto"/>
                      <w:kern w:val="0"/>
                      <w:szCs w:val="21"/>
                    </w:rPr>
                    <w:t>h</w:t>
                  </w:r>
                  <w:r>
                    <w:rPr>
                      <w:color w:val="auto"/>
                      <w:kern w:val="0"/>
                      <w:szCs w:val="21"/>
                    </w:rPr>
                    <w:t>/d</w:t>
                  </w:r>
                </w:p>
              </w:tc>
            </w:tr>
            <w:tr w14:paraId="5C23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403" w:type="dxa"/>
                  <w:shd w:val="clear" w:color="auto" w:fill="auto"/>
                  <w:noWrap/>
                  <w:vAlign w:val="center"/>
                </w:tcPr>
                <w:p w14:paraId="3D340A2F">
                  <w:pPr>
                    <w:widowControl/>
                    <w:adjustRightInd w:val="0"/>
                    <w:jc w:val="center"/>
                    <w:rPr>
                      <w:rFonts w:hint="eastAsia" w:eastAsia="宋体"/>
                      <w:color w:val="auto"/>
                      <w:kern w:val="0"/>
                      <w:szCs w:val="21"/>
                      <w:lang w:val="en-US" w:eastAsia="zh-CN"/>
                    </w:rPr>
                  </w:pPr>
                  <w:r>
                    <w:rPr>
                      <w:rFonts w:hint="eastAsia"/>
                      <w:color w:val="auto"/>
                      <w:kern w:val="0"/>
                      <w:szCs w:val="21"/>
                      <w:lang w:val="en-US" w:eastAsia="zh-CN"/>
                    </w:rPr>
                    <w:t>2</w:t>
                  </w:r>
                </w:p>
              </w:tc>
              <w:tc>
                <w:tcPr>
                  <w:tcW w:w="1964" w:type="dxa"/>
                  <w:shd w:val="clear" w:color="auto" w:fill="auto"/>
                  <w:noWrap/>
                  <w:vAlign w:val="center"/>
                </w:tcPr>
                <w:p w14:paraId="09FB7E16">
                  <w:pPr>
                    <w:widowControl/>
                    <w:adjustRightInd w:val="0"/>
                    <w:spacing w:line="320" w:lineRule="exact"/>
                    <w:jc w:val="center"/>
                    <w:rPr>
                      <w:rFonts w:hint="eastAsia"/>
                      <w:color w:val="auto"/>
                    </w:rPr>
                  </w:pPr>
                  <w:r>
                    <w:rPr>
                      <w:rFonts w:hint="eastAsia"/>
                      <w:color w:val="auto"/>
                      <w:kern w:val="0"/>
                      <w:szCs w:val="21"/>
                    </w:rPr>
                    <w:t>两级活性炭TA003风机</w:t>
                  </w:r>
                </w:p>
              </w:tc>
              <w:tc>
                <w:tcPr>
                  <w:tcW w:w="509" w:type="dxa"/>
                  <w:shd w:val="clear" w:color="auto" w:fill="auto"/>
                  <w:noWrap/>
                  <w:vAlign w:val="center"/>
                </w:tcPr>
                <w:p w14:paraId="416F9337">
                  <w:pPr>
                    <w:widowControl/>
                    <w:adjustRightInd w:val="0"/>
                    <w:jc w:val="center"/>
                    <w:rPr>
                      <w:color w:val="auto"/>
                      <w:kern w:val="0"/>
                      <w:szCs w:val="21"/>
                    </w:rPr>
                  </w:pPr>
                  <w:r>
                    <w:rPr>
                      <w:color w:val="auto"/>
                      <w:kern w:val="0"/>
                      <w:szCs w:val="21"/>
                    </w:rPr>
                    <w:t>/</w:t>
                  </w:r>
                </w:p>
              </w:tc>
              <w:tc>
                <w:tcPr>
                  <w:tcW w:w="768" w:type="dxa"/>
                  <w:shd w:val="clear" w:color="auto" w:fill="auto"/>
                  <w:noWrap/>
                  <w:vAlign w:val="center"/>
                </w:tcPr>
                <w:p w14:paraId="1FB8D593">
                  <w:pPr>
                    <w:widowControl/>
                    <w:adjustRightInd w:val="0"/>
                    <w:jc w:val="center"/>
                    <w:rPr>
                      <w:rFonts w:hint="default"/>
                      <w:color w:val="auto"/>
                      <w:kern w:val="0"/>
                      <w:szCs w:val="21"/>
                      <w:lang w:val="en-US" w:eastAsia="zh-CN"/>
                    </w:rPr>
                  </w:pPr>
                  <w:r>
                    <w:rPr>
                      <w:rFonts w:hint="eastAsia"/>
                      <w:color w:val="auto"/>
                      <w:kern w:val="0"/>
                      <w:szCs w:val="21"/>
                      <w:lang w:val="en-US" w:eastAsia="zh-CN"/>
                    </w:rPr>
                    <w:t>0</w:t>
                  </w:r>
                </w:p>
              </w:tc>
              <w:tc>
                <w:tcPr>
                  <w:tcW w:w="790" w:type="dxa"/>
                  <w:shd w:val="clear" w:color="auto" w:fill="auto"/>
                  <w:noWrap/>
                  <w:vAlign w:val="center"/>
                </w:tcPr>
                <w:p w14:paraId="747C900B">
                  <w:pPr>
                    <w:widowControl/>
                    <w:adjustRightInd w:val="0"/>
                    <w:jc w:val="center"/>
                    <w:rPr>
                      <w:rFonts w:hint="default"/>
                      <w:color w:val="auto"/>
                      <w:kern w:val="0"/>
                      <w:szCs w:val="21"/>
                      <w:lang w:val="en-US" w:eastAsia="zh-CN"/>
                    </w:rPr>
                  </w:pPr>
                  <w:r>
                    <w:rPr>
                      <w:rFonts w:hint="eastAsia"/>
                      <w:color w:val="auto"/>
                      <w:kern w:val="0"/>
                      <w:szCs w:val="21"/>
                      <w:lang w:val="en-US" w:eastAsia="zh-CN"/>
                    </w:rPr>
                    <w:t>45</w:t>
                  </w:r>
                </w:p>
              </w:tc>
              <w:tc>
                <w:tcPr>
                  <w:tcW w:w="580" w:type="dxa"/>
                  <w:shd w:val="clear" w:color="auto" w:fill="auto"/>
                  <w:noWrap/>
                  <w:vAlign w:val="center"/>
                </w:tcPr>
                <w:p w14:paraId="60CAB566">
                  <w:pPr>
                    <w:widowControl/>
                    <w:adjustRightInd w:val="0"/>
                    <w:jc w:val="center"/>
                    <w:rPr>
                      <w:rFonts w:hint="default"/>
                      <w:color w:val="auto"/>
                      <w:kern w:val="0"/>
                      <w:szCs w:val="21"/>
                      <w:lang w:val="en-US" w:eastAsia="zh-CN"/>
                    </w:rPr>
                  </w:pPr>
                  <w:r>
                    <w:rPr>
                      <w:rFonts w:hint="eastAsia"/>
                      <w:color w:val="auto"/>
                      <w:kern w:val="0"/>
                      <w:szCs w:val="21"/>
                      <w:lang w:val="en-US" w:eastAsia="zh-CN"/>
                    </w:rPr>
                    <w:t>1.2</w:t>
                  </w:r>
                </w:p>
              </w:tc>
              <w:tc>
                <w:tcPr>
                  <w:tcW w:w="1435" w:type="dxa"/>
                  <w:shd w:val="clear" w:color="auto" w:fill="auto"/>
                  <w:noWrap/>
                  <w:vAlign w:val="center"/>
                </w:tcPr>
                <w:p w14:paraId="025A02AA">
                  <w:pPr>
                    <w:widowControl/>
                    <w:adjustRightInd w:val="0"/>
                    <w:jc w:val="center"/>
                    <w:rPr>
                      <w:rFonts w:hint="eastAsia"/>
                      <w:color w:val="auto"/>
                      <w:kern w:val="0"/>
                      <w:szCs w:val="21"/>
                      <w:lang w:val="en-US" w:eastAsia="zh-CN"/>
                    </w:rPr>
                  </w:pPr>
                  <w:r>
                    <w:rPr>
                      <w:rFonts w:hint="eastAsia"/>
                      <w:color w:val="auto"/>
                      <w:kern w:val="0"/>
                      <w:szCs w:val="21"/>
                      <w:lang w:val="en-US" w:eastAsia="zh-CN"/>
                    </w:rPr>
                    <w:t>60</w:t>
                  </w:r>
                  <w:r>
                    <w:rPr>
                      <w:color w:val="auto"/>
                      <w:kern w:val="0"/>
                      <w:szCs w:val="21"/>
                    </w:rPr>
                    <w:t>/1</w:t>
                  </w:r>
                </w:p>
              </w:tc>
              <w:tc>
                <w:tcPr>
                  <w:tcW w:w="1528" w:type="dxa"/>
                  <w:shd w:val="clear" w:color="auto" w:fill="auto"/>
                  <w:noWrap/>
                  <w:vAlign w:val="center"/>
                </w:tcPr>
                <w:p w14:paraId="1BB355BE">
                  <w:pPr>
                    <w:widowControl/>
                    <w:adjustRightInd w:val="0"/>
                    <w:jc w:val="center"/>
                    <w:rPr>
                      <w:rFonts w:hint="eastAsia"/>
                      <w:color w:val="auto"/>
                      <w:kern w:val="0"/>
                      <w:szCs w:val="21"/>
                    </w:rPr>
                  </w:pPr>
                  <w:r>
                    <w:rPr>
                      <w:rFonts w:hint="eastAsia"/>
                      <w:color w:val="auto"/>
                      <w:kern w:val="0"/>
                      <w:szCs w:val="21"/>
                    </w:rPr>
                    <w:t>隔声、减振</w:t>
                  </w:r>
                  <w:r>
                    <w:rPr>
                      <w:rFonts w:hint="eastAsia"/>
                      <w:color w:val="auto"/>
                      <w:kern w:val="0"/>
                      <w:szCs w:val="21"/>
                      <w:lang w:eastAsia="zh-CN"/>
                    </w:rPr>
                    <w:t>、</w:t>
                  </w:r>
                  <w:r>
                    <w:rPr>
                      <w:rFonts w:hint="eastAsia"/>
                      <w:color w:val="auto"/>
                      <w:kern w:val="0"/>
                      <w:szCs w:val="21"/>
                      <w:lang w:val="en-US" w:eastAsia="zh-CN"/>
                    </w:rPr>
                    <w:t>柔性连接</w:t>
                  </w:r>
                </w:p>
              </w:tc>
              <w:tc>
                <w:tcPr>
                  <w:tcW w:w="722" w:type="dxa"/>
                  <w:shd w:val="clear" w:color="auto" w:fill="auto"/>
                  <w:noWrap/>
                  <w:vAlign w:val="center"/>
                </w:tcPr>
                <w:p w14:paraId="3F04611D">
                  <w:pPr>
                    <w:widowControl/>
                    <w:adjustRightInd w:val="0"/>
                    <w:jc w:val="center"/>
                    <w:rPr>
                      <w:rFonts w:hint="eastAsia"/>
                      <w:color w:val="auto"/>
                      <w:kern w:val="0"/>
                      <w:szCs w:val="21"/>
                      <w:lang w:val="en-US" w:eastAsia="zh-CN"/>
                    </w:rPr>
                  </w:pPr>
                  <w:r>
                    <w:rPr>
                      <w:rFonts w:hint="eastAsia"/>
                      <w:color w:val="auto"/>
                      <w:kern w:val="0"/>
                      <w:szCs w:val="21"/>
                      <w:lang w:val="en-US" w:eastAsia="zh-CN"/>
                    </w:rPr>
                    <w:t>16</w:t>
                  </w:r>
                  <w:r>
                    <w:rPr>
                      <w:rFonts w:hint="eastAsia"/>
                      <w:color w:val="auto"/>
                      <w:kern w:val="0"/>
                      <w:szCs w:val="21"/>
                    </w:rPr>
                    <w:t>h</w:t>
                  </w:r>
                  <w:r>
                    <w:rPr>
                      <w:color w:val="auto"/>
                      <w:kern w:val="0"/>
                      <w:szCs w:val="21"/>
                    </w:rPr>
                    <w:t>/d</w:t>
                  </w:r>
                </w:p>
              </w:tc>
            </w:tr>
            <w:tr w14:paraId="4C2B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8699" w:type="dxa"/>
                  <w:gridSpan w:val="9"/>
                  <w:shd w:val="clear" w:color="auto" w:fill="auto"/>
                  <w:noWrap/>
                  <w:vAlign w:val="center"/>
                </w:tcPr>
                <w:p w14:paraId="692C3748">
                  <w:pPr>
                    <w:keepNext w:val="0"/>
                    <w:keepLines w:val="0"/>
                    <w:widowControl/>
                    <w:suppressLineNumbers w:val="0"/>
                    <w:spacing w:before="0" w:beforeAutospacing="0" w:after="0" w:afterAutospacing="0" w:line="240" w:lineRule="auto"/>
                    <w:ind w:left="0" w:right="0"/>
                    <w:jc w:val="left"/>
                    <w:rPr>
                      <w:color w:val="auto"/>
                      <w:kern w:val="0"/>
                      <w:szCs w:val="21"/>
                    </w:rPr>
                  </w:pPr>
                  <w:r>
                    <w:rPr>
                      <w:color w:val="auto"/>
                      <w:kern w:val="0"/>
                      <w:szCs w:val="21"/>
                    </w:rPr>
                    <w:t>注：</w:t>
                  </w:r>
                  <w:r>
                    <w:rPr>
                      <w:rFonts w:hint="default" w:ascii="Times New Roman" w:hAnsi="Times New Roman" w:eastAsia="宋体" w:cs="Times New Roman"/>
                      <w:color w:val="auto"/>
                      <w:kern w:val="0"/>
                      <w:sz w:val="18"/>
                      <w:szCs w:val="18"/>
                      <w:highlight w:val="none"/>
                      <w:lang w:val="en-US" w:eastAsia="zh-CN"/>
                    </w:rPr>
                    <w:t>空间相对位置原点为厂房</w:t>
                  </w:r>
                  <w:r>
                    <w:rPr>
                      <w:rFonts w:hint="eastAsia" w:ascii="Times New Roman" w:hAnsi="Times New Roman" w:eastAsia="宋体" w:cs="Times New Roman"/>
                      <w:color w:val="auto"/>
                      <w:kern w:val="0"/>
                      <w:sz w:val="18"/>
                      <w:szCs w:val="18"/>
                      <w:highlight w:val="none"/>
                      <w:lang w:val="en-US" w:eastAsia="zh-CN"/>
                    </w:rPr>
                    <w:t>2F西</w:t>
                  </w:r>
                  <w:r>
                    <w:rPr>
                      <w:rFonts w:hint="eastAsia" w:cs="Times New Roman"/>
                      <w:color w:val="auto"/>
                      <w:kern w:val="0"/>
                      <w:sz w:val="18"/>
                      <w:szCs w:val="18"/>
                      <w:highlight w:val="none"/>
                      <w:lang w:val="en-US" w:eastAsia="zh-CN"/>
                    </w:rPr>
                    <w:t>南</w:t>
                  </w:r>
                  <w:r>
                    <w:rPr>
                      <w:rFonts w:hint="default" w:ascii="Times New Roman" w:hAnsi="Times New Roman" w:eastAsia="宋体" w:cs="Times New Roman"/>
                      <w:color w:val="auto"/>
                      <w:kern w:val="0"/>
                      <w:sz w:val="18"/>
                      <w:szCs w:val="18"/>
                      <w:highlight w:val="none"/>
                      <w:lang w:val="en-US" w:eastAsia="zh-CN"/>
                    </w:rPr>
                    <w:t>角（0，0，0）：东</w:t>
                  </w:r>
                  <w:r>
                    <w:rPr>
                      <w:rFonts w:hint="eastAsia" w:cs="Times New Roman"/>
                      <w:color w:val="auto"/>
                      <w:kern w:val="0"/>
                      <w:sz w:val="18"/>
                      <w:szCs w:val="18"/>
                      <w:highlight w:val="none"/>
                      <w:lang w:val="en-US" w:eastAsia="zh-CN"/>
                    </w:rPr>
                    <w:t>北</w:t>
                  </w:r>
                  <w:r>
                    <w:rPr>
                      <w:rFonts w:hint="default" w:ascii="Times New Roman" w:hAnsi="Times New Roman" w:eastAsia="宋体" w:cs="Times New Roman"/>
                      <w:color w:val="auto"/>
                      <w:kern w:val="0"/>
                      <w:sz w:val="18"/>
                      <w:szCs w:val="18"/>
                      <w:highlight w:val="none"/>
                      <w:lang w:val="en-US" w:eastAsia="zh-CN"/>
                    </w:rPr>
                    <w:t>向为X轴正方向，</w:t>
                  </w:r>
                  <w:r>
                    <w:rPr>
                      <w:rFonts w:hint="eastAsia" w:cs="Times New Roman"/>
                      <w:color w:val="auto"/>
                      <w:kern w:val="0"/>
                      <w:sz w:val="18"/>
                      <w:szCs w:val="18"/>
                      <w:highlight w:val="none"/>
                      <w:lang w:val="en-US" w:eastAsia="zh-CN"/>
                    </w:rPr>
                    <w:t>东南</w:t>
                  </w:r>
                  <w:r>
                    <w:rPr>
                      <w:rFonts w:hint="default" w:ascii="Times New Roman" w:hAnsi="Times New Roman" w:eastAsia="宋体" w:cs="Times New Roman"/>
                      <w:color w:val="auto"/>
                      <w:kern w:val="0"/>
                      <w:sz w:val="18"/>
                      <w:szCs w:val="18"/>
                      <w:highlight w:val="none"/>
                      <w:lang w:val="en-US" w:eastAsia="zh-CN"/>
                    </w:rPr>
                    <w:t>向为Y轴正方向</w:t>
                  </w:r>
                  <w:r>
                    <w:rPr>
                      <w:color w:val="auto"/>
                      <w:kern w:val="0"/>
                      <w:szCs w:val="21"/>
                    </w:rPr>
                    <w:t>；</w:t>
                  </w:r>
                </w:p>
              </w:tc>
            </w:tr>
          </w:tbl>
          <w:p w14:paraId="560DACB7">
            <w:pPr>
              <w:pStyle w:val="73"/>
              <w:ind w:firstLine="0" w:firstLineChars="0"/>
              <w:rPr>
                <w:b/>
                <w:color w:val="auto"/>
                <w:szCs w:val="21"/>
              </w:rPr>
            </w:pPr>
          </w:p>
        </w:tc>
      </w:tr>
    </w:tbl>
    <w:p w14:paraId="1D9363D0">
      <w:pPr>
        <w:pStyle w:val="59"/>
        <w:ind w:firstLine="480"/>
        <w:rPr>
          <w:snapToGrid w:val="0"/>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25"/>
        <w:tblW w:w="134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6"/>
        <w:gridCol w:w="13041"/>
      </w:tblGrid>
      <w:tr w14:paraId="2C02D7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37" w:hRule="atLeast"/>
          <w:jc w:val="center"/>
        </w:trPr>
        <w:tc>
          <w:tcPr>
            <w:tcW w:w="416" w:type="dxa"/>
            <w:tcMar>
              <w:left w:w="28" w:type="dxa"/>
              <w:right w:w="28" w:type="dxa"/>
            </w:tcMar>
            <w:vAlign w:val="center"/>
          </w:tcPr>
          <w:p w14:paraId="3D601063">
            <w:pPr>
              <w:adjustRightInd w:val="0"/>
              <w:snapToGrid w:val="0"/>
              <w:jc w:val="center"/>
              <w:rPr>
                <w:bCs/>
                <w:color w:val="auto"/>
                <w:szCs w:val="21"/>
              </w:rPr>
            </w:pPr>
            <w:r>
              <w:rPr>
                <w:bCs/>
                <w:color w:val="auto"/>
                <w:szCs w:val="21"/>
              </w:rPr>
              <w:t>运营</w:t>
            </w:r>
          </w:p>
          <w:p w14:paraId="5D30FF7E">
            <w:pPr>
              <w:adjustRightInd w:val="0"/>
              <w:snapToGrid w:val="0"/>
              <w:jc w:val="center"/>
              <w:rPr>
                <w:bCs/>
                <w:color w:val="auto"/>
                <w:szCs w:val="21"/>
              </w:rPr>
            </w:pPr>
            <w:r>
              <w:rPr>
                <w:bCs/>
                <w:color w:val="auto"/>
                <w:szCs w:val="21"/>
              </w:rPr>
              <w:t>期环</w:t>
            </w:r>
          </w:p>
          <w:p w14:paraId="6A6C125C">
            <w:pPr>
              <w:adjustRightInd w:val="0"/>
              <w:snapToGrid w:val="0"/>
              <w:jc w:val="center"/>
              <w:rPr>
                <w:bCs/>
                <w:color w:val="auto"/>
                <w:szCs w:val="21"/>
              </w:rPr>
            </w:pPr>
            <w:r>
              <w:rPr>
                <w:bCs/>
                <w:color w:val="auto"/>
                <w:szCs w:val="21"/>
              </w:rPr>
              <w:t>境影</w:t>
            </w:r>
          </w:p>
          <w:p w14:paraId="310A6036">
            <w:pPr>
              <w:adjustRightInd w:val="0"/>
              <w:snapToGrid w:val="0"/>
              <w:jc w:val="center"/>
              <w:rPr>
                <w:bCs/>
                <w:color w:val="auto"/>
                <w:szCs w:val="21"/>
              </w:rPr>
            </w:pPr>
            <w:r>
              <w:rPr>
                <w:bCs/>
                <w:color w:val="auto"/>
                <w:szCs w:val="21"/>
              </w:rPr>
              <w:t>响和</w:t>
            </w:r>
          </w:p>
          <w:p w14:paraId="208541EE">
            <w:pPr>
              <w:adjustRightInd w:val="0"/>
              <w:snapToGrid w:val="0"/>
              <w:jc w:val="center"/>
              <w:rPr>
                <w:bCs/>
                <w:color w:val="auto"/>
                <w:szCs w:val="21"/>
              </w:rPr>
            </w:pPr>
            <w:r>
              <w:rPr>
                <w:bCs/>
                <w:color w:val="auto"/>
                <w:szCs w:val="21"/>
              </w:rPr>
              <w:t>保护</w:t>
            </w:r>
          </w:p>
          <w:p w14:paraId="4819A8E4">
            <w:pPr>
              <w:adjustRightInd w:val="0"/>
              <w:snapToGrid w:val="0"/>
              <w:jc w:val="center"/>
              <w:rPr>
                <w:bCs/>
                <w:color w:val="auto"/>
                <w:szCs w:val="21"/>
              </w:rPr>
            </w:pPr>
            <w:r>
              <w:rPr>
                <w:bCs/>
                <w:color w:val="auto"/>
                <w:szCs w:val="21"/>
              </w:rPr>
              <w:t>措施</w:t>
            </w:r>
          </w:p>
        </w:tc>
        <w:tc>
          <w:tcPr>
            <w:tcW w:w="13041" w:type="dxa"/>
            <w:tcBorders>
              <w:top w:val="single" w:color="auto" w:sz="4" w:space="0"/>
              <w:bottom w:val="single" w:color="auto" w:sz="4" w:space="0"/>
              <w:right w:val="single" w:color="auto" w:sz="4" w:space="0"/>
            </w:tcBorders>
          </w:tcPr>
          <w:p w14:paraId="7B7D404A">
            <w:pPr>
              <w:jc w:val="center"/>
              <w:rPr>
                <w:b/>
                <w:bCs/>
                <w:color w:val="auto"/>
                <w:szCs w:val="21"/>
              </w:rPr>
            </w:pPr>
            <w:r>
              <w:rPr>
                <w:b/>
                <w:bCs/>
                <w:color w:val="auto"/>
                <w:szCs w:val="21"/>
              </w:rPr>
              <w:t>表4-</w:t>
            </w:r>
            <w:r>
              <w:rPr>
                <w:rFonts w:hint="eastAsia"/>
                <w:b/>
                <w:bCs/>
                <w:color w:val="auto"/>
                <w:szCs w:val="21"/>
                <w:lang w:val="en-US" w:eastAsia="zh-CN"/>
              </w:rPr>
              <w:t>22</w:t>
            </w:r>
            <w:r>
              <w:rPr>
                <w:b/>
                <w:bCs/>
                <w:color w:val="auto"/>
                <w:szCs w:val="21"/>
              </w:rPr>
              <w:t xml:space="preserve"> </w:t>
            </w:r>
            <w:r>
              <w:rPr>
                <w:rFonts w:hint="eastAsia"/>
                <w:b/>
                <w:bCs/>
                <w:color w:val="auto"/>
                <w:szCs w:val="21"/>
              </w:rPr>
              <w:t>工业企业噪声源强调查清单（室内声源）</w:t>
            </w:r>
          </w:p>
          <w:tbl>
            <w:tblPr>
              <w:tblStyle w:val="25"/>
              <w:tblW w:w="1281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485"/>
              <w:gridCol w:w="697"/>
              <w:gridCol w:w="1067"/>
              <w:gridCol w:w="589"/>
              <w:gridCol w:w="636"/>
              <w:gridCol w:w="750"/>
              <w:gridCol w:w="1425"/>
              <w:gridCol w:w="1222"/>
              <w:gridCol w:w="686"/>
              <w:gridCol w:w="739"/>
              <w:gridCol w:w="932"/>
              <w:gridCol w:w="695"/>
              <w:gridCol w:w="889"/>
              <w:gridCol w:w="932"/>
              <w:gridCol w:w="1073"/>
            </w:tblGrid>
            <w:tr w14:paraId="48B2B4D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41" w:hRule="atLeast"/>
                <w:jc w:val="center"/>
              </w:trPr>
              <w:tc>
                <w:tcPr>
                  <w:tcW w:w="485" w:type="dxa"/>
                  <w:vMerge w:val="restart"/>
                  <w:tcBorders>
                    <w:tl2br w:val="nil"/>
                    <w:tr2bl w:val="nil"/>
                  </w:tcBorders>
                  <w:noWrap/>
                  <w:vAlign w:val="center"/>
                </w:tcPr>
                <w:p w14:paraId="3DB31350">
                  <w:pPr>
                    <w:widowControl/>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697" w:type="dxa"/>
                  <w:vMerge w:val="restart"/>
                  <w:tcBorders>
                    <w:tl2br w:val="nil"/>
                    <w:tr2bl w:val="nil"/>
                  </w:tcBorders>
                  <w:noWrap w:val="0"/>
                  <w:vAlign w:val="center"/>
                </w:tcPr>
                <w:p w14:paraId="09495907">
                  <w:pPr>
                    <w:widowControl/>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建筑物名称</w:t>
                  </w:r>
                </w:p>
              </w:tc>
              <w:tc>
                <w:tcPr>
                  <w:tcW w:w="1067" w:type="dxa"/>
                  <w:vMerge w:val="restart"/>
                  <w:tcBorders>
                    <w:tl2br w:val="nil"/>
                    <w:tr2bl w:val="nil"/>
                  </w:tcBorders>
                  <w:noWrap w:val="0"/>
                  <w:vAlign w:val="center"/>
                </w:tcPr>
                <w:p w14:paraId="2F3FB7BF">
                  <w:pPr>
                    <w:widowControl/>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声源名称</w:t>
                  </w:r>
                </w:p>
              </w:tc>
              <w:tc>
                <w:tcPr>
                  <w:tcW w:w="1975" w:type="dxa"/>
                  <w:gridSpan w:val="3"/>
                  <w:tcBorders>
                    <w:tl2br w:val="nil"/>
                    <w:tr2bl w:val="nil"/>
                  </w:tcBorders>
                  <w:noWrap/>
                  <w:vAlign w:val="center"/>
                </w:tcPr>
                <w:p w14:paraId="45942144">
                  <w:pPr>
                    <w:widowControl/>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空间相对位置/m</w:t>
                  </w:r>
                </w:p>
              </w:tc>
              <w:tc>
                <w:tcPr>
                  <w:tcW w:w="1425" w:type="dxa"/>
                  <w:vMerge w:val="restart"/>
                  <w:tcBorders>
                    <w:tl2br w:val="nil"/>
                    <w:tr2bl w:val="nil"/>
                  </w:tcBorders>
                  <w:noWrap w:val="0"/>
                  <w:vAlign w:val="center"/>
                </w:tcPr>
                <w:p w14:paraId="4B3FB71F">
                  <w:pPr>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（声压级/距声源距离）/（dB(A)/m）</w:t>
                  </w:r>
                </w:p>
              </w:tc>
              <w:tc>
                <w:tcPr>
                  <w:tcW w:w="1222" w:type="dxa"/>
                  <w:vMerge w:val="restart"/>
                  <w:tcBorders>
                    <w:tl2br w:val="nil"/>
                    <w:tr2bl w:val="nil"/>
                  </w:tcBorders>
                  <w:noWrap w:val="0"/>
                  <w:vAlign w:val="center"/>
                </w:tcPr>
                <w:p w14:paraId="78D8C453">
                  <w:pPr>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声源控制措施</w:t>
                  </w:r>
                </w:p>
              </w:tc>
              <w:tc>
                <w:tcPr>
                  <w:tcW w:w="1425" w:type="dxa"/>
                  <w:gridSpan w:val="2"/>
                  <w:vMerge w:val="restart"/>
                  <w:tcBorders>
                    <w:tl2br w:val="nil"/>
                    <w:tr2bl w:val="nil"/>
                  </w:tcBorders>
                  <w:noWrap w:val="0"/>
                  <w:vAlign w:val="center"/>
                </w:tcPr>
                <w:p w14:paraId="2D25DD92">
                  <w:pPr>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距室内边界距离/m</w:t>
                  </w:r>
                </w:p>
              </w:tc>
              <w:tc>
                <w:tcPr>
                  <w:tcW w:w="932" w:type="dxa"/>
                  <w:vMerge w:val="restart"/>
                  <w:tcBorders>
                    <w:tl2br w:val="nil"/>
                    <w:tr2bl w:val="nil"/>
                  </w:tcBorders>
                  <w:noWrap w:val="0"/>
                  <w:vAlign w:val="center"/>
                </w:tcPr>
                <w:p w14:paraId="38B28DF7">
                  <w:pPr>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室内边界声级/dB(A)</w:t>
                  </w:r>
                </w:p>
              </w:tc>
              <w:tc>
                <w:tcPr>
                  <w:tcW w:w="695" w:type="dxa"/>
                  <w:vMerge w:val="restart"/>
                  <w:tcBorders>
                    <w:tl2br w:val="nil"/>
                    <w:tr2bl w:val="nil"/>
                  </w:tcBorders>
                  <w:noWrap w:val="0"/>
                  <w:vAlign w:val="center"/>
                </w:tcPr>
                <w:p w14:paraId="3B735FAA">
                  <w:pPr>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运行时段</w:t>
                  </w:r>
                </w:p>
              </w:tc>
              <w:tc>
                <w:tcPr>
                  <w:tcW w:w="889" w:type="dxa"/>
                  <w:vMerge w:val="restart"/>
                  <w:tcBorders>
                    <w:tl2br w:val="nil"/>
                    <w:tr2bl w:val="nil"/>
                  </w:tcBorders>
                  <w:noWrap w:val="0"/>
                  <w:vAlign w:val="center"/>
                </w:tcPr>
                <w:p w14:paraId="5B19AA81">
                  <w:pPr>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建筑物插入损失</w:t>
                  </w:r>
                </w:p>
              </w:tc>
              <w:tc>
                <w:tcPr>
                  <w:tcW w:w="2005" w:type="dxa"/>
                  <w:gridSpan w:val="2"/>
                  <w:tcBorders>
                    <w:tl2br w:val="nil"/>
                    <w:tr2bl w:val="nil"/>
                  </w:tcBorders>
                  <w:noWrap w:val="0"/>
                  <w:vAlign w:val="center"/>
                </w:tcPr>
                <w:p w14:paraId="3BFF76AA">
                  <w:pPr>
                    <w:widowControl/>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建筑物外噪声</w:t>
                  </w:r>
                </w:p>
              </w:tc>
            </w:tr>
            <w:tr w14:paraId="214819F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605" w:hRule="atLeast"/>
                <w:jc w:val="center"/>
              </w:trPr>
              <w:tc>
                <w:tcPr>
                  <w:tcW w:w="485" w:type="dxa"/>
                  <w:vMerge w:val="continue"/>
                  <w:tcBorders>
                    <w:tl2br w:val="nil"/>
                    <w:tr2bl w:val="nil"/>
                  </w:tcBorders>
                  <w:noWrap/>
                  <w:vAlign w:val="center"/>
                </w:tcPr>
                <w:p w14:paraId="017CA3BB">
                  <w:pPr>
                    <w:widowControl/>
                    <w:jc w:val="center"/>
                    <w:rPr>
                      <w:rFonts w:hint="default" w:ascii="Times New Roman" w:hAnsi="Times New Roman" w:eastAsia="宋体" w:cs="Times New Roman"/>
                      <w:color w:val="auto"/>
                      <w:kern w:val="0"/>
                      <w:sz w:val="21"/>
                      <w:szCs w:val="21"/>
                      <w:highlight w:val="none"/>
                    </w:rPr>
                  </w:pPr>
                </w:p>
              </w:tc>
              <w:tc>
                <w:tcPr>
                  <w:tcW w:w="697" w:type="dxa"/>
                  <w:vMerge w:val="continue"/>
                  <w:tcBorders>
                    <w:tl2br w:val="nil"/>
                    <w:tr2bl w:val="nil"/>
                  </w:tcBorders>
                  <w:noWrap w:val="0"/>
                  <w:vAlign w:val="center"/>
                </w:tcPr>
                <w:p w14:paraId="0776BB6F">
                  <w:pPr>
                    <w:widowControl/>
                    <w:jc w:val="center"/>
                    <w:rPr>
                      <w:rFonts w:hint="default" w:ascii="Times New Roman" w:hAnsi="Times New Roman" w:eastAsia="宋体" w:cs="Times New Roman"/>
                      <w:color w:val="auto"/>
                      <w:kern w:val="0"/>
                      <w:sz w:val="21"/>
                      <w:szCs w:val="21"/>
                      <w:highlight w:val="none"/>
                    </w:rPr>
                  </w:pPr>
                </w:p>
              </w:tc>
              <w:tc>
                <w:tcPr>
                  <w:tcW w:w="1067" w:type="dxa"/>
                  <w:vMerge w:val="continue"/>
                  <w:tcBorders>
                    <w:tl2br w:val="nil"/>
                    <w:tr2bl w:val="nil"/>
                  </w:tcBorders>
                  <w:noWrap w:val="0"/>
                  <w:vAlign w:val="center"/>
                </w:tcPr>
                <w:p w14:paraId="12DE7C8B">
                  <w:pPr>
                    <w:widowControl/>
                    <w:jc w:val="center"/>
                    <w:rPr>
                      <w:rFonts w:hint="default" w:ascii="Times New Roman" w:hAnsi="Times New Roman" w:eastAsia="宋体" w:cs="Times New Roman"/>
                      <w:color w:val="auto"/>
                      <w:kern w:val="0"/>
                      <w:sz w:val="21"/>
                      <w:szCs w:val="21"/>
                      <w:highlight w:val="none"/>
                    </w:rPr>
                  </w:pPr>
                </w:p>
              </w:tc>
              <w:tc>
                <w:tcPr>
                  <w:tcW w:w="589" w:type="dxa"/>
                  <w:tcBorders>
                    <w:tl2br w:val="nil"/>
                    <w:tr2bl w:val="nil"/>
                  </w:tcBorders>
                  <w:noWrap/>
                  <w:vAlign w:val="center"/>
                </w:tcPr>
                <w:p w14:paraId="0FB49946">
                  <w:pPr>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X</w:t>
                  </w:r>
                </w:p>
              </w:tc>
              <w:tc>
                <w:tcPr>
                  <w:tcW w:w="636" w:type="dxa"/>
                  <w:tcBorders>
                    <w:tl2br w:val="nil"/>
                    <w:tr2bl w:val="nil"/>
                  </w:tcBorders>
                  <w:noWrap/>
                  <w:vAlign w:val="center"/>
                </w:tcPr>
                <w:p w14:paraId="1793DE00">
                  <w:pPr>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Y</w:t>
                  </w:r>
                </w:p>
              </w:tc>
              <w:tc>
                <w:tcPr>
                  <w:tcW w:w="750" w:type="dxa"/>
                  <w:tcBorders>
                    <w:tl2br w:val="nil"/>
                    <w:tr2bl w:val="nil"/>
                  </w:tcBorders>
                  <w:noWrap/>
                  <w:vAlign w:val="center"/>
                </w:tcPr>
                <w:p w14:paraId="4919D99A">
                  <w:pPr>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Z</w:t>
                  </w:r>
                </w:p>
              </w:tc>
              <w:tc>
                <w:tcPr>
                  <w:tcW w:w="1425" w:type="dxa"/>
                  <w:vMerge w:val="continue"/>
                  <w:tcBorders>
                    <w:tl2br w:val="nil"/>
                    <w:tr2bl w:val="nil"/>
                  </w:tcBorders>
                  <w:noWrap w:val="0"/>
                  <w:vAlign w:val="center"/>
                </w:tcPr>
                <w:p w14:paraId="2EBB8EBB">
                  <w:pPr>
                    <w:jc w:val="center"/>
                    <w:rPr>
                      <w:rFonts w:hint="default" w:ascii="Times New Roman" w:hAnsi="Times New Roman" w:eastAsia="宋体" w:cs="Times New Roman"/>
                      <w:color w:val="auto"/>
                      <w:kern w:val="0"/>
                      <w:sz w:val="21"/>
                      <w:szCs w:val="21"/>
                      <w:highlight w:val="none"/>
                    </w:rPr>
                  </w:pPr>
                </w:p>
              </w:tc>
              <w:tc>
                <w:tcPr>
                  <w:tcW w:w="1222" w:type="dxa"/>
                  <w:vMerge w:val="continue"/>
                  <w:tcBorders>
                    <w:tl2br w:val="nil"/>
                    <w:tr2bl w:val="nil"/>
                  </w:tcBorders>
                  <w:noWrap w:val="0"/>
                  <w:vAlign w:val="center"/>
                </w:tcPr>
                <w:p w14:paraId="4E8937CA">
                  <w:pPr>
                    <w:jc w:val="center"/>
                    <w:rPr>
                      <w:rFonts w:hint="default" w:ascii="Times New Roman" w:hAnsi="Times New Roman" w:eastAsia="宋体" w:cs="Times New Roman"/>
                      <w:color w:val="auto"/>
                      <w:kern w:val="0"/>
                      <w:sz w:val="21"/>
                      <w:szCs w:val="21"/>
                      <w:highlight w:val="none"/>
                    </w:rPr>
                  </w:pPr>
                </w:p>
              </w:tc>
              <w:tc>
                <w:tcPr>
                  <w:tcW w:w="1425" w:type="dxa"/>
                  <w:gridSpan w:val="2"/>
                  <w:vMerge w:val="continue"/>
                  <w:tcBorders>
                    <w:tl2br w:val="nil"/>
                    <w:tr2bl w:val="nil"/>
                  </w:tcBorders>
                  <w:noWrap w:val="0"/>
                  <w:vAlign w:val="center"/>
                </w:tcPr>
                <w:p w14:paraId="30F4D8AB">
                  <w:pPr>
                    <w:jc w:val="center"/>
                    <w:rPr>
                      <w:rFonts w:hint="default" w:ascii="Times New Roman" w:hAnsi="Times New Roman" w:eastAsia="宋体" w:cs="Times New Roman"/>
                      <w:color w:val="auto"/>
                      <w:kern w:val="0"/>
                      <w:sz w:val="21"/>
                      <w:szCs w:val="21"/>
                      <w:highlight w:val="none"/>
                    </w:rPr>
                  </w:pPr>
                </w:p>
              </w:tc>
              <w:tc>
                <w:tcPr>
                  <w:tcW w:w="932" w:type="dxa"/>
                  <w:vMerge w:val="continue"/>
                  <w:tcBorders>
                    <w:tl2br w:val="nil"/>
                    <w:tr2bl w:val="nil"/>
                  </w:tcBorders>
                  <w:noWrap w:val="0"/>
                  <w:vAlign w:val="center"/>
                </w:tcPr>
                <w:p w14:paraId="294D9EA1">
                  <w:pPr>
                    <w:jc w:val="center"/>
                    <w:rPr>
                      <w:rFonts w:hint="default" w:ascii="Times New Roman" w:hAnsi="Times New Roman" w:eastAsia="宋体" w:cs="Times New Roman"/>
                      <w:color w:val="auto"/>
                      <w:kern w:val="0"/>
                      <w:sz w:val="21"/>
                      <w:szCs w:val="21"/>
                      <w:highlight w:val="none"/>
                    </w:rPr>
                  </w:pPr>
                </w:p>
              </w:tc>
              <w:tc>
                <w:tcPr>
                  <w:tcW w:w="695" w:type="dxa"/>
                  <w:vMerge w:val="continue"/>
                  <w:tcBorders>
                    <w:tl2br w:val="nil"/>
                    <w:tr2bl w:val="nil"/>
                  </w:tcBorders>
                  <w:noWrap w:val="0"/>
                  <w:vAlign w:val="center"/>
                </w:tcPr>
                <w:p w14:paraId="00D82040">
                  <w:pPr>
                    <w:jc w:val="center"/>
                    <w:rPr>
                      <w:rFonts w:hint="default" w:ascii="Times New Roman" w:hAnsi="Times New Roman" w:eastAsia="宋体" w:cs="Times New Roman"/>
                      <w:color w:val="auto"/>
                      <w:kern w:val="0"/>
                      <w:sz w:val="21"/>
                      <w:szCs w:val="21"/>
                      <w:highlight w:val="none"/>
                    </w:rPr>
                  </w:pPr>
                </w:p>
              </w:tc>
              <w:tc>
                <w:tcPr>
                  <w:tcW w:w="889" w:type="dxa"/>
                  <w:vMerge w:val="continue"/>
                  <w:tcBorders>
                    <w:tl2br w:val="nil"/>
                    <w:tr2bl w:val="nil"/>
                  </w:tcBorders>
                  <w:noWrap w:val="0"/>
                  <w:vAlign w:val="center"/>
                </w:tcPr>
                <w:p w14:paraId="6B9362E3">
                  <w:pPr>
                    <w:jc w:val="center"/>
                    <w:rPr>
                      <w:rFonts w:hint="default" w:ascii="Times New Roman" w:hAnsi="Times New Roman" w:eastAsia="宋体" w:cs="Times New Roman"/>
                      <w:color w:val="auto"/>
                      <w:kern w:val="0"/>
                      <w:sz w:val="21"/>
                      <w:szCs w:val="21"/>
                      <w:highlight w:val="none"/>
                    </w:rPr>
                  </w:pPr>
                </w:p>
              </w:tc>
              <w:tc>
                <w:tcPr>
                  <w:tcW w:w="932" w:type="dxa"/>
                  <w:tcBorders>
                    <w:tl2br w:val="nil"/>
                    <w:tr2bl w:val="nil"/>
                  </w:tcBorders>
                  <w:noWrap w:val="0"/>
                  <w:vAlign w:val="center"/>
                </w:tcPr>
                <w:p w14:paraId="7088DCCA">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kern w:val="0"/>
                      <w:sz w:val="21"/>
                      <w:szCs w:val="21"/>
                      <w:highlight w:val="none"/>
                    </w:rPr>
                    <w:t>声压级/dB(A)</w:t>
                  </w:r>
                </w:p>
              </w:tc>
              <w:tc>
                <w:tcPr>
                  <w:tcW w:w="1073" w:type="dxa"/>
                  <w:tcBorders>
                    <w:tl2br w:val="nil"/>
                    <w:tr2bl w:val="nil"/>
                  </w:tcBorders>
                  <w:noWrap w:val="0"/>
                  <w:vAlign w:val="center"/>
                </w:tcPr>
                <w:p w14:paraId="7D706690">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kern w:val="0"/>
                      <w:sz w:val="21"/>
                      <w:szCs w:val="21"/>
                      <w:highlight w:val="none"/>
                    </w:rPr>
                    <w:t>建筑物外距离/m</w:t>
                  </w:r>
                </w:p>
              </w:tc>
            </w:tr>
            <w:tr w14:paraId="588CB65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80" w:hRule="atLeast"/>
                <w:jc w:val="center"/>
              </w:trPr>
              <w:tc>
                <w:tcPr>
                  <w:tcW w:w="485" w:type="dxa"/>
                  <w:vMerge w:val="restart"/>
                  <w:tcBorders>
                    <w:tl2br w:val="nil"/>
                    <w:tr2bl w:val="nil"/>
                  </w:tcBorders>
                  <w:noWrap/>
                  <w:vAlign w:val="center"/>
                </w:tcPr>
                <w:p w14:paraId="30820CE9">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697" w:type="dxa"/>
                  <w:vMerge w:val="restart"/>
                  <w:tcBorders>
                    <w:tl2br w:val="nil"/>
                    <w:tr2bl w:val="nil"/>
                  </w:tcBorders>
                  <w:noWrap/>
                  <w:vAlign w:val="center"/>
                </w:tcPr>
                <w:p w14:paraId="05F869FF">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r>
                    <w:rPr>
                      <w:rFonts w:hint="eastAsia" w:ascii="Times New Roman" w:hAnsi="Times New Roman" w:cs="Times New Roman"/>
                      <w:color w:val="auto"/>
                      <w:kern w:val="0"/>
                      <w:sz w:val="21"/>
                      <w:szCs w:val="21"/>
                      <w:highlight w:val="none"/>
                      <w:lang w:val="en-US" w:eastAsia="zh-CN"/>
                    </w:rPr>
                    <w:t>车间</w:t>
                  </w:r>
                </w:p>
              </w:tc>
              <w:tc>
                <w:tcPr>
                  <w:tcW w:w="1067" w:type="dxa"/>
                  <w:vMerge w:val="restart"/>
                  <w:tcBorders>
                    <w:tl2br w:val="nil"/>
                    <w:tr2bl w:val="nil"/>
                  </w:tcBorders>
                  <w:noWrap w:val="0"/>
                  <w:vAlign w:val="center"/>
                </w:tcPr>
                <w:p w14:paraId="668CC0D2">
                  <w:pP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注塑机</w:t>
                  </w:r>
                </w:p>
              </w:tc>
              <w:tc>
                <w:tcPr>
                  <w:tcW w:w="589" w:type="dxa"/>
                  <w:vMerge w:val="restart"/>
                  <w:tcBorders>
                    <w:tl2br w:val="nil"/>
                    <w:tr2bl w:val="nil"/>
                  </w:tcBorders>
                  <w:noWrap/>
                  <w:vAlign w:val="center"/>
                </w:tcPr>
                <w:p w14:paraId="542AAF1B">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94</w:t>
                  </w:r>
                </w:p>
              </w:tc>
              <w:tc>
                <w:tcPr>
                  <w:tcW w:w="636" w:type="dxa"/>
                  <w:vMerge w:val="restart"/>
                  <w:tcBorders>
                    <w:tl2br w:val="nil"/>
                    <w:tr2bl w:val="nil"/>
                  </w:tcBorders>
                  <w:noWrap/>
                  <w:vAlign w:val="center"/>
                </w:tcPr>
                <w:p w14:paraId="0C299AA1">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77</w:t>
                  </w:r>
                </w:p>
              </w:tc>
              <w:tc>
                <w:tcPr>
                  <w:tcW w:w="750" w:type="dxa"/>
                  <w:vMerge w:val="restart"/>
                  <w:tcBorders>
                    <w:tl2br w:val="nil"/>
                    <w:tr2bl w:val="nil"/>
                  </w:tcBorders>
                  <w:noWrap/>
                  <w:vAlign w:val="center"/>
                </w:tcPr>
                <w:p w14:paraId="0439236F">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1425" w:type="dxa"/>
                  <w:vMerge w:val="restart"/>
                  <w:tcBorders>
                    <w:tl2br w:val="nil"/>
                    <w:tr2bl w:val="nil"/>
                  </w:tcBorders>
                  <w:noWrap/>
                  <w:vAlign w:val="center"/>
                </w:tcPr>
                <w:p w14:paraId="0871A3B1">
                  <w:pPr>
                    <w:widowControl/>
                    <w:jc w:val="center"/>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75</w:t>
                  </w:r>
                  <w:r>
                    <w:rPr>
                      <w:rFonts w:hint="default" w:ascii="Times New Roman" w:hAnsi="Times New Roman" w:eastAsia="宋体" w:cs="Times New Roman"/>
                      <w:color w:val="auto"/>
                      <w:kern w:val="0"/>
                      <w:sz w:val="21"/>
                      <w:szCs w:val="21"/>
                    </w:rPr>
                    <w:t>/1</w:t>
                  </w:r>
                </w:p>
              </w:tc>
              <w:tc>
                <w:tcPr>
                  <w:tcW w:w="1222" w:type="dxa"/>
                  <w:vMerge w:val="restart"/>
                  <w:tcBorders>
                    <w:tl2br w:val="nil"/>
                    <w:tr2bl w:val="nil"/>
                  </w:tcBorders>
                  <w:noWrap/>
                  <w:vAlign w:val="center"/>
                </w:tcPr>
                <w:p w14:paraId="3EC58A27">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隔声、减振</w:t>
                  </w:r>
                </w:p>
              </w:tc>
              <w:tc>
                <w:tcPr>
                  <w:tcW w:w="686" w:type="dxa"/>
                  <w:tcBorders>
                    <w:bottom w:val="single" w:color="auto" w:sz="4" w:space="0"/>
                    <w:tl2br w:val="nil"/>
                    <w:tr2bl w:val="nil"/>
                  </w:tcBorders>
                  <w:noWrap w:val="0"/>
                  <w:vAlign w:val="center"/>
                </w:tcPr>
                <w:p w14:paraId="088C7805">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E</w:t>
                  </w:r>
                </w:p>
              </w:tc>
              <w:tc>
                <w:tcPr>
                  <w:tcW w:w="739" w:type="dxa"/>
                  <w:tcBorders>
                    <w:bottom w:val="single" w:color="auto" w:sz="4" w:space="0"/>
                    <w:tl2br w:val="nil"/>
                    <w:tr2bl w:val="nil"/>
                  </w:tcBorders>
                  <w:noWrap w:val="0"/>
                  <w:vAlign w:val="center"/>
                </w:tcPr>
                <w:p w14:paraId="1CC3349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932" w:type="dxa"/>
                  <w:tcBorders>
                    <w:bottom w:val="single" w:color="auto" w:sz="4" w:space="0"/>
                    <w:tl2br w:val="nil"/>
                    <w:tr2bl w:val="nil"/>
                  </w:tcBorders>
                  <w:noWrap w:val="0"/>
                  <w:vAlign w:val="center"/>
                </w:tcPr>
                <w:p w14:paraId="668D28F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55.0</w:t>
                  </w:r>
                </w:p>
              </w:tc>
              <w:tc>
                <w:tcPr>
                  <w:tcW w:w="695" w:type="dxa"/>
                  <w:vMerge w:val="restart"/>
                  <w:tcBorders>
                    <w:tl2br w:val="nil"/>
                    <w:tr2bl w:val="nil"/>
                  </w:tcBorders>
                  <w:noWrap w:val="0"/>
                  <w:vAlign w:val="center"/>
                </w:tcPr>
                <w:p w14:paraId="4F60B2F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r>
                    <w:rPr>
                      <w:rFonts w:hint="default" w:ascii="Times New Roman" w:hAnsi="Times New Roman" w:eastAsia="宋体" w:cs="Times New Roman"/>
                      <w:color w:val="auto"/>
                      <w:sz w:val="21"/>
                      <w:szCs w:val="21"/>
                      <w:highlight w:val="none"/>
                      <w:lang w:val="en-US" w:eastAsia="zh-CN"/>
                    </w:rPr>
                    <w:t>h/d</w:t>
                  </w:r>
                </w:p>
              </w:tc>
              <w:tc>
                <w:tcPr>
                  <w:tcW w:w="889" w:type="dxa"/>
                  <w:vMerge w:val="restart"/>
                  <w:tcBorders>
                    <w:tl2br w:val="nil"/>
                    <w:tr2bl w:val="nil"/>
                  </w:tcBorders>
                  <w:noWrap w:val="0"/>
                  <w:vAlign w:val="center"/>
                </w:tcPr>
                <w:p w14:paraId="035AF72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w:t>
                  </w:r>
                </w:p>
              </w:tc>
              <w:tc>
                <w:tcPr>
                  <w:tcW w:w="932" w:type="dxa"/>
                  <w:tcBorders>
                    <w:bottom w:val="single" w:color="auto" w:sz="4" w:space="0"/>
                    <w:tl2br w:val="nil"/>
                    <w:tr2bl w:val="nil"/>
                  </w:tcBorders>
                  <w:noWrap/>
                  <w:vAlign w:val="center"/>
                </w:tcPr>
                <w:p w14:paraId="21FEEF1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34.0 </w:t>
                  </w:r>
                </w:p>
              </w:tc>
              <w:tc>
                <w:tcPr>
                  <w:tcW w:w="1073" w:type="dxa"/>
                  <w:vMerge w:val="restart"/>
                  <w:tcBorders>
                    <w:tl2br w:val="nil"/>
                    <w:tr2bl w:val="nil"/>
                  </w:tcBorders>
                  <w:noWrap w:val="0"/>
                  <w:vAlign w:val="center"/>
                </w:tcPr>
                <w:p w14:paraId="3C534174">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r>
            <w:tr w14:paraId="3329F8C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6" w:hRule="atLeast"/>
                <w:jc w:val="center"/>
              </w:trPr>
              <w:tc>
                <w:tcPr>
                  <w:tcW w:w="485" w:type="dxa"/>
                  <w:vMerge w:val="continue"/>
                  <w:tcBorders>
                    <w:tl2br w:val="nil"/>
                    <w:tr2bl w:val="nil"/>
                  </w:tcBorders>
                  <w:noWrap/>
                  <w:vAlign w:val="center"/>
                </w:tcPr>
                <w:p w14:paraId="1740C0B2">
                  <w:pPr>
                    <w:widowControl/>
                    <w:jc w:val="center"/>
                    <w:rPr>
                      <w:rFonts w:hint="default" w:ascii="Times New Roman" w:hAnsi="Times New Roman" w:eastAsia="宋体" w:cs="Times New Roman"/>
                      <w:color w:val="auto"/>
                      <w:kern w:val="0"/>
                      <w:sz w:val="21"/>
                      <w:szCs w:val="21"/>
                      <w:highlight w:val="none"/>
                    </w:rPr>
                  </w:pPr>
                </w:p>
              </w:tc>
              <w:tc>
                <w:tcPr>
                  <w:tcW w:w="697" w:type="dxa"/>
                  <w:vMerge w:val="continue"/>
                  <w:tcBorders>
                    <w:tl2br w:val="nil"/>
                    <w:tr2bl w:val="nil"/>
                  </w:tcBorders>
                  <w:noWrap/>
                  <w:vAlign w:val="center"/>
                </w:tcPr>
                <w:p w14:paraId="1A5DD7D0">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l2br w:val="nil"/>
                    <w:tr2bl w:val="nil"/>
                  </w:tcBorders>
                  <w:noWrap w:val="0"/>
                  <w:vAlign w:val="center"/>
                </w:tcPr>
                <w:p w14:paraId="35843340">
                  <w:pPr>
                    <w:jc w:val="center"/>
                    <w:rPr>
                      <w:rFonts w:hint="default" w:ascii="Times New Roman" w:hAnsi="Times New Roman" w:eastAsia="Arial" w:cs="Times New Roman"/>
                      <w:color w:val="auto"/>
                      <w:sz w:val="21"/>
                      <w:szCs w:val="21"/>
                      <w:highlight w:val="none"/>
                    </w:rPr>
                  </w:pPr>
                </w:p>
              </w:tc>
              <w:tc>
                <w:tcPr>
                  <w:tcW w:w="589" w:type="dxa"/>
                  <w:vMerge w:val="continue"/>
                  <w:tcBorders>
                    <w:tl2br w:val="nil"/>
                    <w:tr2bl w:val="nil"/>
                  </w:tcBorders>
                  <w:noWrap/>
                  <w:vAlign w:val="center"/>
                </w:tcPr>
                <w:p w14:paraId="1EEC9197">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00065E3A">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223209DA">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4BF294E4">
                  <w:pPr>
                    <w:widowControl/>
                    <w:jc w:val="center"/>
                    <w:rPr>
                      <w:rFonts w:hint="default" w:ascii="Times New Roman" w:hAnsi="Times New Roman" w:eastAsia="宋体" w:cs="Times New Roman"/>
                      <w:color w:val="auto"/>
                      <w:kern w:val="0"/>
                      <w:sz w:val="21"/>
                      <w:szCs w:val="21"/>
                      <w:highlight w:val="none"/>
                      <w:lang w:val="en-US" w:eastAsia="zh-CN"/>
                    </w:rPr>
                  </w:pPr>
                </w:p>
              </w:tc>
              <w:tc>
                <w:tcPr>
                  <w:tcW w:w="1222" w:type="dxa"/>
                  <w:vMerge w:val="continue"/>
                  <w:tcBorders>
                    <w:tl2br w:val="nil"/>
                    <w:tr2bl w:val="nil"/>
                  </w:tcBorders>
                  <w:noWrap/>
                  <w:vAlign w:val="center"/>
                </w:tcPr>
                <w:p w14:paraId="2700F28D">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4C6A3A3E">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w:t>
                  </w:r>
                </w:p>
              </w:tc>
              <w:tc>
                <w:tcPr>
                  <w:tcW w:w="739" w:type="dxa"/>
                  <w:tcBorders>
                    <w:top w:val="single" w:color="auto" w:sz="4" w:space="0"/>
                    <w:bottom w:val="single" w:color="auto" w:sz="4" w:space="0"/>
                    <w:tl2br w:val="nil"/>
                    <w:tr2bl w:val="nil"/>
                  </w:tcBorders>
                  <w:noWrap w:val="0"/>
                  <w:vAlign w:val="center"/>
                </w:tcPr>
                <w:p w14:paraId="29B3D3EA">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78</w:t>
                  </w:r>
                </w:p>
              </w:tc>
              <w:tc>
                <w:tcPr>
                  <w:tcW w:w="932" w:type="dxa"/>
                  <w:tcBorders>
                    <w:top w:val="single" w:color="auto" w:sz="4" w:space="0"/>
                    <w:bottom w:val="single" w:color="auto" w:sz="4" w:space="0"/>
                    <w:tl2br w:val="nil"/>
                    <w:tr2bl w:val="nil"/>
                  </w:tcBorders>
                  <w:noWrap w:val="0"/>
                  <w:vAlign w:val="center"/>
                </w:tcPr>
                <w:p w14:paraId="04287B6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37.2</w:t>
                  </w:r>
                </w:p>
              </w:tc>
              <w:tc>
                <w:tcPr>
                  <w:tcW w:w="695" w:type="dxa"/>
                  <w:vMerge w:val="continue"/>
                  <w:tcBorders>
                    <w:tl2br w:val="nil"/>
                    <w:tr2bl w:val="nil"/>
                  </w:tcBorders>
                  <w:noWrap w:val="0"/>
                  <w:vAlign w:val="center"/>
                </w:tcPr>
                <w:p w14:paraId="05E64A92">
                  <w:pPr>
                    <w:jc w:val="center"/>
                    <w:rPr>
                      <w:rFonts w:hint="default" w:ascii="Times New Roman" w:hAnsi="Times New Roman" w:eastAsia="宋体" w:cs="Times New Roman"/>
                      <w:color w:val="auto"/>
                      <w:sz w:val="21"/>
                      <w:szCs w:val="21"/>
                      <w:highlight w:val="none"/>
                      <w:lang w:val="en-US" w:eastAsia="zh-CN"/>
                    </w:rPr>
                  </w:pPr>
                </w:p>
              </w:tc>
              <w:tc>
                <w:tcPr>
                  <w:tcW w:w="889" w:type="dxa"/>
                  <w:vMerge w:val="continue"/>
                  <w:tcBorders>
                    <w:tl2br w:val="nil"/>
                    <w:tr2bl w:val="nil"/>
                  </w:tcBorders>
                  <w:noWrap w:val="0"/>
                  <w:vAlign w:val="center"/>
                </w:tcPr>
                <w:p w14:paraId="2CC3E88F">
                  <w:pPr>
                    <w:jc w:val="center"/>
                    <w:rPr>
                      <w:rFonts w:hint="default" w:ascii="Times New Roman" w:hAnsi="Times New Roman" w:eastAsia="宋体"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15C92A9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16.2 </w:t>
                  </w:r>
                </w:p>
              </w:tc>
              <w:tc>
                <w:tcPr>
                  <w:tcW w:w="1073" w:type="dxa"/>
                  <w:vMerge w:val="continue"/>
                  <w:tcBorders>
                    <w:tl2br w:val="nil"/>
                    <w:tr2bl w:val="nil"/>
                  </w:tcBorders>
                  <w:noWrap w:val="0"/>
                  <w:vAlign w:val="center"/>
                </w:tcPr>
                <w:p w14:paraId="239679D5">
                  <w:pPr>
                    <w:widowControl/>
                    <w:jc w:val="center"/>
                    <w:rPr>
                      <w:rFonts w:hint="default" w:ascii="Times New Roman" w:hAnsi="Times New Roman" w:eastAsia="宋体" w:cs="Times New Roman"/>
                      <w:color w:val="auto"/>
                      <w:kern w:val="0"/>
                      <w:sz w:val="21"/>
                      <w:szCs w:val="21"/>
                      <w:highlight w:val="none"/>
                    </w:rPr>
                  </w:pPr>
                </w:p>
              </w:tc>
            </w:tr>
            <w:tr w14:paraId="3FFE871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30" w:hRule="atLeast"/>
                <w:jc w:val="center"/>
              </w:trPr>
              <w:tc>
                <w:tcPr>
                  <w:tcW w:w="485" w:type="dxa"/>
                  <w:vMerge w:val="continue"/>
                  <w:tcBorders>
                    <w:tl2br w:val="nil"/>
                    <w:tr2bl w:val="nil"/>
                  </w:tcBorders>
                  <w:noWrap/>
                  <w:vAlign w:val="center"/>
                </w:tcPr>
                <w:p w14:paraId="6A3A4F60">
                  <w:pPr>
                    <w:widowControl/>
                    <w:jc w:val="center"/>
                    <w:rPr>
                      <w:rFonts w:hint="default" w:ascii="Times New Roman" w:hAnsi="Times New Roman" w:eastAsia="宋体" w:cs="Times New Roman"/>
                      <w:color w:val="auto"/>
                      <w:kern w:val="0"/>
                      <w:sz w:val="21"/>
                      <w:szCs w:val="21"/>
                      <w:highlight w:val="none"/>
                    </w:rPr>
                  </w:pPr>
                </w:p>
              </w:tc>
              <w:tc>
                <w:tcPr>
                  <w:tcW w:w="697" w:type="dxa"/>
                  <w:vMerge w:val="continue"/>
                  <w:tcBorders>
                    <w:tl2br w:val="nil"/>
                    <w:tr2bl w:val="nil"/>
                  </w:tcBorders>
                  <w:noWrap/>
                  <w:vAlign w:val="center"/>
                </w:tcPr>
                <w:p w14:paraId="6FEC401C">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l2br w:val="nil"/>
                    <w:tr2bl w:val="nil"/>
                  </w:tcBorders>
                  <w:noWrap w:val="0"/>
                  <w:vAlign w:val="center"/>
                </w:tcPr>
                <w:p w14:paraId="7043E94F">
                  <w:pPr>
                    <w:jc w:val="center"/>
                    <w:rPr>
                      <w:rFonts w:hint="default" w:ascii="Times New Roman" w:hAnsi="Times New Roman" w:eastAsia="Arial" w:cs="Times New Roman"/>
                      <w:color w:val="auto"/>
                      <w:sz w:val="21"/>
                      <w:szCs w:val="21"/>
                      <w:highlight w:val="none"/>
                    </w:rPr>
                  </w:pPr>
                </w:p>
              </w:tc>
              <w:tc>
                <w:tcPr>
                  <w:tcW w:w="589" w:type="dxa"/>
                  <w:vMerge w:val="continue"/>
                  <w:tcBorders>
                    <w:tl2br w:val="nil"/>
                    <w:tr2bl w:val="nil"/>
                  </w:tcBorders>
                  <w:noWrap/>
                  <w:vAlign w:val="center"/>
                </w:tcPr>
                <w:p w14:paraId="55702BFE">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77E4A292">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7BA2BE77">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7EF521D2">
                  <w:pPr>
                    <w:widowControl/>
                    <w:jc w:val="center"/>
                    <w:rPr>
                      <w:rFonts w:hint="default" w:ascii="Times New Roman" w:hAnsi="Times New Roman" w:eastAsia="宋体" w:cs="Times New Roman"/>
                      <w:color w:val="auto"/>
                      <w:kern w:val="0"/>
                      <w:sz w:val="21"/>
                      <w:szCs w:val="21"/>
                      <w:highlight w:val="none"/>
                      <w:lang w:val="en-US" w:eastAsia="zh-CN"/>
                    </w:rPr>
                  </w:pPr>
                </w:p>
              </w:tc>
              <w:tc>
                <w:tcPr>
                  <w:tcW w:w="1222" w:type="dxa"/>
                  <w:vMerge w:val="continue"/>
                  <w:tcBorders>
                    <w:tl2br w:val="nil"/>
                    <w:tr2bl w:val="nil"/>
                  </w:tcBorders>
                  <w:noWrap/>
                  <w:vAlign w:val="center"/>
                </w:tcPr>
                <w:p w14:paraId="0A717550">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4BB84830">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w:t>
                  </w:r>
                </w:p>
              </w:tc>
              <w:tc>
                <w:tcPr>
                  <w:tcW w:w="739" w:type="dxa"/>
                  <w:tcBorders>
                    <w:top w:val="single" w:color="auto" w:sz="4" w:space="0"/>
                    <w:bottom w:val="single" w:color="auto" w:sz="4" w:space="0"/>
                    <w:tl2br w:val="nil"/>
                    <w:tr2bl w:val="nil"/>
                  </w:tcBorders>
                  <w:noWrap w:val="0"/>
                  <w:vAlign w:val="center"/>
                </w:tcPr>
                <w:p w14:paraId="09C00F7A">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95</w:t>
                  </w:r>
                </w:p>
              </w:tc>
              <w:tc>
                <w:tcPr>
                  <w:tcW w:w="932" w:type="dxa"/>
                  <w:tcBorders>
                    <w:top w:val="single" w:color="auto" w:sz="4" w:space="0"/>
                    <w:bottom w:val="single" w:color="auto" w:sz="4" w:space="0"/>
                    <w:tl2br w:val="nil"/>
                    <w:tr2bl w:val="nil"/>
                  </w:tcBorders>
                  <w:noWrap w:val="0"/>
                  <w:vAlign w:val="center"/>
                </w:tcPr>
                <w:p w14:paraId="0CD8BA9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35.4</w:t>
                  </w:r>
                </w:p>
              </w:tc>
              <w:tc>
                <w:tcPr>
                  <w:tcW w:w="695" w:type="dxa"/>
                  <w:vMerge w:val="continue"/>
                  <w:tcBorders>
                    <w:tl2br w:val="nil"/>
                    <w:tr2bl w:val="nil"/>
                  </w:tcBorders>
                  <w:noWrap w:val="0"/>
                  <w:vAlign w:val="center"/>
                </w:tcPr>
                <w:p w14:paraId="776E4043">
                  <w:pPr>
                    <w:jc w:val="center"/>
                    <w:rPr>
                      <w:rFonts w:hint="default" w:ascii="Times New Roman" w:hAnsi="Times New Roman" w:eastAsia="宋体" w:cs="Times New Roman"/>
                      <w:color w:val="auto"/>
                      <w:sz w:val="21"/>
                      <w:szCs w:val="21"/>
                      <w:highlight w:val="none"/>
                      <w:lang w:val="en-US" w:eastAsia="zh-CN"/>
                    </w:rPr>
                  </w:pPr>
                </w:p>
              </w:tc>
              <w:tc>
                <w:tcPr>
                  <w:tcW w:w="889" w:type="dxa"/>
                  <w:vMerge w:val="continue"/>
                  <w:tcBorders>
                    <w:tl2br w:val="nil"/>
                    <w:tr2bl w:val="nil"/>
                  </w:tcBorders>
                  <w:noWrap w:val="0"/>
                  <w:vAlign w:val="center"/>
                </w:tcPr>
                <w:p w14:paraId="403C5F62">
                  <w:pPr>
                    <w:jc w:val="center"/>
                    <w:rPr>
                      <w:rFonts w:hint="default" w:ascii="Times New Roman" w:hAnsi="Times New Roman" w:eastAsia="宋体"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421A79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14.4 </w:t>
                  </w:r>
                </w:p>
              </w:tc>
              <w:tc>
                <w:tcPr>
                  <w:tcW w:w="1073" w:type="dxa"/>
                  <w:vMerge w:val="continue"/>
                  <w:tcBorders>
                    <w:tl2br w:val="nil"/>
                    <w:tr2bl w:val="nil"/>
                  </w:tcBorders>
                  <w:noWrap w:val="0"/>
                  <w:vAlign w:val="center"/>
                </w:tcPr>
                <w:p w14:paraId="5973DD0C">
                  <w:pPr>
                    <w:widowControl/>
                    <w:jc w:val="center"/>
                    <w:rPr>
                      <w:rFonts w:hint="default" w:ascii="Times New Roman" w:hAnsi="Times New Roman" w:eastAsia="宋体" w:cs="Times New Roman"/>
                      <w:color w:val="auto"/>
                      <w:kern w:val="0"/>
                      <w:sz w:val="21"/>
                      <w:szCs w:val="21"/>
                      <w:highlight w:val="none"/>
                    </w:rPr>
                  </w:pPr>
                </w:p>
              </w:tc>
            </w:tr>
            <w:tr w14:paraId="3302CB7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485" w:type="dxa"/>
                  <w:vMerge w:val="continue"/>
                  <w:tcBorders>
                    <w:tl2br w:val="nil"/>
                    <w:tr2bl w:val="nil"/>
                  </w:tcBorders>
                  <w:noWrap/>
                  <w:vAlign w:val="center"/>
                </w:tcPr>
                <w:p w14:paraId="324D5BA0">
                  <w:pPr>
                    <w:widowControl/>
                    <w:jc w:val="center"/>
                    <w:rPr>
                      <w:rFonts w:hint="default" w:ascii="Times New Roman" w:hAnsi="Times New Roman" w:eastAsia="宋体" w:cs="Times New Roman"/>
                      <w:color w:val="auto"/>
                      <w:kern w:val="0"/>
                      <w:sz w:val="21"/>
                      <w:szCs w:val="21"/>
                      <w:highlight w:val="none"/>
                    </w:rPr>
                  </w:pPr>
                </w:p>
              </w:tc>
              <w:tc>
                <w:tcPr>
                  <w:tcW w:w="697" w:type="dxa"/>
                  <w:vMerge w:val="continue"/>
                  <w:tcBorders>
                    <w:bottom w:val="single" w:color="auto" w:sz="4" w:space="0"/>
                    <w:tl2br w:val="nil"/>
                    <w:tr2bl w:val="nil"/>
                  </w:tcBorders>
                  <w:noWrap/>
                  <w:vAlign w:val="center"/>
                </w:tcPr>
                <w:p w14:paraId="79ED7D3E">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l2br w:val="nil"/>
                    <w:tr2bl w:val="nil"/>
                  </w:tcBorders>
                  <w:noWrap w:val="0"/>
                  <w:vAlign w:val="center"/>
                </w:tcPr>
                <w:p w14:paraId="78716AF3">
                  <w:pPr>
                    <w:jc w:val="center"/>
                    <w:rPr>
                      <w:rFonts w:hint="default" w:ascii="Times New Roman" w:hAnsi="Times New Roman" w:eastAsia="Arial" w:cs="Times New Roman"/>
                      <w:color w:val="auto"/>
                      <w:sz w:val="21"/>
                      <w:szCs w:val="21"/>
                      <w:highlight w:val="none"/>
                    </w:rPr>
                  </w:pPr>
                </w:p>
              </w:tc>
              <w:tc>
                <w:tcPr>
                  <w:tcW w:w="589" w:type="dxa"/>
                  <w:vMerge w:val="continue"/>
                  <w:tcBorders>
                    <w:tl2br w:val="nil"/>
                    <w:tr2bl w:val="nil"/>
                  </w:tcBorders>
                  <w:noWrap/>
                  <w:vAlign w:val="center"/>
                </w:tcPr>
                <w:p w14:paraId="13DBC462">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029A43B5">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35910F69">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57C18E77">
                  <w:pPr>
                    <w:widowControl/>
                    <w:jc w:val="center"/>
                    <w:rPr>
                      <w:rFonts w:hint="default" w:ascii="Times New Roman" w:hAnsi="Times New Roman" w:eastAsia="宋体" w:cs="Times New Roman"/>
                      <w:color w:val="auto"/>
                      <w:kern w:val="0"/>
                      <w:sz w:val="21"/>
                      <w:szCs w:val="21"/>
                      <w:highlight w:val="none"/>
                      <w:lang w:val="en-US" w:eastAsia="zh-CN"/>
                    </w:rPr>
                  </w:pPr>
                </w:p>
              </w:tc>
              <w:tc>
                <w:tcPr>
                  <w:tcW w:w="1222" w:type="dxa"/>
                  <w:vMerge w:val="continue"/>
                  <w:tcBorders>
                    <w:tl2br w:val="nil"/>
                    <w:tr2bl w:val="nil"/>
                  </w:tcBorders>
                  <w:noWrap/>
                  <w:vAlign w:val="center"/>
                </w:tcPr>
                <w:p w14:paraId="5E4D54D5">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tl2br w:val="nil"/>
                    <w:tr2bl w:val="nil"/>
                  </w:tcBorders>
                  <w:noWrap w:val="0"/>
                  <w:vAlign w:val="center"/>
                </w:tcPr>
                <w:p w14:paraId="737CB5A3">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w:t>
                  </w:r>
                </w:p>
              </w:tc>
              <w:tc>
                <w:tcPr>
                  <w:tcW w:w="739" w:type="dxa"/>
                  <w:tcBorders>
                    <w:top w:val="single" w:color="auto" w:sz="4" w:space="0"/>
                    <w:tl2br w:val="nil"/>
                    <w:tr2bl w:val="nil"/>
                  </w:tcBorders>
                  <w:noWrap w:val="0"/>
                  <w:vAlign w:val="center"/>
                </w:tcPr>
                <w:p w14:paraId="28AE361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w:t>
                  </w:r>
                </w:p>
              </w:tc>
              <w:tc>
                <w:tcPr>
                  <w:tcW w:w="932" w:type="dxa"/>
                  <w:tcBorders>
                    <w:top w:val="single" w:color="auto" w:sz="4" w:space="0"/>
                    <w:tl2br w:val="nil"/>
                    <w:tr2bl w:val="nil"/>
                  </w:tcBorders>
                  <w:noWrap w:val="0"/>
                  <w:vAlign w:val="center"/>
                </w:tcPr>
                <w:p w14:paraId="4502AD7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44.9</w:t>
                  </w:r>
                </w:p>
              </w:tc>
              <w:tc>
                <w:tcPr>
                  <w:tcW w:w="695" w:type="dxa"/>
                  <w:vMerge w:val="continue"/>
                  <w:tcBorders>
                    <w:tl2br w:val="nil"/>
                    <w:tr2bl w:val="nil"/>
                  </w:tcBorders>
                  <w:noWrap w:val="0"/>
                  <w:vAlign w:val="center"/>
                </w:tcPr>
                <w:p w14:paraId="55FC13E2">
                  <w:pPr>
                    <w:jc w:val="center"/>
                    <w:rPr>
                      <w:rFonts w:hint="default" w:ascii="Times New Roman" w:hAnsi="Times New Roman" w:eastAsia="宋体" w:cs="Times New Roman"/>
                      <w:color w:val="auto"/>
                      <w:sz w:val="21"/>
                      <w:szCs w:val="21"/>
                      <w:highlight w:val="none"/>
                      <w:lang w:val="en-US" w:eastAsia="zh-CN"/>
                    </w:rPr>
                  </w:pPr>
                </w:p>
              </w:tc>
              <w:tc>
                <w:tcPr>
                  <w:tcW w:w="889" w:type="dxa"/>
                  <w:vMerge w:val="continue"/>
                  <w:tcBorders>
                    <w:tl2br w:val="nil"/>
                    <w:tr2bl w:val="nil"/>
                  </w:tcBorders>
                  <w:noWrap w:val="0"/>
                  <w:vAlign w:val="center"/>
                </w:tcPr>
                <w:p w14:paraId="3D5B9D2B">
                  <w:pPr>
                    <w:jc w:val="center"/>
                    <w:rPr>
                      <w:rFonts w:hint="default" w:ascii="Times New Roman" w:hAnsi="Times New Roman" w:eastAsia="宋体" w:cs="Times New Roman"/>
                      <w:color w:val="auto"/>
                      <w:sz w:val="21"/>
                      <w:szCs w:val="21"/>
                      <w:highlight w:val="none"/>
                      <w:lang w:val="en-US" w:eastAsia="zh-CN"/>
                    </w:rPr>
                  </w:pPr>
                </w:p>
              </w:tc>
              <w:tc>
                <w:tcPr>
                  <w:tcW w:w="932" w:type="dxa"/>
                  <w:tcBorders>
                    <w:top w:val="single" w:color="auto" w:sz="4" w:space="0"/>
                    <w:tl2br w:val="nil"/>
                    <w:tr2bl w:val="nil"/>
                  </w:tcBorders>
                  <w:noWrap/>
                  <w:vAlign w:val="center"/>
                </w:tcPr>
                <w:p w14:paraId="0375EAC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23.9 </w:t>
                  </w:r>
                </w:p>
              </w:tc>
              <w:tc>
                <w:tcPr>
                  <w:tcW w:w="1073" w:type="dxa"/>
                  <w:vMerge w:val="continue"/>
                  <w:tcBorders>
                    <w:tl2br w:val="nil"/>
                    <w:tr2bl w:val="nil"/>
                  </w:tcBorders>
                  <w:noWrap w:val="0"/>
                  <w:vAlign w:val="center"/>
                </w:tcPr>
                <w:p w14:paraId="36A6B3AF">
                  <w:pPr>
                    <w:widowControl/>
                    <w:jc w:val="center"/>
                    <w:rPr>
                      <w:rFonts w:hint="default" w:ascii="Times New Roman" w:hAnsi="Times New Roman" w:eastAsia="宋体" w:cs="Times New Roman"/>
                      <w:color w:val="auto"/>
                      <w:kern w:val="0"/>
                      <w:sz w:val="21"/>
                      <w:szCs w:val="21"/>
                      <w:highlight w:val="none"/>
                    </w:rPr>
                  </w:pPr>
                </w:p>
              </w:tc>
            </w:tr>
            <w:tr w14:paraId="0D83C02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4" w:hRule="atLeast"/>
                <w:jc w:val="center"/>
              </w:trPr>
              <w:tc>
                <w:tcPr>
                  <w:tcW w:w="485" w:type="dxa"/>
                  <w:vMerge w:val="restart"/>
                  <w:tcBorders>
                    <w:tl2br w:val="nil"/>
                    <w:tr2bl w:val="nil"/>
                  </w:tcBorders>
                  <w:noWrap/>
                  <w:vAlign w:val="center"/>
                </w:tcPr>
                <w:p w14:paraId="207D4C1A">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697" w:type="dxa"/>
                  <w:vMerge w:val="restart"/>
                  <w:tcBorders>
                    <w:top w:val="single" w:color="auto" w:sz="4" w:space="0"/>
                    <w:tl2br w:val="nil"/>
                    <w:tr2bl w:val="nil"/>
                  </w:tcBorders>
                  <w:noWrap/>
                  <w:vAlign w:val="center"/>
                </w:tcPr>
                <w:p w14:paraId="7970E585">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r>
                    <w:rPr>
                      <w:rFonts w:hint="eastAsia" w:ascii="Times New Roman" w:hAnsi="Times New Roman" w:cs="Times New Roman"/>
                      <w:color w:val="auto"/>
                      <w:kern w:val="0"/>
                      <w:sz w:val="21"/>
                      <w:szCs w:val="21"/>
                      <w:highlight w:val="none"/>
                      <w:lang w:val="en-US" w:eastAsia="zh-CN"/>
                    </w:rPr>
                    <w:t>车间</w:t>
                  </w:r>
                </w:p>
              </w:tc>
              <w:tc>
                <w:tcPr>
                  <w:tcW w:w="1067" w:type="dxa"/>
                  <w:vMerge w:val="restart"/>
                  <w:tcBorders>
                    <w:tl2br w:val="nil"/>
                    <w:tr2bl w:val="nil"/>
                  </w:tcBorders>
                  <w:noWrap w:val="0"/>
                  <w:vAlign w:val="center"/>
                </w:tcPr>
                <w:p w14:paraId="3A0625E3">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Calibri" w:cs="Times New Roman"/>
                      <w:color w:val="auto"/>
                      <w:kern w:val="2"/>
                      <w:sz w:val="21"/>
                      <w:szCs w:val="21"/>
                      <w:lang w:val="en-US" w:eastAsia="zh-CN"/>
                    </w:rPr>
                    <w:t>CT</w:t>
                  </w:r>
                  <w:r>
                    <w:rPr>
                      <w:rFonts w:hint="eastAsia" w:eastAsia="Calibri" w:cs="Times New Roman"/>
                      <w:color w:val="auto"/>
                      <w:kern w:val="2"/>
                      <w:sz w:val="21"/>
                      <w:szCs w:val="21"/>
                      <w:lang w:val="en-US" w:eastAsia="zh-CN"/>
                    </w:rPr>
                    <w:t>P</w:t>
                  </w:r>
                  <w:r>
                    <w:rPr>
                      <w:rFonts w:hint="eastAsia" w:ascii="Times New Roman" w:hAnsi="Times New Roman" w:eastAsia="Calibri" w:cs="Times New Roman"/>
                      <w:color w:val="auto"/>
                      <w:kern w:val="2"/>
                      <w:sz w:val="21"/>
                      <w:szCs w:val="21"/>
                      <w:lang w:val="en-US" w:eastAsia="zh-CN"/>
                    </w:rPr>
                    <w:t>制版机</w:t>
                  </w:r>
                </w:p>
              </w:tc>
              <w:tc>
                <w:tcPr>
                  <w:tcW w:w="589" w:type="dxa"/>
                  <w:vMerge w:val="restart"/>
                  <w:tcBorders>
                    <w:tl2br w:val="nil"/>
                    <w:tr2bl w:val="nil"/>
                  </w:tcBorders>
                  <w:noWrap/>
                  <w:vAlign w:val="center"/>
                </w:tcPr>
                <w:p w14:paraId="2877D32B">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636" w:type="dxa"/>
                  <w:vMerge w:val="restart"/>
                  <w:tcBorders>
                    <w:tl2br w:val="nil"/>
                    <w:tr2bl w:val="nil"/>
                  </w:tcBorders>
                  <w:noWrap/>
                  <w:vAlign w:val="center"/>
                </w:tcPr>
                <w:p w14:paraId="2091637B">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750" w:type="dxa"/>
                  <w:vMerge w:val="restart"/>
                  <w:tcBorders>
                    <w:tl2br w:val="nil"/>
                    <w:tr2bl w:val="nil"/>
                  </w:tcBorders>
                  <w:noWrap/>
                  <w:vAlign w:val="center"/>
                </w:tcPr>
                <w:p w14:paraId="2A7B65A1">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1425" w:type="dxa"/>
                  <w:vMerge w:val="restart"/>
                  <w:tcBorders>
                    <w:tl2br w:val="nil"/>
                    <w:tr2bl w:val="nil"/>
                  </w:tcBorders>
                  <w:noWrap/>
                  <w:vAlign w:val="center"/>
                </w:tcPr>
                <w:p w14:paraId="3374301A">
                  <w:pPr>
                    <w:widowControl/>
                    <w:jc w:val="center"/>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75</w:t>
                  </w:r>
                  <w:r>
                    <w:rPr>
                      <w:rFonts w:hint="default" w:ascii="Times New Roman" w:hAnsi="Times New Roman" w:eastAsia="宋体" w:cs="Times New Roman"/>
                      <w:color w:val="auto"/>
                      <w:kern w:val="0"/>
                      <w:sz w:val="21"/>
                      <w:szCs w:val="21"/>
                    </w:rPr>
                    <w:t>/1</w:t>
                  </w:r>
                </w:p>
              </w:tc>
              <w:tc>
                <w:tcPr>
                  <w:tcW w:w="1222" w:type="dxa"/>
                  <w:vMerge w:val="restart"/>
                  <w:tcBorders>
                    <w:tl2br w:val="nil"/>
                    <w:tr2bl w:val="nil"/>
                  </w:tcBorders>
                  <w:noWrap/>
                  <w:vAlign w:val="center"/>
                </w:tcPr>
                <w:p w14:paraId="157B4075">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隔声、减振</w:t>
                  </w:r>
                </w:p>
              </w:tc>
              <w:tc>
                <w:tcPr>
                  <w:tcW w:w="686" w:type="dxa"/>
                  <w:tcBorders>
                    <w:bottom w:val="single" w:color="auto" w:sz="4" w:space="0"/>
                    <w:tl2br w:val="nil"/>
                    <w:tr2bl w:val="nil"/>
                  </w:tcBorders>
                  <w:noWrap w:val="0"/>
                  <w:vAlign w:val="center"/>
                </w:tcPr>
                <w:p w14:paraId="2049C4A9">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E</w:t>
                  </w:r>
                </w:p>
              </w:tc>
              <w:tc>
                <w:tcPr>
                  <w:tcW w:w="739" w:type="dxa"/>
                  <w:tcBorders>
                    <w:bottom w:val="single" w:color="auto" w:sz="4" w:space="0"/>
                    <w:tl2br w:val="nil"/>
                    <w:tr2bl w:val="nil"/>
                  </w:tcBorders>
                  <w:noWrap w:val="0"/>
                  <w:vAlign w:val="center"/>
                </w:tcPr>
                <w:p w14:paraId="0C54AF3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105</w:t>
                  </w:r>
                </w:p>
              </w:tc>
              <w:tc>
                <w:tcPr>
                  <w:tcW w:w="932" w:type="dxa"/>
                  <w:tcBorders>
                    <w:bottom w:val="single" w:color="auto" w:sz="4" w:space="0"/>
                    <w:tl2br w:val="nil"/>
                    <w:tr2bl w:val="nil"/>
                  </w:tcBorders>
                  <w:noWrap w:val="0"/>
                  <w:vAlign w:val="center"/>
                </w:tcPr>
                <w:p w14:paraId="731EA68B">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34.6</w:t>
                  </w:r>
                </w:p>
              </w:tc>
              <w:tc>
                <w:tcPr>
                  <w:tcW w:w="695" w:type="dxa"/>
                  <w:vMerge w:val="restart"/>
                  <w:tcBorders>
                    <w:tl2br w:val="nil"/>
                    <w:tr2bl w:val="nil"/>
                  </w:tcBorders>
                  <w:noWrap w:val="0"/>
                  <w:vAlign w:val="center"/>
                </w:tcPr>
                <w:p w14:paraId="26BDADF0">
                  <w:pPr>
                    <w:widowControl/>
                    <w:jc w:val="center"/>
                    <w:rPr>
                      <w:rFonts w:hint="default" w:ascii="Times New Roman" w:hAnsi="Times New Roman" w:eastAsia="等线" w:cs="Times New Roman"/>
                      <w:color w:val="auto"/>
                      <w:sz w:val="21"/>
                      <w:szCs w:val="21"/>
                      <w:highlight w:val="none"/>
                    </w:rPr>
                  </w:pPr>
                  <w:r>
                    <w:rPr>
                      <w:rFonts w:hint="eastAsia" w:eastAsia="等线" w:cs="Times New Roman"/>
                      <w:color w:val="auto"/>
                      <w:sz w:val="21"/>
                      <w:szCs w:val="21"/>
                      <w:highlight w:val="none"/>
                      <w:lang w:val="en-US" w:eastAsia="zh-CN"/>
                    </w:rPr>
                    <w:t>16</w:t>
                  </w:r>
                  <w:r>
                    <w:rPr>
                      <w:rFonts w:hint="default" w:ascii="Times New Roman" w:hAnsi="Times New Roman" w:eastAsia="等线" w:cs="Times New Roman"/>
                      <w:color w:val="auto"/>
                      <w:sz w:val="21"/>
                      <w:szCs w:val="21"/>
                      <w:highlight w:val="none"/>
                    </w:rPr>
                    <w:t>h/d</w:t>
                  </w:r>
                </w:p>
              </w:tc>
              <w:tc>
                <w:tcPr>
                  <w:tcW w:w="889" w:type="dxa"/>
                  <w:vMerge w:val="restart"/>
                  <w:tcBorders>
                    <w:tl2br w:val="nil"/>
                    <w:tr2bl w:val="nil"/>
                  </w:tcBorders>
                  <w:noWrap w:val="0"/>
                  <w:vAlign w:val="center"/>
                </w:tcPr>
                <w:p w14:paraId="2CBA65A8">
                  <w:pPr>
                    <w:widowControl/>
                    <w:jc w:val="center"/>
                    <w:rPr>
                      <w:rFonts w:hint="default" w:ascii="Times New Roman" w:hAnsi="Times New Roman" w:eastAsia="等线" w:cs="Times New Roman"/>
                      <w:color w:val="auto"/>
                      <w:sz w:val="21"/>
                      <w:szCs w:val="21"/>
                      <w:highlight w:val="none"/>
                    </w:rPr>
                  </w:pPr>
                  <w:r>
                    <w:rPr>
                      <w:rFonts w:hint="default" w:ascii="Times New Roman" w:hAnsi="Times New Roman" w:eastAsia="等线" w:cs="Times New Roman"/>
                      <w:color w:val="auto"/>
                      <w:sz w:val="21"/>
                      <w:szCs w:val="21"/>
                      <w:highlight w:val="none"/>
                      <w:lang w:val="en-US" w:eastAsia="zh-CN"/>
                    </w:rPr>
                    <w:t>21</w:t>
                  </w:r>
                </w:p>
              </w:tc>
              <w:tc>
                <w:tcPr>
                  <w:tcW w:w="932" w:type="dxa"/>
                  <w:tcBorders>
                    <w:bottom w:val="single" w:color="auto" w:sz="4" w:space="0"/>
                    <w:tl2br w:val="nil"/>
                    <w:tr2bl w:val="nil"/>
                  </w:tcBorders>
                  <w:noWrap/>
                  <w:vAlign w:val="center"/>
                </w:tcPr>
                <w:p w14:paraId="1E3393EA">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13.6 </w:t>
                  </w:r>
                </w:p>
              </w:tc>
              <w:tc>
                <w:tcPr>
                  <w:tcW w:w="1073" w:type="dxa"/>
                  <w:vMerge w:val="restart"/>
                  <w:tcBorders>
                    <w:tl2br w:val="nil"/>
                    <w:tr2bl w:val="nil"/>
                  </w:tcBorders>
                  <w:noWrap w:val="0"/>
                  <w:vAlign w:val="center"/>
                </w:tcPr>
                <w:p w14:paraId="795B806C">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r>
            <w:tr w14:paraId="1A6B7B9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72" w:hRule="atLeast"/>
                <w:jc w:val="center"/>
              </w:trPr>
              <w:tc>
                <w:tcPr>
                  <w:tcW w:w="485" w:type="dxa"/>
                  <w:vMerge w:val="continue"/>
                  <w:tcBorders>
                    <w:tl2br w:val="nil"/>
                    <w:tr2bl w:val="nil"/>
                  </w:tcBorders>
                  <w:noWrap/>
                  <w:vAlign w:val="center"/>
                </w:tcPr>
                <w:p w14:paraId="2241F3D6">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39FED073">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l2br w:val="nil"/>
                    <w:tr2bl w:val="nil"/>
                  </w:tcBorders>
                  <w:noWrap w:val="0"/>
                  <w:vAlign w:val="center"/>
                </w:tcPr>
                <w:p w14:paraId="63687FBA">
                  <w:pPr>
                    <w:jc w:val="center"/>
                    <w:rPr>
                      <w:rFonts w:hint="default" w:ascii="Times New Roman" w:hAnsi="Times New Roman" w:eastAsia="宋体" w:cs="Times New Roman"/>
                      <w:color w:val="auto"/>
                      <w:sz w:val="21"/>
                      <w:szCs w:val="21"/>
                      <w:highlight w:val="none"/>
                      <w:lang w:val="en-US" w:eastAsia="zh-CN"/>
                    </w:rPr>
                  </w:pPr>
                </w:p>
              </w:tc>
              <w:tc>
                <w:tcPr>
                  <w:tcW w:w="589" w:type="dxa"/>
                  <w:vMerge w:val="continue"/>
                  <w:tcBorders>
                    <w:tl2br w:val="nil"/>
                    <w:tr2bl w:val="nil"/>
                  </w:tcBorders>
                  <w:noWrap/>
                  <w:vAlign w:val="center"/>
                </w:tcPr>
                <w:p w14:paraId="4B208823">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00ED6DE0">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59CBB292">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3B9DF893">
                  <w:pPr>
                    <w:widowControl/>
                    <w:jc w:val="center"/>
                    <w:rPr>
                      <w:rFonts w:hint="default" w:ascii="Times New Roman" w:hAnsi="Times New Roman" w:eastAsia="宋体" w:cs="Times New Roman"/>
                      <w:color w:val="auto"/>
                      <w:kern w:val="0"/>
                      <w:sz w:val="21"/>
                      <w:szCs w:val="21"/>
                      <w:highlight w:val="none"/>
                      <w:lang w:val="en-US" w:eastAsia="zh-CN"/>
                    </w:rPr>
                  </w:pPr>
                </w:p>
              </w:tc>
              <w:tc>
                <w:tcPr>
                  <w:tcW w:w="1222" w:type="dxa"/>
                  <w:vMerge w:val="continue"/>
                  <w:tcBorders>
                    <w:tl2br w:val="nil"/>
                    <w:tr2bl w:val="nil"/>
                  </w:tcBorders>
                  <w:noWrap/>
                  <w:vAlign w:val="center"/>
                </w:tcPr>
                <w:p w14:paraId="5475E005">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74C654E0">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S</w:t>
                  </w:r>
                </w:p>
              </w:tc>
              <w:tc>
                <w:tcPr>
                  <w:tcW w:w="739" w:type="dxa"/>
                  <w:tcBorders>
                    <w:top w:val="single" w:color="auto" w:sz="4" w:space="0"/>
                    <w:bottom w:val="single" w:color="auto" w:sz="4" w:space="0"/>
                    <w:tl2br w:val="nil"/>
                    <w:tr2bl w:val="nil"/>
                  </w:tcBorders>
                  <w:noWrap w:val="0"/>
                  <w:vAlign w:val="center"/>
                </w:tcPr>
                <w:p w14:paraId="10C04827">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932" w:type="dxa"/>
                  <w:tcBorders>
                    <w:top w:val="single" w:color="auto" w:sz="4" w:space="0"/>
                    <w:bottom w:val="single" w:color="auto" w:sz="4" w:space="0"/>
                    <w:tl2br w:val="nil"/>
                    <w:tr2bl w:val="nil"/>
                  </w:tcBorders>
                  <w:noWrap w:val="0"/>
                  <w:vAlign w:val="center"/>
                </w:tcPr>
                <w:p w14:paraId="36E4CF6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40.7</w:t>
                  </w:r>
                </w:p>
              </w:tc>
              <w:tc>
                <w:tcPr>
                  <w:tcW w:w="695" w:type="dxa"/>
                  <w:vMerge w:val="continue"/>
                  <w:tcBorders>
                    <w:tl2br w:val="nil"/>
                    <w:tr2bl w:val="nil"/>
                  </w:tcBorders>
                  <w:noWrap w:val="0"/>
                  <w:vAlign w:val="center"/>
                </w:tcPr>
                <w:p w14:paraId="7068BFD2">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7435FB10">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1E091DF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19.7 </w:t>
                  </w:r>
                </w:p>
              </w:tc>
              <w:tc>
                <w:tcPr>
                  <w:tcW w:w="1073" w:type="dxa"/>
                  <w:vMerge w:val="continue"/>
                  <w:tcBorders>
                    <w:tl2br w:val="nil"/>
                    <w:tr2bl w:val="nil"/>
                  </w:tcBorders>
                  <w:noWrap w:val="0"/>
                  <w:vAlign w:val="center"/>
                </w:tcPr>
                <w:p w14:paraId="56DA6F72">
                  <w:pPr>
                    <w:widowControl/>
                    <w:jc w:val="center"/>
                    <w:rPr>
                      <w:rFonts w:hint="default" w:ascii="Times New Roman" w:hAnsi="Times New Roman" w:eastAsia="宋体" w:cs="Times New Roman"/>
                      <w:color w:val="auto"/>
                      <w:kern w:val="0"/>
                      <w:sz w:val="21"/>
                      <w:szCs w:val="21"/>
                      <w:highlight w:val="none"/>
                    </w:rPr>
                  </w:pPr>
                </w:p>
              </w:tc>
            </w:tr>
            <w:tr w14:paraId="31D14CC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485" w:type="dxa"/>
                  <w:vMerge w:val="continue"/>
                  <w:tcBorders>
                    <w:tl2br w:val="nil"/>
                    <w:tr2bl w:val="nil"/>
                  </w:tcBorders>
                  <w:noWrap/>
                  <w:vAlign w:val="center"/>
                </w:tcPr>
                <w:p w14:paraId="77A968A6">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08153C8F">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l2br w:val="nil"/>
                    <w:tr2bl w:val="nil"/>
                  </w:tcBorders>
                  <w:noWrap w:val="0"/>
                  <w:vAlign w:val="center"/>
                </w:tcPr>
                <w:p w14:paraId="7178573F">
                  <w:pPr>
                    <w:jc w:val="center"/>
                    <w:rPr>
                      <w:rFonts w:hint="default" w:ascii="Times New Roman" w:hAnsi="Times New Roman" w:eastAsia="宋体" w:cs="Times New Roman"/>
                      <w:color w:val="auto"/>
                      <w:sz w:val="21"/>
                      <w:szCs w:val="21"/>
                      <w:highlight w:val="none"/>
                      <w:lang w:val="en-US" w:eastAsia="zh-CN"/>
                    </w:rPr>
                  </w:pPr>
                </w:p>
              </w:tc>
              <w:tc>
                <w:tcPr>
                  <w:tcW w:w="589" w:type="dxa"/>
                  <w:vMerge w:val="continue"/>
                  <w:tcBorders>
                    <w:tl2br w:val="nil"/>
                    <w:tr2bl w:val="nil"/>
                  </w:tcBorders>
                  <w:noWrap/>
                  <w:vAlign w:val="center"/>
                </w:tcPr>
                <w:p w14:paraId="6115B85F">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16475D78">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17BC2103">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6BD86F57">
                  <w:pPr>
                    <w:widowControl/>
                    <w:jc w:val="center"/>
                    <w:rPr>
                      <w:rFonts w:hint="default" w:ascii="Times New Roman" w:hAnsi="Times New Roman" w:eastAsia="宋体" w:cs="Times New Roman"/>
                      <w:color w:val="auto"/>
                      <w:kern w:val="0"/>
                      <w:sz w:val="21"/>
                      <w:szCs w:val="21"/>
                      <w:highlight w:val="none"/>
                      <w:lang w:val="en-US" w:eastAsia="zh-CN"/>
                    </w:rPr>
                  </w:pPr>
                </w:p>
              </w:tc>
              <w:tc>
                <w:tcPr>
                  <w:tcW w:w="1222" w:type="dxa"/>
                  <w:vMerge w:val="continue"/>
                  <w:tcBorders>
                    <w:tl2br w:val="nil"/>
                    <w:tr2bl w:val="nil"/>
                  </w:tcBorders>
                  <w:noWrap/>
                  <w:vAlign w:val="center"/>
                </w:tcPr>
                <w:p w14:paraId="5C84597D">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245B852D">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w:t>
                  </w:r>
                </w:p>
              </w:tc>
              <w:tc>
                <w:tcPr>
                  <w:tcW w:w="739" w:type="dxa"/>
                  <w:tcBorders>
                    <w:top w:val="single" w:color="auto" w:sz="4" w:space="0"/>
                    <w:bottom w:val="single" w:color="auto" w:sz="4" w:space="0"/>
                    <w:tl2br w:val="nil"/>
                    <w:tr2bl w:val="nil"/>
                  </w:tcBorders>
                  <w:noWrap w:val="0"/>
                  <w:vAlign w:val="center"/>
                </w:tcPr>
                <w:p w14:paraId="4E02EB9C">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932" w:type="dxa"/>
                  <w:tcBorders>
                    <w:top w:val="single" w:color="auto" w:sz="4" w:space="0"/>
                    <w:bottom w:val="single" w:color="auto" w:sz="4" w:space="0"/>
                    <w:tl2br w:val="nil"/>
                    <w:tr2bl w:val="nil"/>
                  </w:tcBorders>
                  <w:noWrap w:val="0"/>
                  <w:vAlign w:val="center"/>
                </w:tcPr>
                <w:p w14:paraId="4DEB11B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40.7</w:t>
                  </w:r>
                </w:p>
              </w:tc>
              <w:tc>
                <w:tcPr>
                  <w:tcW w:w="695" w:type="dxa"/>
                  <w:vMerge w:val="continue"/>
                  <w:tcBorders>
                    <w:tl2br w:val="nil"/>
                    <w:tr2bl w:val="nil"/>
                  </w:tcBorders>
                  <w:noWrap w:val="0"/>
                  <w:vAlign w:val="center"/>
                </w:tcPr>
                <w:p w14:paraId="4E04AF98">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3864F143">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7827D33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19.7 </w:t>
                  </w:r>
                </w:p>
              </w:tc>
              <w:tc>
                <w:tcPr>
                  <w:tcW w:w="1073" w:type="dxa"/>
                  <w:vMerge w:val="continue"/>
                  <w:tcBorders>
                    <w:tl2br w:val="nil"/>
                    <w:tr2bl w:val="nil"/>
                  </w:tcBorders>
                  <w:noWrap w:val="0"/>
                  <w:vAlign w:val="center"/>
                </w:tcPr>
                <w:p w14:paraId="45B662CE">
                  <w:pPr>
                    <w:widowControl/>
                    <w:jc w:val="center"/>
                    <w:rPr>
                      <w:rFonts w:hint="default" w:ascii="Times New Roman" w:hAnsi="Times New Roman" w:eastAsia="宋体" w:cs="Times New Roman"/>
                      <w:color w:val="auto"/>
                      <w:kern w:val="0"/>
                      <w:sz w:val="21"/>
                      <w:szCs w:val="21"/>
                      <w:highlight w:val="none"/>
                    </w:rPr>
                  </w:pPr>
                </w:p>
              </w:tc>
            </w:tr>
            <w:tr w14:paraId="4700851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485" w:type="dxa"/>
                  <w:vMerge w:val="continue"/>
                  <w:tcBorders>
                    <w:tl2br w:val="nil"/>
                    <w:tr2bl w:val="nil"/>
                  </w:tcBorders>
                  <w:noWrap/>
                  <w:vAlign w:val="center"/>
                </w:tcPr>
                <w:p w14:paraId="27BFB783">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76F45228">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l2br w:val="nil"/>
                    <w:tr2bl w:val="nil"/>
                  </w:tcBorders>
                  <w:noWrap w:val="0"/>
                  <w:vAlign w:val="center"/>
                </w:tcPr>
                <w:p w14:paraId="3ACD4A9E">
                  <w:pPr>
                    <w:jc w:val="center"/>
                    <w:rPr>
                      <w:rFonts w:hint="default" w:ascii="Times New Roman" w:hAnsi="Times New Roman" w:eastAsia="宋体" w:cs="Times New Roman"/>
                      <w:color w:val="auto"/>
                      <w:sz w:val="21"/>
                      <w:szCs w:val="21"/>
                      <w:highlight w:val="none"/>
                      <w:lang w:val="en-US" w:eastAsia="zh-CN"/>
                    </w:rPr>
                  </w:pPr>
                </w:p>
              </w:tc>
              <w:tc>
                <w:tcPr>
                  <w:tcW w:w="589" w:type="dxa"/>
                  <w:vMerge w:val="continue"/>
                  <w:tcBorders>
                    <w:tl2br w:val="nil"/>
                    <w:tr2bl w:val="nil"/>
                  </w:tcBorders>
                  <w:noWrap/>
                  <w:vAlign w:val="center"/>
                </w:tcPr>
                <w:p w14:paraId="0F071C5E">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65E8A0C2">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0E830E81">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156EAA2C">
                  <w:pPr>
                    <w:widowControl/>
                    <w:jc w:val="center"/>
                    <w:rPr>
                      <w:rFonts w:hint="default" w:ascii="Times New Roman" w:hAnsi="Times New Roman" w:eastAsia="宋体" w:cs="Times New Roman"/>
                      <w:color w:val="auto"/>
                      <w:kern w:val="0"/>
                      <w:sz w:val="21"/>
                      <w:szCs w:val="21"/>
                      <w:highlight w:val="none"/>
                      <w:lang w:val="en-US" w:eastAsia="zh-CN"/>
                    </w:rPr>
                  </w:pPr>
                </w:p>
              </w:tc>
              <w:tc>
                <w:tcPr>
                  <w:tcW w:w="1222" w:type="dxa"/>
                  <w:vMerge w:val="continue"/>
                  <w:tcBorders>
                    <w:tl2br w:val="nil"/>
                    <w:tr2bl w:val="nil"/>
                  </w:tcBorders>
                  <w:noWrap/>
                  <w:vAlign w:val="center"/>
                </w:tcPr>
                <w:p w14:paraId="70FE9586">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tl2br w:val="nil"/>
                    <w:tr2bl w:val="nil"/>
                  </w:tcBorders>
                  <w:noWrap w:val="0"/>
                  <w:vAlign w:val="center"/>
                </w:tcPr>
                <w:p w14:paraId="52CF3D97">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p>
              </w:tc>
              <w:tc>
                <w:tcPr>
                  <w:tcW w:w="739" w:type="dxa"/>
                  <w:tcBorders>
                    <w:top w:val="single" w:color="auto" w:sz="4" w:space="0"/>
                    <w:tl2br w:val="nil"/>
                    <w:tr2bl w:val="nil"/>
                  </w:tcBorders>
                  <w:noWrap w:val="0"/>
                  <w:vAlign w:val="center"/>
                </w:tcPr>
                <w:p w14:paraId="217B8AB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56</w:t>
                  </w:r>
                </w:p>
              </w:tc>
              <w:tc>
                <w:tcPr>
                  <w:tcW w:w="932" w:type="dxa"/>
                  <w:tcBorders>
                    <w:top w:val="single" w:color="auto" w:sz="4" w:space="0"/>
                    <w:tl2br w:val="nil"/>
                    <w:tr2bl w:val="nil"/>
                  </w:tcBorders>
                  <w:noWrap w:val="0"/>
                  <w:vAlign w:val="center"/>
                </w:tcPr>
                <w:p w14:paraId="6AEEED0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40.0</w:t>
                  </w:r>
                </w:p>
              </w:tc>
              <w:tc>
                <w:tcPr>
                  <w:tcW w:w="695" w:type="dxa"/>
                  <w:vMerge w:val="continue"/>
                  <w:tcBorders>
                    <w:bottom w:val="single" w:color="auto" w:sz="4" w:space="0"/>
                    <w:tl2br w:val="nil"/>
                    <w:tr2bl w:val="nil"/>
                  </w:tcBorders>
                  <w:noWrap w:val="0"/>
                  <w:vAlign w:val="center"/>
                </w:tcPr>
                <w:p w14:paraId="7DF9909C">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bottom w:val="single" w:color="auto" w:sz="4" w:space="0"/>
                    <w:tl2br w:val="nil"/>
                    <w:tr2bl w:val="nil"/>
                  </w:tcBorders>
                  <w:noWrap w:val="0"/>
                  <w:vAlign w:val="center"/>
                </w:tcPr>
                <w:p w14:paraId="43EA36A2">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7AFA608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19.0 </w:t>
                  </w:r>
                </w:p>
              </w:tc>
              <w:tc>
                <w:tcPr>
                  <w:tcW w:w="1073" w:type="dxa"/>
                  <w:vMerge w:val="continue"/>
                  <w:tcBorders>
                    <w:tl2br w:val="nil"/>
                    <w:tr2bl w:val="nil"/>
                  </w:tcBorders>
                  <w:noWrap w:val="0"/>
                  <w:vAlign w:val="center"/>
                </w:tcPr>
                <w:p w14:paraId="64B91CCB">
                  <w:pPr>
                    <w:widowControl/>
                    <w:jc w:val="center"/>
                    <w:rPr>
                      <w:rFonts w:hint="default" w:ascii="Times New Roman" w:hAnsi="Times New Roman" w:eastAsia="宋体" w:cs="Times New Roman"/>
                      <w:color w:val="auto"/>
                      <w:kern w:val="0"/>
                      <w:sz w:val="21"/>
                      <w:szCs w:val="21"/>
                      <w:highlight w:val="none"/>
                    </w:rPr>
                  </w:pPr>
                </w:p>
              </w:tc>
            </w:tr>
            <w:tr w14:paraId="469D61A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87" w:hRule="atLeast"/>
                <w:jc w:val="center"/>
              </w:trPr>
              <w:tc>
                <w:tcPr>
                  <w:tcW w:w="485" w:type="dxa"/>
                  <w:vMerge w:val="restart"/>
                  <w:tcBorders>
                    <w:tl2br w:val="nil"/>
                    <w:tr2bl w:val="nil"/>
                  </w:tcBorders>
                  <w:noWrap/>
                  <w:vAlign w:val="center"/>
                </w:tcPr>
                <w:p w14:paraId="5A5F1F4A">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c>
                <w:tcPr>
                  <w:tcW w:w="697" w:type="dxa"/>
                  <w:vMerge w:val="continue"/>
                  <w:tcBorders>
                    <w:tl2br w:val="nil"/>
                    <w:tr2bl w:val="nil"/>
                  </w:tcBorders>
                  <w:noWrap/>
                  <w:vAlign w:val="center"/>
                </w:tcPr>
                <w:p w14:paraId="5E94EE34">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restart"/>
                  <w:tcBorders>
                    <w:tl2br w:val="nil"/>
                    <w:tr2bl w:val="nil"/>
                  </w:tcBorders>
                  <w:noWrap w:val="0"/>
                  <w:vAlign w:val="center"/>
                </w:tcPr>
                <w:p w14:paraId="679582D9">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Calibri" w:cs="Times New Roman"/>
                      <w:color w:val="auto"/>
                      <w:kern w:val="2"/>
                      <w:sz w:val="21"/>
                      <w:szCs w:val="21"/>
                      <w:lang w:val="en-US" w:eastAsia="zh-CN"/>
                    </w:rPr>
                    <w:t>罗兰印刷机</w:t>
                  </w:r>
                </w:p>
              </w:tc>
              <w:tc>
                <w:tcPr>
                  <w:tcW w:w="589" w:type="dxa"/>
                  <w:vMerge w:val="restart"/>
                  <w:tcBorders>
                    <w:tl2br w:val="nil"/>
                    <w:tr2bl w:val="nil"/>
                  </w:tcBorders>
                  <w:noWrap/>
                  <w:vAlign w:val="center"/>
                </w:tcPr>
                <w:p w14:paraId="2D31D9BB">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636" w:type="dxa"/>
                  <w:vMerge w:val="restart"/>
                  <w:tcBorders>
                    <w:tl2br w:val="nil"/>
                    <w:tr2bl w:val="nil"/>
                  </w:tcBorders>
                  <w:noWrap/>
                  <w:vAlign w:val="center"/>
                </w:tcPr>
                <w:p w14:paraId="037BE7CA">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w:t>
                  </w:r>
                </w:p>
              </w:tc>
              <w:tc>
                <w:tcPr>
                  <w:tcW w:w="750" w:type="dxa"/>
                  <w:vMerge w:val="restart"/>
                  <w:tcBorders>
                    <w:tl2br w:val="nil"/>
                    <w:tr2bl w:val="nil"/>
                  </w:tcBorders>
                  <w:noWrap/>
                  <w:vAlign w:val="center"/>
                </w:tcPr>
                <w:p w14:paraId="051768EE">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1425" w:type="dxa"/>
                  <w:vMerge w:val="restart"/>
                  <w:tcBorders>
                    <w:tl2br w:val="nil"/>
                    <w:tr2bl w:val="nil"/>
                  </w:tcBorders>
                  <w:noWrap/>
                  <w:vAlign w:val="center"/>
                </w:tcPr>
                <w:p w14:paraId="789E03BA">
                  <w:pPr>
                    <w:widowControl/>
                    <w:jc w:val="center"/>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75</w:t>
                  </w:r>
                  <w:r>
                    <w:rPr>
                      <w:rFonts w:hint="default" w:ascii="Times New Roman" w:hAnsi="Times New Roman" w:eastAsia="宋体" w:cs="Times New Roman"/>
                      <w:color w:val="auto"/>
                      <w:kern w:val="0"/>
                      <w:sz w:val="21"/>
                      <w:szCs w:val="21"/>
                    </w:rPr>
                    <w:t>/1</w:t>
                  </w:r>
                </w:p>
              </w:tc>
              <w:tc>
                <w:tcPr>
                  <w:tcW w:w="1222" w:type="dxa"/>
                  <w:vMerge w:val="restart"/>
                  <w:tcBorders>
                    <w:tl2br w:val="nil"/>
                    <w:tr2bl w:val="nil"/>
                  </w:tcBorders>
                  <w:noWrap/>
                  <w:vAlign w:val="center"/>
                </w:tcPr>
                <w:p w14:paraId="75F5A8B5">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隔声、减振</w:t>
                  </w:r>
                </w:p>
              </w:tc>
              <w:tc>
                <w:tcPr>
                  <w:tcW w:w="686" w:type="dxa"/>
                  <w:tcBorders>
                    <w:bottom w:val="single" w:color="auto" w:sz="4" w:space="0"/>
                    <w:tl2br w:val="nil"/>
                    <w:tr2bl w:val="nil"/>
                  </w:tcBorders>
                  <w:noWrap w:val="0"/>
                  <w:vAlign w:val="center"/>
                </w:tcPr>
                <w:p w14:paraId="663F446E">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E</w:t>
                  </w:r>
                </w:p>
              </w:tc>
              <w:tc>
                <w:tcPr>
                  <w:tcW w:w="739" w:type="dxa"/>
                  <w:tcBorders>
                    <w:bottom w:val="single" w:color="auto" w:sz="4" w:space="0"/>
                    <w:tl2br w:val="nil"/>
                    <w:tr2bl w:val="nil"/>
                  </w:tcBorders>
                  <w:noWrap w:val="0"/>
                  <w:vAlign w:val="center"/>
                </w:tcPr>
                <w:p w14:paraId="397701E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932" w:type="dxa"/>
                  <w:tcBorders>
                    <w:bottom w:val="single" w:color="auto" w:sz="4" w:space="0"/>
                    <w:tl2br w:val="nil"/>
                    <w:tr2bl w:val="nil"/>
                  </w:tcBorders>
                  <w:noWrap w:val="0"/>
                  <w:vAlign w:val="center"/>
                </w:tcPr>
                <w:p w14:paraId="6A52F487">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35.9</w:t>
                  </w:r>
                </w:p>
              </w:tc>
              <w:tc>
                <w:tcPr>
                  <w:tcW w:w="695" w:type="dxa"/>
                  <w:vMerge w:val="restart"/>
                  <w:tcBorders>
                    <w:top w:val="single" w:color="auto" w:sz="4" w:space="0"/>
                    <w:tl2br w:val="nil"/>
                    <w:tr2bl w:val="nil"/>
                  </w:tcBorders>
                  <w:noWrap w:val="0"/>
                  <w:vAlign w:val="center"/>
                </w:tcPr>
                <w:p w14:paraId="3E7CAE62">
                  <w:pPr>
                    <w:widowControl/>
                    <w:jc w:val="center"/>
                    <w:rPr>
                      <w:rFonts w:hint="default" w:ascii="Times New Roman" w:hAnsi="Times New Roman" w:eastAsia="等线" w:cs="Times New Roman"/>
                      <w:color w:val="auto"/>
                      <w:sz w:val="21"/>
                      <w:szCs w:val="21"/>
                      <w:highlight w:val="none"/>
                    </w:rPr>
                  </w:pPr>
                  <w:r>
                    <w:rPr>
                      <w:rFonts w:hint="eastAsia" w:eastAsia="等线" w:cs="Times New Roman"/>
                      <w:color w:val="auto"/>
                      <w:sz w:val="21"/>
                      <w:szCs w:val="21"/>
                      <w:highlight w:val="none"/>
                      <w:lang w:val="en-US" w:eastAsia="zh-CN"/>
                    </w:rPr>
                    <w:t>16</w:t>
                  </w:r>
                  <w:r>
                    <w:rPr>
                      <w:rFonts w:hint="default" w:ascii="Times New Roman" w:hAnsi="Times New Roman" w:eastAsia="等线" w:cs="Times New Roman"/>
                      <w:color w:val="auto"/>
                      <w:sz w:val="21"/>
                      <w:szCs w:val="21"/>
                      <w:highlight w:val="none"/>
                    </w:rPr>
                    <w:t>h/d</w:t>
                  </w:r>
                </w:p>
              </w:tc>
              <w:tc>
                <w:tcPr>
                  <w:tcW w:w="889" w:type="dxa"/>
                  <w:vMerge w:val="restart"/>
                  <w:tcBorders>
                    <w:top w:val="single" w:color="auto" w:sz="4" w:space="0"/>
                    <w:tl2br w:val="nil"/>
                    <w:tr2bl w:val="nil"/>
                  </w:tcBorders>
                  <w:noWrap w:val="0"/>
                  <w:vAlign w:val="center"/>
                </w:tcPr>
                <w:p w14:paraId="43F55046">
                  <w:pPr>
                    <w:widowControl/>
                    <w:jc w:val="center"/>
                    <w:rPr>
                      <w:rFonts w:hint="default" w:ascii="Times New Roman" w:hAnsi="Times New Roman" w:eastAsia="等线" w:cs="Times New Roman"/>
                      <w:color w:val="auto"/>
                      <w:sz w:val="21"/>
                      <w:szCs w:val="21"/>
                      <w:highlight w:val="none"/>
                    </w:rPr>
                  </w:pPr>
                  <w:r>
                    <w:rPr>
                      <w:rFonts w:hint="default" w:ascii="Times New Roman" w:hAnsi="Times New Roman" w:eastAsia="等线" w:cs="Times New Roman"/>
                      <w:color w:val="auto"/>
                      <w:sz w:val="21"/>
                      <w:szCs w:val="21"/>
                      <w:highlight w:val="none"/>
                      <w:lang w:val="en-US" w:eastAsia="zh-CN"/>
                    </w:rPr>
                    <w:t>21</w:t>
                  </w:r>
                </w:p>
              </w:tc>
              <w:tc>
                <w:tcPr>
                  <w:tcW w:w="932" w:type="dxa"/>
                  <w:tcBorders>
                    <w:top w:val="single" w:color="auto" w:sz="4" w:space="0"/>
                    <w:bottom w:val="single" w:color="auto" w:sz="4" w:space="0"/>
                    <w:tl2br w:val="nil"/>
                    <w:tr2bl w:val="nil"/>
                  </w:tcBorders>
                  <w:noWrap/>
                  <w:vAlign w:val="center"/>
                </w:tcPr>
                <w:p w14:paraId="02A33802">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14.9 </w:t>
                  </w:r>
                </w:p>
              </w:tc>
              <w:tc>
                <w:tcPr>
                  <w:tcW w:w="1073" w:type="dxa"/>
                  <w:vMerge w:val="restart"/>
                  <w:tcBorders>
                    <w:tl2br w:val="nil"/>
                    <w:tr2bl w:val="nil"/>
                  </w:tcBorders>
                  <w:noWrap w:val="0"/>
                  <w:vAlign w:val="center"/>
                </w:tcPr>
                <w:p w14:paraId="6185E54C">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r>
            <w:tr w14:paraId="0D254D1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485" w:type="dxa"/>
                  <w:vMerge w:val="continue"/>
                  <w:tcBorders>
                    <w:tl2br w:val="nil"/>
                    <w:tr2bl w:val="nil"/>
                  </w:tcBorders>
                  <w:noWrap/>
                  <w:vAlign w:val="center"/>
                </w:tcPr>
                <w:p w14:paraId="5265C32C">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00BF3FD2">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l2br w:val="nil"/>
                    <w:tr2bl w:val="nil"/>
                  </w:tcBorders>
                  <w:noWrap w:val="0"/>
                  <w:vAlign w:val="center"/>
                </w:tcPr>
                <w:p w14:paraId="763B4C0A">
                  <w:pPr>
                    <w:jc w:val="center"/>
                    <w:rPr>
                      <w:rFonts w:hint="default" w:ascii="Times New Roman" w:hAnsi="Times New Roman" w:eastAsia="Arial" w:cs="Times New Roman"/>
                      <w:color w:val="auto"/>
                      <w:sz w:val="21"/>
                      <w:szCs w:val="21"/>
                      <w:highlight w:val="none"/>
                    </w:rPr>
                  </w:pPr>
                </w:p>
              </w:tc>
              <w:tc>
                <w:tcPr>
                  <w:tcW w:w="589" w:type="dxa"/>
                  <w:vMerge w:val="continue"/>
                  <w:tcBorders>
                    <w:tl2br w:val="nil"/>
                    <w:tr2bl w:val="nil"/>
                  </w:tcBorders>
                  <w:noWrap/>
                  <w:vAlign w:val="center"/>
                </w:tcPr>
                <w:p w14:paraId="232928CD">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59AFBA38">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2F077C83">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3AE0E481">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2C9B3BB8">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09BF7BF2">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S</w:t>
                  </w:r>
                </w:p>
              </w:tc>
              <w:tc>
                <w:tcPr>
                  <w:tcW w:w="739" w:type="dxa"/>
                  <w:tcBorders>
                    <w:top w:val="single" w:color="auto" w:sz="4" w:space="0"/>
                    <w:bottom w:val="single" w:color="auto" w:sz="4" w:space="0"/>
                    <w:tl2br w:val="nil"/>
                    <w:tr2bl w:val="nil"/>
                  </w:tcBorders>
                  <w:noWrap w:val="0"/>
                  <w:vAlign w:val="center"/>
                </w:tcPr>
                <w:p w14:paraId="2B4F011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w:t>
                  </w:r>
                </w:p>
              </w:tc>
              <w:tc>
                <w:tcPr>
                  <w:tcW w:w="932" w:type="dxa"/>
                  <w:tcBorders>
                    <w:top w:val="single" w:color="auto" w:sz="4" w:space="0"/>
                    <w:bottom w:val="single" w:color="auto" w:sz="4" w:space="0"/>
                    <w:tl2br w:val="nil"/>
                    <w:tr2bl w:val="nil"/>
                  </w:tcBorders>
                  <w:noWrap w:val="0"/>
                  <w:vAlign w:val="center"/>
                </w:tcPr>
                <w:p w14:paraId="07D17AC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39.9</w:t>
                  </w:r>
                </w:p>
              </w:tc>
              <w:tc>
                <w:tcPr>
                  <w:tcW w:w="695" w:type="dxa"/>
                  <w:vMerge w:val="continue"/>
                  <w:tcBorders>
                    <w:tl2br w:val="nil"/>
                    <w:tr2bl w:val="nil"/>
                  </w:tcBorders>
                  <w:noWrap w:val="0"/>
                  <w:vAlign w:val="center"/>
                </w:tcPr>
                <w:p w14:paraId="75DCAF4F">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093AFA8C">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7135C06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18.9 </w:t>
                  </w:r>
                </w:p>
              </w:tc>
              <w:tc>
                <w:tcPr>
                  <w:tcW w:w="1073" w:type="dxa"/>
                  <w:vMerge w:val="continue"/>
                  <w:tcBorders>
                    <w:tl2br w:val="nil"/>
                    <w:tr2bl w:val="nil"/>
                  </w:tcBorders>
                  <w:noWrap w:val="0"/>
                  <w:vAlign w:val="center"/>
                </w:tcPr>
                <w:p w14:paraId="3605DE17">
                  <w:pPr>
                    <w:widowControl/>
                    <w:jc w:val="center"/>
                    <w:rPr>
                      <w:rFonts w:hint="default" w:ascii="Times New Roman" w:hAnsi="Times New Roman" w:eastAsia="宋体" w:cs="Times New Roman"/>
                      <w:color w:val="auto"/>
                      <w:kern w:val="0"/>
                      <w:sz w:val="21"/>
                      <w:szCs w:val="21"/>
                      <w:highlight w:val="none"/>
                    </w:rPr>
                  </w:pPr>
                </w:p>
              </w:tc>
            </w:tr>
            <w:tr w14:paraId="2CD03DF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15" w:hRule="atLeast"/>
                <w:jc w:val="center"/>
              </w:trPr>
              <w:tc>
                <w:tcPr>
                  <w:tcW w:w="485" w:type="dxa"/>
                  <w:vMerge w:val="continue"/>
                  <w:tcBorders>
                    <w:tl2br w:val="nil"/>
                    <w:tr2bl w:val="nil"/>
                  </w:tcBorders>
                  <w:noWrap/>
                  <w:vAlign w:val="center"/>
                </w:tcPr>
                <w:p w14:paraId="38F59912">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20C67A56">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l2br w:val="nil"/>
                    <w:tr2bl w:val="nil"/>
                  </w:tcBorders>
                  <w:noWrap w:val="0"/>
                  <w:vAlign w:val="center"/>
                </w:tcPr>
                <w:p w14:paraId="0204175B">
                  <w:pPr>
                    <w:jc w:val="center"/>
                    <w:rPr>
                      <w:rFonts w:hint="default" w:ascii="Times New Roman" w:hAnsi="Times New Roman" w:eastAsia="Arial" w:cs="Times New Roman"/>
                      <w:color w:val="auto"/>
                      <w:sz w:val="21"/>
                      <w:szCs w:val="21"/>
                      <w:highlight w:val="none"/>
                    </w:rPr>
                  </w:pPr>
                </w:p>
              </w:tc>
              <w:tc>
                <w:tcPr>
                  <w:tcW w:w="589" w:type="dxa"/>
                  <w:vMerge w:val="continue"/>
                  <w:tcBorders>
                    <w:tl2br w:val="nil"/>
                    <w:tr2bl w:val="nil"/>
                  </w:tcBorders>
                  <w:noWrap/>
                  <w:vAlign w:val="center"/>
                </w:tcPr>
                <w:p w14:paraId="633F7A4D">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3EA4ADB8">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191DB575">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2513AA66">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2631E99C">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51C9A5D5">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w:t>
                  </w:r>
                </w:p>
              </w:tc>
              <w:tc>
                <w:tcPr>
                  <w:tcW w:w="739" w:type="dxa"/>
                  <w:tcBorders>
                    <w:top w:val="single" w:color="auto" w:sz="4" w:space="0"/>
                    <w:bottom w:val="single" w:color="auto" w:sz="4" w:space="0"/>
                    <w:tl2br w:val="nil"/>
                    <w:tr2bl w:val="nil"/>
                  </w:tcBorders>
                  <w:noWrap w:val="0"/>
                  <w:vAlign w:val="center"/>
                </w:tcPr>
                <w:p w14:paraId="5E758A2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932" w:type="dxa"/>
                  <w:tcBorders>
                    <w:top w:val="single" w:color="auto" w:sz="4" w:space="0"/>
                    <w:bottom w:val="single" w:color="auto" w:sz="4" w:space="0"/>
                    <w:tl2br w:val="nil"/>
                    <w:tr2bl w:val="nil"/>
                  </w:tcBorders>
                  <w:noWrap w:val="0"/>
                  <w:vAlign w:val="center"/>
                </w:tcPr>
                <w:p w14:paraId="3422E09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58.1</w:t>
                  </w:r>
                </w:p>
              </w:tc>
              <w:tc>
                <w:tcPr>
                  <w:tcW w:w="695" w:type="dxa"/>
                  <w:vMerge w:val="continue"/>
                  <w:tcBorders>
                    <w:tl2br w:val="nil"/>
                    <w:tr2bl w:val="nil"/>
                  </w:tcBorders>
                  <w:noWrap w:val="0"/>
                  <w:vAlign w:val="center"/>
                </w:tcPr>
                <w:p w14:paraId="4695B992">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7AF8F170">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64CDA5B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37.1 </w:t>
                  </w:r>
                </w:p>
              </w:tc>
              <w:tc>
                <w:tcPr>
                  <w:tcW w:w="1073" w:type="dxa"/>
                  <w:vMerge w:val="continue"/>
                  <w:tcBorders>
                    <w:tl2br w:val="nil"/>
                    <w:tr2bl w:val="nil"/>
                  </w:tcBorders>
                  <w:noWrap w:val="0"/>
                  <w:vAlign w:val="center"/>
                </w:tcPr>
                <w:p w14:paraId="64E7AC55">
                  <w:pPr>
                    <w:widowControl/>
                    <w:jc w:val="center"/>
                    <w:rPr>
                      <w:rFonts w:hint="default" w:ascii="Times New Roman" w:hAnsi="Times New Roman" w:eastAsia="宋体" w:cs="Times New Roman"/>
                      <w:color w:val="auto"/>
                      <w:kern w:val="0"/>
                      <w:sz w:val="21"/>
                      <w:szCs w:val="21"/>
                      <w:highlight w:val="none"/>
                    </w:rPr>
                  </w:pPr>
                </w:p>
              </w:tc>
            </w:tr>
            <w:tr w14:paraId="37A4E13E">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29" w:hRule="atLeast"/>
                <w:jc w:val="center"/>
              </w:trPr>
              <w:tc>
                <w:tcPr>
                  <w:tcW w:w="485" w:type="dxa"/>
                  <w:vMerge w:val="continue"/>
                  <w:tcBorders>
                    <w:tl2br w:val="nil"/>
                    <w:tr2bl w:val="nil"/>
                  </w:tcBorders>
                  <w:noWrap/>
                  <w:vAlign w:val="center"/>
                </w:tcPr>
                <w:p w14:paraId="6F06FC33">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656C5DF4">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l2br w:val="nil"/>
                    <w:tr2bl w:val="nil"/>
                  </w:tcBorders>
                  <w:noWrap w:val="0"/>
                  <w:vAlign w:val="center"/>
                </w:tcPr>
                <w:p w14:paraId="43E522E4">
                  <w:pPr>
                    <w:jc w:val="center"/>
                    <w:rPr>
                      <w:rFonts w:hint="default" w:ascii="Times New Roman" w:hAnsi="Times New Roman" w:eastAsia="Arial" w:cs="Times New Roman"/>
                      <w:color w:val="auto"/>
                      <w:sz w:val="21"/>
                      <w:szCs w:val="21"/>
                      <w:highlight w:val="none"/>
                    </w:rPr>
                  </w:pPr>
                </w:p>
              </w:tc>
              <w:tc>
                <w:tcPr>
                  <w:tcW w:w="589" w:type="dxa"/>
                  <w:vMerge w:val="continue"/>
                  <w:tcBorders>
                    <w:tl2br w:val="nil"/>
                    <w:tr2bl w:val="nil"/>
                  </w:tcBorders>
                  <w:noWrap/>
                  <w:vAlign w:val="center"/>
                </w:tcPr>
                <w:p w14:paraId="025F7226">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41187B1F">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68F9688F">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3B4720C8">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1B63C937">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tl2br w:val="nil"/>
                    <w:tr2bl w:val="nil"/>
                  </w:tcBorders>
                  <w:noWrap w:val="0"/>
                  <w:vAlign w:val="center"/>
                </w:tcPr>
                <w:p w14:paraId="5C2586DF">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p>
              </w:tc>
              <w:tc>
                <w:tcPr>
                  <w:tcW w:w="739" w:type="dxa"/>
                  <w:tcBorders>
                    <w:top w:val="single" w:color="auto" w:sz="4" w:space="0"/>
                    <w:tl2br w:val="nil"/>
                    <w:tr2bl w:val="nil"/>
                  </w:tcBorders>
                  <w:noWrap w:val="0"/>
                  <w:vAlign w:val="center"/>
                </w:tcPr>
                <w:p w14:paraId="089FCFB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w:t>
                  </w:r>
                </w:p>
              </w:tc>
              <w:tc>
                <w:tcPr>
                  <w:tcW w:w="932" w:type="dxa"/>
                  <w:tcBorders>
                    <w:top w:val="single" w:color="auto" w:sz="4" w:space="0"/>
                    <w:tl2br w:val="nil"/>
                    <w:tr2bl w:val="nil"/>
                  </w:tcBorders>
                  <w:noWrap w:val="0"/>
                  <w:vAlign w:val="center"/>
                </w:tcPr>
                <w:p w14:paraId="471DEAC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40.8</w:t>
                  </w:r>
                </w:p>
              </w:tc>
              <w:tc>
                <w:tcPr>
                  <w:tcW w:w="695" w:type="dxa"/>
                  <w:vMerge w:val="continue"/>
                  <w:tcBorders>
                    <w:bottom w:val="single" w:color="auto" w:sz="4" w:space="0"/>
                    <w:tl2br w:val="nil"/>
                    <w:tr2bl w:val="nil"/>
                  </w:tcBorders>
                  <w:noWrap w:val="0"/>
                  <w:vAlign w:val="center"/>
                </w:tcPr>
                <w:p w14:paraId="7C17D2F3">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bottom w:val="single" w:color="auto" w:sz="4" w:space="0"/>
                    <w:tl2br w:val="nil"/>
                    <w:tr2bl w:val="nil"/>
                  </w:tcBorders>
                  <w:noWrap w:val="0"/>
                  <w:vAlign w:val="center"/>
                </w:tcPr>
                <w:p w14:paraId="2BC81A3B">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16855F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19.8 </w:t>
                  </w:r>
                </w:p>
              </w:tc>
              <w:tc>
                <w:tcPr>
                  <w:tcW w:w="1073" w:type="dxa"/>
                  <w:vMerge w:val="continue"/>
                  <w:tcBorders>
                    <w:tl2br w:val="nil"/>
                    <w:tr2bl w:val="nil"/>
                  </w:tcBorders>
                  <w:noWrap w:val="0"/>
                  <w:vAlign w:val="center"/>
                </w:tcPr>
                <w:p w14:paraId="0337259C">
                  <w:pPr>
                    <w:widowControl/>
                    <w:jc w:val="center"/>
                    <w:rPr>
                      <w:rFonts w:hint="default" w:ascii="Times New Roman" w:hAnsi="Times New Roman" w:eastAsia="宋体" w:cs="Times New Roman"/>
                      <w:color w:val="auto"/>
                      <w:kern w:val="0"/>
                      <w:sz w:val="21"/>
                      <w:szCs w:val="21"/>
                      <w:highlight w:val="none"/>
                    </w:rPr>
                  </w:pPr>
                </w:p>
              </w:tc>
            </w:tr>
            <w:tr w14:paraId="0703CC2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02" w:hRule="atLeast"/>
                <w:jc w:val="center"/>
              </w:trPr>
              <w:tc>
                <w:tcPr>
                  <w:tcW w:w="485" w:type="dxa"/>
                  <w:vMerge w:val="restart"/>
                  <w:tcBorders>
                    <w:tl2br w:val="nil"/>
                    <w:tr2bl w:val="nil"/>
                  </w:tcBorders>
                  <w:noWrap/>
                  <w:vAlign w:val="center"/>
                </w:tcPr>
                <w:p w14:paraId="23D2E3FD">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4</w:t>
                  </w:r>
                </w:p>
              </w:tc>
              <w:tc>
                <w:tcPr>
                  <w:tcW w:w="697" w:type="dxa"/>
                  <w:vMerge w:val="continue"/>
                  <w:tcBorders>
                    <w:tl2br w:val="nil"/>
                    <w:tr2bl w:val="nil"/>
                  </w:tcBorders>
                  <w:noWrap/>
                  <w:vAlign w:val="center"/>
                </w:tcPr>
                <w:p w14:paraId="5AD7D977">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restart"/>
                  <w:tcBorders>
                    <w:tl2br w:val="nil"/>
                    <w:tr2bl w:val="nil"/>
                  </w:tcBorders>
                  <w:noWrap w:val="0"/>
                  <w:vAlign w:val="center"/>
                </w:tcPr>
                <w:p w14:paraId="79E28958">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Calibri" w:cs="Times New Roman"/>
                      <w:color w:val="auto"/>
                      <w:kern w:val="2"/>
                      <w:sz w:val="21"/>
                      <w:szCs w:val="21"/>
                      <w:lang w:val="en-US" w:eastAsia="zh-CN"/>
                    </w:rPr>
                    <w:t>半自动丝印机</w:t>
                  </w:r>
                  <w:r>
                    <w:rPr>
                      <w:rFonts w:hint="eastAsia" w:eastAsia="Calibri" w:cs="Times New Roman"/>
                      <w:color w:val="auto"/>
                      <w:kern w:val="2"/>
                      <w:sz w:val="21"/>
                      <w:szCs w:val="21"/>
                      <w:lang w:val="en-US" w:eastAsia="zh-CN"/>
                    </w:rPr>
                    <w:t>（2台）</w:t>
                  </w:r>
                </w:p>
              </w:tc>
              <w:tc>
                <w:tcPr>
                  <w:tcW w:w="589" w:type="dxa"/>
                  <w:vMerge w:val="restart"/>
                  <w:tcBorders>
                    <w:tl2br w:val="nil"/>
                    <w:tr2bl w:val="nil"/>
                  </w:tcBorders>
                  <w:noWrap/>
                  <w:vAlign w:val="center"/>
                </w:tcPr>
                <w:p w14:paraId="53662677">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636" w:type="dxa"/>
                  <w:vMerge w:val="restart"/>
                  <w:tcBorders>
                    <w:tl2br w:val="nil"/>
                    <w:tr2bl w:val="nil"/>
                  </w:tcBorders>
                  <w:noWrap/>
                  <w:vAlign w:val="center"/>
                </w:tcPr>
                <w:p w14:paraId="0547DD8D">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750" w:type="dxa"/>
                  <w:vMerge w:val="restart"/>
                  <w:tcBorders>
                    <w:tl2br w:val="nil"/>
                    <w:tr2bl w:val="nil"/>
                  </w:tcBorders>
                  <w:noWrap/>
                  <w:vAlign w:val="center"/>
                </w:tcPr>
                <w:p w14:paraId="0A85B57A">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1425" w:type="dxa"/>
                  <w:vMerge w:val="restart"/>
                  <w:tcBorders>
                    <w:tl2br w:val="nil"/>
                    <w:tr2bl w:val="nil"/>
                  </w:tcBorders>
                  <w:noWrap/>
                  <w:vAlign w:val="center"/>
                </w:tcPr>
                <w:p w14:paraId="72A895D0">
                  <w:pPr>
                    <w:widowControl/>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75</w:t>
                  </w:r>
                  <w:r>
                    <w:rPr>
                      <w:rFonts w:hint="default" w:ascii="Times New Roman" w:hAnsi="Times New Roman" w:eastAsia="宋体" w:cs="Times New Roman"/>
                      <w:color w:val="auto"/>
                      <w:kern w:val="0"/>
                      <w:sz w:val="21"/>
                      <w:szCs w:val="21"/>
                    </w:rPr>
                    <w:t>/1</w:t>
                  </w:r>
                </w:p>
              </w:tc>
              <w:tc>
                <w:tcPr>
                  <w:tcW w:w="1222" w:type="dxa"/>
                  <w:vMerge w:val="restart"/>
                  <w:tcBorders>
                    <w:tl2br w:val="nil"/>
                    <w:tr2bl w:val="nil"/>
                  </w:tcBorders>
                  <w:noWrap/>
                  <w:vAlign w:val="center"/>
                </w:tcPr>
                <w:p w14:paraId="2A0993F6">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隔声、减振</w:t>
                  </w:r>
                </w:p>
              </w:tc>
              <w:tc>
                <w:tcPr>
                  <w:tcW w:w="686" w:type="dxa"/>
                  <w:tcBorders>
                    <w:bottom w:val="single" w:color="auto" w:sz="4" w:space="0"/>
                    <w:tl2br w:val="nil"/>
                    <w:tr2bl w:val="nil"/>
                  </w:tcBorders>
                  <w:noWrap w:val="0"/>
                  <w:vAlign w:val="center"/>
                </w:tcPr>
                <w:p w14:paraId="3EB93A0D">
                  <w:pPr>
                    <w:jc w:val="center"/>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E</w:t>
                  </w:r>
                </w:p>
              </w:tc>
              <w:tc>
                <w:tcPr>
                  <w:tcW w:w="739" w:type="dxa"/>
                  <w:tcBorders>
                    <w:bottom w:val="single" w:color="auto" w:sz="4" w:space="0"/>
                    <w:tl2br w:val="nil"/>
                    <w:tr2bl w:val="nil"/>
                  </w:tcBorders>
                  <w:noWrap w:val="0"/>
                  <w:vAlign w:val="center"/>
                </w:tcPr>
                <w:p w14:paraId="5597A10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81</w:t>
                  </w:r>
                </w:p>
              </w:tc>
              <w:tc>
                <w:tcPr>
                  <w:tcW w:w="932" w:type="dxa"/>
                  <w:tcBorders>
                    <w:bottom w:val="single" w:color="auto" w:sz="4" w:space="0"/>
                    <w:tl2br w:val="nil"/>
                    <w:tr2bl w:val="nil"/>
                  </w:tcBorders>
                  <w:noWrap w:val="0"/>
                  <w:vAlign w:val="center"/>
                </w:tcPr>
                <w:p w14:paraId="6064BC52">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36.8</w:t>
                  </w:r>
                </w:p>
              </w:tc>
              <w:tc>
                <w:tcPr>
                  <w:tcW w:w="695" w:type="dxa"/>
                  <w:vMerge w:val="restart"/>
                  <w:tcBorders>
                    <w:top w:val="single" w:color="auto" w:sz="4" w:space="0"/>
                    <w:tl2br w:val="nil"/>
                    <w:tr2bl w:val="nil"/>
                  </w:tcBorders>
                  <w:noWrap w:val="0"/>
                  <w:vAlign w:val="center"/>
                </w:tcPr>
                <w:p w14:paraId="4DA8EC90">
                  <w:pPr>
                    <w:widowControl/>
                    <w:jc w:val="center"/>
                    <w:rPr>
                      <w:rFonts w:hint="default" w:ascii="Times New Roman" w:hAnsi="Times New Roman" w:eastAsia="等线" w:cs="Times New Roman"/>
                      <w:color w:val="auto"/>
                      <w:sz w:val="21"/>
                      <w:szCs w:val="21"/>
                      <w:highlight w:val="none"/>
                    </w:rPr>
                  </w:pPr>
                  <w:r>
                    <w:rPr>
                      <w:rFonts w:hint="eastAsia" w:eastAsia="等线" w:cs="Times New Roman"/>
                      <w:color w:val="auto"/>
                      <w:sz w:val="21"/>
                      <w:szCs w:val="21"/>
                      <w:highlight w:val="none"/>
                      <w:lang w:val="en-US" w:eastAsia="zh-CN"/>
                    </w:rPr>
                    <w:t>16</w:t>
                  </w:r>
                  <w:r>
                    <w:rPr>
                      <w:rFonts w:hint="default" w:ascii="Times New Roman" w:hAnsi="Times New Roman" w:eastAsia="等线" w:cs="Times New Roman"/>
                      <w:color w:val="auto"/>
                      <w:sz w:val="21"/>
                      <w:szCs w:val="21"/>
                      <w:highlight w:val="none"/>
                    </w:rPr>
                    <w:t>h/d</w:t>
                  </w:r>
                </w:p>
              </w:tc>
              <w:tc>
                <w:tcPr>
                  <w:tcW w:w="889" w:type="dxa"/>
                  <w:vMerge w:val="restart"/>
                  <w:tcBorders>
                    <w:top w:val="single" w:color="auto" w:sz="4" w:space="0"/>
                    <w:tl2br w:val="nil"/>
                    <w:tr2bl w:val="nil"/>
                  </w:tcBorders>
                  <w:noWrap w:val="0"/>
                  <w:vAlign w:val="center"/>
                </w:tcPr>
                <w:p w14:paraId="4900F032">
                  <w:pPr>
                    <w:widowControl/>
                    <w:jc w:val="center"/>
                    <w:rPr>
                      <w:rFonts w:hint="default" w:ascii="Times New Roman" w:hAnsi="Times New Roman" w:eastAsia="等线" w:cs="Times New Roman"/>
                      <w:color w:val="auto"/>
                      <w:sz w:val="21"/>
                      <w:szCs w:val="21"/>
                      <w:highlight w:val="none"/>
                    </w:rPr>
                  </w:pPr>
                  <w:r>
                    <w:rPr>
                      <w:rFonts w:hint="default" w:ascii="Times New Roman" w:hAnsi="Times New Roman" w:eastAsia="等线" w:cs="Times New Roman"/>
                      <w:color w:val="auto"/>
                      <w:sz w:val="21"/>
                      <w:szCs w:val="21"/>
                      <w:highlight w:val="none"/>
                      <w:lang w:val="en-US" w:eastAsia="zh-CN"/>
                    </w:rPr>
                    <w:t>21</w:t>
                  </w:r>
                </w:p>
              </w:tc>
              <w:tc>
                <w:tcPr>
                  <w:tcW w:w="932" w:type="dxa"/>
                  <w:tcBorders>
                    <w:top w:val="single" w:color="auto" w:sz="4" w:space="0"/>
                    <w:bottom w:val="single" w:color="auto" w:sz="4" w:space="0"/>
                    <w:tl2br w:val="nil"/>
                    <w:tr2bl w:val="nil"/>
                  </w:tcBorders>
                  <w:noWrap/>
                  <w:vAlign w:val="center"/>
                </w:tcPr>
                <w:p w14:paraId="7FC9C1FA">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15.8 </w:t>
                  </w:r>
                </w:p>
              </w:tc>
              <w:tc>
                <w:tcPr>
                  <w:tcW w:w="1073" w:type="dxa"/>
                  <w:vMerge w:val="restart"/>
                  <w:tcBorders>
                    <w:tl2br w:val="nil"/>
                    <w:tr2bl w:val="nil"/>
                  </w:tcBorders>
                  <w:noWrap w:val="0"/>
                  <w:vAlign w:val="center"/>
                </w:tcPr>
                <w:p w14:paraId="39D41FD8">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r>
            <w:tr w14:paraId="4A2EEF0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03" w:hRule="atLeast"/>
                <w:jc w:val="center"/>
              </w:trPr>
              <w:tc>
                <w:tcPr>
                  <w:tcW w:w="485" w:type="dxa"/>
                  <w:vMerge w:val="continue"/>
                  <w:tcBorders>
                    <w:tl2br w:val="nil"/>
                    <w:tr2bl w:val="nil"/>
                  </w:tcBorders>
                  <w:noWrap/>
                  <w:vAlign w:val="center"/>
                </w:tcPr>
                <w:p w14:paraId="44A02DCE">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3B94F66A">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l2br w:val="nil"/>
                    <w:tr2bl w:val="nil"/>
                  </w:tcBorders>
                  <w:noWrap w:val="0"/>
                  <w:vAlign w:val="center"/>
                </w:tcPr>
                <w:p w14:paraId="6308E717">
                  <w:pPr>
                    <w:jc w:val="center"/>
                    <w:rPr>
                      <w:rFonts w:hint="default" w:ascii="Times New Roman" w:hAnsi="Times New Roman" w:eastAsia="Arial" w:cs="Times New Roman"/>
                      <w:color w:val="auto"/>
                      <w:sz w:val="21"/>
                      <w:szCs w:val="21"/>
                      <w:highlight w:val="none"/>
                    </w:rPr>
                  </w:pPr>
                </w:p>
              </w:tc>
              <w:tc>
                <w:tcPr>
                  <w:tcW w:w="589" w:type="dxa"/>
                  <w:vMerge w:val="continue"/>
                  <w:tcBorders>
                    <w:tl2br w:val="nil"/>
                    <w:tr2bl w:val="nil"/>
                  </w:tcBorders>
                  <w:noWrap/>
                  <w:vAlign w:val="center"/>
                </w:tcPr>
                <w:p w14:paraId="05D65BD6">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05846750">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33EC2ADC">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1A2F5A53">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0946B9EC">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74F538E2">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S</w:t>
                  </w:r>
                </w:p>
              </w:tc>
              <w:tc>
                <w:tcPr>
                  <w:tcW w:w="739" w:type="dxa"/>
                  <w:tcBorders>
                    <w:top w:val="single" w:color="auto" w:sz="4" w:space="0"/>
                    <w:bottom w:val="single" w:color="auto" w:sz="4" w:space="0"/>
                    <w:tl2br w:val="nil"/>
                    <w:tr2bl w:val="nil"/>
                  </w:tcBorders>
                  <w:noWrap w:val="0"/>
                  <w:vAlign w:val="center"/>
                </w:tcPr>
                <w:p w14:paraId="1562472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932" w:type="dxa"/>
                  <w:tcBorders>
                    <w:top w:val="single" w:color="auto" w:sz="4" w:space="0"/>
                    <w:bottom w:val="single" w:color="auto" w:sz="4" w:space="0"/>
                    <w:tl2br w:val="nil"/>
                    <w:tr2bl w:val="nil"/>
                  </w:tcBorders>
                  <w:noWrap w:val="0"/>
                  <w:vAlign w:val="center"/>
                </w:tcPr>
                <w:p w14:paraId="355F69C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43.9</w:t>
                  </w:r>
                </w:p>
              </w:tc>
              <w:tc>
                <w:tcPr>
                  <w:tcW w:w="695" w:type="dxa"/>
                  <w:vMerge w:val="continue"/>
                  <w:tcBorders>
                    <w:tl2br w:val="nil"/>
                    <w:tr2bl w:val="nil"/>
                  </w:tcBorders>
                  <w:noWrap w:val="0"/>
                  <w:vAlign w:val="center"/>
                </w:tcPr>
                <w:p w14:paraId="3C821230">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0BAD5A1C">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74AF2F7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22.9 </w:t>
                  </w:r>
                </w:p>
              </w:tc>
              <w:tc>
                <w:tcPr>
                  <w:tcW w:w="1073" w:type="dxa"/>
                  <w:vMerge w:val="continue"/>
                  <w:tcBorders>
                    <w:tl2br w:val="nil"/>
                    <w:tr2bl w:val="nil"/>
                  </w:tcBorders>
                  <w:noWrap w:val="0"/>
                  <w:vAlign w:val="center"/>
                </w:tcPr>
                <w:p w14:paraId="59C91C31">
                  <w:pPr>
                    <w:widowControl/>
                    <w:jc w:val="center"/>
                    <w:rPr>
                      <w:rFonts w:hint="default" w:ascii="Times New Roman" w:hAnsi="Times New Roman" w:eastAsia="宋体" w:cs="Times New Roman"/>
                      <w:color w:val="auto"/>
                      <w:kern w:val="0"/>
                      <w:sz w:val="21"/>
                      <w:szCs w:val="21"/>
                      <w:highlight w:val="none"/>
                    </w:rPr>
                  </w:pPr>
                </w:p>
              </w:tc>
            </w:tr>
            <w:tr w14:paraId="453F276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41" w:hRule="atLeast"/>
                <w:jc w:val="center"/>
              </w:trPr>
              <w:tc>
                <w:tcPr>
                  <w:tcW w:w="485" w:type="dxa"/>
                  <w:vMerge w:val="continue"/>
                  <w:tcBorders>
                    <w:tl2br w:val="nil"/>
                    <w:tr2bl w:val="nil"/>
                  </w:tcBorders>
                  <w:noWrap/>
                  <w:vAlign w:val="center"/>
                </w:tcPr>
                <w:p w14:paraId="1FDEB510">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09A3FCE2">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l2br w:val="nil"/>
                    <w:tr2bl w:val="nil"/>
                  </w:tcBorders>
                  <w:noWrap w:val="0"/>
                  <w:vAlign w:val="center"/>
                </w:tcPr>
                <w:p w14:paraId="66E3DA86">
                  <w:pPr>
                    <w:jc w:val="center"/>
                    <w:rPr>
                      <w:rFonts w:hint="default" w:ascii="Times New Roman" w:hAnsi="Times New Roman" w:eastAsia="Arial" w:cs="Times New Roman"/>
                      <w:color w:val="auto"/>
                      <w:sz w:val="21"/>
                      <w:szCs w:val="21"/>
                      <w:highlight w:val="none"/>
                    </w:rPr>
                  </w:pPr>
                </w:p>
              </w:tc>
              <w:tc>
                <w:tcPr>
                  <w:tcW w:w="589" w:type="dxa"/>
                  <w:vMerge w:val="continue"/>
                  <w:tcBorders>
                    <w:tl2br w:val="nil"/>
                    <w:tr2bl w:val="nil"/>
                  </w:tcBorders>
                  <w:noWrap/>
                  <w:vAlign w:val="center"/>
                </w:tcPr>
                <w:p w14:paraId="73608685">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5C3E8F79">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0E1FDEFE">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7CE8FDE3">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354E4E59">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35DEEAF6">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w:t>
                  </w:r>
                </w:p>
              </w:tc>
              <w:tc>
                <w:tcPr>
                  <w:tcW w:w="739" w:type="dxa"/>
                  <w:tcBorders>
                    <w:top w:val="single" w:color="auto" w:sz="4" w:space="0"/>
                    <w:bottom w:val="single" w:color="auto" w:sz="4" w:space="0"/>
                    <w:tl2br w:val="nil"/>
                    <w:tr2bl w:val="nil"/>
                  </w:tcBorders>
                  <w:noWrap w:val="0"/>
                  <w:vAlign w:val="center"/>
                </w:tcPr>
                <w:p w14:paraId="0BC2B84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932" w:type="dxa"/>
                  <w:tcBorders>
                    <w:top w:val="single" w:color="auto" w:sz="4" w:space="0"/>
                    <w:bottom w:val="single" w:color="auto" w:sz="4" w:space="0"/>
                    <w:tl2br w:val="nil"/>
                    <w:tr2bl w:val="nil"/>
                  </w:tcBorders>
                  <w:noWrap w:val="0"/>
                  <w:vAlign w:val="center"/>
                </w:tcPr>
                <w:p w14:paraId="108DD43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59.4</w:t>
                  </w:r>
                </w:p>
              </w:tc>
              <w:tc>
                <w:tcPr>
                  <w:tcW w:w="695" w:type="dxa"/>
                  <w:vMerge w:val="continue"/>
                  <w:tcBorders>
                    <w:tl2br w:val="nil"/>
                    <w:tr2bl w:val="nil"/>
                  </w:tcBorders>
                  <w:noWrap w:val="0"/>
                  <w:vAlign w:val="center"/>
                </w:tcPr>
                <w:p w14:paraId="6EEDD9B7">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3607E173">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3C70866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38.4 </w:t>
                  </w:r>
                </w:p>
              </w:tc>
              <w:tc>
                <w:tcPr>
                  <w:tcW w:w="1073" w:type="dxa"/>
                  <w:vMerge w:val="continue"/>
                  <w:tcBorders>
                    <w:tl2br w:val="nil"/>
                    <w:tr2bl w:val="nil"/>
                  </w:tcBorders>
                  <w:noWrap w:val="0"/>
                  <w:vAlign w:val="center"/>
                </w:tcPr>
                <w:p w14:paraId="7D0FD599">
                  <w:pPr>
                    <w:widowControl/>
                    <w:jc w:val="center"/>
                    <w:rPr>
                      <w:rFonts w:hint="default" w:ascii="Times New Roman" w:hAnsi="Times New Roman" w:eastAsia="宋体" w:cs="Times New Roman"/>
                      <w:color w:val="auto"/>
                      <w:kern w:val="0"/>
                      <w:sz w:val="21"/>
                      <w:szCs w:val="21"/>
                      <w:highlight w:val="none"/>
                    </w:rPr>
                  </w:pPr>
                </w:p>
              </w:tc>
            </w:tr>
            <w:tr w14:paraId="32D92E7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86" w:hRule="atLeast"/>
                <w:jc w:val="center"/>
              </w:trPr>
              <w:tc>
                <w:tcPr>
                  <w:tcW w:w="485" w:type="dxa"/>
                  <w:vMerge w:val="continue"/>
                  <w:tcBorders>
                    <w:bottom w:val="single" w:color="auto" w:sz="4" w:space="0"/>
                    <w:tl2br w:val="nil"/>
                    <w:tr2bl w:val="nil"/>
                  </w:tcBorders>
                  <w:noWrap/>
                  <w:vAlign w:val="center"/>
                </w:tcPr>
                <w:p w14:paraId="030BA248">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09F826E4">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bottom w:val="single" w:color="auto" w:sz="4" w:space="0"/>
                    <w:tl2br w:val="nil"/>
                    <w:tr2bl w:val="nil"/>
                  </w:tcBorders>
                  <w:noWrap w:val="0"/>
                  <w:vAlign w:val="center"/>
                </w:tcPr>
                <w:p w14:paraId="7A9C6F49">
                  <w:pPr>
                    <w:jc w:val="center"/>
                    <w:rPr>
                      <w:rFonts w:hint="default" w:ascii="Times New Roman" w:hAnsi="Times New Roman" w:eastAsia="Arial" w:cs="Times New Roman"/>
                      <w:color w:val="auto"/>
                      <w:sz w:val="21"/>
                      <w:szCs w:val="21"/>
                      <w:highlight w:val="none"/>
                    </w:rPr>
                  </w:pPr>
                </w:p>
              </w:tc>
              <w:tc>
                <w:tcPr>
                  <w:tcW w:w="589" w:type="dxa"/>
                  <w:vMerge w:val="continue"/>
                  <w:tcBorders>
                    <w:bottom w:val="single" w:color="auto" w:sz="4" w:space="0"/>
                    <w:tl2br w:val="nil"/>
                    <w:tr2bl w:val="nil"/>
                  </w:tcBorders>
                  <w:noWrap/>
                  <w:vAlign w:val="center"/>
                </w:tcPr>
                <w:p w14:paraId="7CFA8F2F">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bottom w:val="single" w:color="auto" w:sz="4" w:space="0"/>
                    <w:tl2br w:val="nil"/>
                    <w:tr2bl w:val="nil"/>
                  </w:tcBorders>
                  <w:noWrap/>
                  <w:vAlign w:val="center"/>
                </w:tcPr>
                <w:p w14:paraId="65C40472">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bottom w:val="single" w:color="auto" w:sz="4" w:space="0"/>
                    <w:tl2br w:val="nil"/>
                    <w:tr2bl w:val="nil"/>
                  </w:tcBorders>
                  <w:noWrap/>
                  <w:vAlign w:val="center"/>
                </w:tcPr>
                <w:p w14:paraId="34B86F00">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bottom w:val="single" w:color="auto" w:sz="4" w:space="0"/>
                    <w:tl2br w:val="nil"/>
                    <w:tr2bl w:val="nil"/>
                  </w:tcBorders>
                  <w:noWrap/>
                  <w:vAlign w:val="center"/>
                </w:tcPr>
                <w:p w14:paraId="5D385842">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bottom w:val="single" w:color="auto" w:sz="4" w:space="0"/>
                    <w:tl2br w:val="nil"/>
                    <w:tr2bl w:val="nil"/>
                  </w:tcBorders>
                  <w:noWrap/>
                  <w:vAlign w:val="center"/>
                </w:tcPr>
                <w:p w14:paraId="6C54133D">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48533B79">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p>
              </w:tc>
              <w:tc>
                <w:tcPr>
                  <w:tcW w:w="739" w:type="dxa"/>
                  <w:tcBorders>
                    <w:top w:val="single" w:color="auto" w:sz="4" w:space="0"/>
                    <w:bottom w:val="single" w:color="auto" w:sz="4" w:space="0"/>
                    <w:tl2br w:val="nil"/>
                    <w:tr2bl w:val="nil"/>
                  </w:tcBorders>
                  <w:noWrap w:val="0"/>
                  <w:vAlign w:val="center"/>
                </w:tcPr>
                <w:p w14:paraId="02FD970B">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w:t>
                  </w:r>
                </w:p>
              </w:tc>
              <w:tc>
                <w:tcPr>
                  <w:tcW w:w="932" w:type="dxa"/>
                  <w:tcBorders>
                    <w:top w:val="single" w:color="auto" w:sz="4" w:space="0"/>
                    <w:bottom w:val="single" w:color="auto" w:sz="4" w:space="0"/>
                    <w:tl2br w:val="nil"/>
                    <w:tr2bl w:val="nil"/>
                  </w:tcBorders>
                  <w:noWrap w:val="0"/>
                  <w:vAlign w:val="center"/>
                </w:tcPr>
                <w:p w14:paraId="3BFA36E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37.9</w:t>
                  </w:r>
                </w:p>
              </w:tc>
              <w:tc>
                <w:tcPr>
                  <w:tcW w:w="695" w:type="dxa"/>
                  <w:vMerge w:val="continue"/>
                  <w:tcBorders>
                    <w:bottom w:val="single" w:color="auto" w:sz="4" w:space="0"/>
                    <w:tl2br w:val="nil"/>
                    <w:tr2bl w:val="nil"/>
                  </w:tcBorders>
                  <w:noWrap w:val="0"/>
                  <w:vAlign w:val="center"/>
                </w:tcPr>
                <w:p w14:paraId="16D28031">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bottom w:val="single" w:color="auto" w:sz="4" w:space="0"/>
                    <w:tl2br w:val="nil"/>
                    <w:tr2bl w:val="nil"/>
                  </w:tcBorders>
                  <w:noWrap w:val="0"/>
                  <w:vAlign w:val="center"/>
                </w:tcPr>
                <w:p w14:paraId="5092DE4D">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2EF7ADD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16.9 </w:t>
                  </w:r>
                </w:p>
              </w:tc>
              <w:tc>
                <w:tcPr>
                  <w:tcW w:w="1073" w:type="dxa"/>
                  <w:vMerge w:val="continue"/>
                  <w:tcBorders>
                    <w:bottom w:val="single" w:color="auto" w:sz="4" w:space="0"/>
                    <w:tl2br w:val="nil"/>
                    <w:tr2bl w:val="nil"/>
                  </w:tcBorders>
                  <w:noWrap w:val="0"/>
                  <w:vAlign w:val="center"/>
                </w:tcPr>
                <w:p w14:paraId="6BC0161A">
                  <w:pPr>
                    <w:widowControl/>
                    <w:jc w:val="center"/>
                    <w:rPr>
                      <w:rFonts w:hint="default" w:ascii="Times New Roman" w:hAnsi="Times New Roman" w:eastAsia="宋体" w:cs="Times New Roman"/>
                      <w:color w:val="auto"/>
                      <w:kern w:val="0"/>
                      <w:sz w:val="21"/>
                      <w:szCs w:val="21"/>
                      <w:highlight w:val="none"/>
                    </w:rPr>
                  </w:pPr>
                </w:p>
              </w:tc>
            </w:tr>
            <w:tr w14:paraId="0AEE2AC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38" w:hRule="atLeast"/>
                <w:jc w:val="center"/>
              </w:trPr>
              <w:tc>
                <w:tcPr>
                  <w:tcW w:w="485" w:type="dxa"/>
                  <w:vMerge w:val="restart"/>
                  <w:tcBorders>
                    <w:top w:val="single" w:color="auto" w:sz="4" w:space="0"/>
                    <w:tl2br w:val="nil"/>
                    <w:tr2bl w:val="nil"/>
                  </w:tcBorders>
                  <w:noWrap/>
                  <w:vAlign w:val="center"/>
                </w:tcPr>
                <w:p w14:paraId="13CFC8E7">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w:t>
                  </w:r>
                </w:p>
              </w:tc>
              <w:tc>
                <w:tcPr>
                  <w:tcW w:w="697" w:type="dxa"/>
                  <w:vMerge w:val="continue"/>
                  <w:tcBorders>
                    <w:tl2br w:val="nil"/>
                    <w:tr2bl w:val="nil"/>
                  </w:tcBorders>
                  <w:noWrap/>
                  <w:vAlign w:val="center"/>
                </w:tcPr>
                <w:p w14:paraId="6769EE44">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restart"/>
                  <w:tcBorders>
                    <w:top w:val="single" w:color="auto" w:sz="4" w:space="0"/>
                    <w:tl2br w:val="nil"/>
                    <w:tr2bl w:val="nil"/>
                  </w:tcBorders>
                  <w:noWrap w:val="0"/>
                  <w:vAlign w:val="center"/>
                </w:tcPr>
                <w:p w14:paraId="726BE984">
                  <w:pPr>
                    <w:spacing w:line="240" w:lineRule="auto"/>
                    <w:jc w:val="center"/>
                    <w:rPr>
                      <w:rFonts w:hint="default" w:ascii="Times New Roman" w:hAnsi="Times New Roman" w:eastAsia="Arial" w:cs="Times New Roman"/>
                      <w:color w:val="auto"/>
                      <w:sz w:val="21"/>
                      <w:szCs w:val="21"/>
                      <w:highlight w:val="none"/>
                    </w:rPr>
                  </w:pPr>
                  <w:r>
                    <w:rPr>
                      <w:rFonts w:hint="eastAsia" w:ascii="Times New Roman" w:hAnsi="Times New Roman" w:eastAsia="Calibri" w:cs="Times New Roman"/>
                      <w:color w:val="auto"/>
                      <w:kern w:val="2"/>
                      <w:sz w:val="21"/>
                      <w:szCs w:val="21"/>
                      <w:lang w:val="en-US" w:eastAsia="zh-CN"/>
                    </w:rPr>
                    <w:t>全自动丝印机</w:t>
                  </w:r>
                </w:p>
              </w:tc>
              <w:tc>
                <w:tcPr>
                  <w:tcW w:w="589" w:type="dxa"/>
                  <w:vMerge w:val="restart"/>
                  <w:tcBorders>
                    <w:top w:val="single" w:color="auto" w:sz="4" w:space="0"/>
                    <w:tl2br w:val="nil"/>
                    <w:tr2bl w:val="nil"/>
                  </w:tcBorders>
                  <w:noWrap/>
                  <w:vAlign w:val="center"/>
                </w:tcPr>
                <w:p w14:paraId="0F0528A0">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636" w:type="dxa"/>
                  <w:vMerge w:val="restart"/>
                  <w:tcBorders>
                    <w:top w:val="single" w:color="auto" w:sz="4" w:space="0"/>
                    <w:tl2br w:val="nil"/>
                    <w:tr2bl w:val="nil"/>
                  </w:tcBorders>
                  <w:noWrap/>
                  <w:vAlign w:val="center"/>
                </w:tcPr>
                <w:p w14:paraId="537B876A">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c>
                <w:tcPr>
                  <w:tcW w:w="750" w:type="dxa"/>
                  <w:vMerge w:val="restart"/>
                  <w:tcBorders>
                    <w:top w:val="single" w:color="auto" w:sz="4" w:space="0"/>
                    <w:tl2br w:val="nil"/>
                    <w:tr2bl w:val="nil"/>
                  </w:tcBorders>
                  <w:noWrap/>
                  <w:vAlign w:val="center"/>
                </w:tcPr>
                <w:p w14:paraId="74CAC1AA">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1425" w:type="dxa"/>
                  <w:vMerge w:val="restart"/>
                  <w:tcBorders>
                    <w:top w:val="single" w:color="auto" w:sz="4" w:space="0"/>
                    <w:tl2br w:val="nil"/>
                    <w:tr2bl w:val="nil"/>
                  </w:tcBorders>
                  <w:noWrap/>
                  <w:vAlign w:val="center"/>
                </w:tcPr>
                <w:p w14:paraId="6B9B7F8B">
                  <w:pPr>
                    <w:widowControl/>
                    <w:jc w:val="center"/>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75</w:t>
                  </w:r>
                  <w:r>
                    <w:rPr>
                      <w:rFonts w:hint="default" w:ascii="Times New Roman" w:hAnsi="Times New Roman" w:eastAsia="宋体" w:cs="Times New Roman"/>
                      <w:color w:val="auto"/>
                      <w:kern w:val="0"/>
                      <w:sz w:val="21"/>
                      <w:szCs w:val="21"/>
                    </w:rPr>
                    <w:t>/1</w:t>
                  </w:r>
                </w:p>
              </w:tc>
              <w:tc>
                <w:tcPr>
                  <w:tcW w:w="1222" w:type="dxa"/>
                  <w:vMerge w:val="restart"/>
                  <w:tcBorders>
                    <w:top w:val="single" w:color="auto" w:sz="4" w:space="0"/>
                    <w:tl2br w:val="nil"/>
                    <w:tr2bl w:val="nil"/>
                  </w:tcBorders>
                  <w:noWrap/>
                  <w:vAlign w:val="center"/>
                </w:tcPr>
                <w:p w14:paraId="48F513D5">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隔声、减振</w:t>
                  </w:r>
                </w:p>
              </w:tc>
              <w:tc>
                <w:tcPr>
                  <w:tcW w:w="686" w:type="dxa"/>
                  <w:tcBorders>
                    <w:top w:val="single" w:color="auto" w:sz="4" w:space="0"/>
                    <w:bottom w:val="single" w:color="auto" w:sz="4" w:space="0"/>
                    <w:tl2br w:val="nil"/>
                    <w:tr2bl w:val="nil"/>
                  </w:tcBorders>
                  <w:noWrap w:val="0"/>
                  <w:vAlign w:val="center"/>
                </w:tcPr>
                <w:p w14:paraId="28E13F0D">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E</w:t>
                  </w:r>
                </w:p>
              </w:tc>
              <w:tc>
                <w:tcPr>
                  <w:tcW w:w="739" w:type="dxa"/>
                  <w:tcBorders>
                    <w:top w:val="single" w:color="auto" w:sz="4" w:space="0"/>
                    <w:bottom w:val="single" w:color="auto" w:sz="4" w:space="0"/>
                    <w:tl2br w:val="nil"/>
                    <w:tr2bl w:val="nil"/>
                  </w:tcBorders>
                  <w:noWrap w:val="0"/>
                  <w:vAlign w:val="center"/>
                </w:tcPr>
                <w:p w14:paraId="1B03BE6A">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86</w:t>
                  </w:r>
                </w:p>
              </w:tc>
              <w:tc>
                <w:tcPr>
                  <w:tcW w:w="932" w:type="dxa"/>
                  <w:tcBorders>
                    <w:top w:val="single" w:color="auto" w:sz="4" w:space="0"/>
                    <w:bottom w:val="single" w:color="auto" w:sz="4" w:space="0"/>
                    <w:tl2br w:val="nil"/>
                    <w:tr2bl w:val="nil"/>
                  </w:tcBorders>
                  <w:noWrap w:val="0"/>
                  <w:vAlign w:val="center"/>
                </w:tcPr>
                <w:p w14:paraId="78ABC155">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36.3</w:t>
                  </w:r>
                </w:p>
              </w:tc>
              <w:tc>
                <w:tcPr>
                  <w:tcW w:w="695" w:type="dxa"/>
                  <w:vMerge w:val="restart"/>
                  <w:tcBorders>
                    <w:top w:val="single" w:color="auto" w:sz="4" w:space="0"/>
                    <w:tl2br w:val="nil"/>
                    <w:tr2bl w:val="nil"/>
                  </w:tcBorders>
                  <w:noWrap w:val="0"/>
                  <w:vAlign w:val="center"/>
                </w:tcPr>
                <w:p w14:paraId="62B1128E">
                  <w:pPr>
                    <w:widowControl/>
                    <w:jc w:val="center"/>
                    <w:rPr>
                      <w:rFonts w:hint="default" w:ascii="Times New Roman" w:hAnsi="Times New Roman" w:eastAsia="等线" w:cs="Times New Roman"/>
                      <w:color w:val="auto"/>
                      <w:sz w:val="21"/>
                      <w:szCs w:val="21"/>
                      <w:highlight w:val="none"/>
                    </w:rPr>
                  </w:pPr>
                  <w:r>
                    <w:rPr>
                      <w:rFonts w:hint="eastAsia" w:eastAsia="等线" w:cs="Times New Roman"/>
                      <w:color w:val="auto"/>
                      <w:sz w:val="21"/>
                      <w:szCs w:val="21"/>
                      <w:highlight w:val="none"/>
                      <w:lang w:val="en-US" w:eastAsia="zh-CN"/>
                    </w:rPr>
                    <w:t>16</w:t>
                  </w:r>
                  <w:r>
                    <w:rPr>
                      <w:rFonts w:hint="default" w:ascii="Times New Roman" w:hAnsi="Times New Roman" w:eastAsia="等线" w:cs="Times New Roman"/>
                      <w:color w:val="auto"/>
                      <w:sz w:val="21"/>
                      <w:szCs w:val="21"/>
                      <w:highlight w:val="none"/>
                    </w:rPr>
                    <w:t>h/d</w:t>
                  </w:r>
                </w:p>
              </w:tc>
              <w:tc>
                <w:tcPr>
                  <w:tcW w:w="889" w:type="dxa"/>
                  <w:vMerge w:val="restart"/>
                  <w:tcBorders>
                    <w:top w:val="single" w:color="auto" w:sz="4" w:space="0"/>
                    <w:tl2br w:val="nil"/>
                    <w:tr2bl w:val="nil"/>
                  </w:tcBorders>
                  <w:noWrap w:val="0"/>
                  <w:vAlign w:val="center"/>
                </w:tcPr>
                <w:p w14:paraId="60E17C53">
                  <w:pPr>
                    <w:widowControl/>
                    <w:jc w:val="center"/>
                    <w:rPr>
                      <w:rFonts w:hint="default" w:ascii="Times New Roman" w:hAnsi="Times New Roman" w:eastAsia="等线" w:cs="Times New Roman"/>
                      <w:color w:val="auto"/>
                      <w:sz w:val="21"/>
                      <w:szCs w:val="21"/>
                      <w:highlight w:val="none"/>
                      <w:lang w:val="en-US" w:eastAsia="zh-CN"/>
                    </w:rPr>
                  </w:pPr>
                  <w:r>
                    <w:rPr>
                      <w:rFonts w:hint="eastAsia" w:eastAsia="等线" w:cs="Times New Roman"/>
                      <w:color w:val="auto"/>
                      <w:sz w:val="21"/>
                      <w:szCs w:val="21"/>
                      <w:highlight w:val="none"/>
                      <w:lang w:val="en-US" w:eastAsia="zh-CN"/>
                    </w:rPr>
                    <w:t>21</w:t>
                  </w:r>
                </w:p>
              </w:tc>
              <w:tc>
                <w:tcPr>
                  <w:tcW w:w="932" w:type="dxa"/>
                  <w:tcBorders>
                    <w:top w:val="single" w:color="auto" w:sz="4" w:space="0"/>
                    <w:bottom w:val="single" w:color="auto" w:sz="4" w:space="0"/>
                    <w:tl2br w:val="nil"/>
                    <w:tr2bl w:val="nil"/>
                  </w:tcBorders>
                  <w:noWrap/>
                  <w:vAlign w:val="center"/>
                </w:tcPr>
                <w:p w14:paraId="1FE33A04">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15.3 </w:t>
                  </w:r>
                </w:p>
              </w:tc>
              <w:tc>
                <w:tcPr>
                  <w:tcW w:w="1073" w:type="dxa"/>
                  <w:vMerge w:val="restart"/>
                  <w:tcBorders>
                    <w:top w:val="single" w:color="auto" w:sz="4" w:space="0"/>
                    <w:tl2br w:val="nil"/>
                    <w:tr2bl w:val="nil"/>
                  </w:tcBorders>
                  <w:noWrap w:val="0"/>
                  <w:vAlign w:val="center"/>
                </w:tcPr>
                <w:p w14:paraId="67F66D94">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r>
            <w:tr w14:paraId="709B2E9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13" w:hRule="atLeast"/>
                <w:jc w:val="center"/>
              </w:trPr>
              <w:tc>
                <w:tcPr>
                  <w:tcW w:w="485" w:type="dxa"/>
                  <w:vMerge w:val="continue"/>
                  <w:tcBorders>
                    <w:tl2br w:val="nil"/>
                    <w:tr2bl w:val="nil"/>
                  </w:tcBorders>
                  <w:noWrap/>
                  <w:vAlign w:val="center"/>
                </w:tcPr>
                <w:p w14:paraId="781D22F8">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087DEA29">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l2br w:val="nil"/>
                    <w:tr2bl w:val="nil"/>
                  </w:tcBorders>
                  <w:noWrap w:val="0"/>
                  <w:vAlign w:val="center"/>
                </w:tcPr>
                <w:p w14:paraId="592446F7">
                  <w:pPr>
                    <w:jc w:val="center"/>
                    <w:rPr>
                      <w:rFonts w:hint="default" w:ascii="Times New Roman" w:hAnsi="Times New Roman" w:eastAsia="Arial" w:cs="Times New Roman"/>
                      <w:color w:val="auto"/>
                      <w:sz w:val="21"/>
                      <w:szCs w:val="21"/>
                      <w:highlight w:val="none"/>
                    </w:rPr>
                  </w:pPr>
                </w:p>
              </w:tc>
              <w:tc>
                <w:tcPr>
                  <w:tcW w:w="589" w:type="dxa"/>
                  <w:vMerge w:val="continue"/>
                  <w:tcBorders>
                    <w:tl2br w:val="nil"/>
                    <w:tr2bl w:val="nil"/>
                  </w:tcBorders>
                  <w:noWrap/>
                  <w:vAlign w:val="center"/>
                </w:tcPr>
                <w:p w14:paraId="2FD7B6CA">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536C266A">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0CB71716">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1BB6D430">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4B3EF332">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6E781443">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w:t>
                  </w:r>
                </w:p>
              </w:tc>
              <w:tc>
                <w:tcPr>
                  <w:tcW w:w="739" w:type="dxa"/>
                  <w:tcBorders>
                    <w:top w:val="single" w:color="auto" w:sz="4" w:space="0"/>
                    <w:bottom w:val="single" w:color="auto" w:sz="4" w:space="0"/>
                    <w:tl2br w:val="nil"/>
                    <w:tr2bl w:val="nil"/>
                  </w:tcBorders>
                  <w:noWrap w:val="0"/>
                  <w:vAlign w:val="center"/>
                </w:tcPr>
                <w:p w14:paraId="78CF178B">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c>
                <w:tcPr>
                  <w:tcW w:w="932" w:type="dxa"/>
                  <w:tcBorders>
                    <w:top w:val="single" w:color="auto" w:sz="4" w:space="0"/>
                    <w:bottom w:val="single" w:color="auto" w:sz="4" w:space="0"/>
                    <w:tl2br w:val="nil"/>
                    <w:tr2bl w:val="nil"/>
                  </w:tcBorders>
                  <w:noWrap w:val="0"/>
                  <w:vAlign w:val="center"/>
                </w:tcPr>
                <w:p w14:paraId="52C2EBA7">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42.3</w:t>
                  </w:r>
                </w:p>
              </w:tc>
              <w:tc>
                <w:tcPr>
                  <w:tcW w:w="695" w:type="dxa"/>
                  <w:vMerge w:val="continue"/>
                  <w:tcBorders>
                    <w:tl2br w:val="nil"/>
                    <w:tr2bl w:val="nil"/>
                  </w:tcBorders>
                  <w:noWrap w:val="0"/>
                  <w:vAlign w:val="center"/>
                </w:tcPr>
                <w:p w14:paraId="4D6D26FD">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6304C1EA">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5DA6C14E">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21.3 </w:t>
                  </w:r>
                </w:p>
              </w:tc>
              <w:tc>
                <w:tcPr>
                  <w:tcW w:w="1073" w:type="dxa"/>
                  <w:vMerge w:val="continue"/>
                  <w:tcBorders>
                    <w:tl2br w:val="nil"/>
                    <w:tr2bl w:val="nil"/>
                  </w:tcBorders>
                  <w:noWrap w:val="0"/>
                  <w:vAlign w:val="center"/>
                </w:tcPr>
                <w:p w14:paraId="5F825E02">
                  <w:pPr>
                    <w:widowControl/>
                    <w:jc w:val="center"/>
                    <w:rPr>
                      <w:rFonts w:hint="default" w:ascii="Times New Roman" w:hAnsi="Times New Roman" w:eastAsia="宋体" w:cs="Times New Roman"/>
                      <w:color w:val="auto"/>
                      <w:kern w:val="0"/>
                      <w:sz w:val="21"/>
                      <w:szCs w:val="21"/>
                      <w:highlight w:val="none"/>
                    </w:rPr>
                  </w:pPr>
                </w:p>
              </w:tc>
            </w:tr>
            <w:tr w14:paraId="7B0E7A5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72" w:hRule="atLeast"/>
                <w:jc w:val="center"/>
              </w:trPr>
              <w:tc>
                <w:tcPr>
                  <w:tcW w:w="485" w:type="dxa"/>
                  <w:vMerge w:val="continue"/>
                  <w:tcBorders>
                    <w:bottom w:val="single" w:color="auto" w:sz="4" w:space="0"/>
                    <w:tl2br w:val="nil"/>
                    <w:tr2bl w:val="nil"/>
                  </w:tcBorders>
                  <w:noWrap/>
                  <w:vAlign w:val="center"/>
                </w:tcPr>
                <w:p w14:paraId="567A45D7">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7E603286">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bottom w:val="single" w:color="auto" w:sz="4" w:space="0"/>
                    <w:tl2br w:val="nil"/>
                    <w:tr2bl w:val="nil"/>
                  </w:tcBorders>
                  <w:noWrap w:val="0"/>
                  <w:vAlign w:val="center"/>
                </w:tcPr>
                <w:p w14:paraId="2C3CEF45">
                  <w:pPr>
                    <w:jc w:val="center"/>
                    <w:rPr>
                      <w:rFonts w:hint="default" w:ascii="Times New Roman" w:hAnsi="Times New Roman" w:eastAsia="Arial" w:cs="Times New Roman"/>
                      <w:color w:val="auto"/>
                      <w:sz w:val="21"/>
                      <w:szCs w:val="21"/>
                      <w:highlight w:val="none"/>
                    </w:rPr>
                  </w:pPr>
                </w:p>
              </w:tc>
              <w:tc>
                <w:tcPr>
                  <w:tcW w:w="589" w:type="dxa"/>
                  <w:vMerge w:val="continue"/>
                  <w:tcBorders>
                    <w:bottom w:val="single" w:color="auto" w:sz="4" w:space="0"/>
                    <w:tl2br w:val="nil"/>
                    <w:tr2bl w:val="nil"/>
                  </w:tcBorders>
                  <w:noWrap/>
                  <w:vAlign w:val="center"/>
                </w:tcPr>
                <w:p w14:paraId="15F9E821">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bottom w:val="single" w:color="auto" w:sz="4" w:space="0"/>
                    <w:tl2br w:val="nil"/>
                    <w:tr2bl w:val="nil"/>
                  </w:tcBorders>
                  <w:noWrap/>
                  <w:vAlign w:val="center"/>
                </w:tcPr>
                <w:p w14:paraId="7C5EDB98">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bottom w:val="single" w:color="auto" w:sz="4" w:space="0"/>
                    <w:tl2br w:val="nil"/>
                    <w:tr2bl w:val="nil"/>
                  </w:tcBorders>
                  <w:noWrap/>
                  <w:vAlign w:val="center"/>
                </w:tcPr>
                <w:p w14:paraId="03066359">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bottom w:val="single" w:color="auto" w:sz="4" w:space="0"/>
                    <w:tl2br w:val="nil"/>
                    <w:tr2bl w:val="nil"/>
                  </w:tcBorders>
                  <w:noWrap/>
                  <w:vAlign w:val="center"/>
                </w:tcPr>
                <w:p w14:paraId="68C33AF2">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bottom w:val="single" w:color="auto" w:sz="4" w:space="0"/>
                    <w:tl2br w:val="nil"/>
                    <w:tr2bl w:val="nil"/>
                  </w:tcBorders>
                  <w:noWrap/>
                  <w:vAlign w:val="center"/>
                </w:tcPr>
                <w:p w14:paraId="3AB334CD">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10AC936F">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w:t>
                  </w:r>
                </w:p>
              </w:tc>
              <w:tc>
                <w:tcPr>
                  <w:tcW w:w="739" w:type="dxa"/>
                  <w:tcBorders>
                    <w:top w:val="single" w:color="auto" w:sz="4" w:space="0"/>
                    <w:bottom w:val="single" w:color="auto" w:sz="4" w:space="0"/>
                    <w:tl2br w:val="nil"/>
                    <w:tr2bl w:val="nil"/>
                  </w:tcBorders>
                  <w:noWrap w:val="0"/>
                  <w:vAlign w:val="center"/>
                </w:tcPr>
                <w:p w14:paraId="6CD32567">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932" w:type="dxa"/>
                  <w:tcBorders>
                    <w:top w:val="single" w:color="auto" w:sz="4" w:space="0"/>
                    <w:bottom w:val="single" w:color="auto" w:sz="4" w:space="0"/>
                    <w:tl2br w:val="nil"/>
                    <w:tr2bl w:val="nil"/>
                  </w:tcBorders>
                  <w:noWrap w:val="0"/>
                  <w:vAlign w:val="center"/>
                </w:tcPr>
                <w:p w14:paraId="14507E24">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59.4</w:t>
                  </w:r>
                </w:p>
              </w:tc>
              <w:tc>
                <w:tcPr>
                  <w:tcW w:w="695" w:type="dxa"/>
                  <w:vMerge w:val="continue"/>
                  <w:tcBorders>
                    <w:tl2br w:val="nil"/>
                    <w:tr2bl w:val="nil"/>
                  </w:tcBorders>
                  <w:noWrap w:val="0"/>
                  <w:vAlign w:val="center"/>
                </w:tcPr>
                <w:p w14:paraId="6F5BC436">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0E6D091A">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11F46ACA">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38.4 </w:t>
                  </w:r>
                </w:p>
              </w:tc>
              <w:tc>
                <w:tcPr>
                  <w:tcW w:w="1073" w:type="dxa"/>
                  <w:vMerge w:val="continue"/>
                  <w:tcBorders>
                    <w:tl2br w:val="nil"/>
                    <w:tr2bl w:val="nil"/>
                  </w:tcBorders>
                  <w:noWrap w:val="0"/>
                  <w:vAlign w:val="center"/>
                </w:tcPr>
                <w:p w14:paraId="4FC01C84">
                  <w:pPr>
                    <w:widowControl/>
                    <w:jc w:val="center"/>
                    <w:rPr>
                      <w:rFonts w:hint="default" w:ascii="Times New Roman" w:hAnsi="Times New Roman" w:eastAsia="宋体" w:cs="Times New Roman"/>
                      <w:color w:val="auto"/>
                      <w:kern w:val="0"/>
                      <w:sz w:val="21"/>
                      <w:szCs w:val="21"/>
                      <w:highlight w:val="none"/>
                    </w:rPr>
                  </w:pPr>
                </w:p>
              </w:tc>
            </w:tr>
            <w:tr w14:paraId="6497BC5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09" w:hRule="atLeast"/>
                <w:jc w:val="center"/>
              </w:trPr>
              <w:tc>
                <w:tcPr>
                  <w:tcW w:w="485" w:type="dxa"/>
                  <w:vMerge w:val="continue"/>
                  <w:tcBorders>
                    <w:bottom w:val="single" w:color="auto" w:sz="4" w:space="0"/>
                    <w:tl2br w:val="nil"/>
                    <w:tr2bl w:val="nil"/>
                  </w:tcBorders>
                  <w:noWrap/>
                  <w:vAlign w:val="center"/>
                </w:tcPr>
                <w:p w14:paraId="31D8A99C">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57E207F3">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bottom w:val="single" w:color="auto" w:sz="4" w:space="0"/>
                    <w:tl2br w:val="nil"/>
                    <w:tr2bl w:val="nil"/>
                  </w:tcBorders>
                  <w:noWrap w:val="0"/>
                  <w:vAlign w:val="center"/>
                </w:tcPr>
                <w:p w14:paraId="09CAEB95">
                  <w:pPr>
                    <w:jc w:val="center"/>
                    <w:rPr>
                      <w:rFonts w:hint="default" w:ascii="Times New Roman" w:hAnsi="Times New Roman" w:eastAsia="Arial" w:cs="Times New Roman"/>
                      <w:color w:val="auto"/>
                      <w:sz w:val="21"/>
                      <w:szCs w:val="21"/>
                      <w:highlight w:val="none"/>
                    </w:rPr>
                  </w:pPr>
                </w:p>
              </w:tc>
              <w:tc>
                <w:tcPr>
                  <w:tcW w:w="589" w:type="dxa"/>
                  <w:vMerge w:val="continue"/>
                  <w:tcBorders>
                    <w:bottom w:val="single" w:color="auto" w:sz="4" w:space="0"/>
                    <w:tl2br w:val="nil"/>
                    <w:tr2bl w:val="nil"/>
                  </w:tcBorders>
                  <w:noWrap/>
                  <w:vAlign w:val="center"/>
                </w:tcPr>
                <w:p w14:paraId="789BCCFF">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bottom w:val="single" w:color="auto" w:sz="4" w:space="0"/>
                    <w:tl2br w:val="nil"/>
                    <w:tr2bl w:val="nil"/>
                  </w:tcBorders>
                  <w:noWrap/>
                  <w:vAlign w:val="center"/>
                </w:tcPr>
                <w:p w14:paraId="461B2216">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bottom w:val="single" w:color="auto" w:sz="4" w:space="0"/>
                    <w:tl2br w:val="nil"/>
                    <w:tr2bl w:val="nil"/>
                  </w:tcBorders>
                  <w:noWrap/>
                  <w:vAlign w:val="center"/>
                </w:tcPr>
                <w:p w14:paraId="1E2771E2">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bottom w:val="single" w:color="auto" w:sz="4" w:space="0"/>
                    <w:tl2br w:val="nil"/>
                    <w:tr2bl w:val="nil"/>
                  </w:tcBorders>
                  <w:noWrap/>
                  <w:vAlign w:val="center"/>
                </w:tcPr>
                <w:p w14:paraId="3D549057">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bottom w:val="single" w:color="auto" w:sz="4" w:space="0"/>
                    <w:tl2br w:val="nil"/>
                    <w:tr2bl w:val="nil"/>
                  </w:tcBorders>
                  <w:noWrap/>
                  <w:vAlign w:val="center"/>
                </w:tcPr>
                <w:p w14:paraId="79C290AD">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16E73FBE">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w:t>
                  </w:r>
                </w:p>
              </w:tc>
              <w:tc>
                <w:tcPr>
                  <w:tcW w:w="739" w:type="dxa"/>
                  <w:tcBorders>
                    <w:top w:val="single" w:color="auto" w:sz="4" w:space="0"/>
                    <w:bottom w:val="single" w:color="auto" w:sz="4" w:space="0"/>
                    <w:tl2br w:val="nil"/>
                    <w:tr2bl w:val="nil"/>
                  </w:tcBorders>
                  <w:noWrap w:val="0"/>
                  <w:vAlign w:val="center"/>
                </w:tcPr>
                <w:p w14:paraId="7630F80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932" w:type="dxa"/>
                  <w:tcBorders>
                    <w:top w:val="single" w:color="auto" w:sz="4" w:space="0"/>
                    <w:bottom w:val="single" w:color="auto" w:sz="4" w:space="0"/>
                    <w:tl2br w:val="nil"/>
                    <w:tr2bl w:val="nil"/>
                  </w:tcBorders>
                  <w:noWrap w:val="0"/>
                  <w:vAlign w:val="center"/>
                </w:tcPr>
                <w:p w14:paraId="08F3069A">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38.7</w:t>
                  </w:r>
                </w:p>
              </w:tc>
              <w:tc>
                <w:tcPr>
                  <w:tcW w:w="695" w:type="dxa"/>
                  <w:vMerge w:val="continue"/>
                  <w:tcBorders>
                    <w:bottom w:val="single" w:color="auto" w:sz="4" w:space="0"/>
                    <w:tl2br w:val="nil"/>
                    <w:tr2bl w:val="nil"/>
                  </w:tcBorders>
                  <w:noWrap w:val="0"/>
                  <w:vAlign w:val="center"/>
                </w:tcPr>
                <w:p w14:paraId="0F10CD63">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bottom w:val="single" w:color="auto" w:sz="4" w:space="0"/>
                    <w:tl2br w:val="nil"/>
                    <w:tr2bl w:val="nil"/>
                  </w:tcBorders>
                  <w:noWrap w:val="0"/>
                  <w:vAlign w:val="center"/>
                </w:tcPr>
                <w:p w14:paraId="763576BB">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7E412070">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17.7 </w:t>
                  </w:r>
                </w:p>
              </w:tc>
              <w:tc>
                <w:tcPr>
                  <w:tcW w:w="1073" w:type="dxa"/>
                  <w:vMerge w:val="continue"/>
                  <w:tcBorders>
                    <w:bottom w:val="single" w:color="auto" w:sz="4" w:space="0"/>
                    <w:tl2br w:val="nil"/>
                    <w:tr2bl w:val="nil"/>
                  </w:tcBorders>
                  <w:noWrap w:val="0"/>
                  <w:vAlign w:val="center"/>
                </w:tcPr>
                <w:p w14:paraId="673AFB74">
                  <w:pPr>
                    <w:widowControl/>
                    <w:jc w:val="center"/>
                    <w:rPr>
                      <w:rFonts w:hint="default" w:ascii="Times New Roman" w:hAnsi="Times New Roman" w:eastAsia="宋体" w:cs="Times New Roman"/>
                      <w:color w:val="auto"/>
                      <w:kern w:val="0"/>
                      <w:sz w:val="21"/>
                      <w:szCs w:val="21"/>
                      <w:highlight w:val="none"/>
                    </w:rPr>
                  </w:pPr>
                </w:p>
              </w:tc>
            </w:tr>
            <w:tr w14:paraId="2F7B59D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99" w:hRule="atLeast"/>
                <w:jc w:val="center"/>
              </w:trPr>
              <w:tc>
                <w:tcPr>
                  <w:tcW w:w="485" w:type="dxa"/>
                  <w:vMerge w:val="restart"/>
                  <w:tcBorders>
                    <w:top w:val="single" w:color="auto" w:sz="4" w:space="0"/>
                    <w:tl2br w:val="nil"/>
                    <w:tr2bl w:val="nil"/>
                  </w:tcBorders>
                  <w:noWrap/>
                  <w:vAlign w:val="center"/>
                </w:tcPr>
                <w:p w14:paraId="7CB08119">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w:t>
                  </w:r>
                </w:p>
              </w:tc>
              <w:tc>
                <w:tcPr>
                  <w:tcW w:w="697" w:type="dxa"/>
                  <w:vMerge w:val="continue"/>
                  <w:tcBorders>
                    <w:tl2br w:val="nil"/>
                    <w:tr2bl w:val="nil"/>
                  </w:tcBorders>
                  <w:noWrap/>
                  <w:vAlign w:val="center"/>
                </w:tcPr>
                <w:p w14:paraId="4EE79D1B">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restart"/>
                  <w:tcBorders>
                    <w:top w:val="single" w:color="auto" w:sz="4" w:space="0"/>
                    <w:tl2br w:val="nil"/>
                    <w:tr2bl w:val="nil"/>
                  </w:tcBorders>
                  <w:noWrap w:val="0"/>
                  <w:vAlign w:val="center"/>
                </w:tcPr>
                <w:p w14:paraId="3ADE8C1E">
                  <w:pPr>
                    <w:spacing w:line="240" w:lineRule="auto"/>
                    <w:jc w:val="center"/>
                    <w:rPr>
                      <w:rFonts w:hint="default" w:ascii="Times New Roman" w:hAnsi="Times New Roman" w:eastAsia="Arial" w:cs="Times New Roman"/>
                      <w:color w:val="auto"/>
                      <w:sz w:val="21"/>
                      <w:szCs w:val="21"/>
                      <w:highlight w:val="none"/>
                    </w:rPr>
                  </w:pPr>
                  <w:r>
                    <w:rPr>
                      <w:rFonts w:hint="eastAsia" w:eastAsia="Calibri" w:cs="Times New Roman"/>
                      <w:color w:val="auto"/>
                      <w:kern w:val="2"/>
                      <w:sz w:val="21"/>
                      <w:szCs w:val="21"/>
                      <w:highlight w:val="none"/>
                      <w:lang w:val="en-US" w:eastAsia="zh-CN"/>
                    </w:rPr>
                    <w:t>自动喷码机</w:t>
                  </w:r>
                </w:p>
              </w:tc>
              <w:tc>
                <w:tcPr>
                  <w:tcW w:w="589" w:type="dxa"/>
                  <w:vMerge w:val="restart"/>
                  <w:tcBorders>
                    <w:top w:val="single" w:color="auto" w:sz="4" w:space="0"/>
                    <w:tl2br w:val="nil"/>
                    <w:tr2bl w:val="nil"/>
                  </w:tcBorders>
                  <w:noWrap/>
                  <w:vAlign w:val="center"/>
                </w:tcPr>
                <w:p w14:paraId="713B129E">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636" w:type="dxa"/>
                  <w:vMerge w:val="restart"/>
                  <w:tcBorders>
                    <w:top w:val="single" w:color="auto" w:sz="4" w:space="0"/>
                    <w:tl2br w:val="nil"/>
                    <w:tr2bl w:val="nil"/>
                  </w:tcBorders>
                  <w:noWrap/>
                  <w:vAlign w:val="center"/>
                </w:tcPr>
                <w:p w14:paraId="3AFDF71A">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750" w:type="dxa"/>
                  <w:vMerge w:val="restart"/>
                  <w:tcBorders>
                    <w:top w:val="single" w:color="auto" w:sz="4" w:space="0"/>
                    <w:tl2br w:val="nil"/>
                    <w:tr2bl w:val="nil"/>
                  </w:tcBorders>
                  <w:noWrap/>
                  <w:vAlign w:val="center"/>
                </w:tcPr>
                <w:p w14:paraId="1A1A4663">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1425" w:type="dxa"/>
                  <w:vMerge w:val="restart"/>
                  <w:tcBorders>
                    <w:top w:val="single" w:color="auto" w:sz="4" w:space="0"/>
                    <w:tl2br w:val="nil"/>
                    <w:tr2bl w:val="nil"/>
                  </w:tcBorders>
                  <w:noWrap/>
                  <w:vAlign w:val="center"/>
                </w:tcPr>
                <w:p w14:paraId="5E78AEC7">
                  <w:pPr>
                    <w:widowControl/>
                    <w:jc w:val="center"/>
                    <w:rPr>
                      <w:rFonts w:hint="default" w:ascii="Times New Roman" w:hAnsi="Times New Roman" w:eastAsia="Arial" w:cs="Times New Roman"/>
                      <w:color w:val="auto"/>
                      <w:sz w:val="21"/>
                      <w:szCs w:val="21"/>
                      <w:highlight w:val="none"/>
                    </w:rPr>
                  </w:pPr>
                  <w:r>
                    <w:rPr>
                      <w:rFonts w:hint="eastAsia" w:cs="Times New Roman"/>
                      <w:color w:val="auto"/>
                      <w:kern w:val="0"/>
                      <w:sz w:val="21"/>
                      <w:szCs w:val="21"/>
                      <w:lang w:val="en-US" w:eastAsia="zh-CN"/>
                    </w:rPr>
                    <w:t>75</w:t>
                  </w:r>
                  <w:r>
                    <w:rPr>
                      <w:rFonts w:hint="default" w:ascii="Times New Roman" w:hAnsi="Times New Roman" w:eastAsia="宋体" w:cs="Times New Roman"/>
                      <w:color w:val="auto"/>
                      <w:kern w:val="0"/>
                      <w:sz w:val="21"/>
                      <w:szCs w:val="21"/>
                    </w:rPr>
                    <w:t>/1</w:t>
                  </w:r>
                </w:p>
              </w:tc>
              <w:tc>
                <w:tcPr>
                  <w:tcW w:w="1222" w:type="dxa"/>
                  <w:vMerge w:val="restart"/>
                  <w:tcBorders>
                    <w:top w:val="single" w:color="auto" w:sz="4" w:space="0"/>
                    <w:tl2br w:val="nil"/>
                    <w:tr2bl w:val="nil"/>
                  </w:tcBorders>
                  <w:noWrap/>
                  <w:vAlign w:val="center"/>
                </w:tcPr>
                <w:p w14:paraId="6B6F0876">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隔声、减振</w:t>
                  </w:r>
                </w:p>
              </w:tc>
              <w:tc>
                <w:tcPr>
                  <w:tcW w:w="686" w:type="dxa"/>
                  <w:tcBorders>
                    <w:top w:val="single" w:color="auto" w:sz="4" w:space="0"/>
                    <w:bottom w:val="single" w:color="auto" w:sz="4" w:space="0"/>
                    <w:tl2br w:val="nil"/>
                    <w:tr2bl w:val="nil"/>
                  </w:tcBorders>
                  <w:noWrap w:val="0"/>
                  <w:vAlign w:val="center"/>
                </w:tcPr>
                <w:p w14:paraId="568648D9">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E</w:t>
                  </w:r>
                </w:p>
              </w:tc>
              <w:tc>
                <w:tcPr>
                  <w:tcW w:w="739" w:type="dxa"/>
                  <w:tcBorders>
                    <w:top w:val="single" w:color="auto" w:sz="4" w:space="0"/>
                    <w:bottom w:val="single" w:color="auto" w:sz="4" w:space="0"/>
                    <w:tl2br w:val="nil"/>
                    <w:tr2bl w:val="nil"/>
                  </w:tcBorders>
                  <w:noWrap w:val="0"/>
                  <w:vAlign w:val="center"/>
                </w:tcPr>
                <w:p w14:paraId="3BCEE11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932" w:type="dxa"/>
                  <w:tcBorders>
                    <w:top w:val="single" w:color="auto" w:sz="4" w:space="0"/>
                    <w:bottom w:val="single" w:color="auto" w:sz="4" w:space="0"/>
                    <w:tl2br w:val="nil"/>
                    <w:tr2bl w:val="nil"/>
                  </w:tcBorders>
                  <w:noWrap w:val="0"/>
                  <w:vAlign w:val="center"/>
                </w:tcPr>
                <w:p w14:paraId="3BACFAFF">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35.9</w:t>
                  </w:r>
                </w:p>
              </w:tc>
              <w:tc>
                <w:tcPr>
                  <w:tcW w:w="695" w:type="dxa"/>
                  <w:vMerge w:val="restart"/>
                  <w:tcBorders>
                    <w:top w:val="single" w:color="auto" w:sz="4" w:space="0"/>
                    <w:tl2br w:val="nil"/>
                    <w:tr2bl w:val="nil"/>
                  </w:tcBorders>
                  <w:noWrap w:val="0"/>
                  <w:vAlign w:val="center"/>
                </w:tcPr>
                <w:p w14:paraId="58FF3CEC">
                  <w:pPr>
                    <w:widowControl/>
                    <w:jc w:val="center"/>
                    <w:rPr>
                      <w:rFonts w:hint="default" w:ascii="Times New Roman" w:hAnsi="Times New Roman" w:eastAsia="等线" w:cs="Times New Roman"/>
                      <w:color w:val="auto"/>
                      <w:sz w:val="21"/>
                      <w:szCs w:val="21"/>
                      <w:highlight w:val="none"/>
                    </w:rPr>
                  </w:pPr>
                  <w:r>
                    <w:rPr>
                      <w:rFonts w:hint="eastAsia" w:eastAsia="等线" w:cs="Times New Roman"/>
                      <w:color w:val="auto"/>
                      <w:sz w:val="21"/>
                      <w:szCs w:val="21"/>
                      <w:highlight w:val="none"/>
                      <w:lang w:val="en-US" w:eastAsia="zh-CN"/>
                    </w:rPr>
                    <w:t>16</w:t>
                  </w:r>
                  <w:r>
                    <w:rPr>
                      <w:rFonts w:hint="default" w:ascii="Times New Roman" w:hAnsi="Times New Roman" w:eastAsia="等线" w:cs="Times New Roman"/>
                      <w:color w:val="auto"/>
                      <w:sz w:val="21"/>
                      <w:szCs w:val="21"/>
                      <w:highlight w:val="none"/>
                    </w:rPr>
                    <w:t>h/d</w:t>
                  </w:r>
                </w:p>
              </w:tc>
              <w:tc>
                <w:tcPr>
                  <w:tcW w:w="889" w:type="dxa"/>
                  <w:vMerge w:val="restart"/>
                  <w:tcBorders>
                    <w:top w:val="single" w:color="auto" w:sz="4" w:space="0"/>
                    <w:tl2br w:val="nil"/>
                    <w:tr2bl w:val="nil"/>
                  </w:tcBorders>
                  <w:noWrap w:val="0"/>
                  <w:vAlign w:val="center"/>
                </w:tcPr>
                <w:p w14:paraId="70830485">
                  <w:pPr>
                    <w:widowControl/>
                    <w:jc w:val="center"/>
                    <w:rPr>
                      <w:rFonts w:hint="default" w:ascii="Times New Roman" w:hAnsi="Times New Roman" w:eastAsia="等线" w:cs="Times New Roman"/>
                      <w:color w:val="auto"/>
                      <w:sz w:val="21"/>
                      <w:szCs w:val="21"/>
                      <w:highlight w:val="none"/>
                      <w:lang w:val="en-US" w:eastAsia="zh-CN"/>
                    </w:rPr>
                  </w:pPr>
                  <w:r>
                    <w:rPr>
                      <w:rFonts w:hint="eastAsia" w:eastAsia="等线" w:cs="Times New Roman"/>
                      <w:color w:val="auto"/>
                      <w:sz w:val="21"/>
                      <w:szCs w:val="21"/>
                      <w:highlight w:val="none"/>
                      <w:lang w:val="en-US" w:eastAsia="zh-CN"/>
                    </w:rPr>
                    <w:t>21</w:t>
                  </w:r>
                </w:p>
              </w:tc>
              <w:tc>
                <w:tcPr>
                  <w:tcW w:w="932" w:type="dxa"/>
                  <w:tcBorders>
                    <w:top w:val="single" w:color="auto" w:sz="4" w:space="0"/>
                    <w:bottom w:val="single" w:color="auto" w:sz="4" w:space="0"/>
                    <w:tl2br w:val="nil"/>
                    <w:tr2bl w:val="nil"/>
                  </w:tcBorders>
                  <w:noWrap/>
                  <w:vAlign w:val="center"/>
                </w:tcPr>
                <w:p w14:paraId="38A6284D">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14.9 </w:t>
                  </w:r>
                </w:p>
              </w:tc>
              <w:tc>
                <w:tcPr>
                  <w:tcW w:w="1073" w:type="dxa"/>
                  <w:vMerge w:val="restart"/>
                  <w:tcBorders>
                    <w:top w:val="single" w:color="auto" w:sz="4" w:space="0"/>
                    <w:tl2br w:val="nil"/>
                    <w:tr2bl w:val="nil"/>
                  </w:tcBorders>
                  <w:noWrap w:val="0"/>
                  <w:vAlign w:val="center"/>
                </w:tcPr>
                <w:p w14:paraId="124701B7">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r>
            <w:tr w14:paraId="62EBB79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19" w:hRule="atLeast"/>
                <w:jc w:val="center"/>
              </w:trPr>
              <w:tc>
                <w:tcPr>
                  <w:tcW w:w="485" w:type="dxa"/>
                  <w:vMerge w:val="continue"/>
                  <w:tcBorders>
                    <w:bottom w:val="single" w:color="auto" w:sz="4" w:space="0"/>
                    <w:tl2br w:val="nil"/>
                    <w:tr2bl w:val="nil"/>
                  </w:tcBorders>
                  <w:noWrap/>
                  <w:vAlign w:val="center"/>
                </w:tcPr>
                <w:p w14:paraId="52798B67">
                  <w:pPr>
                    <w:widowControl/>
                    <w:jc w:val="center"/>
                    <w:rPr>
                      <w:rFonts w:hint="eastAsia"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31F1BA9A">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bottom w:val="single" w:color="auto" w:sz="4" w:space="0"/>
                    <w:tl2br w:val="nil"/>
                    <w:tr2bl w:val="nil"/>
                  </w:tcBorders>
                  <w:noWrap w:val="0"/>
                  <w:vAlign w:val="center"/>
                </w:tcPr>
                <w:p w14:paraId="62044527">
                  <w:pPr>
                    <w:jc w:val="center"/>
                    <w:rPr>
                      <w:rFonts w:hint="default" w:ascii="Times New Roman" w:hAnsi="Times New Roman" w:eastAsia="Arial" w:cs="Times New Roman"/>
                      <w:color w:val="auto"/>
                      <w:sz w:val="21"/>
                      <w:szCs w:val="21"/>
                      <w:highlight w:val="none"/>
                      <w:lang w:val="en-US" w:eastAsia="zh-CN"/>
                    </w:rPr>
                  </w:pPr>
                </w:p>
              </w:tc>
              <w:tc>
                <w:tcPr>
                  <w:tcW w:w="589" w:type="dxa"/>
                  <w:vMerge w:val="continue"/>
                  <w:tcBorders>
                    <w:bottom w:val="single" w:color="auto" w:sz="4" w:space="0"/>
                    <w:tl2br w:val="nil"/>
                    <w:tr2bl w:val="nil"/>
                  </w:tcBorders>
                  <w:noWrap/>
                  <w:vAlign w:val="center"/>
                </w:tcPr>
                <w:p w14:paraId="172B7F5C">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bottom w:val="single" w:color="auto" w:sz="4" w:space="0"/>
                    <w:tl2br w:val="nil"/>
                    <w:tr2bl w:val="nil"/>
                  </w:tcBorders>
                  <w:noWrap/>
                  <w:vAlign w:val="center"/>
                </w:tcPr>
                <w:p w14:paraId="6F2779EF">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bottom w:val="single" w:color="auto" w:sz="4" w:space="0"/>
                    <w:tl2br w:val="nil"/>
                    <w:tr2bl w:val="nil"/>
                  </w:tcBorders>
                  <w:noWrap/>
                  <w:vAlign w:val="center"/>
                </w:tcPr>
                <w:p w14:paraId="3EDB103E">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bottom w:val="single" w:color="auto" w:sz="4" w:space="0"/>
                    <w:tl2br w:val="nil"/>
                    <w:tr2bl w:val="nil"/>
                  </w:tcBorders>
                  <w:noWrap/>
                  <w:vAlign w:val="center"/>
                </w:tcPr>
                <w:p w14:paraId="45D33609">
                  <w:pPr>
                    <w:widowControl/>
                    <w:jc w:val="center"/>
                    <w:rPr>
                      <w:rFonts w:hint="default" w:ascii="Times New Roman" w:hAnsi="Times New Roman" w:eastAsia="宋体" w:cs="Times New Roman"/>
                      <w:color w:val="auto"/>
                      <w:kern w:val="0"/>
                      <w:sz w:val="21"/>
                      <w:szCs w:val="21"/>
                    </w:rPr>
                  </w:pPr>
                </w:p>
              </w:tc>
              <w:tc>
                <w:tcPr>
                  <w:tcW w:w="1222" w:type="dxa"/>
                  <w:vMerge w:val="continue"/>
                  <w:tcBorders>
                    <w:bottom w:val="single" w:color="auto" w:sz="4" w:space="0"/>
                    <w:tl2br w:val="nil"/>
                    <w:tr2bl w:val="nil"/>
                  </w:tcBorders>
                  <w:noWrap/>
                  <w:vAlign w:val="center"/>
                </w:tcPr>
                <w:p w14:paraId="135653F5">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797B1461">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w:t>
                  </w:r>
                </w:p>
              </w:tc>
              <w:tc>
                <w:tcPr>
                  <w:tcW w:w="739" w:type="dxa"/>
                  <w:tcBorders>
                    <w:top w:val="single" w:color="auto" w:sz="4" w:space="0"/>
                    <w:bottom w:val="single" w:color="auto" w:sz="4" w:space="0"/>
                    <w:tl2br w:val="nil"/>
                    <w:tr2bl w:val="nil"/>
                  </w:tcBorders>
                  <w:noWrap w:val="0"/>
                  <w:vAlign w:val="center"/>
                </w:tcPr>
                <w:p w14:paraId="315BB3EB">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932" w:type="dxa"/>
                  <w:tcBorders>
                    <w:top w:val="single" w:color="auto" w:sz="4" w:space="0"/>
                    <w:bottom w:val="single" w:color="auto" w:sz="4" w:space="0"/>
                    <w:tl2br w:val="nil"/>
                    <w:tr2bl w:val="nil"/>
                  </w:tcBorders>
                  <w:noWrap w:val="0"/>
                  <w:vAlign w:val="center"/>
                </w:tcPr>
                <w:p w14:paraId="14453F77">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45.5</w:t>
                  </w:r>
                </w:p>
              </w:tc>
              <w:tc>
                <w:tcPr>
                  <w:tcW w:w="695" w:type="dxa"/>
                  <w:vMerge w:val="continue"/>
                  <w:tcBorders>
                    <w:tl2br w:val="nil"/>
                    <w:tr2bl w:val="nil"/>
                  </w:tcBorders>
                  <w:noWrap w:val="0"/>
                  <w:vAlign w:val="center"/>
                </w:tcPr>
                <w:p w14:paraId="34D80462">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3C859CC4">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571D9ED4">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24.5 </w:t>
                  </w:r>
                </w:p>
              </w:tc>
              <w:tc>
                <w:tcPr>
                  <w:tcW w:w="1073" w:type="dxa"/>
                  <w:vMerge w:val="continue"/>
                  <w:tcBorders>
                    <w:tl2br w:val="nil"/>
                    <w:tr2bl w:val="nil"/>
                  </w:tcBorders>
                  <w:noWrap w:val="0"/>
                  <w:vAlign w:val="center"/>
                </w:tcPr>
                <w:p w14:paraId="6189FD36">
                  <w:pPr>
                    <w:widowControl/>
                    <w:jc w:val="center"/>
                    <w:rPr>
                      <w:rFonts w:hint="default" w:ascii="Times New Roman" w:hAnsi="Times New Roman" w:eastAsia="宋体" w:cs="Times New Roman"/>
                      <w:color w:val="auto"/>
                      <w:kern w:val="0"/>
                      <w:sz w:val="21"/>
                      <w:szCs w:val="21"/>
                      <w:highlight w:val="none"/>
                    </w:rPr>
                  </w:pPr>
                </w:p>
              </w:tc>
            </w:tr>
            <w:tr w14:paraId="4F7BC1D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54" w:hRule="atLeast"/>
                <w:jc w:val="center"/>
              </w:trPr>
              <w:tc>
                <w:tcPr>
                  <w:tcW w:w="485" w:type="dxa"/>
                  <w:vMerge w:val="continue"/>
                  <w:tcBorders>
                    <w:bottom w:val="single" w:color="auto" w:sz="4" w:space="0"/>
                    <w:tl2br w:val="nil"/>
                    <w:tr2bl w:val="nil"/>
                  </w:tcBorders>
                  <w:noWrap/>
                  <w:vAlign w:val="center"/>
                </w:tcPr>
                <w:p w14:paraId="3B8F7187">
                  <w:pPr>
                    <w:widowControl/>
                    <w:jc w:val="center"/>
                    <w:rPr>
                      <w:rFonts w:hint="eastAsia"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0518A433">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bottom w:val="single" w:color="auto" w:sz="4" w:space="0"/>
                    <w:tl2br w:val="nil"/>
                    <w:tr2bl w:val="nil"/>
                  </w:tcBorders>
                  <w:noWrap w:val="0"/>
                  <w:vAlign w:val="center"/>
                </w:tcPr>
                <w:p w14:paraId="3899377D">
                  <w:pPr>
                    <w:jc w:val="center"/>
                    <w:rPr>
                      <w:rFonts w:hint="default" w:ascii="Times New Roman" w:hAnsi="Times New Roman" w:eastAsia="Arial" w:cs="Times New Roman"/>
                      <w:color w:val="auto"/>
                      <w:sz w:val="21"/>
                      <w:szCs w:val="21"/>
                      <w:highlight w:val="none"/>
                      <w:lang w:val="en-US" w:eastAsia="zh-CN"/>
                    </w:rPr>
                  </w:pPr>
                </w:p>
              </w:tc>
              <w:tc>
                <w:tcPr>
                  <w:tcW w:w="589" w:type="dxa"/>
                  <w:vMerge w:val="continue"/>
                  <w:tcBorders>
                    <w:bottom w:val="single" w:color="auto" w:sz="4" w:space="0"/>
                    <w:tl2br w:val="nil"/>
                    <w:tr2bl w:val="nil"/>
                  </w:tcBorders>
                  <w:noWrap/>
                  <w:vAlign w:val="center"/>
                </w:tcPr>
                <w:p w14:paraId="04E4C842">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bottom w:val="single" w:color="auto" w:sz="4" w:space="0"/>
                    <w:tl2br w:val="nil"/>
                    <w:tr2bl w:val="nil"/>
                  </w:tcBorders>
                  <w:noWrap/>
                  <w:vAlign w:val="center"/>
                </w:tcPr>
                <w:p w14:paraId="56BC77F2">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bottom w:val="single" w:color="auto" w:sz="4" w:space="0"/>
                    <w:tl2br w:val="nil"/>
                    <w:tr2bl w:val="nil"/>
                  </w:tcBorders>
                  <w:noWrap/>
                  <w:vAlign w:val="center"/>
                </w:tcPr>
                <w:p w14:paraId="12582C49">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bottom w:val="single" w:color="auto" w:sz="4" w:space="0"/>
                    <w:tl2br w:val="nil"/>
                    <w:tr2bl w:val="nil"/>
                  </w:tcBorders>
                  <w:noWrap/>
                  <w:vAlign w:val="center"/>
                </w:tcPr>
                <w:p w14:paraId="06748ABC">
                  <w:pPr>
                    <w:widowControl/>
                    <w:jc w:val="center"/>
                    <w:rPr>
                      <w:rFonts w:hint="default" w:ascii="Times New Roman" w:hAnsi="Times New Roman" w:eastAsia="宋体" w:cs="Times New Roman"/>
                      <w:color w:val="auto"/>
                      <w:kern w:val="0"/>
                      <w:sz w:val="21"/>
                      <w:szCs w:val="21"/>
                    </w:rPr>
                  </w:pPr>
                </w:p>
              </w:tc>
              <w:tc>
                <w:tcPr>
                  <w:tcW w:w="1222" w:type="dxa"/>
                  <w:vMerge w:val="continue"/>
                  <w:tcBorders>
                    <w:bottom w:val="single" w:color="auto" w:sz="4" w:space="0"/>
                    <w:tl2br w:val="nil"/>
                    <w:tr2bl w:val="nil"/>
                  </w:tcBorders>
                  <w:noWrap/>
                  <w:vAlign w:val="center"/>
                </w:tcPr>
                <w:p w14:paraId="44ECC812">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2BB23173">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w:t>
                  </w:r>
                </w:p>
              </w:tc>
              <w:tc>
                <w:tcPr>
                  <w:tcW w:w="739" w:type="dxa"/>
                  <w:tcBorders>
                    <w:top w:val="single" w:color="auto" w:sz="4" w:space="0"/>
                    <w:bottom w:val="single" w:color="auto" w:sz="4" w:space="0"/>
                    <w:tl2br w:val="nil"/>
                    <w:tr2bl w:val="nil"/>
                  </w:tcBorders>
                  <w:noWrap w:val="0"/>
                  <w:vAlign w:val="center"/>
                </w:tcPr>
                <w:p w14:paraId="5B29104C">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932" w:type="dxa"/>
                  <w:tcBorders>
                    <w:top w:val="single" w:color="auto" w:sz="4" w:space="0"/>
                    <w:bottom w:val="single" w:color="auto" w:sz="4" w:space="0"/>
                    <w:tl2br w:val="nil"/>
                    <w:tr2bl w:val="nil"/>
                  </w:tcBorders>
                  <w:noWrap w:val="0"/>
                  <w:vAlign w:val="center"/>
                </w:tcPr>
                <w:p w14:paraId="29D161F9">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75.0</w:t>
                  </w:r>
                </w:p>
              </w:tc>
              <w:tc>
                <w:tcPr>
                  <w:tcW w:w="695" w:type="dxa"/>
                  <w:vMerge w:val="continue"/>
                  <w:tcBorders>
                    <w:tl2br w:val="nil"/>
                    <w:tr2bl w:val="nil"/>
                  </w:tcBorders>
                  <w:noWrap w:val="0"/>
                  <w:vAlign w:val="center"/>
                </w:tcPr>
                <w:p w14:paraId="5E7AD1A8">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46DA72F7">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68FAD0F3">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54.0 </w:t>
                  </w:r>
                </w:p>
              </w:tc>
              <w:tc>
                <w:tcPr>
                  <w:tcW w:w="1073" w:type="dxa"/>
                  <w:vMerge w:val="continue"/>
                  <w:tcBorders>
                    <w:tl2br w:val="nil"/>
                    <w:tr2bl w:val="nil"/>
                  </w:tcBorders>
                  <w:noWrap w:val="0"/>
                  <w:vAlign w:val="center"/>
                </w:tcPr>
                <w:p w14:paraId="3E1A9200">
                  <w:pPr>
                    <w:widowControl/>
                    <w:jc w:val="center"/>
                    <w:rPr>
                      <w:rFonts w:hint="default" w:ascii="Times New Roman" w:hAnsi="Times New Roman" w:eastAsia="宋体" w:cs="Times New Roman"/>
                      <w:color w:val="auto"/>
                      <w:kern w:val="0"/>
                      <w:sz w:val="21"/>
                      <w:szCs w:val="21"/>
                      <w:highlight w:val="none"/>
                    </w:rPr>
                  </w:pPr>
                </w:p>
              </w:tc>
            </w:tr>
            <w:tr w14:paraId="5B6F6FD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485" w:type="dxa"/>
                  <w:vMerge w:val="continue"/>
                  <w:tcBorders>
                    <w:bottom w:val="single" w:color="auto" w:sz="4" w:space="0"/>
                    <w:tl2br w:val="nil"/>
                    <w:tr2bl w:val="nil"/>
                  </w:tcBorders>
                  <w:noWrap/>
                  <w:vAlign w:val="center"/>
                </w:tcPr>
                <w:p w14:paraId="43CF36F6">
                  <w:pPr>
                    <w:widowControl/>
                    <w:jc w:val="center"/>
                    <w:rPr>
                      <w:rFonts w:hint="eastAsia"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3521888A">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bottom w:val="single" w:color="auto" w:sz="4" w:space="0"/>
                    <w:tl2br w:val="nil"/>
                    <w:tr2bl w:val="nil"/>
                  </w:tcBorders>
                  <w:noWrap w:val="0"/>
                  <w:vAlign w:val="center"/>
                </w:tcPr>
                <w:p w14:paraId="7DBBFE6D">
                  <w:pPr>
                    <w:jc w:val="center"/>
                    <w:rPr>
                      <w:rFonts w:hint="default" w:ascii="Times New Roman" w:hAnsi="Times New Roman" w:eastAsia="Arial" w:cs="Times New Roman"/>
                      <w:color w:val="auto"/>
                      <w:sz w:val="21"/>
                      <w:szCs w:val="21"/>
                      <w:highlight w:val="none"/>
                      <w:lang w:val="en-US" w:eastAsia="zh-CN"/>
                    </w:rPr>
                  </w:pPr>
                </w:p>
              </w:tc>
              <w:tc>
                <w:tcPr>
                  <w:tcW w:w="589" w:type="dxa"/>
                  <w:vMerge w:val="continue"/>
                  <w:tcBorders>
                    <w:bottom w:val="single" w:color="auto" w:sz="4" w:space="0"/>
                    <w:tl2br w:val="nil"/>
                    <w:tr2bl w:val="nil"/>
                  </w:tcBorders>
                  <w:noWrap/>
                  <w:vAlign w:val="center"/>
                </w:tcPr>
                <w:p w14:paraId="39D8A4E8">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bottom w:val="single" w:color="auto" w:sz="4" w:space="0"/>
                    <w:tl2br w:val="nil"/>
                    <w:tr2bl w:val="nil"/>
                  </w:tcBorders>
                  <w:noWrap/>
                  <w:vAlign w:val="center"/>
                </w:tcPr>
                <w:p w14:paraId="25A4939D">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bottom w:val="single" w:color="auto" w:sz="4" w:space="0"/>
                    <w:tl2br w:val="nil"/>
                    <w:tr2bl w:val="nil"/>
                  </w:tcBorders>
                  <w:noWrap/>
                  <w:vAlign w:val="center"/>
                </w:tcPr>
                <w:p w14:paraId="01E9DD5B">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bottom w:val="single" w:color="auto" w:sz="4" w:space="0"/>
                    <w:tl2br w:val="nil"/>
                    <w:tr2bl w:val="nil"/>
                  </w:tcBorders>
                  <w:noWrap/>
                  <w:vAlign w:val="center"/>
                </w:tcPr>
                <w:p w14:paraId="3512B233">
                  <w:pPr>
                    <w:widowControl/>
                    <w:jc w:val="center"/>
                    <w:rPr>
                      <w:rFonts w:hint="default" w:ascii="Times New Roman" w:hAnsi="Times New Roman" w:eastAsia="宋体" w:cs="Times New Roman"/>
                      <w:color w:val="auto"/>
                      <w:kern w:val="0"/>
                      <w:sz w:val="21"/>
                      <w:szCs w:val="21"/>
                    </w:rPr>
                  </w:pPr>
                </w:p>
              </w:tc>
              <w:tc>
                <w:tcPr>
                  <w:tcW w:w="1222" w:type="dxa"/>
                  <w:vMerge w:val="continue"/>
                  <w:tcBorders>
                    <w:bottom w:val="single" w:color="auto" w:sz="4" w:space="0"/>
                    <w:tl2br w:val="nil"/>
                    <w:tr2bl w:val="nil"/>
                  </w:tcBorders>
                  <w:noWrap/>
                  <w:vAlign w:val="center"/>
                </w:tcPr>
                <w:p w14:paraId="181D11D7">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3D58BE1C">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w:t>
                  </w:r>
                </w:p>
              </w:tc>
              <w:tc>
                <w:tcPr>
                  <w:tcW w:w="739" w:type="dxa"/>
                  <w:tcBorders>
                    <w:top w:val="single" w:color="auto" w:sz="4" w:space="0"/>
                    <w:bottom w:val="single" w:color="auto" w:sz="4" w:space="0"/>
                    <w:tl2br w:val="nil"/>
                    <w:tr2bl w:val="nil"/>
                  </w:tcBorders>
                  <w:noWrap w:val="0"/>
                  <w:vAlign w:val="center"/>
                </w:tcPr>
                <w:p w14:paraId="6E0E93D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78</w:t>
                  </w:r>
                </w:p>
              </w:tc>
              <w:tc>
                <w:tcPr>
                  <w:tcW w:w="932" w:type="dxa"/>
                  <w:tcBorders>
                    <w:top w:val="single" w:color="auto" w:sz="4" w:space="0"/>
                    <w:bottom w:val="single" w:color="auto" w:sz="4" w:space="0"/>
                    <w:tl2br w:val="nil"/>
                    <w:tr2bl w:val="nil"/>
                  </w:tcBorders>
                  <w:noWrap w:val="0"/>
                  <w:vAlign w:val="center"/>
                </w:tcPr>
                <w:p w14:paraId="22CDCE9B">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37.2</w:t>
                  </w:r>
                </w:p>
              </w:tc>
              <w:tc>
                <w:tcPr>
                  <w:tcW w:w="695" w:type="dxa"/>
                  <w:vMerge w:val="continue"/>
                  <w:tcBorders>
                    <w:bottom w:val="single" w:color="auto" w:sz="4" w:space="0"/>
                    <w:tl2br w:val="nil"/>
                    <w:tr2bl w:val="nil"/>
                  </w:tcBorders>
                  <w:noWrap w:val="0"/>
                  <w:vAlign w:val="center"/>
                </w:tcPr>
                <w:p w14:paraId="6324B0D0">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bottom w:val="single" w:color="auto" w:sz="4" w:space="0"/>
                    <w:tl2br w:val="nil"/>
                    <w:tr2bl w:val="nil"/>
                  </w:tcBorders>
                  <w:noWrap w:val="0"/>
                  <w:vAlign w:val="center"/>
                </w:tcPr>
                <w:p w14:paraId="2C116118">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3EC21180">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16.2 </w:t>
                  </w:r>
                </w:p>
              </w:tc>
              <w:tc>
                <w:tcPr>
                  <w:tcW w:w="1073" w:type="dxa"/>
                  <w:vMerge w:val="continue"/>
                  <w:tcBorders>
                    <w:bottom w:val="single" w:color="auto" w:sz="4" w:space="0"/>
                    <w:tl2br w:val="nil"/>
                    <w:tr2bl w:val="nil"/>
                  </w:tcBorders>
                  <w:noWrap w:val="0"/>
                  <w:vAlign w:val="center"/>
                </w:tcPr>
                <w:p w14:paraId="31D9B4FC">
                  <w:pPr>
                    <w:widowControl/>
                    <w:jc w:val="center"/>
                    <w:rPr>
                      <w:rFonts w:hint="default" w:ascii="Times New Roman" w:hAnsi="Times New Roman" w:eastAsia="宋体" w:cs="Times New Roman"/>
                      <w:color w:val="auto"/>
                      <w:kern w:val="0"/>
                      <w:sz w:val="21"/>
                      <w:szCs w:val="21"/>
                      <w:highlight w:val="none"/>
                    </w:rPr>
                  </w:pPr>
                </w:p>
              </w:tc>
            </w:tr>
            <w:tr w14:paraId="6921C77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16" w:hRule="atLeast"/>
                <w:jc w:val="center"/>
              </w:trPr>
              <w:tc>
                <w:tcPr>
                  <w:tcW w:w="485" w:type="dxa"/>
                  <w:vMerge w:val="restart"/>
                  <w:tcBorders>
                    <w:top w:val="single" w:color="auto" w:sz="4" w:space="0"/>
                    <w:tl2br w:val="nil"/>
                    <w:tr2bl w:val="nil"/>
                  </w:tcBorders>
                  <w:noWrap/>
                  <w:vAlign w:val="center"/>
                </w:tcPr>
                <w:p w14:paraId="3B4D2CAD">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w:t>
                  </w:r>
                </w:p>
              </w:tc>
              <w:tc>
                <w:tcPr>
                  <w:tcW w:w="697" w:type="dxa"/>
                  <w:vMerge w:val="continue"/>
                  <w:tcBorders>
                    <w:tl2br w:val="nil"/>
                    <w:tr2bl w:val="nil"/>
                  </w:tcBorders>
                  <w:noWrap/>
                  <w:vAlign w:val="center"/>
                </w:tcPr>
                <w:p w14:paraId="652CFBCA">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restart"/>
                  <w:tcBorders>
                    <w:top w:val="single" w:color="auto" w:sz="4" w:space="0"/>
                    <w:tl2br w:val="nil"/>
                    <w:tr2bl w:val="nil"/>
                  </w:tcBorders>
                  <w:noWrap w:val="0"/>
                  <w:vAlign w:val="center"/>
                </w:tcPr>
                <w:p w14:paraId="25803359">
                  <w:pPr>
                    <w:spacing w:line="240" w:lineRule="auto"/>
                    <w:jc w:val="center"/>
                    <w:rPr>
                      <w:rFonts w:hint="default" w:ascii="Times New Roman" w:hAnsi="Times New Roman" w:eastAsia="Arial" w:cs="Times New Roman"/>
                      <w:color w:val="auto"/>
                      <w:sz w:val="21"/>
                      <w:szCs w:val="21"/>
                      <w:highlight w:val="none"/>
                    </w:rPr>
                  </w:pPr>
                  <w:r>
                    <w:rPr>
                      <w:rFonts w:hint="eastAsia" w:ascii="Times New Roman" w:hAnsi="Times New Roman" w:eastAsia="Calibri" w:cs="Times New Roman"/>
                      <w:color w:val="auto"/>
                      <w:kern w:val="2"/>
                      <w:sz w:val="21"/>
                      <w:szCs w:val="21"/>
                      <w:lang w:val="en-US" w:eastAsia="zh-CN"/>
                    </w:rPr>
                    <w:t>全自动覆膜机</w:t>
                  </w:r>
                </w:p>
              </w:tc>
              <w:tc>
                <w:tcPr>
                  <w:tcW w:w="589" w:type="dxa"/>
                  <w:vMerge w:val="restart"/>
                  <w:tcBorders>
                    <w:top w:val="single" w:color="auto" w:sz="4" w:space="0"/>
                    <w:tl2br w:val="nil"/>
                    <w:tr2bl w:val="nil"/>
                  </w:tcBorders>
                  <w:noWrap/>
                  <w:vAlign w:val="center"/>
                </w:tcPr>
                <w:p w14:paraId="1E88C830">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636" w:type="dxa"/>
                  <w:vMerge w:val="restart"/>
                  <w:tcBorders>
                    <w:top w:val="single" w:color="auto" w:sz="4" w:space="0"/>
                    <w:tl2br w:val="nil"/>
                    <w:tr2bl w:val="nil"/>
                  </w:tcBorders>
                  <w:noWrap/>
                  <w:vAlign w:val="center"/>
                </w:tcPr>
                <w:p w14:paraId="013141A7">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750" w:type="dxa"/>
                  <w:vMerge w:val="restart"/>
                  <w:tcBorders>
                    <w:top w:val="single" w:color="auto" w:sz="4" w:space="0"/>
                    <w:tl2br w:val="nil"/>
                    <w:tr2bl w:val="nil"/>
                  </w:tcBorders>
                  <w:noWrap/>
                  <w:vAlign w:val="center"/>
                </w:tcPr>
                <w:p w14:paraId="148C4EF7">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1425" w:type="dxa"/>
                  <w:vMerge w:val="restart"/>
                  <w:tcBorders>
                    <w:top w:val="single" w:color="auto" w:sz="4" w:space="0"/>
                    <w:tl2br w:val="nil"/>
                    <w:tr2bl w:val="nil"/>
                  </w:tcBorders>
                  <w:noWrap/>
                  <w:vAlign w:val="center"/>
                </w:tcPr>
                <w:p w14:paraId="50D61545">
                  <w:pPr>
                    <w:widowControl/>
                    <w:jc w:val="center"/>
                    <w:rPr>
                      <w:rFonts w:hint="default" w:ascii="Times New Roman" w:hAnsi="Times New Roman" w:eastAsia="Arial" w:cs="Times New Roman"/>
                      <w:color w:val="auto"/>
                      <w:sz w:val="21"/>
                      <w:szCs w:val="21"/>
                      <w:highlight w:val="none"/>
                    </w:rPr>
                  </w:pPr>
                  <w:r>
                    <w:rPr>
                      <w:rFonts w:hint="eastAsia" w:cs="Times New Roman"/>
                      <w:color w:val="auto"/>
                      <w:kern w:val="0"/>
                      <w:sz w:val="21"/>
                      <w:szCs w:val="21"/>
                      <w:lang w:val="en-US" w:eastAsia="zh-CN"/>
                    </w:rPr>
                    <w:t>75</w:t>
                  </w:r>
                  <w:r>
                    <w:rPr>
                      <w:rFonts w:hint="default" w:ascii="Times New Roman" w:hAnsi="Times New Roman" w:eastAsia="宋体" w:cs="Times New Roman"/>
                      <w:color w:val="auto"/>
                      <w:kern w:val="0"/>
                      <w:sz w:val="21"/>
                      <w:szCs w:val="21"/>
                    </w:rPr>
                    <w:t>/1</w:t>
                  </w:r>
                </w:p>
              </w:tc>
              <w:tc>
                <w:tcPr>
                  <w:tcW w:w="1222" w:type="dxa"/>
                  <w:vMerge w:val="restart"/>
                  <w:tcBorders>
                    <w:top w:val="single" w:color="auto" w:sz="4" w:space="0"/>
                    <w:tl2br w:val="nil"/>
                    <w:tr2bl w:val="nil"/>
                  </w:tcBorders>
                  <w:noWrap/>
                  <w:vAlign w:val="center"/>
                </w:tcPr>
                <w:p w14:paraId="14A28193">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隔声、减振</w:t>
                  </w:r>
                </w:p>
              </w:tc>
              <w:tc>
                <w:tcPr>
                  <w:tcW w:w="686" w:type="dxa"/>
                  <w:tcBorders>
                    <w:top w:val="single" w:color="auto" w:sz="4" w:space="0"/>
                    <w:bottom w:val="single" w:color="auto" w:sz="4" w:space="0"/>
                    <w:tl2br w:val="nil"/>
                    <w:tr2bl w:val="nil"/>
                  </w:tcBorders>
                  <w:noWrap w:val="0"/>
                  <w:vAlign w:val="center"/>
                </w:tcPr>
                <w:p w14:paraId="119693AB">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E</w:t>
                  </w:r>
                </w:p>
              </w:tc>
              <w:tc>
                <w:tcPr>
                  <w:tcW w:w="739" w:type="dxa"/>
                  <w:tcBorders>
                    <w:top w:val="single" w:color="auto" w:sz="4" w:space="0"/>
                    <w:bottom w:val="single" w:color="auto" w:sz="4" w:space="0"/>
                    <w:tl2br w:val="nil"/>
                    <w:tr2bl w:val="nil"/>
                  </w:tcBorders>
                  <w:noWrap w:val="0"/>
                  <w:vAlign w:val="center"/>
                </w:tcPr>
                <w:p w14:paraId="6C07349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86</w:t>
                  </w:r>
                </w:p>
              </w:tc>
              <w:tc>
                <w:tcPr>
                  <w:tcW w:w="932" w:type="dxa"/>
                  <w:tcBorders>
                    <w:top w:val="single" w:color="auto" w:sz="4" w:space="0"/>
                    <w:bottom w:val="single" w:color="auto" w:sz="4" w:space="0"/>
                    <w:tl2br w:val="nil"/>
                    <w:tr2bl w:val="nil"/>
                  </w:tcBorders>
                  <w:noWrap w:val="0"/>
                  <w:vAlign w:val="center"/>
                </w:tcPr>
                <w:p w14:paraId="21954ECD">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36.3</w:t>
                  </w:r>
                </w:p>
              </w:tc>
              <w:tc>
                <w:tcPr>
                  <w:tcW w:w="695" w:type="dxa"/>
                  <w:vMerge w:val="restart"/>
                  <w:tcBorders>
                    <w:top w:val="single" w:color="auto" w:sz="4" w:space="0"/>
                    <w:tl2br w:val="nil"/>
                    <w:tr2bl w:val="nil"/>
                  </w:tcBorders>
                  <w:noWrap w:val="0"/>
                  <w:vAlign w:val="center"/>
                </w:tcPr>
                <w:p w14:paraId="04EEC3C9">
                  <w:pPr>
                    <w:widowControl/>
                    <w:jc w:val="center"/>
                    <w:rPr>
                      <w:rFonts w:hint="default" w:ascii="Times New Roman" w:hAnsi="Times New Roman" w:eastAsia="等线" w:cs="Times New Roman"/>
                      <w:color w:val="auto"/>
                      <w:sz w:val="21"/>
                      <w:szCs w:val="21"/>
                      <w:highlight w:val="none"/>
                    </w:rPr>
                  </w:pPr>
                  <w:r>
                    <w:rPr>
                      <w:rFonts w:hint="eastAsia" w:eastAsia="等线" w:cs="Times New Roman"/>
                      <w:color w:val="auto"/>
                      <w:sz w:val="21"/>
                      <w:szCs w:val="21"/>
                      <w:highlight w:val="none"/>
                      <w:lang w:val="en-US" w:eastAsia="zh-CN"/>
                    </w:rPr>
                    <w:t>16</w:t>
                  </w:r>
                  <w:r>
                    <w:rPr>
                      <w:rFonts w:hint="default" w:ascii="Times New Roman" w:hAnsi="Times New Roman" w:eastAsia="等线" w:cs="Times New Roman"/>
                      <w:color w:val="auto"/>
                      <w:sz w:val="21"/>
                      <w:szCs w:val="21"/>
                      <w:highlight w:val="none"/>
                    </w:rPr>
                    <w:t>h/d</w:t>
                  </w:r>
                </w:p>
              </w:tc>
              <w:tc>
                <w:tcPr>
                  <w:tcW w:w="889" w:type="dxa"/>
                  <w:vMerge w:val="restart"/>
                  <w:tcBorders>
                    <w:top w:val="single" w:color="auto" w:sz="4" w:space="0"/>
                    <w:tl2br w:val="nil"/>
                    <w:tr2bl w:val="nil"/>
                  </w:tcBorders>
                  <w:noWrap w:val="0"/>
                  <w:vAlign w:val="center"/>
                </w:tcPr>
                <w:p w14:paraId="4B1047B1">
                  <w:pPr>
                    <w:widowControl/>
                    <w:jc w:val="center"/>
                    <w:rPr>
                      <w:rFonts w:hint="default" w:ascii="Times New Roman" w:hAnsi="Times New Roman" w:eastAsia="等线" w:cs="Times New Roman"/>
                      <w:color w:val="auto"/>
                      <w:sz w:val="21"/>
                      <w:szCs w:val="21"/>
                      <w:highlight w:val="none"/>
                      <w:lang w:val="en-US" w:eastAsia="zh-CN"/>
                    </w:rPr>
                  </w:pPr>
                  <w:r>
                    <w:rPr>
                      <w:rFonts w:hint="eastAsia" w:eastAsia="等线" w:cs="Times New Roman"/>
                      <w:color w:val="auto"/>
                      <w:sz w:val="21"/>
                      <w:szCs w:val="21"/>
                      <w:highlight w:val="none"/>
                      <w:lang w:val="en-US" w:eastAsia="zh-CN"/>
                    </w:rPr>
                    <w:t>21</w:t>
                  </w:r>
                </w:p>
              </w:tc>
              <w:tc>
                <w:tcPr>
                  <w:tcW w:w="932" w:type="dxa"/>
                  <w:tcBorders>
                    <w:top w:val="single" w:color="auto" w:sz="4" w:space="0"/>
                    <w:bottom w:val="single" w:color="auto" w:sz="4" w:space="0"/>
                    <w:tl2br w:val="nil"/>
                    <w:tr2bl w:val="nil"/>
                  </w:tcBorders>
                  <w:noWrap/>
                  <w:vAlign w:val="center"/>
                </w:tcPr>
                <w:p w14:paraId="105DAA0A">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15.3 </w:t>
                  </w:r>
                </w:p>
              </w:tc>
              <w:tc>
                <w:tcPr>
                  <w:tcW w:w="1073" w:type="dxa"/>
                  <w:vMerge w:val="restart"/>
                  <w:tcBorders>
                    <w:top w:val="single" w:color="auto" w:sz="4" w:space="0"/>
                    <w:tl2br w:val="nil"/>
                    <w:tr2bl w:val="nil"/>
                  </w:tcBorders>
                  <w:noWrap w:val="0"/>
                  <w:vAlign w:val="center"/>
                </w:tcPr>
                <w:p w14:paraId="0674DDB0">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r>
            <w:tr w14:paraId="2E025BB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06" w:hRule="atLeast"/>
                <w:jc w:val="center"/>
              </w:trPr>
              <w:tc>
                <w:tcPr>
                  <w:tcW w:w="485" w:type="dxa"/>
                  <w:vMerge w:val="continue"/>
                  <w:tcBorders>
                    <w:tl2br w:val="nil"/>
                    <w:tr2bl w:val="nil"/>
                  </w:tcBorders>
                  <w:noWrap/>
                  <w:vAlign w:val="center"/>
                </w:tcPr>
                <w:p w14:paraId="67FD55F8">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231BFE86">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l2br w:val="nil"/>
                    <w:tr2bl w:val="nil"/>
                  </w:tcBorders>
                  <w:noWrap w:val="0"/>
                  <w:vAlign w:val="center"/>
                </w:tcPr>
                <w:p w14:paraId="71597DEF">
                  <w:pPr>
                    <w:jc w:val="center"/>
                    <w:rPr>
                      <w:rFonts w:hint="default" w:ascii="Times New Roman" w:hAnsi="Times New Roman" w:eastAsia="Arial" w:cs="Times New Roman"/>
                      <w:color w:val="auto"/>
                      <w:sz w:val="21"/>
                      <w:szCs w:val="21"/>
                      <w:highlight w:val="none"/>
                    </w:rPr>
                  </w:pPr>
                </w:p>
              </w:tc>
              <w:tc>
                <w:tcPr>
                  <w:tcW w:w="589" w:type="dxa"/>
                  <w:vMerge w:val="continue"/>
                  <w:tcBorders>
                    <w:tl2br w:val="nil"/>
                    <w:tr2bl w:val="nil"/>
                  </w:tcBorders>
                  <w:noWrap/>
                  <w:vAlign w:val="center"/>
                </w:tcPr>
                <w:p w14:paraId="67352DA8">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2286466D">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1B352758">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734F46B7">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0D8E18DA">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2857FE5F">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w:t>
                  </w:r>
                </w:p>
              </w:tc>
              <w:tc>
                <w:tcPr>
                  <w:tcW w:w="739" w:type="dxa"/>
                  <w:tcBorders>
                    <w:top w:val="single" w:color="auto" w:sz="4" w:space="0"/>
                    <w:bottom w:val="single" w:color="auto" w:sz="4" w:space="0"/>
                    <w:tl2br w:val="nil"/>
                    <w:tr2bl w:val="nil"/>
                  </w:tcBorders>
                  <w:noWrap w:val="0"/>
                  <w:vAlign w:val="center"/>
                </w:tcPr>
                <w:p w14:paraId="7E85C23B">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932" w:type="dxa"/>
                  <w:tcBorders>
                    <w:top w:val="single" w:color="auto" w:sz="4" w:space="0"/>
                    <w:bottom w:val="single" w:color="auto" w:sz="4" w:space="0"/>
                    <w:tl2br w:val="nil"/>
                    <w:tr2bl w:val="nil"/>
                  </w:tcBorders>
                  <w:noWrap w:val="0"/>
                  <w:vAlign w:val="center"/>
                </w:tcPr>
                <w:p w14:paraId="7DA968E2">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41.0</w:t>
                  </w:r>
                </w:p>
              </w:tc>
              <w:tc>
                <w:tcPr>
                  <w:tcW w:w="695" w:type="dxa"/>
                  <w:vMerge w:val="continue"/>
                  <w:tcBorders>
                    <w:tl2br w:val="nil"/>
                    <w:tr2bl w:val="nil"/>
                  </w:tcBorders>
                  <w:noWrap w:val="0"/>
                  <w:vAlign w:val="center"/>
                </w:tcPr>
                <w:p w14:paraId="1232E042">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0F4E1C83">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5621218A">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20.0 </w:t>
                  </w:r>
                </w:p>
              </w:tc>
              <w:tc>
                <w:tcPr>
                  <w:tcW w:w="1073" w:type="dxa"/>
                  <w:vMerge w:val="continue"/>
                  <w:tcBorders>
                    <w:tl2br w:val="nil"/>
                    <w:tr2bl w:val="nil"/>
                  </w:tcBorders>
                  <w:noWrap w:val="0"/>
                  <w:vAlign w:val="center"/>
                </w:tcPr>
                <w:p w14:paraId="5AF4DFE6">
                  <w:pPr>
                    <w:widowControl/>
                    <w:jc w:val="center"/>
                    <w:rPr>
                      <w:rFonts w:hint="default" w:ascii="Times New Roman" w:hAnsi="Times New Roman" w:eastAsia="宋体" w:cs="Times New Roman"/>
                      <w:color w:val="auto"/>
                      <w:kern w:val="0"/>
                      <w:sz w:val="21"/>
                      <w:szCs w:val="21"/>
                      <w:highlight w:val="none"/>
                    </w:rPr>
                  </w:pPr>
                </w:p>
              </w:tc>
            </w:tr>
            <w:tr w14:paraId="45857DB3">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50" w:hRule="atLeast"/>
                <w:jc w:val="center"/>
              </w:trPr>
              <w:tc>
                <w:tcPr>
                  <w:tcW w:w="485" w:type="dxa"/>
                  <w:vMerge w:val="continue"/>
                  <w:tcBorders>
                    <w:tl2br w:val="nil"/>
                    <w:tr2bl w:val="nil"/>
                  </w:tcBorders>
                  <w:noWrap/>
                  <w:vAlign w:val="center"/>
                </w:tcPr>
                <w:p w14:paraId="0313B7E7">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5B0213B4">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l2br w:val="nil"/>
                    <w:tr2bl w:val="nil"/>
                  </w:tcBorders>
                  <w:noWrap w:val="0"/>
                  <w:vAlign w:val="center"/>
                </w:tcPr>
                <w:p w14:paraId="2A4D78AF">
                  <w:pPr>
                    <w:jc w:val="center"/>
                    <w:rPr>
                      <w:rFonts w:hint="default" w:ascii="Times New Roman" w:hAnsi="Times New Roman" w:eastAsia="Arial" w:cs="Times New Roman"/>
                      <w:color w:val="auto"/>
                      <w:sz w:val="21"/>
                      <w:szCs w:val="21"/>
                      <w:highlight w:val="none"/>
                    </w:rPr>
                  </w:pPr>
                </w:p>
              </w:tc>
              <w:tc>
                <w:tcPr>
                  <w:tcW w:w="589" w:type="dxa"/>
                  <w:vMerge w:val="continue"/>
                  <w:tcBorders>
                    <w:tl2br w:val="nil"/>
                    <w:tr2bl w:val="nil"/>
                  </w:tcBorders>
                  <w:noWrap/>
                  <w:vAlign w:val="center"/>
                </w:tcPr>
                <w:p w14:paraId="1922AC5C">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1639786D">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349B15FE">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10351140">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0515A4E1">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3E595337">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w:t>
                  </w:r>
                </w:p>
              </w:tc>
              <w:tc>
                <w:tcPr>
                  <w:tcW w:w="739" w:type="dxa"/>
                  <w:tcBorders>
                    <w:top w:val="single" w:color="auto" w:sz="4" w:space="0"/>
                    <w:bottom w:val="single" w:color="auto" w:sz="4" w:space="0"/>
                    <w:tl2br w:val="nil"/>
                    <w:tr2bl w:val="nil"/>
                  </w:tcBorders>
                  <w:noWrap w:val="0"/>
                  <w:vAlign w:val="center"/>
                </w:tcPr>
                <w:p w14:paraId="4E828F9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932" w:type="dxa"/>
                  <w:tcBorders>
                    <w:top w:val="single" w:color="auto" w:sz="4" w:space="0"/>
                    <w:bottom w:val="single" w:color="auto" w:sz="4" w:space="0"/>
                    <w:tl2br w:val="nil"/>
                    <w:tr2bl w:val="nil"/>
                  </w:tcBorders>
                  <w:noWrap w:val="0"/>
                  <w:vAlign w:val="center"/>
                </w:tcPr>
                <w:p w14:paraId="35A12C68">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等线" w:cs="Times New Roman"/>
                      <w:i w:val="0"/>
                      <w:iCs w:val="0"/>
                      <w:color w:val="auto"/>
                      <w:kern w:val="0"/>
                      <w:sz w:val="21"/>
                      <w:szCs w:val="21"/>
                      <w:u w:val="none"/>
                      <w:lang w:val="en-US" w:eastAsia="zh-CN" w:bidi="ar"/>
                    </w:rPr>
                    <w:t>55.0</w:t>
                  </w:r>
                </w:p>
              </w:tc>
              <w:tc>
                <w:tcPr>
                  <w:tcW w:w="695" w:type="dxa"/>
                  <w:vMerge w:val="continue"/>
                  <w:tcBorders>
                    <w:tl2br w:val="nil"/>
                    <w:tr2bl w:val="nil"/>
                  </w:tcBorders>
                  <w:noWrap w:val="0"/>
                  <w:vAlign w:val="center"/>
                </w:tcPr>
                <w:p w14:paraId="49E5A674">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0BFFB11D">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6FFDBBD5">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34.0 </w:t>
                  </w:r>
                </w:p>
              </w:tc>
              <w:tc>
                <w:tcPr>
                  <w:tcW w:w="1073" w:type="dxa"/>
                  <w:vMerge w:val="continue"/>
                  <w:tcBorders>
                    <w:tl2br w:val="nil"/>
                    <w:tr2bl w:val="nil"/>
                  </w:tcBorders>
                  <w:noWrap w:val="0"/>
                  <w:vAlign w:val="center"/>
                </w:tcPr>
                <w:p w14:paraId="4FECD046">
                  <w:pPr>
                    <w:widowControl/>
                    <w:jc w:val="center"/>
                    <w:rPr>
                      <w:rFonts w:hint="default" w:ascii="Times New Roman" w:hAnsi="Times New Roman" w:eastAsia="宋体" w:cs="Times New Roman"/>
                      <w:color w:val="auto"/>
                      <w:kern w:val="0"/>
                      <w:sz w:val="21"/>
                      <w:szCs w:val="21"/>
                      <w:highlight w:val="none"/>
                    </w:rPr>
                  </w:pPr>
                </w:p>
              </w:tc>
            </w:tr>
            <w:tr w14:paraId="3BF50DA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3" w:hRule="atLeast"/>
                <w:jc w:val="center"/>
              </w:trPr>
              <w:tc>
                <w:tcPr>
                  <w:tcW w:w="485" w:type="dxa"/>
                  <w:vMerge w:val="continue"/>
                  <w:tcBorders>
                    <w:bottom w:val="single" w:color="auto" w:sz="4" w:space="0"/>
                    <w:tl2br w:val="nil"/>
                    <w:tr2bl w:val="nil"/>
                  </w:tcBorders>
                  <w:noWrap/>
                  <w:vAlign w:val="center"/>
                </w:tcPr>
                <w:p w14:paraId="4AB5426C">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538FBCC8">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bottom w:val="single" w:color="auto" w:sz="4" w:space="0"/>
                    <w:tl2br w:val="nil"/>
                    <w:tr2bl w:val="nil"/>
                  </w:tcBorders>
                  <w:noWrap w:val="0"/>
                  <w:vAlign w:val="center"/>
                </w:tcPr>
                <w:p w14:paraId="4086E865">
                  <w:pPr>
                    <w:jc w:val="center"/>
                    <w:rPr>
                      <w:rFonts w:hint="default" w:ascii="Times New Roman" w:hAnsi="Times New Roman" w:eastAsia="Arial" w:cs="Times New Roman"/>
                      <w:color w:val="auto"/>
                      <w:sz w:val="21"/>
                      <w:szCs w:val="21"/>
                      <w:highlight w:val="none"/>
                    </w:rPr>
                  </w:pPr>
                </w:p>
              </w:tc>
              <w:tc>
                <w:tcPr>
                  <w:tcW w:w="589" w:type="dxa"/>
                  <w:vMerge w:val="continue"/>
                  <w:tcBorders>
                    <w:bottom w:val="single" w:color="auto" w:sz="4" w:space="0"/>
                    <w:tl2br w:val="nil"/>
                    <w:tr2bl w:val="nil"/>
                  </w:tcBorders>
                  <w:noWrap/>
                  <w:vAlign w:val="center"/>
                </w:tcPr>
                <w:p w14:paraId="5B7AC0DF">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bottom w:val="single" w:color="auto" w:sz="4" w:space="0"/>
                    <w:tl2br w:val="nil"/>
                    <w:tr2bl w:val="nil"/>
                  </w:tcBorders>
                  <w:noWrap/>
                  <w:vAlign w:val="center"/>
                </w:tcPr>
                <w:p w14:paraId="441E7CC2">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bottom w:val="single" w:color="auto" w:sz="4" w:space="0"/>
                    <w:tl2br w:val="nil"/>
                    <w:tr2bl w:val="nil"/>
                  </w:tcBorders>
                  <w:noWrap/>
                  <w:vAlign w:val="center"/>
                </w:tcPr>
                <w:p w14:paraId="3E8795E8">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bottom w:val="single" w:color="auto" w:sz="4" w:space="0"/>
                    <w:tl2br w:val="nil"/>
                    <w:tr2bl w:val="nil"/>
                  </w:tcBorders>
                  <w:noWrap/>
                  <w:vAlign w:val="center"/>
                </w:tcPr>
                <w:p w14:paraId="4B7A1F3F">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bottom w:val="single" w:color="auto" w:sz="4" w:space="0"/>
                    <w:tl2br w:val="nil"/>
                    <w:tr2bl w:val="nil"/>
                  </w:tcBorders>
                  <w:noWrap/>
                  <w:vAlign w:val="center"/>
                </w:tcPr>
                <w:p w14:paraId="7E9FDA6D">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539D5FFF">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w:t>
                  </w:r>
                </w:p>
              </w:tc>
              <w:tc>
                <w:tcPr>
                  <w:tcW w:w="739" w:type="dxa"/>
                  <w:tcBorders>
                    <w:top w:val="single" w:color="auto" w:sz="4" w:space="0"/>
                    <w:bottom w:val="single" w:color="auto" w:sz="4" w:space="0"/>
                    <w:tl2br w:val="nil"/>
                    <w:tr2bl w:val="nil"/>
                  </w:tcBorders>
                  <w:noWrap w:val="0"/>
                  <w:vAlign w:val="center"/>
                </w:tcPr>
                <w:p w14:paraId="11BA74F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932" w:type="dxa"/>
                  <w:tcBorders>
                    <w:top w:val="single" w:color="auto" w:sz="4" w:space="0"/>
                    <w:bottom w:val="single" w:color="auto" w:sz="4" w:space="0"/>
                    <w:tl2br w:val="nil"/>
                    <w:tr2bl w:val="nil"/>
                  </w:tcBorders>
                  <w:noWrap w:val="0"/>
                  <w:vAlign w:val="center"/>
                </w:tcPr>
                <w:p w14:paraId="6C38A1B4">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39.7</w:t>
                  </w:r>
                </w:p>
              </w:tc>
              <w:tc>
                <w:tcPr>
                  <w:tcW w:w="695" w:type="dxa"/>
                  <w:vMerge w:val="continue"/>
                  <w:tcBorders>
                    <w:bottom w:val="single" w:color="auto" w:sz="4" w:space="0"/>
                    <w:tl2br w:val="nil"/>
                    <w:tr2bl w:val="nil"/>
                  </w:tcBorders>
                  <w:noWrap w:val="0"/>
                  <w:vAlign w:val="center"/>
                </w:tcPr>
                <w:p w14:paraId="59FE5DA1">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bottom w:val="single" w:color="auto" w:sz="4" w:space="0"/>
                    <w:tl2br w:val="nil"/>
                    <w:tr2bl w:val="nil"/>
                  </w:tcBorders>
                  <w:noWrap w:val="0"/>
                  <w:vAlign w:val="center"/>
                </w:tcPr>
                <w:p w14:paraId="621EFB47">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15D76560">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18.7 </w:t>
                  </w:r>
                </w:p>
              </w:tc>
              <w:tc>
                <w:tcPr>
                  <w:tcW w:w="1073" w:type="dxa"/>
                  <w:vMerge w:val="continue"/>
                  <w:tcBorders>
                    <w:bottom w:val="single" w:color="auto" w:sz="4" w:space="0"/>
                    <w:tl2br w:val="nil"/>
                    <w:tr2bl w:val="nil"/>
                  </w:tcBorders>
                  <w:noWrap w:val="0"/>
                  <w:vAlign w:val="center"/>
                </w:tcPr>
                <w:p w14:paraId="0C0BBA30">
                  <w:pPr>
                    <w:widowControl/>
                    <w:jc w:val="center"/>
                    <w:rPr>
                      <w:rFonts w:hint="default" w:ascii="Times New Roman" w:hAnsi="Times New Roman" w:eastAsia="宋体" w:cs="Times New Roman"/>
                      <w:color w:val="auto"/>
                      <w:kern w:val="0"/>
                      <w:sz w:val="21"/>
                      <w:szCs w:val="21"/>
                      <w:highlight w:val="none"/>
                    </w:rPr>
                  </w:pPr>
                </w:p>
              </w:tc>
            </w:tr>
            <w:tr w14:paraId="48F7441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3" w:hRule="atLeast"/>
                <w:jc w:val="center"/>
              </w:trPr>
              <w:tc>
                <w:tcPr>
                  <w:tcW w:w="485" w:type="dxa"/>
                  <w:vMerge w:val="restart"/>
                  <w:tcBorders>
                    <w:tl2br w:val="nil"/>
                    <w:tr2bl w:val="nil"/>
                  </w:tcBorders>
                  <w:noWrap/>
                  <w:vAlign w:val="center"/>
                </w:tcPr>
                <w:p w14:paraId="4C3D036A">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w:t>
                  </w:r>
                </w:p>
              </w:tc>
              <w:tc>
                <w:tcPr>
                  <w:tcW w:w="697" w:type="dxa"/>
                  <w:vMerge w:val="continue"/>
                  <w:tcBorders>
                    <w:tl2br w:val="nil"/>
                    <w:tr2bl w:val="nil"/>
                  </w:tcBorders>
                  <w:noWrap/>
                  <w:vAlign w:val="center"/>
                </w:tcPr>
                <w:p w14:paraId="6C838C15">
                  <w:pPr>
                    <w:widowControl/>
                    <w:jc w:val="center"/>
                    <w:rPr>
                      <w:rFonts w:hint="default" w:ascii="Times New Roman" w:hAnsi="Times New Roman" w:eastAsia="宋体" w:cs="Times New Roman"/>
                      <w:color w:val="auto"/>
                      <w:kern w:val="0"/>
                      <w:sz w:val="21"/>
                      <w:szCs w:val="21"/>
                      <w:highlight w:val="none"/>
                      <w:lang w:val="en-US" w:eastAsia="zh-CN"/>
                    </w:rPr>
                  </w:pPr>
                </w:p>
              </w:tc>
              <w:tc>
                <w:tcPr>
                  <w:tcW w:w="1067" w:type="dxa"/>
                  <w:vMerge w:val="restart"/>
                  <w:tcBorders>
                    <w:top w:val="single" w:color="auto" w:sz="4" w:space="0"/>
                    <w:bottom w:val="single" w:color="auto" w:sz="4" w:space="0"/>
                    <w:tl2br w:val="nil"/>
                    <w:tr2bl w:val="nil"/>
                  </w:tcBorders>
                  <w:noWrap w:val="0"/>
                  <w:vAlign w:val="center"/>
                </w:tcPr>
                <w:p w14:paraId="2085030F">
                  <w:pPr>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Calibri" w:cs="Times New Roman"/>
                      <w:color w:val="auto"/>
                      <w:kern w:val="2"/>
                      <w:sz w:val="21"/>
                      <w:szCs w:val="21"/>
                      <w:lang w:val="zh-CN" w:eastAsia="zh-CN"/>
                    </w:rPr>
                    <w:t>烫金机</w:t>
                  </w:r>
                  <w:r>
                    <w:rPr>
                      <w:rFonts w:hint="eastAsia" w:eastAsia="Calibri" w:cs="Times New Roman"/>
                      <w:color w:val="auto"/>
                      <w:kern w:val="2"/>
                      <w:sz w:val="21"/>
                      <w:szCs w:val="21"/>
                      <w:lang w:val="zh-CN" w:eastAsia="zh-CN"/>
                    </w:rPr>
                    <w:t>（</w:t>
                  </w:r>
                  <w:r>
                    <w:rPr>
                      <w:rFonts w:hint="eastAsia" w:eastAsia="Calibri" w:cs="Times New Roman"/>
                      <w:color w:val="auto"/>
                      <w:kern w:val="2"/>
                      <w:sz w:val="21"/>
                      <w:szCs w:val="21"/>
                      <w:lang w:val="en-US" w:eastAsia="zh-CN"/>
                    </w:rPr>
                    <w:t>5台</w:t>
                  </w:r>
                  <w:r>
                    <w:rPr>
                      <w:rFonts w:hint="eastAsia" w:eastAsia="Calibri" w:cs="Times New Roman"/>
                      <w:color w:val="auto"/>
                      <w:kern w:val="2"/>
                      <w:sz w:val="21"/>
                      <w:szCs w:val="21"/>
                      <w:lang w:val="zh-CN" w:eastAsia="zh-CN"/>
                    </w:rPr>
                    <w:t>）</w:t>
                  </w:r>
                </w:p>
              </w:tc>
              <w:tc>
                <w:tcPr>
                  <w:tcW w:w="589" w:type="dxa"/>
                  <w:vMerge w:val="restart"/>
                  <w:tcBorders>
                    <w:tl2br w:val="nil"/>
                    <w:tr2bl w:val="nil"/>
                  </w:tcBorders>
                  <w:noWrap/>
                  <w:vAlign w:val="center"/>
                </w:tcPr>
                <w:p w14:paraId="0913A746">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636" w:type="dxa"/>
                  <w:vMerge w:val="restart"/>
                  <w:tcBorders>
                    <w:tl2br w:val="nil"/>
                    <w:tr2bl w:val="nil"/>
                  </w:tcBorders>
                  <w:noWrap/>
                  <w:vAlign w:val="center"/>
                </w:tcPr>
                <w:p w14:paraId="7D299CBA">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w:t>
                  </w:r>
                </w:p>
              </w:tc>
              <w:tc>
                <w:tcPr>
                  <w:tcW w:w="750" w:type="dxa"/>
                  <w:vMerge w:val="restart"/>
                  <w:tcBorders>
                    <w:tl2br w:val="nil"/>
                    <w:tr2bl w:val="nil"/>
                  </w:tcBorders>
                  <w:noWrap/>
                  <w:vAlign w:val="center"/>
                </w:tcPr>
                <w:p w14:paraId="33B0A229">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425" w:type="dxa"/>
                  <w:vMerge w:val="restart"/>
                  <w:tcBorders>
                    <w:tl2br w:val="nil"/>
                    <w:tr2bl w:val="nil"/>
                  </w:tcBorders>
                  <w:noWrap/>
                  <w:vAlign w:val="center"/>
                </w:tcPr>
                <w:p w14:paraId="56942CFB">
                  <w:pPr>
                    <w:widowControl/>
                    <w:jc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lang w:val="en-US" w:eastAsia="zh-CN"/>
                    </w:rPr>
                    <w:t>75</w:t>
                  </w:r>
                  <w:r>
                    <w:rPr>
                      <w:rFonts w:hint="default" w:ascii="Times New Roman" w:hAnsi="Times New Roman" w:eastAsia="宋体" w:cs="Times New Roman"/>
                      <w:color w:val="auto"/>
                      <w:kern w:val="0"/>
                      <w:sz w:val="21"/>
                      <w:szCs w:val="21"/>
                    </w:rPr>
                    <w:t>/1</w:t>
                  </w:r>
                </w:p>
              </w:tc>
              <w:tc>
                <w:tcPr>
                  <w:tcW w:w="1222" w:type="dxa"/>
                  <w:vMerge w:val="restart"/>
                  <w:tcBorders>
                    <w:tl2br w:val="nil"/>
                    <w:tr2bl w:val="nil"/>
                  </w:tcBorders>
                  <w:noWrap/>
                  <w:vAlign w:val="center"/>
                </w:tcPr>
                <w:p w14:paraId="07536004">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隔声、减振</w:t>
                  </w:r>
                </w:p>
              </w:tc>
              <w:tc>
                <w:tcPr>
                  <w:tcW w:w="686" w:type="dxa"/>
                  <w:tcBorders>
                    <w:bottom w:val="single" w:color="auto" w:sz="4" w:space="0"/>
                    <w:tl2br w:val="nil"/>
                    <w:tr2bl w:val="nil"/>
                  </w:tcBorders>
                  <w:noWrap w:val="0"/>
                  <w:vAlign w:val="center"/>
                </w:tcPr>
                <w:p w14:paraId="5B922346">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E</w:t>
                  </w:r>
                </w:p>
              </w:tc>
              <w:tc>
                <w:tcPr>
                  <w:tcW w:w="739" w:type="dxa"/>
                  <w:tcBorders>
                    <w:bottom w:val="single" w:color="auto" w:sz="4" w:space="0"/>
                    <w:tl2br w:val="nil"/>
                    <w:tr2bl w:val="nil"/>
                  </w:tcBorders>
                  <w:noWrap w:val="0"/>
                  <w:vAlign w:val="center"/>
                </w:tcPr>
                <w:p w14:paraId="3722100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932" w:type="dxa"/>
                  <w:tcBorders>
                    <w:bottom w:val="single" w:color="auto" w:sz="4" w:space="0"/>
                    <w:tl2br w:val="nil"/>
                    <w:tr2bl w:val="nil"/>
                  </w:tcBorders>
                  <w:noWrap w:val="0"/>
                  <w:vAlign w:val="center"/>
                </w:tcPr>
                <w:p w14:paraId="700E55B2">
                  <w:pPr>
                    <w:keepNext w:val="0"/>
                    <w:keepLines w:val="0"/>
                    <w:widowControl/>
                    <w:suppressLineNumbers w:val="0"/>
                    <w:jc w:val="center"/>
                    <w:textAlignment w:val="center"/>
                    <w:rPr>
                      <w:rFonts w:hint="default" w:ascii="Times New Roman" w:hAnsi="Times New Roman" w:eastAsia="等线" w:cs="Times New Roman"/>
                      <w:color w:val="auto"/>
                      <w:kern w:val="0"/>
                      <w:sz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36.9</w:t>
                  </w:r>
                </w:p>
              </w:tc>
              <w:tc>
                <w:tcPr>
                  <w:tcW w:w="695" w:type="dxa"/>
                  <w:vMerge w:val="restart"/>
                  <w:tcBorders>
                    <w:top w:val="single" w:color="auto" w:sz="4" w:space="0"/>
                    <w:tl2br w:val="nil"/>
                    <w:tr2bl w:val="nil"/>
                  </w:tcBorders>
                  <w:noWrap w:val="0"/>
                  <w:vAlign w:val="center"/>
                </w:tcPr>
                <w:p w14:paraId="009F99BD">
                  <w:pPr>
                    <w:widowControl/>
                    <w:jc w:val="center"/>
                    <w:rPr>
                      <w:rFonts w:hint="default" w:ascii="Times New Roman" w:hAnsi="Times New Roman" w:eastAsia="宋体" w:cs="Times New Roman"/>
                      <w:color w:val="auto"/>
                      <w:kern w:val="0"/>
                      <w:sz w:val="21"/>
                      <w:szCs w:val="21"/>
                      <w:highlight w:val="none"/>
                    </w:rPr>
                  </w:pPr>
                  <w:r>
                    <w:rPr>
                      <w:rFonts w:hint="eastAsia" w:eastAsia="等线" w:cs="Times New Roman"/>
                      <w:color w:val="auto"/>
                      <w:sz w:val="21"/>
                      <w:szCs w:val="21"/>
                      <w:highlight w:val="none"/>
                      <w:lang w:val="en-US" w:eastAsia="zh-CN"/>
                    </w:rPr>
                    <w:t>16</w:t>
                  </w:r>
                  <w:r>
                    <w:rPr>
                      <w:rFonts w:hint="default" w:ascii="Times New Roman" w:hAnsi="Times New Roman" w:eastAsia="等线" w:cs="Times New Roman"/>
                      <w:color w:val="auto"/>
                      <w:sz w:val="21"/>
                      <w:szCs w:val="21"/>
                      <w:highlight w:val="none"/>
                    </w:rPr>
                    <w:t>h/d</w:t>
                  </w:r>
                </w:p>
              </w:tc>
              <w:tc>
                <w:tcPr>
                  <w:tcW w:w="889" w:type="dxa"/>
                  <w:vMerge w:val="restart"/>
                  <w:tcBorders>
                    <w:top w:val="single" w:color="auto" w:sz="4" w:space="0"/>
                    <w:tl2br w:val="nil"/>
                    <w:tr2bl w:val="nil"/>
                  </w:tcBorders>
                  <w:noWrap w:val="0"/>
                  <w:vAlign w:val="center"/>
                </w:tcPr>
                <w:p w14:paraId="08DA4F68">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等线" w:cs="Times New Roman"/>
                      <w:color w:val="auto"/>
                      <w:sz w:val="21"/>
                      <w:szCs w:val="21"/>
                      <w:highlight w:val="none"/>
                      <w:lang w:val="en-US" w:eastAsia="zh-CN"/>
                    </w:rPr>
                    <w:t>21</w:t>
                  </w:r>
                </w:p>
              </w:tc>
              <w:tc>
                <w:tcPr>
                  <w:tcW w:w="932" w:type="dxa"/>
                  <w:tcBorders>
                    <w:top w:val="single" w:color="auto" w:sz="4" w:space="0"/>
                    <w:bottom w:val="single" w:color="auto" w:sz="4" w:space="0"/>
                    <w:tl2br w:val="nil"/>
                    <w:tr2bl w:val="nil"/>
                  </w:tcBorders>
                  <w:noWrap/>
                  <w:vAlign w:val="center"/>
                </w:tcPr>
                <w:p w14:paraId="3E3B7C3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15.9 </w:t>
                  </w:r>
                </w:p>
              </w:tc>
              <w:tc>
                <w:tcPr>
                  <w:tcW w:w="1073" w:type="dxa"/>
                  <w:vMerge w:val="restart"/>
                  <w:tcBorders>
                    <w:tl2br w:val="nil"/>
                    <w:tr2bl w:val="nil"/>
                  </w:tcBorders>
                  <w:noWrap w:val="0"/>
                  <w:vAlign w:val="center"/>
                </w:tcPr>
                <w:p w14:paraId="120F8116">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r>
            <w:tr w14:paraId="661F699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62" w:hRule="atLeast"/>
                <w:jc w:val="center"/>
              </w:trPr>
              <w:tc>
                <w:tcPr>
                  <w:tcW w:w="485" w:type="dxa"/>
                  <w:vMerge w:val="continue"/>
                  <w:tcBorders>
                    <w:tl2br w:val="nil"/>
                    <w:tr2bl w:val="nil"/>
                  </w:tcBorders>
                  <w:noWrap/>
                  <w:vAlign w:val="center"/>
                </w:tcPr>
                <w:p w14:paraId="0641C1A3">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6974A763">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op w:val="single" w:color="auto" w:sz="4" w:space="0"/>
                    <w:bottom w:val="single" w:color="auto" w:sz="4" w:space="0"/>
                    <w:tl2br w:val="nil"/>
                    <w:tr2bl w:val="nil"/>
                  </w:tcBorders>
                  <w:noWrap w:val="0"/>
                  <w:vAlign w:val="center"/>
                </w:tcPr>
                <w:p w14:paraId="36098EA0">
                  <w:pPr>
                    <w:jc w:val="center"/>
                    <w:rPr>
                      <w:rFonts w:hint="default" w:ascii="Times New Roman" w:hAnsi="Times New Roman" w:eastAsia="Arial" w:cs="Times New Roman"/>
                      <w:color w:val="auto"/>
                      <w:sz w:val="21"/>
                      <w:szCs w:val="21"/>
                      <w:highlight w:val="none"/>
                    </w:rPr>
                  </w:pPr>
                </w:p>
              </w:tc>
              <w:tc>
                <w:tcPr>
                  <w:tcW w:w="589" w:type="dxa"/>
                  <w:vMerge w:val="continue"/>
                  <w:tcBorders>
                    <w:tl2br w:val="nil"/>
                    <w:tr2bl w:val="nil"/>
                  </w:tcBorders>
                  <w:noWrap/>
                  <w:vAlign w:val="center"/>
                </w:tcPr>
                <w:p w14:paraId="30753574">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04E90EB5">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494FF708">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2B07E7A9">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00297181">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080D7257">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S</w:t>
                  </w:r>
                </w:p>
              </w:tc>
              <w:tc>
                <w:tcPr>
                  <w:tcW w:w="739" w:type="dxa"/>
                  <w:tcBorders>
                    <w:top w:val="single" w:color="auto" w:sz="4" w:space="0"/>
                    <w:bottom w:val="single" w:color="auto" w:sz="4" w:space="0"/>
                    <w:tl2br w:val="nil"/>
                    <w:tr2bl w:val="nil"/>
                  </w:tcBorders>
                  <w:noWrap w:val="0"/>
                  <w:vAlign w:val="center"/>
                </w:tcPr>
                <w:p w14:paraId="6E15419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w:t>
                  </w:r>
                </w:p>
              </w:tc>
              <w:tc>
                <w:tcPr>
                  <w:tcW w:w="932" w:type="dxa"/>
                  <w:tcBorders>
                    <w:top w:val="single" w:color="auto" w:sz="4" w:space="0"/>
                    <w:bottom w:val="single" w:color="auto" w:sz="4" w:space="0"/>
                    <w:tl2br w:val="nil"/>
                    <w:tr2bl w:val="nil"/>
                  </w:tcBorders>
                  <w:noWrap w:val="0"/>
                  <w:vAlign w:val="center"/>
                </w:tcPr>
                <w:p w14:paraId="2DF1400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48.2</w:t>
                  </w:r>
                </w:p>
              </w:tc>
              <w:tc>
                <w:tcPr>
                  <w:tcW w:w="695" w:type="dxa"/>
                  <w:vMerge w:val="continue"/>
                  <w:tcBorders>
                    <w:tl2br w:val="nil"/>
                    <w:tr2bl w:val="nil"/>
                  </w:tcBorders>
                  <w:noWrap w:val="0"/>
                  <w:vAlign w:val="center"/>
                </w:tcPr>
                <w:p w14:paraId="515762C5">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67034B6E">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1439BAE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27.2 </w:t>
                  </w:r>
                </w:p>
              </w:tc>
              <w:tc>
                <w:tcPr>
                  <w:tcW w:w="1073" w:type="dxa"/>
                  <w:vMerge w:val="continue"/>
                  <w:tcBorders>
                    <w:tl2br w:val="nil"/>
                    <w:tr2bl w:val="nil"/>
                  </w:tcBorders>
                  <w:noWrap w:val="0"/>
                  <w:vAlign w:val="center"/>
                </w:tcPr>
                <w:p w14:paraId="533548C1">
                  <w:pPr>
                    <w:widowControl/>
                    <w:jc w:val="center"/>
                    <w:rPr>
                      <w:rFonts w:hint="default" w:ascii="Times New Roman" w:hAnsi="Times New Roman" w:eastAsia="宋体" w:cs="Times New Roman"/>
                      <w:color w:val="auto"/>
                      <w:kern w:val="0"/>
                      <w:sz w:val="21"/>
                      <w:szCs w:val="21"/>
                      <w:highlight w:val="none"/>
                    </w:rPr>
                  </w:pPr>
                </w:p>
              </w:tc>
            </w:tr>
            <w:tr w14:paraId="05A0876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82" w:hRule="atLeast"/>
                <w:jc w:val="center"/>
              </w:trPr>
              <w:tc>
                <w:tcPr>
                  <w:tcW w:w="485" w:type="dxa"/>
                  <w:vMerge w:val="continue"/>
                  <w:tcBorders>
                    <w:tl2br w:val="nil"/>
                    <w:tr2bl w:val="nil"/>
                  </w:tcBorders>
                  <w:noWrap/>
                  <w:vAlign w:val="center"/>
                </w:tcPr>
                <w:p w14:paraId="5AC4804A">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15F56C6C">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op w:val="single" w:color="auto" w:sz="4" w:space="0"/>
                    <w:bottom w:val="single" w:color="auto" w:sz="4" w:space="0"/>
                    <w:tl2br w:val="nil"/>
                    <w:tr2bl w:val="nil"/>
                  </w:tcBorders>
                  <w:noWrap w:val="0"/>
                  <w:vAlign w:val="center"/>
                </w:tcPr>
                <w:p w14:paraId="7FF0973F">
                  <w:pPr>
                    <w:jc w:val="center"/>
                    <w:rPr>
                      <w:rFonts w:hint="default" w:ascii="Times New Roman" w:hAnsi="Times New Roman" w:eastAsia="Arial" w:cs="Times New Roman"/>
                      <w:color w:val="auto"/>
                      <w:sz w:val="21"/>
                      <w:szCs w:val="21"/>
                      <w:highlight w:val="none"/>
                    </w:rPr>
                  </w:pPr>
                </w:p>
              </w:tc>
              <w:tc>
                <w:tcPr>
                  <w:tcW w:w="589" w:type="dxa"/>
                  <w:vMerge w:val="continue"/>
                  <w:tcBorders>
                    <w:tl2br w:val="nil"/>
                    <w:tr2bl w:val="nil"/>
                  </w:tcBorders>
                  <w:noWrap/>
                  <w:vAlign w:val="center"/>
                </w:tcPr>
                <w:p w14:paraId="269C5452">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33FD4FD8">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467E4546">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726850FC">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583B669F">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5D3DCE5C">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w:t>
                  </w:r>
                </w:p>
              </w:tc>
              <w:tc>
                <w:tcPr>
                  <w:tcW w:w="739" w:type="dxa"/>
                  <w:tcBorders>
                    <w:top w:val="single" w:color="auto" w:sz="4" w:space="0"/>
                    <w:bottom w:val="single" w:color="auto" w:sz="4" w:space="0"/>
                    <w:tl2br w:val="nil"/>
                    <w:tr2bl w:val="nil"/>
                  </w:tcBorders>
                  <w:noWrap w:val="0"/>
                  <w:vAlign w:val="center"/>
                </w:tcPr>
                <w:p w14:paraId="1D21D764">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932" w:type="dxa"/>
                  <w:tcBorders>
                    <w:top w:val="single" w:color="auto" w:sz="4" w:space="0"/>
                    <w:bottom w:val="single" w:color="auto" w:sz="4" w:space="0"/>
                    <w:tl2br w:val="nil"/>
                    <w:tr2bl w:val="nil"/>
                  </w:tcBorders>
                  <w:noWrap w:val="0"/>
                  <w:vAlign w:val="center"/>
                </w:tcPr>
                <w:p w14:paraId="229C6A4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75.0</w:t>
                  </w:r>
                </w:p>
              </w:tc>
              <w:tc>
                <w:tcPr>
                  <w:tcW w:w="695" w:type="dxa"/>
                  <w:vMerge w:val="continue"/>
                  <w:tcBorders>
                    <w:tl2br w:val="nil"/>
                    <w:tr2bl w:val="nil"/>
                  </w:tcBorders>
                  <w:noWrap w:val="0"/>
                  <w:vAlign w:val="center"/>
                </w:tcPr>
                <w:p w14:paraId="3D76D8BD">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0CFA6B31">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54E69D6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54.0 </w:t>
                  </w:r>
                </w:p>
              </w:tc>
              <w:tc>
                <w:tcPr>
                  <w:tcW w:w="1073" w:type="dxa"/>
                  <w:vMerge w:val="continue"/>
                  <w:tcBorders>
                    <w:tl2br w:val="nil"/>
                    <w:tr2bl w:val="nil"/>
                  </w:tcBorders>
                  <w:noWrap w:val="0"/>
                  <w:vAlign w:val="center"/>
                </w:tcPr>
                <w:p w14:paraId="57CDA125">
                  <w:pPr>
                    <w:widowControl/>
                    <w:jc w:val="center"/>
                    <w:rPr>
                      <w:rFonts w:hint="default" w:ascii="Times New Roman" w:hAnsi="Times New Roman" w:eastAsia="宋体" w:cs="Times New Roman"/>
                      <w:color w:val="auto"/>
                      <w:kern w:val="0"/>
                      <w:sz w:val="21"/>
                      <w:szCs w:val="21"/>
                      <w:highlight w:val="none"/>
                    </w:rPr>
                  </w:pPr>
                </w:p>
              </w:tc>
            </w:tr>
            <w:tr w14:paraId="11DC624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61" w:hRule="atLeast"/>
                <w:jc w:val="center"/>
              </w:trPr>
              <w:tc>
                <w:tcPr>
                  <w:tcW w:w="485" w:type="dxa"/>
                  <w:vMerge w:val="continue"/>
                  <w:tcBorders>
                    <w:tl2br w:val="nil"/>
                    <w:tr2bl w:val="nil"/>
                  </w:tcBorders>
                  <w:noWrap/>
                  <w:vAlign w:val="center"/>
                </w:tcPr>
                <w:p w14:paraId="0BF3FA83">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4CF50684">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op w:val="single" w:color="auto" w:sz="4" w:space="0"/>
                    <w:bottom w:val="single" w:color="auto" w:sz="4" w:space="0"/>
                    <w:tl2br w:val="nil"/>
                    <w:tr2bl w:val="nil"/>
                  </w:tcBorders>
                  <w:noWrap w:val="0"/>
                  <w:vAlign w:val="center"/>
                </w:tcPr>
                <w:p w14:paraId="1F9727E0">
                  <w:pPr>
                    <w:jc w:val="center"/>
                    <w:rPr>
                      <w:rFonts w:hint="default" w:ascii="Times New Roman" w:hAnsi="Times New Roman" w:eastAsia="Arial" w:cs="Times New Roman"/>
                      <w:color w:val="auto"/>
                      <w:sz w:val="21"/>
                      <w:szCs w:val="21"/>
                      <w:highlight w:val="none"/>
                    </w:rPr>
                  </w:pPr>
                </w:p>
              </w:tc>
              <w:tc>
                <w:tcPr>
                  <w:tcW w:w="589" w:type="dxa"/>
                  <w:vMerge w:val="continue"/>
                  <w:tcBorders>
                    <w:tl2br w:val="nil"/>
                    <w:tr2bl w:val="nil"/>
                  </w:tcBorders>
                  <w:noWrap/>
                  <w:vAlign w:val="center"/>
                </w:tcPr>
                <w:p w14:paraId="6676A04C">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1AE884B4">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02603095">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2FEB0EB4">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27F3E4EA">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tl2br w:val="nil"/>
                    <w:tr2bl w:val="nil"/>
                  </w:tcBorders>
                  <w:noWrap w:val="0"/>
                  <w:vAlign w:val="center"/>
                </w:tcPr>
                <w:p w14:paraId="54F4904F">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p>
              </w:tc>
              <w:tc>
                <w:tcPr>
                  <w:tcW w:w="739" w:type="dxa"/>
                  <w:tcBorders>
                    <w:top w:val="single" w:color="auto" w:sz="4" w:space="0"/>
                    <w:tl2br w:val="nil"/>
                    <w:tr2bl w:val="nil"/>
                  </w:tcBorders>
                  <w:noWrap w:val="0"/>
                  <w:vAlign w:val="center"/>
                </w:tcPr>
                <w:p w14:paraId="5BA2669B">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86</w:t>
                  </w:r>
                </w:p>
              </w:tc>
              <w:tc>
                <w:tcPr>
                  <w:tcW w:w="932" w:type="dxa"/>
                  <w:tcBorders>
                    <w:top w:val="single" w:color="auto" w:sz="4" w:space="0"/>
                    <w:tl2br w:val="nil"/>
                    <w:tr2bl w:val="nil"/>
                  </w:tcBorders>
                  <w:noWrap w:val="0"/>
                  <w:vAlign w:val="center"/>
                </w:tcPr>
                <w:p w14:paraId="73AF74C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36.3</w:t>
                  </w:r>
                </w:p>
              </w:tc>
              <w:tc>
                <w:tcPr>
                  <w:tcW w:w="695" w:type="dxa"/>
                  <w:vMerge w:val="continue"/>
                  <w:tcBorders>
                    <w:bottom w:val="single" w:color="auto" w:sz="4" w:space="0"/>
                    <w:tl2br w:val="nil"/>
                    <w:tr2bl w:val="nil"/>
                  </w:tcBorders>
                  <w:noWrap w:val="0"/>
                  <w:vAlign w:val="center"/>
                </w:tcPr>
                <w:p w14:paraId="7C00F6A6">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bottom w:val="single" w:color="auto" w:sz="4" w:space="0"/>
                    <w:tl2br w:val="nil"/>
                    <w:tr2bl w:val="nil"/>
                  </w:tcBorders>
                  <w:noWrap w:val="0"/>
                  <w:vAlign w:val="center"/>
                </w:tcPr>
                <w:p w14:paraId="1EA2A5AD">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55DF636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15.3 </w:t>
                  </w:r>
                </w:p>
              </w:tc>
              <w:tc>
                <w:tcPr>
                  <w:tcW w:w="1073" w:type="dxa"/>
                  <w:vMerge w:val="continue"/>
                  <w:tcBorders>
                    <w:tl2br w:val="nil"/>
                    <w:tr2bl w:val="nil"/>
                  </w:tcBorders>
                  <w:noWrap w:val="0"/>
                  <w:vAlign w:val="center"/>
                </w:tcPr>
                <w:p w14:paraId="7D7A24C5">
                  <w:pPr>
                    <w:widowControl/>
                    <w:jc w:val="center"/>
                    <w:rPr>
                      <w:rFonts w:hint="default" w:ascii="Times New Roman" w:hAnsi="Times New Roman" w:eastAsia="宋体" w:cs="Times New Roman"/>
                      <w:color w:val="auto"/>
                      <w:kern w:val="0"/>
                      <w:sz w:val="21"/>
                      <w:szCs w:val="21"/>
                      <w:highlight w:val="none"/>
                    </w:rPr>
                  </w:pPr>
                </w:p>
              </w:tc>
            </w:tr>
            <w:tr w14:paraId="24AF659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485" w:type="dxa"/>
                  <w:vMerge w:val="restart"/>
                  <w:tcBorders>
                    <w:tl2br w:val="nil"/>
                    <w:tr2bl w:val="nil"/>
                  </w:tcBorders>
                  <w:noWrap/>
                  <w:vAlign w:val="center"/>
                </w:tcPr>
                <w:p w14:paraId="632E47C7">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w:t>
                  </w:r>
                </w:p>
              </w:tc>
              <w:tc>
                <w:tcPr>
                  <w:tcW w:w="697" w:type="dxa"/>
                  <w:vMerge w:val="continue"/>
                  <w:tcBorders>
                    <w:tl2br w:val="nil"/>
                    <w:tr2bl w:val="nil"/>
                  </w:tcBorders>
                  <w:noWrap/>
                  <w:vAlign w:val="center"/>
                </w:tcPr>
                <w:p w14:paraId="5CB9176C">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restart"/>
                  <w:tcBorders>
                    <w:top w:val="single" w:color="auto" w:sz="4" w:space="0"/>
                    <w:bottom w:val="single" w:color="auto" w:sz="4" w:space="0"/>
                    <w:tl2br w:val="nil"/>
                    <w:tr2bl w:val="nil"/>
                  </w:tcBorders>
                  <w:noWrap w:val="0"/>
                  <w:vAlign w:val="center"/>
                </w:tcPr>
                <w:p w14:paraId="2024FAD0">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Calibri" w:cs="Times New Roman"/>
                      <w:color w:val="auto"/>
                      <w:kern w:val="2"/>
                      <w:sz w:val="21"/>
                      <w:szCs w:val="21"/>
                      <w:lang w:val="en-US" w:eastAsia="zh-CN"/>
                    </w:rPr>
                    <w:t>全自动冷烫机</w:t>
                  </w:r>
                </w:p>
              </w:tc>
              <w:tc>
                <w:tcPr>
                  <w:tcW w:w="589" w:type="dxa"/>
                  <w:vMerge w:val="restart"/>
                  <w:tcBorders>
                    <w:tl2br w:val="nil"/>
                    <w:tr2bl w:val="nil"/>
                  </w:tcBorders>
                  <w:noWrap/>
                  <w:vAlign w:val="center"/>
                </w:tcPr>
                <w:p w14:paraId="40F6E781">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636" w:type="dxa"/>
                  <w:vMerge w:val="restart"/>
                  <w:tcBorders>
                    <w:tl2br w:val="nil"/>
                    <w:tr2bl w:val="nil"/>
                  </w:tcBorders>
                  <w:noWrap/>
                  <w:vAlign w:val="center"/>
                </w:tcPr>
                <w:p w14:paraId="133FBD74">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c>
                <w:tcPr>
                  <w:tcW w:w="750" w:type="dxa"/>
                  <w:vMerge w:val="restart"/>
                  <w:tcBorders>
                    <w:tl2br w:val="nil"/>
                    <w:tr2bl w:val="nil"/>
                  </w:tcBorders>
                  <w:noWrap/>
                  <w:vAlign w:val="center"/>
                </w:tcPr>
                <w:p w14:paraId="5E5E18C8">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425" w:type="dxa"/>
                  <w:vMerge w:val="restart"/>
                  <w:tcBorders>
                    <w:tl2br w:val="nil"/>
                    <w:tr2bl w:val="nil"/>
                  </w:tcBorders>
                  <w:noWrap/>
                  <w:vAlign w:val="center"/>
                </w:tcPr>
                <w:p w14:paraId="7CC6D602">
                  <w:pPr>
                    <w:widowControl/>
                    <w:jc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lang w:val="en-US" w:eastAsia="zh-CN"/>
                    </w:rPr>
                    <w:t>75</w:t>
                  </w:r>
                  <w:r>
                    <w:rPr>
                      <w:rFonts w:hint="default" w:ascii="Times New Roman" w:hAnsi="Times New Roman" w:eastAsia="宋体" w:cs="Times New Roman"/>
                      <w:color w:val="auto"/>
                      <w:kern w:val="0"/>
                      <w:sz w:val="21"/>
                      <w:szCs w:val="21"/>
                    </w:rPr>
                    <w:t>/1</w:t>
                  </w:r>
                </w:p>
              </w:tc>
              <w:tc>
                <w:tcPr>
                  <w:tcW w:w="1222" w:type="dxa"/>
                  <w:vMerge w:val="restart"/>
                  <w:tcBorders>
                    <w:tl2br w:val="nil"/>
                    <w:tr2bl w:val="nil"/>
                  </w:tcBorders>
                  <w:noWrap/>
                  <w:vAlign w:val="center"/>
                </w:tcPr>
                <w:p w14:paraId="4CB8297B">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隔声、减振</w:t>
                  </w:r>
                </w:p>
              </w:tc>
              <w:tc>
                <w:tcPr>
                  <w:tcW w:w="686" w:type="dxa"/>
                  <w:tcBorders>
                    <w:bottom w:val="single" w:color="auto" w:sz="4" w:space="0"/>
                    <w:tl2br w:val="nil"/>
                    <w:tr2bl w:val="nil"/>
                  </w:tcBorders>
                  <w:noWrap w:val="0"/>
                  <w:vAlign w:val="center"/>
                </w:tcPr>
                <w:p w14:paraId="47B24ECE">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E</w:t>
                  </w:r>
                </w:p>
              </w:tc>
              <w:tc>
                <w:tcPr>
                  <w:tcW w:w="739" w:type="dxa"/>
                  <w:tcBorders>
                    <w:bottom w:val="single" w:color="auto" w:sz="4" w:space="0"/>
                    <w:tl2br w:val="nil"/>
                    <w:tr2bl w:val="nil"/>
                  </w:tcBorders>
                  <w:noWrap w:val="0"/>
                  <w:vAlign w:val="center"/>
                </w:tcPr>
                <w:p w14:paraId="55048A0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932" w:type="dxa"/>
                  <w:tcBorders>
                    <w:bottom w:val="single" w:color="auto" w:sz="4" w:space="0"/>
                    <w:tl2br w:val="nil"/>
                    <w:tr2bl w:val="nil"/>
                  </w:tcBorders>
                  <w:noWrap w:val="0"/>
                  <w:vAlign w:val="center"/>
                </w:tcPr>
                <w:p w14:paraId="6742E171">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36.9</w:t>
                  </w:r>
                </w:p>
              </w:tc>
              <w:tc>
                <w:tcPr>
                  <w:tcW w:w="695" w:type="dxa"/>
                  <w:vMerge w:val="restart"/>
                  <w:tcBorders>
                    <w:top w:val="single" w:color="auto" w:sz="4" w:space="0"/>
                    <w:tl2br w:val="nil"/>
                    <w:tr2bl w:val="nil"/>
                  </w:tcBorders>
                  <w:noWrap w:val="0"/>
                  <w:vAlign w:val="center"/>
                </w:tcPr>
                <w:p w14:paraId="3339FB96">
                  <w:pPr>
                    <w:widowControl/>
                    <w:jc w:val="center"/>
                    <w:rPr>
                      <w:rFonts w:hint="default" w:ascii="Times New Roman" w:hAnsi="Times New Roman" w:eastAsia="等线" w:cs="Times New Roman"/>
                      <w:color w:val="auto"/>
                      <w:sz w:val="21"/>
                      <w:szCs w:val="21"/>
                      <w:highlight w:val="none"/>
                    </w:rPr>
                  </w:pPr>
                  <w:r>
                    <w:rPr>
                      <w:rFonts w:hint="eastAsia" w:eastAsia="等线" w:cs="Times New Roman"/>
                      <w:color w:val="auto"/>
                      <w:sz w:val="21"/>
                      <w:szCs w:val="21"/>
                      <w:highlight w:val="none"/>
                      <w:lang w:val="en-US" w:eastAsia="zh-CN"/>
                    </w:rPr>
                    <w:t>16</w:t>
                  </w:r>
                  <w:r>
                    <w:rPr>
                      <w:rFonts w:hint="default" w:ascii="Times New Roman" w:hAnsi="Times New Roman" w:eastAsia="等线" w:cs="Times New Roman"/>
                      <w:color w:val="auto"/>
                      <w:sz w:val="21"/>
                      <w:szCs w:val="21"/>
                      <w:highlight w:val="none"/>
                    </w:rPr>
                    <w:t>h/d</w:t>
                  </w:r>
                </w:p>
              </w:tc>
              <w:tc>
                <w:tcPr>
                  <w:tcW w:w="889" w:type="dxa"/>
                  <w:vMerge w:val="restart"/>
                  <w:tcBorders>
                    <w:top w:val="single" w:color="auto" w:sz="4" w:space="0"/>
                    <w:tl2br w:val="nil"/>
                    <w:tr2bl w:val="nil"/>
                  </w:tcBorders>
                  <w:noWrap w:val="0"/>
                  <w:vAlign w:val="center"/>
                </w:tcPr>
                <w:p w14:paraId="3BB63E78">
                  <w:pPr>
                    <w:widowControl/>
                    <w:jc w:val="center"/>
                    <w:rPr>
                      <w:rFonts w:hint="default" w:ascii="Times New Roman" w:hAnsi="Times New Roman" w:eastAsia="等线" w:cs="Times New Roman"/>
                      <w:color w:val="auto"/>
                      <w:sz w:val="21"/>
                      <w:szCs w:val="21"/>
                      <w:highlight w:val="none"/>
                    </w:rPr>
                  </w:pPr>
                  <w:r>
                    <w:rPr>
                      <w:rFonts w:hint="default" w:ascii="Times New Roman" w:hAnsi="Times New Roman" w:eastAsia="等线" w:cs="Times New Roman"/>
                      <w:color w:val="auto"/>
                      <w:sz w:val="21"/>
                      <w:szCs w:val="21"/>
                      <w:highlight w:val="none"/>
                      <w:lang w:val="en-US" w:eastAsia="zh-CN"/>
                    </w:rPr>
                    <w:t>21</w:t>
                  </w:r>
                </w:p>
              </w:tc>
              <w:tc>
                <w:tcPr>
                  <w:tcW w:w="932" w:type="dxa"/>
                  <w:tcBorders>
                    <w:top w:val="single" w:color="auto" w:sz="4" w:space="0"/>
                    <w:bottom w:val="single" w:color="auto" w:sz="4" w:space="0"/>
                    <w:tl2br w:val="nil"/>
                    <w:tr2bl w:val="nil"/>
                  </w:tcBorders>
                  <w:noWrap/>
                  <w:vAlign w:val="center"/>
                </w:tcPr>
                <w:p w14:paraId="1556E62C">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15.9 </w:t>
                  </w:r>
                </w:p>
              </w:tc>
              <w:tc>
                <w:tcPr>
                  <w:tcW w:w="1073" w:type="dxa"/>
                  <w:vMerge w:val="restart"/>
                  <w:tcBorders>
                    <w:tl2br w:val="nil"/>
                    <w:tr2bl w:val="nil"/>
                  </w:tcBorders>
                  <w:noWrap w:val="0"/>
                  <w:vAlign w:val="center"/>
                </w:tcPr>
                <w:p w14:paraId="3F80B91B">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r>
            <w:tr w14:paraId="42278C73">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14" w:hRule="atLeast"/>
                <w:jc w:val="center"/>
              </w:trPr>
              <w:tc>
                <w:tcPr>
                  <w:tcW w:w="485" w:type="dxa"/>
                  <w:vMerge w:val="continue"/>
                  <w:tcBorders>
                    <w:tl2br w:val="nil"/>
                    <w:tr2bl w:val="nil"/>
                  </w:tcBorders>
                  <w:noWrap/>
                  <w:vAlign w:val="center"/>
                </w:tcPr>
                <w:p w14:paraId="71CAA5BB">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45ADCB0B">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op w:val="single" w:color="auto" w:sz="4" w:space="0"/>
                    <w:bottom w:val="single" w:color="auto" w:sz="4" w:space="0"/>
                    <w:tl2br w:val="nil"/>
                    <w:tr2bl w:val="nil"/>
                  </w:tcBorders>
                  <w:noWrap w:val="0"/>
                  <w:vAlign w:val="center"/>
                </w:tcPr>
                <w:p w14:paraId="28BF097F">
                  <w:pPr>
                    <w:jc w:val="center"/>
                    <w:rPr>
                      <w:rFonts w:hint="default" w:ascii="Times New Roman" w:hAnsi="Times New Roman" w:eastAsia="Arial" w:cs="Times New Roman"/>
                      <w:color w:val="auto"/>
                      <w:sz w:val="21"/>
                      <w:szCs w:val="21"/>
                      <w:highlight w:val="none"/>
                    </w:rPr>
                  </w:pPr>
                </w:p>
              </w:tc>
              <w:tc>
                <w:tcPr>
                  <w:tcW w:w="589" w:type="dxa"/>
                  <w:vMerge w:val="continue"/>
                  <w:tcBorders>
                    <w:tl2br w:val="nil"/>
                    <w:tr2bl w:val="nil"/>
                  </w:tcBorders>
                  <w:noWrap/>
                  <w:vAlign w:val="center"/>
                </w:tcPr>
                <w:p w14:paraId="5C30C7C4">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7807999A">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139495A6">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608F51A7">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049A8996">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58576F8B">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S</w:t>
                  </w:r>
                </w:p>
              </w:tc>
              <w:tc>
                <w:tcPr>
                  <w:tcW w:w="739" w:type="dxa"/>
                  <w:tcBorders>
                    <w:top w:val="single" w:color="auto" w:sz="4" w:space="0"/>
                    <w:bottom w:val="single" w:color="auto" w:sz="4" w:space="0"/>
                    <w:tl2br w:val="nil"/>
                    <w:tr2bl w:val="nil"/>
                  </w:tcBorders>
                  <w:noWrap w:val="0"/>
                  <w:vAlign w:val="center"/>
                </w:tcPr>
                <w:p w14:paraId="074C52E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c>
                <w:tcPr>
                  <w:tcW w:w="932" w:type="dxa"/>
                  <w:tcBorders>
                    <w:top w:val="single" w:color="auto" w:sz="4" w:space="0"/>
                    <w:bottom w:val="single" w:color="auto" w:sz="4" w:space="0"/>
                    <w:tl2br w:val="nil"/>
                    <w:tr2bl w:val="nil"/>
                  </w:tcBorders>
                  <w:noWrap w:val="0"/>
                  <w:vAlign w:val="center"/>
                </w:tcPr>
                <w:p w14:paraId="45C111D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42.3</w:t>
                  </w:r>
                </w:p>
              </w:tc>
              <w:tc>
                <w:tcPr>
                  <w:tcW w:w="695" w:type="dxa"/>
                  <w:vMerge w:val="continue"/>
                  <w:tcBorders>
                    <w:tl2br w:val="nil"/>
                    <w:tr2bl w:val="nil"/>
                  </w:tcBorders>
                  <w:noWrap w:val="0"/>
                  <w:vAlign w:val="center"/>
                </w:tcPr>
                <w:p w14:paraId="453F7B57">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79ED00F0">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7121833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21.3 </w:t>
                  </w:r>
                </w:p>
              </w:tc>
              <w:tc>
                <w:tcPr>
                  <w:tcW w:w="1073" w:type="dxa"/>
                  <w:vMerge w:val="continue"/>
                  <w:tcBorders>
                    <w:tl2br w:val="nil"/>
                    <w:tr2bl w:val="nil"/>
                  </w:tcBorders>
                  <w:noWrap w:val="0"/>
                  <w:vAlign w:val="center"/>
                </w:tcPr>
                <w:p w14:paraId="57AD7529">
                  <w:pPr>
                    <w:widowControl/>
                    <w:jc w:val="center"/>
                    <w:rPr>
                      <w:rFonts w:hint="default" w:ascii="Times New Roman" w:hAnsi="Times New Roman" w:eastAsia="宋体" w:cs="Times New Roman"/>
                      <w:color w:val="auto"/>
                      <w:kern w:val="0"/>
                      <w:sz w:val="21"/>
                      <w:szCs w:val="21"/>
                      <w:highlight w:val="none"/>
                    </w:rPr>
                  </w:pPr>
                </w:p>
              </w:tc>
            </w:tr>
            <w:tr w14:paraId="62DCA51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30" w:hRule="atLeast"/>
                <w:jc w:val="center"/>
              </w:trPr>
              <w:tc>
                <w:tcPr>
                  <w:tcW w:w="485" w:type="dxa"/>
                  <w:vMerge w:val="continue"/>
                  <w:tcBorders>
                    <w:tl2br w:val="nil"/>
                    <w:tr2bl w:val="nil"/>
                  </w:tcBorders>
                  <w:noWrap/>
                  <w:vAlign w:val="center"/>
                </w:tcPr>
                <w:p w14:paraId="028A295B">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18DAE371">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op w:val="single" w:color="auto" w:sz="4" w:space="0"/>
                    <w:bottom w:val="single" w:color="auto" w:sz="4" w:space="0"/>
                    <w:tl2br w:val="nil"/>
                    <w:tr2bl w:val="nil"/>
                  </w:tcBorders>
                  <w:noWrap w:val="0"/>
                  <w:vAlign w:val="center"/>
                </w:tcPr>
                <w:p w14:paraId="47069570">
                  <w:pPr>
                    <w:jc w:val="center"/>
                    <w:rPr>
                      <w:rFonts w:hint="default" w:ascii="Times New Roman" w:hAnsi="Times New Roman" w:eastAsia="Arial" w:cs="Times New Roman"/>
                      <w:color w:val="auto"/>
                      <w:sz w:val="21"/>
                      <w:szCs w:val="21"/>
                      <w:highlight w:val="none"/>
                    </w:rPr>
                  </w:pPr>
                </w:p>
              </w:tc>
              <w:tc>
                <w:tcPr>
                  <w:tcW w:w="589" w:type="dxa"/>
                  <w:vMerge w:val="continue"/>
                  <w:tcBorders>
                    <w:tl2br w:val="nil"/>
                    <w:tr2bl w:val="nil"/>
                  </w:tcBorders>
                  <w:noWrap/>
                  <w:vAlign w:val="center"/>
                </w:tcPr>
                <w:p w14:paraId="460E288A">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4D46A8A1">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14E08F13">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2634AA42">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5FE6915B">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73675186">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w:t>
                  </w:r>
                </w:p>
              </w:tc>
              <w:tc>
                <w:tcPr>
                  <w:tcW w:w="739" w:type="dxa"/>
                  <w:tcBorders>
                    <w:top w:val="single" w:color="auto" w:sz="4" w:space="0"/>
                    <w:bottom w:val="single" w:color="auto" w:sz="4" w:space="0"/>
                    <w:tl2br w:val="nil"/>
                    <w:tr2bl w:val="nil"/>
                  </w:tcBorders>
                  <w:noWrap w:val="0"/>
                  <w:vAlign w:val="center"/>
                </w:tcPr>
                <w:p w14:paraId="7AF47C7B">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932" w:type="dxa"/>
                  <w:tcBorders>
                    <w:top w:val="single" w:color="auto" w:sz="4" w:space="0"/>
                    <w:bottom w:val="single" w:color="auto" w:sz="4" w:space="0"/>
                    <w:tl2br w:val="nil"/>
                    <w:tr2bl w:val="nil"/>
                  </w:tcBorders>
                  <w:noWrap w:val="0"/>
                  <w:vAlign w:val="center"/>
                </w:tcPr>
                <w:p w14:paraId="1B4C320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55.0</w:t>
                  </w:r>
                </w:p>
              </w:tc>
              <w:tc>
                <w:tcPr>
                  <w:tcW w:w="695" w:type="dxa"/>
                  <w:vMerge w:val="continue"/>
                  <w:tcBorders>
                    <w:tl2br w:val="nil"/>
                    <w:tr2bl w:val="nil"/>
                  </w:tcBorders>
                  <w:noWrap w:val="0"/>
                  <w:vAlign w:val="center"/>
                </w:tcPr>
                <w:p w14:paraId="4567D37D">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3C317CB5">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57A6605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34.0 </w:t>
                  </w:r>
                </w:p>
              </w:tc>
              <w:tc>
                <w:tcPr>
                  <w:tcW w:w="1073" w:type="dxa"/>
                  <w:vMerge w:val="continue"/>
                  <w:tcBorders>
                    <w:tl2br w:val="nil"/>
                    <w:tr2bl w:val="nil"/>
                  </w:tcBorders>
                  <w:noWrap w:val="0"/>
                  <w:vAlign w:val="center"/>
                </w:tcPr>
                <w:p w14:paraId="5597713F">
                  <w:pPr>
                    <w:widowControl/>
                    <w:jc w:val="center"/>
                    <w:rPr>
                      <w:rFonts w:hint="default" w:ascii="Times New Roman" w:hAnsi="Times New Roman" w:eastAsia="宋体" w:cs="Times New Roman"/>
                      <w:color w:val="auto"/>
                      <w:kern w:val="0"/>
                      <w:sz w:val="21"/>
                      <w:szCs w:val="21"/>
                      <w:highlight w:val="none"/>
                    </w:rPr>
                  </w:pPr>
                </w:p>
              </w:tc>
            </w:tr>
            <w:tr w14:paraId="7B66708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09" w:hRule="atLeast"/>
                <w:jc w:val="center"/>
              </w:trPr>
              <w:tc>
                <w:tcPr>
                  <w:tcW w:w="485" w:type="dxa"/>
                  <w:vMerge w:val="continue"/>
                  <w:tcBorders>
                    <w:tl2br w:val="nil"/>
                    <w:tr2bl w:val="nil"/>
                  </w:tcBorders>
                  <w:noWrap/>
                  <w:vAlign w:val="center"/>
                </w:tcPr>
                <w:p w14:paraId="2F155E9C">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7C8D588D">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op w:val="single" w:color="auto" w:sz="4" w:space="0"/>
                    <w:bottom w:val="single" w:color="auto" w:sz="4" w:space="0"/>
                    <w:tl2br w:val="nil"/>
                    <w:tr2bl w:val="nil"/>
                  </w:tcBorders>
                  <w:noWrap w:val="0"/>
                  <w:vAlign w:val="center"/>
                </w:tcPr>
                <w:p w14:paraId="29ACDAA6">
                  <w:pPr>
                    <w:jc w:val="center"/>
                    <w:rPr>
                      <w:rFonts w:hint="default" w:ascii="Times New Roman" w:hAnsi="Times New Roman" w:eastAsia="Arial" w:cs="Times New Roman"/>
                      <w:color w:val="auto"/>
                      <w:sz w:val="21"/>
                      <w:szCs w:val="21"/>
                      <w:highlight w:val="none"/>
                    </w:rPr>
                  </w:pPr>
                </w:p>
              </w:tc>
              <w:tc>
                <w:tcPr>
                  <w:tcW w:w="589" w:type="dxa"/>
                  <w:vMerge w:val="continue"/>
                  <w:tcBorders>
                    <w:tl2br w:val="nil"/>
                    <w:tr2bl w:val="nil"/>
                  </w:tcBorders>
                  <w:noWrap/>
                  <w:vAlign w:val="center"/>
                </w:tcPr>
                <w:p w14:paraId="7F6AD074">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2E00CFF3">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49F8B5F7">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337CA9F9">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0C0332C0">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tl2br w:val="nil"/>
                    <w:tr2bl w:val="nil"/>
                  </w:tcBorders>
                  <w:noWrap w:val="0"/>
                  <w:vAlign w:val="center"/>
                </w:tcPr>
                <w:p w14:paraId="633A05AA">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p>
              </w:tc>
              <w:tc>
                <w:tcPr>
                  <w:tcW w:w="739" w:type="dxa"/>
                  <w:tcBorders>
                    <w:top w:val="single" w:color="auto" w:sz="4" w:space="0"/>
                    <w:tl2br w:val="nil"/>
                    <w:tr2bl w:val="nil"/>
                  </w:tcBorders>
                  <w:noWrap w:val="0"/>
                  <w:vAlign w:val="center"/>
                </w:tcPr>
                <w:p w14:paraId="77015F04">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932" w:type="dxa"/>
                  <w:tcBorders>
                    <w:top w:val="single" w:color="auto" w:sz="4" w:space="0"/>
                    <w:tl2br w:val="nil"/>
                    <w:tr2bl w:val="nil"/>
                  </w:tcBorders>
                  <w:noWrap w:val="0"/>
                  <w:vAlign w:val="center"/>
                </w:tcPr>
                <w:p w14:paraId="3226737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38.7</w:t>
                  </w:r>
                </w:p>
              </w:tc>
              <w:tc>
                <w:tcPr>
                  <w:tcW w:w="695" w:type="dxa"/>
                  <w:vMerge w:val="continue"/>
                  <w:tcBorders>
                    <w:bottom w:val="single" w:color="auto" w:sz="4" w:space="0"/>
                    <w:tl2br w:val="nil"/>
                    <w:tr2bl w:val="nil"/>
                  </w:tcBorders>
                  <w:noWrap w:val="0"/>
                  <w:vAlign w:val="center"/>
                </w:tcPr>
                <w:p w14:paraId="718E2B95">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bottom w:val="single" w:color="auto" w:sz="4" w:space="0"/>
                    <w:tl2br w:val="nil"/>
                    <w:tr2bl w:val="nil"/>
                  </w:tcBorders>
                  <w:noWrap w:val="0"/>
                  <w:vAlign w:val="center"/>
                </w:tcPr>
                <w:p w14:paraId="245005E1">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5B6F803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17.7 </w:t>
                  </w:r>
                </w:p>
              </w:tc>
              <w:tc>
                <w:tcPr>
                  <w:tcW w:w="1073" w:type="dxa"/>
                  <w:vMerge w:val="continue"/>
                  <w:tcBorders>
                    <w:tl2br w:val="nil"/>
                    <w:tr2bl w:val="nil"/>
                  </w:tcBorders>
                  <w:noWrap w:val="0"/>
                  <w:vAlign w:val="center"/>
                </w:tcPr>
                <w:p w14:paraId="2E99E060">
                  <w:pPr>
                    <w:widowControl/>
                    <w:jc w:val="center"/>
                    <w:rPr>
                      <w:rFonts w:hint="default" w:ascii="Times New Roman" w:hAnsi="Times New Roman" w:eastAsia="宋体" w:cs="Times New Roman"/>
                      <w:color w:val="auto"/>
                      <w:kern w:val="0"/>
                      <w:sz w:val="21"/>
                      <w:szCs w:val="21"/>
                      <w:highlight w:val="none"/>
                    </w:rPr>
                  </w:pPr>
                </w:p>
              </w:tc>
            </w:tr>
            <w:tr w14:paraId="19CDD21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5" w:hRule="atLeast"/>
                <w:jc w:val="center"/>
              </w:trPr>
              <w:tc>
                <w:tcPr>
                  <w:tcW w:w="485" w:type="dxa"/>
                  <w:vMerge w:val="restart"/>
                  <w:tcBorders>
                    <w:tl2br w:val="nil"/>
                    <w:tr2bl w:val="nil"/>
                  </w:tcBorders>
                  <w:noWrap/>
                  <w:vAlign w:val="center"/>
                </w:tcPr>
                <w:p w14:paraId="561D478F">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c>
                <w:tcPr>
                  <w:tcW w:w="697" w:type="dxa"/>
                  <w:vMerge w:val="continue"/>
                  <w:tcBorders>
                    <w:tl2br w:val="nil"/>
                    <w:tr2bl w:val="nil"/>
                  </w:tcBorders>
                  <w:noWrap/>
                  <w:vAlign w:val="center"/>
                </w:tcPr>
                <w:p w14:paraId="4E7906B9">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restart"/>
                  <w:tcBorders>
                    <w:top w:val="single" w:color="auto" w:sz="4" w:space="0"/>
                    <w:bottom w:val="single" w:color="auto" w:sz="4" w:space="0"/>
                    <w:tl2br w:val="nil"/>
                    <w:tr2bl w:val="nil"/>
                  </w:tcBorders>
                  <w:noWrap w:val="0"/>
                  <w:vAlign w:val="center"/>
                </w:tcPr>
                <w:p w14:paraId="31491294">
                  <w:pPr>
                    <w:spacing w:line="24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eastAsia="Calibri" w:cs="Times New Roman"/>
                      <w:color w:val="auto"/>
                      <w:kern w:val="2"/>
                      <w:sz w:val="21"/>
                      <w:szCs w:val="21"/>
                      <w:lang w:val="en-US" w:eastAsia="zh-CN"/>
                    </w:rPr>
                    <w:t>全自动模切压纹机</w:t>
                  </w:r>
                </w:p>
              </w:tc>
              <w:tc>
                <w:tcPr>
                  <w:tcW w:w="589" w:type="dxa"/>
                  <w:vMerge w:val="restart"/>
                  <w:tcBorders>
                    <w:tl2br w:val="nil"/>
                    <w:tr2bl w:val="nil"/>
                  </w:tcBorders>
                  <w:noWrap/>
                  <w:vAlign w:val="center"/>
                </w:tcPr>
                <w:p w14:paraId="1DFCA8D3">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636" w:type="dxa"/>
                  <w:vMerge w:val="restart"/>
                  <w:tcBorders>
                    <w:tl2br w:val="nil"/>
                    <w:tr2bl w:val="nil"/>
                  </w:tcBorders>
                  <w:noWrap/>
                  <w:vAlign w:val="center"/>
                </w:tcPr>
                <w:p w14:paraId="5C5AC540">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750" w:type="dxa"/>
                  <w:vMerge w:val="restart"/>
                  <w:tcBorders>
                    <w:tl2br w:val="nil"/>
                    <w:tr2bl w:val="nil"/>
                  </w:tcBorders>
                  <w:noWrap/>
                  <w:vAlign w:val="center"/>
                </w:tcPr>
                <w:p w14:paraId="472300A1">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425" w:type="dxa"/>
                  <w:vMerge w:val="restart"/>
                  <w:tcBorders>
                    <w:tl2br w:val="nil"/>
                    <w:tr2bl w:val="nil"/>
                  </w:tcBorders>
                  <w:noWrap/>
                  <w:vAlign w:val="center"/>
                </w:tcPr>
                <w:p w14:paraId="127D04AD">
                  <w:pPr>
                    <w:widowControl/>
                    <w:jc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lang w:val="en-US" w:eastAsia="zh-CN"/>
                    </w:rPr>
                    <w:t>75</w:t>
                  </w:r>
                  <w:r>
                    <w:rPr>
                      <w:rFonts w:hint="default" w:ascii="Times New Roman" w:hAnsi="Times New Roman" w:eastAsia="宋体" w:cs="Times New Roman"/>
                      <w:color w:val="auto"/>
                      <w:kern w:val="0"/>
                      <w:sz w:val="21"/>
                      <w:szCs w:val="21"/>
                    </w:rPr>
                    <w:t>/1</w:t>
                  </w:r>
                </w:p>
              </w:tc>
              <w:tc>
                <w:tcPr>
                  <w:tcW w:w="1222" w:type="dxa"/>
                  <w:vMerge w:val="restart"/>
                  <w:tcBorders>
                    <w:tl2br w:val="nil"/>
                    <w:tr2bl w:val="nil"/>
                  </w:tcBorders>
                  <w:noWrap/>
                  <w:vAlign w:val="center"/>
                </w:tcPr>
                <w:p w14:paraId="69B0D641">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隔声、减振</w:t>
                  </w:r>
                </w:p>
              </w:tc>
              <w:tc>
                <w:tcPr>
                  <w:tcW w:w="686" w:type="dxa"/>
                  <w:tcBorders>
                    <w:bottom w:val="single" w:color="auto" w:sz="4" w:space="0"/>
                    <w:tl2br w:val="nil"/>
                    <w:tr2bl w:val="nil"/>
                  </w:tcBorders>
                  <w:noWrap w:val="0"/>
                  <w:vAlign w:val="center"/>
                </w:tcPr>
                <w:p w14:paraId="2E6F344F">
                  <w:pPr>
                    <w:jc w:val="center"/>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color w:val="auto"/>
                      <w:kern w:val="0"/>
                      <w:sz w:val="21"/>
                      <w:szCs w:val="21"/>
                      <w:highlight w:val="none"/>
                      <w:lang w:val="en-US" w:eastAsia="zh-CN"/>
                    </w:rPr>
                    <w:t>E</w:t>
                  </w:r>
                </w:p>
              </w:tc>
              <w:tc>
                <w:tcPr>
                  <w:tcW w:w="739" w:type="dxa"/>
                  <w:tcBorders>
                    <w:bottom w:val="single" w:color="auto" w:sz="4" w:space="0"/>
                    <w:tl2br w:val="nil"/>
                    <w:tr2bl w:val="nil"/>
                  </w:tcBorders>
                  <w:noWrap w:val="0"/>
                  <w:vAlign w:val="center"/>
                </w:tcPr>
                <w:p w14:paraId="3D204D8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932" w:type="dxa"/>
                  <w:tcBorders>
                    <w:bottom w:val="single" w:color="auto" w:sz="4" w:space="0"/>
                    <w:tl2br w:val="nil"/>
                    <w:tr2bl w:val="nil"/>
                  </w:tcBorders>
                  <w:noWrap w:val="0"/>
                  <w:vAlign w:val="center"/>
                </w:tcPr>
                <w:p w14:paraId="15F92C99">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35.9</w:t>
                  </w:r>
                </w:p>
              </w:tc>
              <w:tc>
                <w:tcPr>
                  <w:tcW w:w="695" w:type="dxa"/>
                  <w:vMerge w:val="restart"/>
                  <w:tcBorders>
                    <w:top w:val="single" w:color="auto" w:sz="4" w:space="0"/>
                    <w:tl2br w:val="nil"/>
                    <w:tr2bl w:val="nil"/>
                  </w:tcBorders>
                  <w:noWrap w:val="0"/>
                  <w:vAlign w:val="center"/>
                </w:tcPr>
                <w:p w14:paraId="66691A90">
                  <w:pPr>
                    <w:widowControl/>
                    <w:jc w:val="center"/>
                    <w:rPr>
                      <w:rFonts w:hint="default" w:ascii="Times New Roman" w:hAnsi="Times New Roman" w:eastAsia="宋体" w:cs="Times New Roman"/>
                      <w:color w:val="auto"/>
                      <w:kern w:val="0"/>
                      <w:sz w:val="21"/>
                      <w:szCs w:val="21"/>
                      <w:highlight w:val="none"/>
                    </w:rPr>
                  </w:pPr>
                  <w:r>
                    <w:rPr>
                      <w:rFonts w:hint="eastAsia" w:eastAsia="等线" w:cs="Times New Roman"/>
                      <w:color w:val="auto"/>
                      <w:sz w:val="21"/>
                      <w:szCs w:val="21"/>
                      <w:highlight w:val="none"/>
                      <w:lang w:val="en-US" w:eastAsia="zh-CN"/>
                    </w:rPr>
                    <w:t>16</w:t>
                  </w:r>
                  <w:r>
                    <w:rPr>
                      <w:rFonts w:hint="default" w:ascii="Times New Roman" w:hAnsi="Times New Roman" w:eastAsia="等线" w:cs="Times New Roman"/>
                      <w:color w:val="auto"/>
                      <w:sz w:val="21"/>
                      <w:szCs w:val="21"/>
                      <w:highlight w:val="none"/>
                    </w:rPr>
                    <w:t>h/d</w:t>
                  </w:r>
                </w:p>
              </w:tc>
              <w:tc>
                <w:tcPr>
                  <w:tcW w:w="889" w:type="dxa"/>
                  <w:vMerge w:val="restart"/>
                  <w:tcBorders>
                    <w:top w:val="single" w:color="auto" w:sz="4" w:space="0"/>
                    <w:tl2br w:val="nil"/>
                    <w:tr2bl w:val="nil"/>
                  </w:tcBorders>
                  <w:noWrap w:val="0"/>
                  <w:vAlign w:val="center"/>
                </w:tcPr>
                <w:p w14:paraId="12AB83D5">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等线" w:cs="Times New Roman"/>
                      <w:color w:val="auto"/>
                      <w:sz w:val="21"/>
                      <w:szCs w:val="21"/>
                      <w:highlight w:val="none"/>
                      <w:lang w:val="en-US" w:eastAsia="zh-CN"/>
                    </w:rPr>
                    <w:t>21</w:t>
                  </w:r>
                </w:p>
              </w:tc>
              <w:tc>
                <w:tcPr>
                  <w:tcW w:w="932" w:type="dxa"/>
                  <w:tcBorders>
                    <w:top w:val="single" w:color="auto" w:sz="4" w:space="0"/>
                    <w:bottom w:val="single" w:color="auto" w:sz="4" w:space="0"/>
                    <w:tl2br w:val="nil"/>
                    <w:tr2bl w:val="nil"/>
                  </w:tcBorders>
                  <w:noWrap/>
                  <w:vAlign w:val="center"/>
                </w:tcPr>
                <w:p w14:paraId="457DC8AE">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14.9 </w:t>
                  </w:r>
                </w:p>
              </w:tc>
              <w:tc>
                <w:tcPr>
                  <w:tcW w:w="1073" w:type="dxa"/>
                  <w:vMerge w:val="restart"/>
                  <w:tcBorders>
                    <w:tl2br w:val="nil"/>
                    <w:tr2bl w:val="nil"/>
                  </w:tcBorders>
                  <w:noWrap w:val="0"/>
                  <w:vAlign w:val="center"/>
                </w:tcPr>
                <w:p w14:paraId="68C9385C">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r>
            <w:tr w14:paraId="42A1909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04" w:hRule="atLeast"/>
                <w:jc w:val="center"/>
              </w:trPr>
              <w:tc>
                <w:tcPr>
                  <w:tcW w:w="485" w:type="dxa"/>
                  <w:vMerge w:val="continue"/>
                  <w:tcBorders>
                    <w:tl2br w:val="nil"/>
                    <w:tr2bl w:val="nil"/>
                  </w:tcBorders>
                  <w:noWrap/>
                  <w:vAlign w:val="center"/>
                </w:tcPr>
                <w:p w14:paraId="4A7DD5B1">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48106F90">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op w:val="single" w:color="auto" w:sz="4" w:space="0"/>
                    <w:bottom w:val="single" w:color="auto" w:sz="4" w:space="0"/>
                    <w:tl2br w:val="nil"/>
                    <w:tr2bl w:val="nil"/>
                  </w:tcBorders>
                  <w:noWrap w:val="0"/>
                  <w:vAlign w:val="center"/>
                </w:tcPr>
                <w:p w14:paraId="2D218261">
                  <w:pPr>
                    <w:jc w:val="center"/>
                    <w:rPr>
                      <w:rFonts w:hint="default" w:ascii="Times New Roman" w:hAnsi="Times New Roman" w:eastAsia="Arial" w:cs="Times New Roman"/>
                      <w:color w:val="auto"/>
                      <w:sz w:val="21"/>
                      <w:szCs w:val="21"/>
                      <w:highlight w:val="none"/>
                    </w:rPr>
                  </w:pPr>
                </w:p>
              </w:tc>
              <w:tc>
                <w:tcPr>
                  <w:tcW w:w="589" w:type="dxa"/>
                  <w:vMerge w:val="continue"/>
                  <w:tcBorders>
                    <w:tl2br w:val="nil"/>
                    <w:tr2bl w:val="nil"/>
                  </w:tcBorders>
                  <w:noWrap/>
                  <w:vAlign w:val="center"/>
                </w:tcPr>
                <w:p w14:paraId="453C81DB">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63485CE6">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7B69723E">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10BAAEE6">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040FEFE6">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5E1AAB56">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S</w:t>
                  </w:r>
                </w:p>
              </w:tc>
              <w:tc>
                <w:tcPr>
                  <w:tcW w:w="739" w:type="dxa"/>
                  <w:tcBorders>
                    <w:top w:val="single" w:color="auto" w:sz="4" w:space="0"/>
                    <w:bottom w:val="single" w:color="auto" w:sz="4" w:space="0"/>
                    <w:tl2br w:val="nil"/>
                    <w:tr2bl w:val="nil"/>
                  </w:tcBorders>
                  <w:noWrap w:val="0"/>
                  <w:vAlign w:val="center"/>
                </w:tcPr>
                <w:p w14:paraId="5B652EDB">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932" w:type="dxa"/>
                  <w:tcBorders>
                    <w:top w:val="single" w:color="auto" w:sz="4" w:space="0"/>
                    <w:bottom w:val="single" w:color="auto" w:sz="4" w:space="0"/>
                    <w:tl2br w:val="nil"/>
                    <w:tr2bl w:val="nil"/>
                  </w:tcBorders>
                  <w:noWrap w:val="0"/>
                  <w:vAlign w:val="center"/>
                </w:tcPr>
                <w:p w14:paraId="6C588FF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47.0</w:t>
                  </w:r>
                </w:p>
              </w:tc>
              <w:tc>
                <w:tcPr>
                  <w:tcW w:w="695" w:type="dxa"/>
                  <w:vMerge w:val="continue"/>
                  <w:tcBorders>
                    <w:tl2br w:val="nil"/>
                    <w:tr2bl w:val="nil"/>
                  </w:tcBorders>
                  <w:noWrap w:val="0"/>
                  <w:vAlign w:val="center"/>
                </w:tcPr>
                <w:p w14:paraId="09D18D8A">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467E2F76">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27B5FEA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26.0 </w:t>
                  </w:r>
                </w:p>
              </w:tc>
              <w:tc>
                <w:tcPr>
                  <w:tcW w:w="1073" w:type="dxa"/>
                  <w:vMerge w:val="continue"/>
                  <w:tcBorders>
                    <w:tl2br w:val="nil"/>
                    <w:tr2bl w:val="nil"/>
                  </w:tcBorders>
                  <w:noWrap w:val="0"/>
                  <w:vAlign w:val="center"/>
                </w:tcPr>
                <w:p w14:paraId="74F5238D">
                  <w:pPr>
                    <w:widowControl/>
                    <w:jc w:val="center"/>
                    <w:rPr>
                      <w:rFonts w:hint="default" w:ascii="Times New Roman" w:hAnsi="Times New Roman" w:eastAsia="宋体" w:cs="Times New Roman"/>
                      <w:color w:val="auto"/>
                      <w:kern w:val="0"/>
                      <w:sz w:val="21"/>
                      <w:szCs w:val="21"/>
                      <w:highlight w:val="none"/>
                    </w:rPr>
                  </w:pPr>
                </w:p>
              </w:tc>
            </w:tr>
            <w:tr w14:paraId="538744B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59" w:hRule="atLeast"/>
                <w:jc w:val="center"/>
              </w:trPr>
              <w:tc>
                <w:tcPr>
                  <w:tcW w:w="485" w:type="dxa"/>
                  <w:vMerge w:val="continue"/>
                  <w:tcBorders>
                    <w:tl2br w:val="nil"/>
                    <w:tr2bl w:val="nil"/>
                  </w:tcBorders>
                  <w:noWrap/>
                  <w:vAlign w:val="center"/>
                </w:tcPr>
                <w:p w14:paraId="4135BE3A">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74C267F2">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op w:val="single" w:color="auto" w:sz="4" w:space="0"/>
                    <w:bottom w:val="single" w:color="auto" w:sz="4" w:space="0"/>
                    <w:tl2br w:val="nil"/>
                    <w:tr2bl w:val="nil"/>
                  </w:tcBorders>
                  <w:noWrap w:val="0"/>
                  <w:vAlign w:val="center"/>
                </w:tcPr>
                <w:p w14:paraId="4168308D">
                  <w:pPr>
                    <w:jc w:val="center"/>
                    <w:rPr>
                      <w:rFonts w:hint="default" w:ascii="Times New Roman" w:hAnsi="Times New Roman" w:eastAsia="Arial" w:cs="Times New Roman"/>
                      <w:color w:val="auto"/>
                      <w:sz w:val="21"/>
                      <w:szCs w:val="21"/>
                      <w:highlight w:val="none"/>
                    </w:rPr>
                  </w:pPr>
                </w:p>
              </w:tc>
              <w:tc>
                <w:tcPr>
                  <w:tcW w:w="589" w:type="dxa"/>
                  <w:vMerge w:val="continue"/>
                  <w:tcBorders>
                    <w:tl2br w:val="nil"/>
                    <w:tr2bl w:val="nil"/>
                  </w:tcBorders>
                  <w:noWrap/>
                  <w:vAlign w:val="center"/>
                </w:tcPr>
                <w:p w14:paraId="6729759A">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624889B9">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258536EC">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0D24C74E">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1F695145">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617BBB59">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w:t>
                  </w:r>
                </w:p>
              </w:tc>
              <w:tc>
                <w:tcPr>
                  <w:tcW w:w="739" w:type="dxa"/>
                  <w:tcBorders>
                    <w:top w:val="single" w:color="auto" w:sz="4" w:space="0"/>
                    <w:bottom w:val="single" w:color="auto" w:sz="4" w:space="0"/>
                    <w:tl2br w:val="nil"/>
                    <w:tr2bl w:val="nil"/>
                  </w:tcBorders>
                  <w:noWrap w:val="0"/>
                  <w:vAlign w:val="center"/>
                </w:tcPr>
                <w:p w14:paraId="208BEC7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932" w:type="dxa"/>
                  <w:tcBorders>
                    <w:top w:val="single" w:color="auto" w:sz="4" w:space="0"/>
                    <w:bottom w:val="single" w:color="auto" w:sz="4" w:space="0"/>
                    <w:tl2br w:val="nil"/>
                    <w:tr2bl w:val="nil"/>
                  </w:tcBorders>
                  <w:noWrap w:val="0"/>
                  <w:vAlign w:val="center"/>
                </w:tcPr>
                <w:p w14:paraId="3A2DC0A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75.0</w:t>
                  </w:r>
                </w:p>
              </w:tc>
              <w:tc>
                <w:tcPr>
                  <w:tcW w:w="695" w:type="dxa"/>
                  <w:vMerge w:val="continue"/>
                  <w:tcBorders>
                    <w:tl2br w:val="nil"/>
                    <w:tr2bl w:val="nil"/>
                  </w:tcBorders>
                  <w:noWrap w:val="0"/>
                  <w:vAlign w:val="center"/>
                </w:tcPr>
                <w:p w14:paraId="580D8FA8">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47089196">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7CED4DE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54.0 </w:t>
                  </w:r>
                </w:p>
              </w:tc>
              <w:tc>
                <w:tcPr>
                  <w:tcW w:w="1073" w:type="dxa"/>
                  <w:vMerge w:val="continue"/>
                  <w:tcBorders>
                    <w:tl2br w:val="nil"/>
                    <w:tr2bl w:val="nil"/>
                  </w:tcBorders>
                  <w:noWrap w:val="0"/>
                  <w:vAlign w:val="center"/>
                </w:tcPr>
                <w:p w14:paraId="58DD1363">
                  <w:pPr>
                    <w:widowControl/>
                    <w:jc w:val="center"/>
                    <w:rPr>
                      <w:rFonts w:hint="default" w:ascii="Times New Roman" w:hAnsi="Times New Roman" w:eastAsia="宋体" w:cs="Times New Roman"/>
                      <w:color w:val="auto"/>
                      <w:kern w:val="0"/>
                      <w:sz w:val="21"/>
                      <w:szCs w:val="21"/>
                      <w:highlight w:val="none"/>
                    </w:rPr>
                  </w:pPr>
                </w:p>
              </w:tc>
            </w:tr>
            <w:tr w14:paraId="1B7A696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09" w:hRule="atLeast"/>
                <w:jc w:val="center"/>
              </w:trPr>
              <w:tc>
                <w:tcPr>
                  <w:tcW w:w="485" w:type="dxa"/>
                  <w:vMerge w:val="continue"/>
                  <w:tcBorders>
                    <w:tl2br w:val="nil"/>
                    <w:tr2bl w:val="nil"/>
                  </w:tcBorders>
                  <w:noWrap/>
                  <w:vAlign w:val="center"/>
                </w:tcPr>
                <w:p w14:paraId="57EA67FE">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51265032">
                  <w:pPr>
                    <w:widowControl/>
                    <w:jc w:val="center"/>
                    <w:rPr>
                      <w:rFonts w:hint="default" w:ascii="Times New Roman" w:hAnsi="Times New Roman" w:eastAsia="宋体" w:cs="Times New Roman"/>
                      <w:color w:val="auto"/>
                      <w:kern w:val="0"/>
                      <w:sz w:val="21"/>
                      <w:szCs w:val="21"/>
                      <w:highlight w:val="none"/>
                      <w:lang w:eastAsia="zh-CN"/>
                    </w:rPr>
                  </w:pPr>
                </w:p>
              </w:tc>
              <w:tc>
                <w:tcPr>
                  <w:tcW w:w="1067" w:type="dxa"/>
                  <w:vMerge w:val="continue"/>
                  <w:tcBorders>
                    <w:top w:val="single" w:color="auto" w:sz="4" w:space="0"/>
                    <w:bottom w:val="single" w:color="auto" w:sz="4" w:space="0"/>
                    <w:tl2br w:val="nil"/>
                    <w:tr2bl w:val="nil"/>
                  </w:tcBorders>
                  <w:noWrap w:val="0"/>
                  <w:vAlign w:val="center"/>
                </w:tcPr>
                <w:p w14:paraId="6BD17501">
                  <w:pPr>
                    <w:jc w:val="center"/>
                    <w:rPr>
                      <w:rFonts w:hint="default" w:ascii="Times New Roman" w:hAnsi="Times New Roman" w:eastAsia="Arial" w:cs="Times New Roman"/>
                      <w:color w:val="auto"/>
                      <w:sz w:val="21"/>
                      <w:szCs w:val="21"/>
                      <w:highlight w:val="none"/>
                    </w:rPr>
                  </w:pPr>
                </w:p>
              </w:tc>
              <w:tc>
                <w:tcPr>
                  <w:tcW w:w="589" w:type="dxa"/>
                  <w:vMerge w:val="continue"/>
                  <w:tcBorders>
                    <w:tl2br w:val="nil"/>
                    <w:tr2bl w:val="nil"/>
                  </w:tcBorders>
                  <w:noWrap/>
                  <w:vAlign w:val="center"/>
                </w:tcPr>
                <w:p w14:paraId="5C19427D">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29C79ABA">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3A3058D3">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tl2br w:val="nil"/>
                    <w:tr2bl w:val="nil"/>
                  </w:tcBorders>
                  <w:noWrap/>
                  <w:vAlign w:val="center"/>
                </w:tcPr>
                <w:p w14:paraId="2FBC0EB7">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282D5635">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tl2br w:val="nil"/>
                    <w:tr2bl w:val="nil"/>
                  </w:tcBorders>
                  <w:noWrap w:val="0"/>
                  <w:vAlign w:val="center"/>
                </w:tcPr>
                <w:p w14:paraId="7B32C198">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p>
              </w:tc>
              <w:tc>
                <w:tcPr>
                  <w:tcW w:w="739" w:type="dxa"/>
                  <w:tcBorders>
                    <w:top w:val="single" w:color="auto" w:sz="4" w:space="0"/>
                    <w:tl2br w:val="nil"/>
                    <w:tr2bl w:val="nil"/>
                  </w:tcBorders>
                  <w:noWrap w:val="0"/>
                  <w:vAlign w:val="center"/>
                </w:tcPr>
                <w:p w14:paraId="05394C0C">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932" w:type="dxa"/>
                  <w:tcBorders>
                    <w:top w:val="single" w:color="auto" w:sz="4" w:space="0"/>
                    <w:tl2br w:val="nil"/>
                    <w:tr2bl w:val="nil"/>
                  </w:tcBorders>
                  <w:noWrap w:val="0"/>
                  <w:vAlign w:val="center"/>
                </w:tcPr>
                <w:p w14:paraId="09345C6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36.9</w:t>
                  </w:r>
                </w:p>
              </w:tc>
              <w:tc>
                <w:tcPr>
                  <w:tcW w:w="695" w:type="dxa"/>
                  <w:vMerge w:val="continue"/>
                  <w:tcBorders>
                    <w:bottom w:val="single" w:color="auto" w:sz="4" w:space="0"/>
                    <w:tl2br w:val="nil"/>
                    <w:tr2bl w:val="nil"/>
                  </w:tcBorders>
                  <w:noWrap w:val="0"/>
                  <w:vAlign w:val="center"/>
                </w:tcPr>
                <w:p w14:paraId="17D0CA2A">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bottom w:val="single" w:color="auto" w:sz="4" w:space="0"/>
                    <w:tl2br w:val="nil"/>
                    <w:tr2bl w:val="nil"/>
                  </w:tcBorders>
                  <w:noWrap w:val="0"/>
                  <w:vAlign w:val="center"/>
                </w:tcPr>
                <w:p w14:paraId="301FCD66">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46562A9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15.9 </w:t>
                  </w:r>
                </w:p>
              </w:tc>
              <w:tc>
                <w:tcPr>
                  <w:tcW w:w="1073" w:type="dxa"/>
                  <w:vMerge w:val="continue"/>
                  <w:tcBorders>
                    <w:tl2br w:val="nil"/>
                    <w:tr2bl w:val="nil"/>
                  </w:tcBorders>
                  <w:noWrap w:val="0"/>
                  <w:vAlign w:val="center"/>
                </w:tcPr>
                <w:p w14:paraId="2CFDABC7">
                  <w:pPr>
                    <w:widowControl/>
                    <w:jc w:val="center"/>
                    <w:rPr>
                      <w:rFonts w:hint="default" w:ascii="Times New Roman" w:hAnsi="Times New Roman" w:eastAsia="宋体" w:cs="Times New Roman"/>
                      <w:color w:val="auto"/>
                      <w:kern w:val="0"/>
                      <w:sz w:val="21"/>
                      <w:szCs w:val="21"/>
                      <w:highlight w:val="none"/>
                    </w:rPr>
                  </w:pPr>
                </w:p>
              </w:tc>
            </w:tr>
            <w:tr w14:paraId="1A04F01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83" w:hRule="atLeast"/>
                <w:jc w:val="center"/>
              </w:trPr>
              <w:tc>
                <w:tcPr>
                  <w:tcW w:w="485" w:type="dxa"/>
                  <w:vMerge w:val="restart"/>
                  <w:tcBorders>
                    <w:tl2br w:val="nil"/>
                    <w:tr2bl w:val="nil"/>
                  </w:tcBorders>
                  <w:noWrap/>
                  <w:vAlign w:val="center"/>
                </w:tcPr>
                <w:p w14:paraId="1CBD1B51">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w:t>
                  </w:r>
                </w:p>
              </w:tc>
              <w:tc>
                <w:tcPr>
                  <w:tcW w:w="697" w:type="dxa"/>
                  <w:vMerge w:val="continue"/>
                  <w:tcBorders>
                    <w:tl2br w:val="nil"/>
                    <w:tr2bl w:val="nil"/>
                  </w:tcBorders>
                  <w:noWrap/>
                  <w:vAlign w:val="center"/>
                </w:tcPr>
                <w:p w14:paraId="58159D51">
                  <w:pPr>
                    <w:widowControl/>
                    <w:jc w:val="center"/>
                    <w:rPr>
                      <w:rFonts w:hint="default" w:ascii="Times New Roman" w:hAnsi="Times New Roman" w:eastAsia="宋体" w:cs="Times New Roman"/>
                      <w:color w:val="auto"/>
                      <w:kern w:val="0"/>
                      <w:sz w:val="21"/>
                      <w:szCs w:val="21"/>
                      <w:highlight w:val="none"/>
                    </w:rPr>
                  </w:pPr>
                </w:p>
              </w:tc>
              <w:tc>
                <w:tcPr>
                  <w:tcW w:w="1067" w:type="dxa"/>
                  <w:vMerge w:val="restart"/>
                  <w:tcBorders>
                    <w:top w:val="single" w:color="auto" w:sz="4" w:space="0"/>
                    <w:bottom w:val="single" w:color="auto" w:sz="4" w:space="0"/>
                    <w:tl2br w:val="nil"/>
                    <w:tr2bl w:val="nil"/>
                  </w:tcBorders>
                  <w:noWrap w:val="0"/>
                  <w:vAlign w:val="center"/>
                </w:tcPr>
                <w:p w14:paraId="758462E5">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eastAsia="Calibri" w:cs="Times New Roman"/>
                      <w:color w:val="auto"/>
                      <w:kern w:val="2"/>
                      <w:sz w:val="21"/>
                      <w:szCs w:val="21"/>
                      <w:lang w:val="en-US" w:eastAsia="zh-CN"/>
                    </w:rPr>
                    <w:t>手动模切机（3台）</w:t>
                  </w:r>
                </w:p>
              </w:tc>
              <w:tc>
                <w:tcPr>
                  <w:tcW w:w="589" w:type="dxa"/>
                  <w:vMerge w:val="restart"/>
                  <w:tcBorders>
                    <w:tl2br w:val="nil"/>
                    <w:tr2bl w:val="nil"/>
                  </w:tcBorders>
                  <w:noWrap/>
                  <w:vAlign w:val="center"/>
                </w:tcPr>
                <w:p w14:paraId="42B45047">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636" w:type="dxa"/>
                  <w:vMerge w:val="restart"/>
                  <w:tcBorders>
                    <w:tl2br w:val="nil"/>
                    <w:tr2bl w:val="nil"/>
                  </w:tcBorders>
                  <w:noWrap/>
                  <w:vAlign w:val="center"/>
                </w:tcPr>
                <w:p w14:paraId="3B60D3DB">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750" w:type="dxa"/>
                  <w:vMerge w:val="restart"/>
                  <w:tcBorders>
                    <w:tl2br w:val="nil"/>
                    <w:tr2bl w:val="nil"/>
                  </w:tcBorders>
                  <w:noWrap/>
                  <w:vAlign w:val="center"/>
                </w:tcPr>
                <w:p w14:paraId="7A1405B2">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425" w:type="dxa"/>
                  <w:vMerge w:val="restart"/>
                  <w:tcBorders>
                    <w:tl2br w:val="nil"/>
                    <w:tr2bl w:val="nil"/>
                  </w:tcBorders>
                  <w:noWrap/>
                  <w:vAlign w:val="center"/>
                </w:tcPr>
                <w:p w14:paraId="551A8BA3">
                  <w:pPr>
                    <w:widowControl/>
                    <w:jc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lang w:val="en-US" w:eastAsia="zh-CN"/>
                    </w:rPr>
                    <w:t>75</w:t>
                  </w:r>
                  <w:r>
                    <w:rPr>
                      <w:rFonts w:hint="default" w:ascii="Times New Roman" w:hAnsi="Times New Roman" w:eastAsia="宋体" w:cs="Times New Roman"/>
                      <w:color w:val="auto"/>
                      <w:kern w:val="0"/>
                      <w:sz w:val="21"/>
                      <w:szCs w:val="21"/>
                    </w:rPr>
                    <w:t>/1</w:t>
                  </w:r>
                </w:p>
              </w:tc>
              <w:tc>
                <w:tcPr>
                  <w:tcW w:w="1222" w:type="dxa"/>
                  <w:vMerge w:val="restart"/>
                  <w:tcBorders>
                    <w:tl2br w:val="nil"/>
                    <w:tr2bl w:val="nil"/>
                  </w:tcBorders>
                  <w:noWrap/>
                  <w:vAlign w:val="center"/>
                </w:tcPr>
                <w:p w14:paraId="66691A35">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隔声、减振</w:t>
                  </w:r>
                </w:p>
              </w:tc>
              <w:tc>
                <w:tcPr>
                  <w:tcW w:w="686" w:type="dxa"/>
                  <w:tcBorders>
                    <w:bottom w:val="single" w:color="auto" w:sz="4" w:space="0"/>
                    <w:tl2br w:val="nil"/>
                    <w:tr2bl w:val="nil"/>
                  </w:tcBorders>
                  <w:noWrap w:val="0"/>
                  <w:vAlign w:val="center"/>
                </w:tcPr>
                <w:p w14:paraId="07EC05D2">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E</w:t>
                  </w:r>
                </w:p>
              </w:tc>
              <w:tc>
                <w:tcPr>
                  <w:tcW w:w="739" w:type="dxa"/>
                  <w:tcBorders>
                    <w:bottom w:val="single" w:color="auto" w:sz="4" w:space="0"/>
                    <w:tl2br w:val="nil"/>
                    <w:tr2bl w:val="nil"/>
                  </w:tcBorders>
                  <w:noWrap w:val="0"/>
                  <w:vAlign w:val="center"/>
                </w:tcPr>
                <w:p w14:paraId="777E48E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932" w:type="dxa"/>
                  <w:tcBorders>
                    <w:bottom w:val="single" w:color="auto" w:sz="4" w:space="0"/>
                    <w:tl2br w:val="nil"/>
                    <w:tr2bl w:val="nil"/>
                  </w:tcBorders>
                  <w:noWrap w:val="0"/>
                  <w:vAlign w:val="center"/>
                </w:tcPr>
                <w:p w14:paraId="5678A1B6">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36.9</w:t>
                  </w:r>
                </w:p>
              </w:tc>
              <w:tc>
                <w:tcPr>
                  <w:tcW w:w="695" w:type="dxa"/>
                  <w:vMerge w:val="restart"/>
                  <w:tcBorders>
                    <w:top w:val="single" w:color="auto" w:sz="4" w:space="0"/>
                    <w:tl2br w:val="nil"/>
                    <w:tr2bl w:val="nil"/>
                  </w:tcBorders>
                  <w:noWrap w:val="0"/>
                  <w:vAlign w:val="center"/>
                </w:tcPr>
                <w:p w14:paraId="37E0DE4E">
                  <w:pPr>
                    <w:widowControl/>
                    <w:jc w:val="center"/>
                    <w:rPr>
                      <w:rFonts w:hint="default" w:ascii="Times New Roman" w:hAnsi="Times New Roman" w:eastAsia="宋体" w:cs="Times New Roman"/>
                      <w:color w:val="auto"/>
                      <w:kern w:val="0"/>
                      <w:sz w:val="21"/>
                      <w:szCs w:val="21"/>
                      <w:highlight w:val="none"/>
                    </w:rPr>
                  </w:pPr>
                  <w:r>
                    <w:rPr>
                      <w:rFonts w:hint="eastAsia" w:eastAsia="等线" w:cs="Times New Roman"/>
                      <w:color w:val="auto"/>
                      <w:sz w:val="21"/>
                      <w:szCs w:val="21"/>
                      <w:highlight w:val="none"/>
                      <w:lang w:val="en-US" w:eastAsia="zh-CN"/>
                    </w:rPr>
                    <w:t>16</w:t>
                  </w:r>
                  <w:r>
                    <w:rPr>
                      <w:rFonts w:hint="default" w:ascii="Times New Roman" w:hAnsi="Times New Roman" w:eastAsia="等线" w:cs="Times New Roman"/>
                      <w:color w:val="auto"/>
                      <w:sz w:val="21"/>
                      <w:szCs w:val="21"/>
                      <w:highlight w:val="none"/>
                    </w:rPr>
                    <w:t>h/d</w:t>
                  </w:r>
                </w:p>
              </w:tc>
              <w:tc>
                <w:tcPr>
                  <w:tcW w:w="889" w:type="dxa"/>
                  <w:vMerge w:val="restart"/>
                  <w:tcBorders>
                    <w:top w:val="single" w:color="auto" w:sz="4" w:space="0"/>
                    <w:tl2br w:val="nil"/>
                    <w:tr2bl w:val="nil"/>
                  </w:tcBorders>
                  <w:noWrap w:val="0"/>
                  <w:vAlign w:val="center"/>
                </w:tcPr>
                <w:p w14:paraId="6D92AF64">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等线" w:cs="Times New Roman"/>
                      <w:color w:val="auto"/>
                      <w:sz w:val="21"/>
                      <w:szCs w:val="21"/>
                      <w:highlight w:val="none"/>
                      <w:lang w:val="en-US" w:eastAsia="zh-CN"/>
                    </w:rPr>
                    <w:t>21</w:t>
                  </w:r>
                </w:p>
              </w:tc>
              <w:tc>
                <w:tcPr>
                  <w:tcW w:w="932" w:type="dxa"/>
                  <w:tcBorders>
                    <w:top w:val="single" w:color="auto" w:sz="4" w:space="0"/>
                    <w:bottom w:val="single" w:color="auto" w:sz="4" w:space="0"/>
                    <w:tl2br w:val="nil"/>
                    <w:tr2bl w:val="nil"/>
                  </w:tcBorders>
                  <w:noWrap/>
                  <w:vAlign w:val="center"/>
                </w:tcPr>
                <w:p w14:paraId="53B42A08">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15.9 </w:t>
                  </w:r>
                </w:p>
              </w:tc>
              <w:tc>
                <w:tcPr>
                  <w:tcW w:w="1073" w:type="dxa"/>
                  <w:vMerge w:val="restart"/>
                  <w:tcBorders>
                    <w:tl2br w:val="nil"/>
                    <w:tr2bl w:val="nil"/>
                  </w:tcBorders>
                  <w:noWrap w:val="0"/>
                  <w:vAlign w:val="center"/>
                </w:tcPr>
                <w:p w14:paraId="198DD891">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r>
            <w:tr w14:paraId="4B06DEA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53" w:hRule="atLeast"/>
                <w:jc w:val="center"/>
              </w:trPr>
              <w:tc>
                <w:tcPr>
                  <w:tcW w:w="485" w:type="dxa"/>
                  <w:vMerge w:val="continue"/>
                  <w:tcBorders>
                    <w:bottom w:val="single" w:color="auto" w:sz="4" w:space="0"/>
                    <w:tl2br w:val="nil"/>
                    <w:tr2bl w:val="nil"/>
                  </w:tcBorders>
                  <w:noWrap/>
                  <w:vAlign w:val="center"/>
                </w:tcPr>
                <w:p w14:paraId="0B70EDED">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311C4073">
                  <w:pPr>
                    <w:widowControl/>
                    <w:jc w:val="center"/>
                    <w:rPr>
                      <w:rFonts w:hint="default" w:ascii="Times New Roman" w:hAnsi="Times New Roman" w:eastAsia="宋体" w:cs="Times New Roman"/>
                      <w:color w:val="auto"/>
                      <w:kern w:val="0"/>
                      <w:sz w:val="21"/>
                      <w:szCs w:val="21"/>
                      <w:highlight w:val="none"/>
                    </w:rPr>
                  </w:pPr>
                </w:p>
              </w:tc>
              <w:tc>
                <w:tcPr>
                  <w:tcW w:w="1067" w:type="dxa"/>
                  <w:vMerge w:val="continue"/>
                  <w:tcBorders>
                    <w:top w:val="single" w:color="auto" w:sz="4" w:space="0"/>
                    <w:bottom w:val="single" w:color="auto" w:sz="4" w:space="0"/>
                    <w:tl2br w:val="nil"/>
                    <w:tr2bl w:val="nil"/>
                  </w:tcBorders>
                  <w:noWrap w:val="0"/>
                  <w:vAlign w:val="center"/>
                </w:tcPr>
                <w:p w14:paraId="6D68A229">
                  <w:pPr>
                    <w:jc w:val="center"/>
                    <w:rPr>
                      <w:rFonts w:hint="default" w:ascii="Times New Roman" w:hAnsi="Times New Roman" w:eastAsia="Arial" w:cs="Times New Roman"/>
                      <w:color w:val="auto"/>
                      <w:sz w:val="21"/>
                      <w:szCs w:val="21"/>
                      <w:highlight w:val="none"/>
                    </w:rPr>
                  </w:pPr>
                </w:p>
              </w:tc>
              <w:tc>
                <w:tcPr>
                  <w:tcW w:w="589" w:type="dxa"/>
                  <w:vMerge w:val="continue"/>
                  <w:tcBorders>
                    <w:bottom w:val="single" w:color="auto" w:sz="4" w:space="0"/>
                    <w:tl2br w:val="nil"/>
                    <w:tr2bl w:val="nil"/>
                  </w:tcBorders>
                  <w:noWrap/>
                  <w:vAlign w:val="center"/>
                </w:tcPr>
                <w:p w14:paraId="10881120">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bottom w:val="single" w:color="auto" w:sz="4" w:space="0"/>
                    <w:tl2br w:val="nil"/>
                    <w:tr2bl w:val="nil"/>
                  </w:tcBorders>
                  <w:noWrap/>
                  <w:vAlign w:val="center"/>
                </w:tcPr>
                <w:p w14:paraId="5298D86B">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bottom w:val="single" w:color="auto" w:sz="4" w:space="0"/>
                    <w:tl2br w:val="nil"/>
                    <w:tr2bl w:val="nil"/>
                  </w:tcBorders>
                  <w:noWrap/>
                  <w:vAlign w:val="center"/>
                </w:tcPr>
                <w:p w14:paraId="2642AE51">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bottom w:val="single" w:color="auto" w:sz="4" w:space="0"/>
                    <w:tl2br w:val="nil"/>
                    <w:tr2bl w:val="nil"/>
                  </w:tcBorders>
                  <w:noWrap/>
                  <w:vAlign w:val="center"/>
                </w:tcPr>
                <w:p w14:paraId="15D8FC73">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bottom w:val="single" w:color="auto" w:sz="4" w:space="0"/>
                    <w:tl2br w:val="nil"/>
                    <w:tr2bl w:val="nil"/>
                  </w:tcBorders>
                  <w:noWrap/>
                  <w:vAlign w:val="center"/>
                </w:tcPr>
                <w:p w14:paraId="32BA090E">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42A2056C">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S</w:t>
                  </w:r>
                </w:p>
              </w:tc>
              <w:tc>
                <w:tcPr>
                  <w:tcW w:w="739" w:type="dxa"/>
                  <w:tcBorders>
                    <w:top w:val="single" w:color="auto" w:sz="4" w:space="0"/>
                    <w:bottom w:val="single" w:color="auto" w:sz="4" w:space="0"/>
                    <w:tl2br w:val="nil"/>
                    <w:tr2bl w:val="nil"/>
                  </w:tcBorders>
                  <w:noWrap w:val="0"/>
                  <w:vAlign w:val="center"/>
                </w:tcPr>
                <w:p w14:paraId="432166AB">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32" w:type="dxa"/>
                  <w:tcBorders>
                    <w:top w:val="single" w:color="auto" w:sz="4" w:space="0"/>
                    <w:bottom w:val="single" w:color="auto" w:sz="4" w:space="0"/>
                    <w:tl2br w:val="nil"/>
                    <w:tr2bl w:val="nil"/>
                  </w:tcBorders>
                  <w:noWrap w:val="0"/>
                  <w:vAlign w:val="center"/>
                </w:tcPr>
                <w:p w14:paraId="6489F4F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49.0</w:t>
                  </w:r>
                </w:p>
              </w:tc>
              <w:tc>
                <w:tcPr>
                  <w:tcW w:w="695" w:type="dxa"/>
                  <w:vMerge w:val="continue"/>
                  <w:tcBorders>
                    <w:tl2br w:val="nil"/>
                    <w:tr2bl w:val="nil"/>
                  </w:tcBorders>
                  <w:noWrap w:val="0"/>
                  <w:vAlign w:val="center"/>
                </w:tcPr>
                <w:p w14:paraId="2D732D06">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08B1FF98">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041C62C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28.0 </w:t>
                  </w:r>
                </w:p>
              </w:tc>
              <w:tc>
                <w:tcPr>
                  <w:tcW w:w="1073" w:type="dxa"/>
                  <w:vMerge w:val="continue"/>
                  <w:tcBorders>
                    <w:bottom w:val="single" w:color="auto" w:sz="4" w:space="0"/>
                    <w:tl2br w:val="nil"/>
                    <w:tr2bl w:val="nil"/>
                  </w:tcBorders>
                  <w:noWrap w:val="0"/>
                  <w:vAlign w:val="center"/>
                </w:tcPr>
                <w:p w14:paraId="24696CCE">
                  <w:pPr>
                    <w:widowControl/>
                    <w:jc w:val="center"/>
                    <w:rPr>
                      <w:rFonts w:hint="default" w:ascii="Times New Roman" w:hAnsi="Times New Roman" w:eastAsia="宋体" w:cs="Times New Roman"/>
                      <w:color w:val="auto"/>
                      <w:kern w:val="0"/>
                      <w:sz w:val="21"/>
                      <w:szCs w:val="21"/>
                      <w:highlight w:val="none"/>
                    </w:rPr>
                  </w:pPr>
                </w:p>
              </w:tc>
            </w:tr>
            <w:tr w14:paraId="34B7DA0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1" w:hRule="atLeast"/>
                <w:jc w:val="center"/>
              </w:trPr>
              <w:tc>
                <w:tcPr>
                  <w:tcW w:w="485" w:type="dxa"/>
                  <w:vMerge w:val="continue"/>
                  <w:tcBorders>
                    <w:bottom w:val="single" w:color="auto" w:sz="4" w:space="0"/>
                    <w:tl2br w:val="nil"/>
                    <w:tr2bl w:val="nil"/>
                  </w:tcBorders>
                  <w:noWrap/>
                  <w:vAlign w:val="center"/>
                </w:tcPr>
                <w:p w14:paraId="2FC31890">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0AC862A5">
                  <w:pPr>
                    <w:widowControl/>
                    <w:jc w:val="center"/>
                    <w:rPr>
                      <w:rFonts w:hint="default" w:ascii="Times New Roman" w:hAnsi="Times New Roman" w:eastAsia="宋体" w:cs="Times New Roman"/>
                      <w:color w:val="auto"/>
                      <w:kern w:val="0"/>
                      <w:sz w:val="21"/>
                      <w:szCs w:val="21"/>
                      <w:highlight w:val="none"/>
                    </w:rPr>
                  </w:pPr>
                </w:p>
              </w:tc>
              <w:tc>
                <w:tcPr>
                  <w:tcW w:w="1067" w:type="dxa"/>
                  <w:vMerge w:val="continue"/>
                  <w:tcBorders>
                    <w:top w:val="single" w:color="auto" w:sz="4" w:space="0"/>
                    <w:bottom w:val="single" w:color="auto" w:sz="4" w:space="0"/>
                    <w:tl2br w:val="nil"/>
                    <w:tr2bl w:val="nil"/>
                  </w:tcBorders>
                  <w:noWrap w:val="0"/>
                  <w:vAlign w:val="center"/>
                </w:tcPr>
                <w:p w14:paraId="44D2B316">
                  <w:pPr>
                    <w:jc w:val="center"/>
                    <w:rPr>
                      <w:rFonts w:hint="default" w:ascii="Times New Roman" w:hAnsi="Times New Roman" w:eastAsia="Arial" w:cs="Times New Roman"/>
                      <w:color w:val="auto"/>
                      <w:sz w:val="21"/>
                      <w:szCs w:val="21"/>
                      <w:highlight w:val="none"/>
                    </w:rPr>
                  </w:pPr>
                </w:p>
              </w:tc>
              <w:tc>
                <w:tcPr>
                  <w:tcW w:w="589" w:type="dxa"/>
                  <w:vMerge w:val="continue"/>
                  <w:tcBorders>
                    <w:bottom w:val="single" w:color="auto" w:sz="4" w:space="0"/>
                    <w:tl2br w:val="nil"/>
                    <w:tr2bl w:val="nil"/>
                  </w:tcBorders>
                  <w:noWrap/>
                  <w:vAlign w:val="center"/>
                </w:tcPr>
                <w:p w14:paraId="640FA4EE">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bottom w:val="single" w:color="auto" w:sz="4" w:space="0"/>
                    <w:tl2br w:val="nil"/>
                    <w:tr2bl w:val="nil"/>
                  </w:tcBorders>
                  <w:noWrap/>
                  <w:vAlign w:val="center"/>
                </w:tcPr>
                <w:p w14:paraId="2468ADB8">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bottom w:val="single" w:color="auto" w:sz="4" w:space="0"/>
                    <w:tl2br w:val="nil"/>
                    <w:tr2bl w:val="nil"/>
                  </w:tcBorders>
                  <w:noWrap/>
                  <w:vAlign w:val="center"/>
                </w:tcPr>
                <w:p w14:paraId="284693CC">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bottom w:val="single" w:color="auto" w:sz="4" w:space="0"/>
                    <w:tl2br w:val="nil"/>
                    <w:tr2bl w:val="nil"/>
                  </w:tcBorders>
                  <w:noWrap/>
                  <w:vAlign w:val="center"/>
                </w:tcPr>
                <w:p w14:paraId="63BDDAED">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bottom w:val="single" w:color="auto" w:sz="4" w:space="0"/>
                    <w:tl2br w:val="nil"/>
                    <w:tr2bl w:val="nil"/>
                  </w:tcBorders>
                  <w:noWrap/>
                  <w:vAlign w:val="center"/>
                </w:tcPr>
                <w:p w14:paraId="5C2C6B45">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3E3BA514">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w:t>
                  </w:r>
                </w:p>
              </w:tc>
              <w:tc>
                <w:tcPr>
                  <w:tcW w:w="739" w:type="dxa"/>
                  <w:tcBorders>
                    <w:top w:val="single" w:color="auto" w:sz="4" w:space="0"/>
                    <w:bottom w:val="single" w:color="auto" w:sz="4" w:space="0"/>
                    <w:tl2br w:val="nil"/>
                    <w:tr2bl w:val="nil"/>
                  </w:tcBorders>
                  <w:noWrap w:val="0"/>
                  <w:vAlign w:val="center"/>
                </w:tcPr>
                <w:p w14:paraId="123772D4">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932" w:type="dxa"/>
                  <w:tcBorders>
                    <w:top w:val="single" w:color="auto" w:sz="4" w:space="0"/>
                    <w:bottom w:val="single" w:color="auto" w:sz="4" w:space="0"/>
                    <w:tl2br w:val="nil"/>
                    <w:tr2bl w:val="nil"/>
                  </w:tcBorders>
                  <w:noWrap w:val="0"/>
                  <w:vAlign w:val="center"/>
                </w:tcPr>
                <w:p w14:paraId="4235142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75.0</w:t>
                  </w:r>
                </w:p>
              </w:tc>
              <w:tc>
                <w:tcPr>
                  <w:tcW w:w="695" w:type="dxa"/>
                  <w:vMerge w:val="continue"/>
                  <w:tcBorders>
                    <w:tl2br w:val="nil"/>
                    <w:tr2bl w:val="nil"/>
                  </w:tcBorders>
                  <w:noWrap w:val="0"/>
                  <w:vAlign w:val="center"/>
                </w:tcPr>
                <w:p w14:paraId="3AA5A0D9">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04A70CF8">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335BAEA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54.0 </w:t>
                  </w:r>
                </w:p>
              </w:tc>
              <w:tc>
                <w:tcPr>
                  <w:tcW w:w="1073" w:type="dxa"/>
                  <w:vMerge w:val="continue"/>
                  <w:tcBorders>
                    <w:bottom w:val="single" w:color="auto" w:sz="4" w:space="0"/>
                    <w:tl2br w:val="nil"/>
                    <w:tr2bl w:val="nil"/>
                  </w:tcBorders>
                  <w:noWrap w:val="0"/>
                  <w:vAlign w:val="center"/>
                </w:tcPr>
                <w:p w14:paraId="52711ABA">
                  <w:pPr>
                    <w:widowControl/>
                    <w:jc w:val="center"/>
                    <w:rPr>
                      <w:rFonts w:hint="default" w:ascii="Times New Roman" w:hAnsi="Times New Roman" w:eastAsia="宋体" w:cs="Times New Roman"/>
                      <w:color w:val="auto"/>
                      <w:kern w:val="0"/>
                      <w:sz w:val="21"/>
                      <w:szCs w:val="21"/>
                      <w:highlight w:val="none"/>
                    </w:rPr>
                  </w:pPr>
                </w:p>
              </w:tc>
            </w:tr>
            <w:tr w14:paraId="6A8D3BA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0" w:hRule="atLeast"/>
                <w:jc w:val="center"/>
              </w:trPr>
              <w:tc>
                <w:tcPr>
                  <w:tcW w:w="485" w:type="dxa"/>
                  <w:vMerge w:val="continue"/>
                  <w:tcBorders>
                    <w:bottom w:val="single" w:color="auto" w:sz="4" w:space="0"/>
                    <w:tl2br w:val="nil"/>
                    <w:tr2bl w:val="nil"/>
                  </w:tcBorders>
                  <w:noWrap/>
                  <w:vAlign w:val="center"/>
                </w:tcPr>
                <w:p w14:paraId="27334854">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5A628E6C">
                  <w:pPr>
                    <w:widowControl/>
                    <w:jc w:val="center"/>
                    <w:rPr>
                      <w:rFonts w:hint="default" w:ascii="Times New Roman" w:hAnsi="Times New Roman" w:eastAsia="宋体" w:cs="Times New Roman"/>
                      <w:color w:val="auto"/>
                      <w:kern w:val="0"/>
                      <w:sz w:val="21"/>
                      <w:szCs w:val="21"/>
                      <w:highlight w:val="none"/>
                    </w:rPr>
                  </w:pPr>
                </w:p>
              </w:tc>
              <w:tc>
                <w:tcPr>
                  <w:tcW w:w="1067" w:type="dxa"/>
                  <w:vMerge w:val="continue"/>
                  <w:tcBorders>
                    <w:top w:val="single" w:color="auto" w:sz="4" w:space="0"/>
                    <w:bottom w:val="single" w:color="auto" w:sz="4" w:space="0"/>
                    <w:tl2br w:val="nil"/>
                    <w:tr2bl w:val="nil"/>
                  </w:tcBorders>
                  <w:noWrap w:val="0"/>
                  <w:vAlign w:val="center"/>
                </w:tcPr>
                <w:p w14:paraId="74E6D02C">
                  <w:pPr>
                    <w:jc w:val="center"/>
                    <w:rPr>
                      <w:rFonts w:hint="default" w:ascii="Times New Roman" w:hAnsi="Times New Roman" w:eastAsia="Arial" w:cs="Times New Roman"/>
                      <w:color w:val="auto"/>
                      <w:sz w:val="21"/>
                      <w:szCs w:val="21"/>
                      <w:highlight w:val="none"/>
                    </w:rPr>
                  </w:pPr>
                </w:p>
              </w:tc>
              <w:tc>
                <w:tcPr>
                  <w:tcW w:w="589" w:type="dxa"/>
                  <w:vMerge w:val="continue"/>
                  <w:tcBorders>
                    <w:bottom w:val="single" w:color="auto" w:sz="4" w:space="0"/>
                    <w:tl2br w:val="nil"/>
                    <w:tr2bl w:val="nil"/>
                  </w:tcBorders>
                  <w:noWrap/>
                  <w:vAlign w:val="center"/>
                </w:tcPr>
                <w:p w14:paraId="0C74CFC4">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bottom w:val="single" w:color="auto" w:sz="4" w:space="0"/>
                    <w:tl2br w:val="nil"/>
                    <w:tr2bl w:val="nil"/>
                  </w:tcBorders>
                  <w:noWrap/>
                  <w:vAlign w:val="center"/>
                </w:tcPr>
                <w:p w14:paraId="2E0C4D34">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bottom w:val="single" w:color="auto" w:sz="4" w:space="0"/>
                    <w:tl2br w:val="nil"/>
                    <w:tr2bl w:val="nil"/>
                  </w:tcBorders>
                  <w:noWrap/>
                  <w:vAlign w:val="center"/>
                </w:tcPr>
                <w:p w14:paraId="5AF70131">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bottom w:val="single" w:color="auto" w:sz="4" w:space="0"/>
                    <w:tl2br w:val="nil"/>
                    <w:tr2bl w:val="nil"/>
                  </w:tcBorders>
                  <w:noWrap/>
                  <w:vAlign w:val="center"/>
                </w:tcPr>
                <w:p w14:paraId="3B19F3A1">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bottom w:val="single" w:color="auto" w:sz="4" w:space="0"/>
                    <w:tl2br w:val="nil"/>
                    <w:tr2bl w:val="nil"/>
                  </w:tcBorders>
                  <w:noWrap/>
                  <w:vAlign w:val="center"/>
                </w:tcPr>
                <w:p w14:paraId="48916B16">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2C895F4C">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p>
              </w:tc>
              <w:tc>
                <w:tcPr>
                  <w:tcW w:w="739" w:type="dxa"/>
                  <w:tcBorders>
                    <w:top w:val="single" w:color="auto" w:sz="4" w:space="0"/>
                    <w:bottom w:val="single" w:color="auto" w:sz="4" w:space="0"/>
                    <w:tl2br w:val="nil"/>
                    <w:tr2bl w:val="nil"/>
                  </w:tcBorders>
                  <w:noWrap w:val="0"/>
                  <w:vAlign w:val="center"/>
                </w:tcPr>
                <w:p w14:paraId="23311315">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88</w:t>
                  </w:r>
                </w:p>
              </w:tc>
              <w:tc>
                <w:tcPr>
                  <w:tcW w:w="932" w:type="dxa"/>
                  <w:tcBorders>
                    <w:top w:val="single" w:color="auto" w:sz="4" w:space="0"/>
                    <w:bottom w:val="single" w:color="auto" w:sz="4" w:space="0"/>
                    <w:tl2br w:val="nil"/>
                    <w:tr2bl w:val="nil"/>
                  </w:tcBorders>
                  <w:noWrap w:val="0"/>
                  <w:vAlign w:val="center"/>
                </w:tcPr>
                <w:p w14:paraId="22B5C04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36.1</w:t>
                  </w:r>
                </w:p>
              </w:tc>
              <w:tc>
                <w:tcPr>
                  <w:tcW w:w="695" w:type="dxa"/>
                  <w:vMerge w:val="continue"/>
                  <w:tcBorders>
                    <w:bottom w:val="single" w:color="auto" w:sz="4" w:space="0"/>
                    <w:tl2br w:val="nil"/>
                    <w:tr2bl w:val="nil"/>
                  </w:tcBorders>
                  <w:noWrap w:val="0"/>
                  <w:vAlign w:val="center"/>
                </w:tcPr>
                <w:p w14:paraId="312812D3">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bottom w:val="single" w:color="auto" w:sz="4" w:space="0"/>
                    <w:tl2br w:val="nil"/>
                    <w:tr2bl w:val="nil"/>
                  </w:tcBorders>
                  <w:noWrap w:val="0"/>
                  <w:vAlign w:val="center"/>
                </w:tcPr>
                <w:p w14:paraId="55AD142D">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2F2F88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15.1 </w:t>
                  </w:r>
                </w:p>
              </w:tc>
              <w:tc>
                <w:tcPr>
                  <w:tcW w:w="1073" w:type="dxa"/>
                  <w:vMerge w:val="continue"/>
                  <w:tcBorders>
                    <w:bottom w:val="single" w:color="auto" w:sz="4" w:space="0"/>
                    <w:tl2br w:val="nil"/>
                    <w:tr2bl w:val="nil"/>
                  </w:tcBorders>
                  <w:noWrap w:val="0"/>
                  <w:vAlign w:val="center"/>
                </w:tcPr>
                <w:p w14:paraId="7537810C">
                  <w:pPr>
                    <w:widowControl/>
                    <w:jc w:val="center"/>
                    <w:rPr>
                      <w:rFonts w:hint="default" w:ascii="Times New Roman" w:hAnsi="Times New Roman" w:eastAsia="宋体" w:cs="Times New Roman"/>
                      <w:color w:val="auto"/>
                      <w:kern w:val="0"/>
                      <w:sz w:val="21"/>
                      <w:szCs w:val="21"/>
                      <w:highlight w:val="none"/>
                    </w:rPr>
                  </w:pPr>
                </w:p>
              </w:tc>
            </w:tr>
            <w:tr w14:paraId="1C5A195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31" w:hRule="atLeast"/>
                <w:jc w:val="center"/>
              </w:trPr>
              <w:tc>
                <w:tcPr>
                  <w:tcW w:w="485" w:type="dxa"/>
                  <w:vMerge w:val="restart"/>
                  <w:tcBorders>
                    <w:top w:val="single" w:color="auto" w:sz="4" w:space="0"/>
                    <w:tl2br w:val="nil"/>
                    <w:tr2bl w:val="nil"/>
                  </w:tcBorders>
                  <w:noWrap/>
                  <w:vAlign w:val="center"/>
                </w:tcPr>
                <w:p w14:paraId="0A2CE62E">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w:t>
                  </w:r>
                </w:p>
              </w:tc>
              <w:tc>
                <w:tcPr>
                  <w:tcW w:w="697" w:type="dxa"/>
                  <w:vMerge w:val="continue"/>
                  <w:tcBorders>
                    <w:tl2br w:val="nil"/>
                    <w:tr2bl w:val="nil"/>
                  </w:tcBorders>
                  <w:noWrap/>
                  <w:vAlign w:val="center"/>
                </w:tcPr>
                <w:p w14:paraId="225AB5AA">
                  <w:pPr>
                    <w:widowControl/>
                    <w:jc w:val="center"/>
                    <w:rPr>
                      <w:rFonts w:hint="default" w:ascii="Times New Roman" w:hAnsi="Times New Roman" w:eastAsia="宋体" w:cs="Times New Roman"/>
                      <w:color w:val="auto"/>
                      <w:kern w:val="0"/>
                      <w:sz w:val="21"/>
                      <w:szCs w:val="21"/>
                      <w:highlight w:val="none"/>
                    </w:rPr>
                  </w:pPr>
                </w:p>
              </w:tc>
              <w:tc>
                <w:tcPr>
                  <w:tcW w:w="1067" w:type="dxa"/>
                  <w:vMerge w:val="restart"/>
                  <w:tcBorders>
                    <w:top w:val="single" w:color="auto" w:sz="4" w:space="0"/>
                    <w:bottom w:val="single" w:color="auto" w:sz="4" w:space="0"/>
                    <w:tl2br w:val="nil"/>
                    <w:tr2bl w:val="nil"/>
                  </w:tcBorders>
                  <w:noWrap w:val="0"/>
                  <w:vAlign w:val="center"/>
                </w:tcPr>
                <w:p w14:paraId="47B498B5">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Calibri" w:cs="Times New Roman"/>
                      <w:color w:val="auto"/>
                      <w:kern w:val="2"/>
                      <w:sz w:val="21"/>
                      <w:szCs w:val="21"/>
                      <w:lang w:val="en-US" w:eastAsia="zh-CN"/>
                    </w:rPr>
                    <w:t>切纸机</w:t>
                  </w:r>
                  <w:r>
                    <w:rPr>
                      <w:rFonts w:hint="eastAsia" w:eastAsia="Calibri" w:cs="Times New Roman"/>
                      <w:color w:val="auto"/>
                      <w:kern w:val="2"/>
                      <w:sz w:val="21"/>
                      <w:szCs w:val="21"/>
                      <w:lang w:val="en-US" w:eastAsia="zh-CN"/>
                    </w:rPr>
                    <w:t>（2台）</w:t>
                  </w:r>
                </w:p>
              </w:tc>
              <w:tc>
                <w:tcPr>
                  <w:tcW w:w="589" w:type="dxa"/>
                  <w:vMerge w:val="restart"/>
                  <w:tcBorders>
                    <w:top w:val="single" w:color="auto" w:sz="4" w:space="0"/>
                    <w:tl2br w:val="nil"/>
                    <w:tr2bl w:val="nil"/>
                  </w:tcBorders>
                  <w:noWrap/>
                  <w:vAlign w:val="center"/>
                </w:tcPr>
                <w:p w14:paraId="7581AA2F">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636" w:type="dxa"/>
                  <w:vMerge w:val="restart"/>
                  <w:tcBorders>
                    <w:top w:val="single" w:color="auto" w:sz="4" w:space="0"/>
                    <w:tl2br w:val="nil"/>
                    <w:tr2bl w:val="nil"/>
                  </w:tcBorders>
                  <w:noWrap/>
                  <w:vAlign w:val="center"/>
                </w:tcPr>
                <w:p w14:paraId="373701FF">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66</w:t>
                  </w:r>
                </w:p>
              </w:tc>
              <w:tc>
                <w:tcPr>
                  <w:tcW w:w="750" w:type="dxa"/>
                  <w:vMerge w:val="restart"/>
                  <w:tcBorders>
                    <w:top w:val="single" w:color="auto" w:sz="4" w:space="0"/>
                    <w:tl2br w:val="nil"/>
                    <w:tr2bl w:val="nil"/>
                  </w:tcBorders>
                  <w:noWrap/>
                  <w:vAlign w:val="center"/>
                </w:tcPr>
                <w:p w14:paraId="430B44D4">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425" w:type="dxa"/>
                  <w:vMerge w:val="restart"/>
                  <w:tcBorders>
                    <w:top w:val="single" w:color="auto" w:sz="4" w:space="0"/>
                    <w:tl2br w:val="nil"/>
                    <w:tr2bl w:val="nil"/>
                  </w:tcBorders>
                  <w:noWrap/>
                  <w:vAlign w:val="center"/>
                </w:tcPr>
                <w:p w14:paraId="78DF77CC">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lang w:val="en-US" w:eastAsia="zh-CN"/>
                    </w:rPr>
                    <w:t>75</w:t>
                  </w:r>
                  <w:r>
                    <w:rPr>
                      <w:rFonts w:hint="default" w:ascii="Times New Roman" w:hAnsi="Times New Roman" w:eastAsia="宋体" w:cs="Times New Roman"/>
                      <w:color w:val="auto"/>
                      <w:kern w:val="0"/>
                      <w:sz w:val="21"/>
                      <w:szCs w:val="21"/>
                    </w:rPr>
                    <w:t>/1</w:t>
                  </w:r>
                </w:p>
              </w:tc>
              <w:tc>
                <w:tcPr>
                  <w:tcW w:w="1222" w:type="dxa"/>
                  <w:vMerge w:val="restart"/>
                  <w:tcBorders>
                    <w:top w:val="single" w:color="auto" w:sz="4" w:space="0"/>
                    <w:tl2br w:val="nil"/>
                    <w:tr2bl w:val="nil"/>
                  </w:tcBorders>
                  <w:noWrap/>
                  <w:vAlign w:val="center"/>
                </w:tcPr>
                <w:p w14:paraId="070FF9A3">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隔声、减振</w:t>
                  </w:r>
                </w:p>
              </w:tc>
              <w:tc>
                <w:tcPr>
                  <w:tcW w:w="686" w:type="dxa"/>
                  <w:tcBorders>
                    <w:top w:val="single" w:color="auto" w:sz="4" w:space="0"/>
                    <w:bottom w:val="single" w:color="auto" w:sz="4" w:space="0"/>
                    <w:tl2br w:val="nil"/>
                    <w:tr2bl w:val="nil"/>
                  </w:tcBorders>
                  <w:noWrap w:val="0"/>
                  <w:vAlign w:val="center"/>
                </w:tcPr>
                <w:p w14:paraId="7FF43315">
                  <w:pPr>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E</w:t>
                  </w:r>
                </w:p>
              </w:tc>
              <w:tc>
                <w:tcPr>
                  <w:tcW w:w="739" w:type="dxa"/>
                  <w:tcBorders>
                    <w:top w:val="single" w:color="auto" w:sz="4" w:space="0"/>
                    <w:bottom w:val="single" w:color="auto" w:sz="4" w:space="0"/>
                    <w:tl2br w:val="nil"/>
                    <w:tr2bl w:val="nil"/>
                  </w:tcBorders>
                  <w:noWrap w:val="0"/>
                  <w:vAlign w:val="center"/>
                </w:tcPr>
                <w:p w14:paraId="07348E14">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108</w:t>
                  </w:r>
                </w:p>
              </w:tc>
              <w:tc>
                <w:tcPr>
                  <w:tcW w:w="932" w:type="dxa"/>
                  <w:tcBorders>
                    <w:top w:val="single" w:color="auto" w:sz="4" w:space="0"/>
                    <w:bottom w:val="single" w:color="auto" w:sz="4" w:space="0"/>
                    <w:tl2br w:val="nil"/>
                    <w:tr2bl w:val="nil"/>
                  </w:tcBorders>
                  <w:noWrap w:val="0"/>
                  <w:vAlign w:val="center"/>
                </w:tcPr>
                <w:p w14:paraId="6BEF9A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34.3</w:t>
                  </w:r>
                </w:p>
              </w:tc>
              <w:tc>
                <w:tcPr>
                  <w:tcW w:w="695" w:type="dxa"/>
                  <w:vMerge w:val="restart"/>
                  <w:tcBorders>
                    <w:top w:val="single" w:color="auto" w:sz="4" w:space="0"/>
                    <w:tl2br w:val="nil"/>
                    <w:tr2bl w:val="nil"/>
                  </w:tcBorders>
                  <w:noWrap w:val="0"/>
                  <w:vAlign w:val="center"/>
                </w:tcPr>
                <w:p w14:paraId="223EFAC5">
                  <w:pPr>
                    <w:widowControl/>
                    <w:jc w:val="center"/>
                    <w:rPr>
                      <w:rFonts w:hint="default" w:ascii="Times New Roman" w:hAnsi="Times New Roman" w:eastAsia="等线" w:cs="Times New Roman"/>
                      <w:color w:val="auto"/>
                      <w:sz w:val="21"/>
                      <w:szCs w:val="21"/>
                      <w:highlight w:val="none"/>
                    </w:rPr>
                  </w:pPr>
                  <w:r>
                    <w:rPr>
                      <w:rFonts w:hint="eastAsia" w:eastAsia="等线" w:cs="Times New Roman"/>
                      <w:color w:val="auto"/>
                      <w:sz w:val="21"/>
                      <w:szCs w:val="21"/>
                      <w:highlight w:val="none"/>
                      <w:lang w:val="en-US" w:eastAsia="zh-CN"/>
                    </w:rPr>
                    <w:t>16</w:t>
                  </w:r>
                  <w:r>
                    <w:rPr>
                      <w:rFonts w:hint="default" w:ascii="Times New Roman" w:hAnsi="Times New Roman" w:eastAsia="等线" w:cs="Times New Roman"/>
                      <w:color w:val="auto"/>
                      <w:sz w:val="21"/>
                      <w:szCs w:val="21"/>
                      <w:highlight w:val="none"/>
                    </w:rPr>
                    <w:t>h/d</w:t>
                  </w:r>
                </w:p>
              </w:tc>
              <w:tc>
                <w:tcPr>
                  <w:tcW w:w="889" w:type="dxa"/>
                  <w:vMerge w:val="restart"/>
                  <w:tcBorders>
                    <w:top w:val="single" w:color="auto" w:sz="4" w:space="0"/>
                    <w:tl2br w:val="nil"/>
                    <w:tr2bl w:val="nil"/>
                  </w:tcBorders>
                  <w:noWrap w:val="0"/>
                  <w:vAlign w:val="center"/>
                </w:tcPr>
                <w:p w14:paraId="64EA8858">
                  <w:pPr>
                    <w:widowControl/>
                    <w:jc w:val="center"/>
                    <w:rPr>
                      <w:rFonts w:hint="default" w:ascii="Times New Roman" w:hAnsi="Times New Roman" w:eastAsia="等线" w:cs="Times New Roman"/>
                      <w:color w:val="auto"/>
                      <w:sz w:val="21"/>
                      <w:szCs w:val="21"/>
                      <w:highlight w:val="none"/>
                    </w:rPr>
                  </w:pPr>
                  <w:r>
                    <w:rPr>
                      <w:rFonts w:hint="default" w:ascii="Times New Roman" w:hAnsi="Times New Roman" w:eastAsia="等线" w:cs="Times New Roman"/>
                      <w:color w:val="auto"/>
                      <w:sz w:val="21"/>
                      <w:szCs w:val="21"/>
                      <w:highlight w:val="none"/>
                      <w:lang w:val="en-US" w:eastAsia="zh-CN"/>
                    </w:rPr>
                    <w:t>21</w:t>
                  </w:r>
                </w:p>
              </w:tc>
              <w:tc>
                <w:tcPr>
                  <w:tcW w:w="932" w:type="dxa"/>
                  <w:tcBorders>
                    <w:top w:val="single" w:color="auto" w:sz="4" w:space="0"/>
                    <w:bottom w:val="single" w:color="auto" w:sz="4" w:space="0"/>
                    <w:tl2br w:val="nil"/>
                    <w:tr2bl w:val="nil"/>
                  </w:tcBorders>
                  <w:noWrap/>
                  <w:vAlign w:val="center"/>
                </w:tcPr>
                <w:p w14:paraId="1BF35A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2"/>
                      <w:szCs w:val="22"/>
                      <w:u w:val="none"/>
                      <w:lang w:val="en-US" w:eastAsia="zh-CN" w:bidi="ar"/>
                    </w:rPr>
                    <w:t xml:space="preserve">13.3 </w:t>
                  </w:r>
                </w:p>
              </w:tc>
              <w:tc>
                <w:tcPr>
                  <w:tcW w:w="1073" w:type="dxa"/>
                  <w:vMerge w:val="restart"/>
                  <w:tcBorders>
                    <w:top w:val="single" w:color="auto" w:sz="4" w:space="0"/>
                    <w:tl2br w:val="nil"/>
                    <w:tr2bl w:val="nil"/>
                  </w:tcBorders>
                  <w:noWrap w:val="0"/>
                  <w:vAlign w:val="center"/>
                </w:tcPr>
                <w:p w14:paraId="494B4F31">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r>
            <w:tr w14:paraId="66C23FB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00" w:hRule="atLeast"/>
                <w:jc w:val="center"/>
              </w:trPr>
              <w:tc>
                <w:tcPr>
                  <w:tcW w:w="485" w:type="dxa"/>
                  <w:vMerge w:val="continue"/>
                  <w:tcBorders>
                    <w:bottom w:val="single" w:color="auto" w:sz="4" w:space="0"/>
                    <w:tl2br w:val="nil"/>
                    <w:tr2bl w:val="nil"/>
                  </w:tcBorders>
                  <w:noWrap/>
                  <w:vAlign w:val="center"/>
                </w:tcPr>
                <w:p w14:paraId="5A35988B">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695C2846">
                  <w:pPr>
                    <w:widowControl/>
                    <w:jc w:val="center"/>
                    <w:rPr>
                      <w:rFonts w:hint="default" w:ascii="Times New Roman" w:hAnsi="Times New Roman" w:eastAsia="宋体" w:cs="Times New Roman"/>
                      <w:color w:val="auto"/>
                      <w:kern w:val="0"/>
                      <w:sz w:val="21"/>
                      <w:szCs w:val="21"/>
                      <w:highlight w:val="none"/>
                    </w:rPr>
                  </w:pPr>
                </w:p>
              </w:tc>
              <w:tc>
                <w:tcPr>
                  <w:tcW w:w="1067" w:type="dxa"/>
                  <w:vMerge w:val="continue"/>
                  <w:tcBorders>
                    <w:top w:val="single" w:color="auto" w:sz="4" w:space="0"/>
                    <w:bottom w:val="single" w:color="auto" w:sz="4" w:space="0"/>
                    <w:tl2br w:val="nil"/>
                    <w:tr2bl w:val="nil"/>
                  </w:tcBorders>
                  <w:noWrap w:val="0"/>
                  <w:vAlign w:val="center"/>
                </w:tcPr>
                <w:p w14:paraId="076C97EB">
                  <w:pPr>
                    <w:jc w:val="center"/>
                    <w:rPr>
                      <w:rFonts w:hint="default" w:ascii="Times New Roman" w:hAnsi="Times New Roman" w:eastAsia="Arial" w:cs="Times New Roman"/>
                      <w:color w:val="auto"/>
                      <w:sz w:val="21"/>
                      <w:szCs w:val="21"/>
                      <w:highlight w:val="none"/>
                    </w:rPr>
                  </w:pPr>
                </w:p>
              </w:tc>
              <w:tc>
                <w:tcPr>
                  <w:tcW w:w="589" w:type="dxa"/>
                  <w:vMerge w:val="continue"/>
                  <w:tcBorders>
                    <w:bottom w:val="single" w:color="auto" w:sz="4" w:space="0"/>
                    <w:tl2br w:val="nil"/>
                    <w:tr2bl w:val="nil"/>
                  </w:tcBorders>
                  <w:noWrap/>
                  <w:vAlign w:val="center"/>
                </w:tcPr>
                <w:p w14:paraId="0972D783">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bottom w:val="single" w:color="auto" w:sz="4" w:space="0"/>
                    <w:tl2br w:val="nil"/>
                    <w:tr2bl w:val="nil"/>
                  </w:tcBorders>
                  <w:noWrap/>
                  <w:vAlign w:val="center"/>
                </w:tcPr>
                <w:p w14:paraId="73870396">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bottom w:val="single" w:color="auto" w:sz="4" w:space="0"/>
                    <w:tl2br w:val="nil"/>
                    <w:tr2bl w:val="nil"/>
                  </w:tcBorders>
                  <w:noWrap/>
                  <w:vAlign w:val="center"/>
                </w:tcPr>
                <w:p w14:paraId="693894AA">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bottom w:val="single" w:color="auto" w:sz="4" w:space="0"/>
                    <w:tl2br w:val="nil"/>
                    <w:tr2bl w:val="nil"/>
                  </w:tcBorders>
                  <w:noWrap/>
                  <w:vAlign w:val="center"/>
                </w:tcPr>
                <w:p w14:paraId="07E5A429">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bottom w:val="single" w:color="auto" w:sz="4" w:space="0"/>
                    <w:tl2br w:val="nil"/>
                    <w:tr2bl w:val="nil"/>
                  </w:tcBorders>
                  <w:noWrap/>
                  <w:vAlign w:val="center"/>
                </w:tcPr>
                <w:p w14:paraId="3CB3CAF8">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117917A8">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S</w:t>
                  </w:r>
                </w:p>
              </w:tc>
              <w:tc>
                <w:tcPr>
                  <w:tcW w:w="739" w:type="dxa"/>
                  <w:tcBorders>
                    <w:top w:val="single" w:color="auto" w:sz="4" w:space="0"/>
                    <w:bottom w:val="single" w:color="auto" w:sz="4" w:space="0"/>
                    <w:tl2br w:val="nil"/>
                    <w:tr2bl w:val="nil"/>
                  </w:tcBorders>
                  <w:noWrap w:val="0"/>
                  <w:vAlign w:val="center"/>
                </w:tcPr>
                <w:p w14:paraId="3835CD9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66</w:t>
                  </w:r>
                </w:p>
              </w:tc>
              <w:tc>
                <w:tcPr>
                  <w:tcW w:w="932" w:type="dxa"/>
                  <w:tcBorders>
                    <w:top w:val="single" w:color="auto" w:sz="4" w:space="0"/>
                    <w:bottom w:val="single" w:color="auto" w:sz="4" w:space="0"/>
                    <w:tl2br w:val="nil"/>
                    <w:tr2bl w:val="nil"/>
                  </w:tcBorders>
                  <w:noWrap w:val="0"/>
                  <w:vAlign w:val="center"/>
                </w:tcPr>
                <w:p w14:paraId="5F14287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38.6</w:t>
                  </w:r>
                </w:p>
              </w:tc>
              <w:tc>
                <w:tcPr>
                  <w:tcW w:w="695" w:type="dxa"/>
                  <w:vMerge w:val="continue"/>
                  <w:tcBorders>
                    <w:tl2br w:val="nil"/>
                    <w:tr2bl w:val="nil"/>
                  </w:tcBorders>
                  <w:noWrap w:val="0"/>
                  <w:vAlign w:val="center"/>
                </w:tcPr>
                <w:p w14:paraId="2F332AF9">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7B1FE591">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05A920B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17.6 </w:t>
                  </w:r>
                </w:p>
              </w:tc>
              <w:tc>
                <w:tcPr>
                  <w:tcW w:w="1073" w:type="dxa"/>
                  <w:vMerge w:val="continue"/>
                  <w:tcBorders>
                    <w:bottom w:val="single" w:color="auto" w:sz="4" w:space="0"/>
                    <w:tl2br w:val="nil"/>
                    <w:tr2bl w:val="nil"/>
                  </w:tcBorders>
                  <w:noWrap w:val="0"/>
                  <w:vAlign w:val="center"/>
                </w:tcPr>
                <w:p w14:paraId="3F131C97">
                  <w:pPr>
                    <w:widowControl/>
                    <w:jc w:val="center"/>
                    <w:rPr>
                      <w:rFonts w:hint="default" w:ascii="Times New Roman" w:hAnsi="Times New Roman" w:eastAsia="宋体" w:cs="Times New Roman"/>
                      <w:color w:val="auto"/>
                      <w:kern w:val="0"/>
                      <w:sz w:val="21"/>
                      <w:szCs w:val="21"/>
                      <w:highlight w:val="none"/>
                    </w:rPr>
                  </w:pPr>
                </w:p>
              </w:tc>
            </w:tr>
            <w:tr w14:paraId="2EA076B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31" w:hRule="atLeast"/>
                <w:jc w:val="center"/>
              </w:trPr>
              <w:tc>
                <w:tcPr>
                  <w:tcW w:w="485" w:type="dxa"/>
                  <w:vMerge w:val="continue"/>
                  <w:tcBorders>
                    <w:bottom w:val="single" w:color="auto" w:sz="4" w:space="0"/>
                    <w:tl2br w:val="nil"/>
                    <w:tr2bl w:val="nil"/>
                  </w:tcBorders>
                  <w:noWrap/>
                  <w:vAlign w:val="center"/>
                </w:tcPr>
                <w:p w14:paraId="531998E2">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430FCA96">
                  <w:pPr>
                    <w:widowControl/>
                    <w:jc w:val="center"/>
                    <w:rPr>
                      <w:rFonts w:hint="default" w:ascii="Times New Roman" w:hAnsi="Times New Roman" w:eastAsia="宋体" w:cs="Times New Roman"/>
                      <w:color w:val="auto"/>
                      <w:kern w:val="0"/>
                      <w:sz w:val="21"/>
                      <w:szCs w:val="21"/>
                      <w:highlight w:val="none"/>
                    </w:rPr>
                  </w:pPr>
                </w:p>
              </w:tc>
              <w:tc>
                <w:tcPr>
                  <w:tcW w:w="1067" w:type="dxa"/>
                  <w:vMerge w:val="continue"/>
                  <w:tcBorders>
                    <w:top w:val="single" w:color="auto" w:sz="4" w:space="0"/>
                    <w:bottom w:val="single" w:color="auto" w:sz="4" w:space="0"/>
                    <w:tl2br w:val="nil"/>
                    <w:tr2bl w:val="nil"/>
                  </w:tcBorders>
                  <w:noWrap w:val="0"/>
                  <w:vAlign w:val="center"/>
                </w:tcPr>
                <w:p w14:paraId="2FE6126B">
                  <w:pPr>
                    <w:jc w:val="center"/>
                    <w:rPr>
                      <w:rFonts w:hint="default" w:ascii="Times New Roman" w:hAnsi="Times New Roman" w:eastAsia="Arial" w:cs="Times New Roman"/>
                      <w:color w:val="auto"/>
                      <w:sz w:val="21"/>
                      <w:szCs w:val="21"/>
                      <w:highlight w:val="none"/>
                    </w:rPr>
                  </w:pPr>
                </w:p>
              </w:tc>
              <w:tc>
                <w:tcPr>
                  <w:tcW w:w="589" w:type="dxa"/>
                  <w:vMerge w:val="continue"/>
                  <w:tcBorders>
                    <w:bottom w:val="single" w:color="auto" w:sz="4" w:space="0"/>
                    <w:tl2br w:val="nil"/>
                    <w:tr2bl w:val="nil"/>
                  </w:tcBorders>
                  <w:noWrap/>
                  <w:vAlign w:val="center"/>
                </w:tcPr>
                <w:p w14:paraId="68BB8336">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bottom w:val="single" w:color="auto" w:sz="4" w:space="0"/>
                    <w:tl2br w:val="nil"/>
                    <w:tr2bl w:val="nil"/>
                  </w:tcBorders>
                  <w:noWrap/>
                  <w:vAlign w:val="center"/>
                </w:tcPr>
                <w:p w14:paraId="4B775737">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bottom w:val="single" w:color="auto" w:sz="4" w:space="0"/>
                    <w:tl2br w:val="nil"/>
                    <w:tr2bl w:val="nil"/>
                  </w:tcBorders>
                  <w:noWrap/>
                  <w:vAlign w:val="center"/>
                </w:tcPr>
                <w:p w14:paraId="3B8D1A9B">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bottom w:val="single" w:color="auto" w:sz="4" w:space="0"/>
                    <w:tl2br w:val="nil"/>
                    <w:tr2bl w:val="nil"/>
                  </w:tcBorders>
                  <w:noWrap/>
                  <w:vAlign w:val="center"/>
                </w:tcPr>
                <w:p w14:paraId="73337AAA">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bottom w:val="single" w:color="auto" w:sz="4" w:space="0"/>
                    <w:tl2br w:val="nil"/>
                    <w:tr2bl w:val="nil"/>
                  </w:tcBorders>
                  <w:noWrap/>
                  <w:vAlign w:val="center"/>
                </w:tcPr>
                <w:p w14:paraId="361888EA">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2EC866C5">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w:t>
                  </w:r>
                </w:p>
              </w:tc>
              <w:tc>
                <w:tcPr>
                  <w:tcW w:w="739" w:type="dxa"/>
                  <w:tcBorders>
                    <w:top w:val="single" w:color="auto" w:sz="4" w:space="0"/>
                    <w:bottom w:val="single" w:color="auto" w:sz="4" w:space="0"/>
                    <w:tl2br w:val="nil"/>
                    <w:tr2bl w:val="nil"/>
                  </w:tcBorders>
                  <w:noWrap w:val="0"/>
                  <w:vAlign w:val="center"/>
                </w:tcPr>
                <w:p w14:paraId="61288AD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932" w:type="dxa"/>
                  <w:tcBorders>
                    <w:top w:val="single" w:color="auto" w:sz="4" w:space="0"/>
                    <w:bottom w:val="single" w:color="auto" w:sz="4" w:space="0"/>
                    <w:tl2br w:val="nil"/>
                    <w:tr2bl w:val="nil"/>
                  </w:tcBorders>
                  <w:noWrap w:val="0"/>
                  <w:vAlign w:val="center"/>
                </w:tcPr>
                <w:p w14:paraId="720767E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75.0</w:t>
                  </w:r>
                </w:p>
              </w:tc>
              <w:tc>
                <w:tcPr>
                  <w:tcW w:w="695" w:type="dxa"/>
                  <w:vMerge w:val="continue"/>
                  <w:tcBorders>
                    <w:tl2br w:val="nil"/>
                    <w:tr2bl w:val="nil"/>
                  </w:tcBorders>
                  <w:noWrap w:val="0"/>
                  <w:vAlign w:val="center"/>
                </w:tcPr>
                <w:p w14:paraId="77BE0E12">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32D8B72E">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507B7F7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54.0 </w:t>
                  </w:r>
                </w:p>
              </w:tc>
              <w:tc>
                <w:tcPr>
                  <w:tcW w:w="1073" w:type="dxa"/>
                  <w:vMerge w:val="continue"/>
                  <w:tcBorders>
                    <w:bottom w:val="single" w:color="auto" w:sz="4" w:space="0"/>
                    <w:tl2br w:val="nil"/>
                    <w:tr2bl w:val="nil"/>
                  </w:tcBorders>
                  <w:noWrap w:val="0"/>
                  <w:vAlign w:val="center"/>
                </w:tcPr>
                <w:p w14:paraId="308D0745">
                  <w:pPr>
                    <w:widowControl/>
                    <w:jc w:val="center"/>
                    <w:rPr>
                      <w:rFonts w:hint="default" w:ascii="Times New Roman" w:hAnsi="Times New Roman" w:eastAsia="宋体" w:cs="Times New Roman"/>
                      <w:color w:val="auto"/>
                      <w:kern w:val="0"/>
                      <w:sz w:val="21"/>
                      <w:szCs w:val="21"/>
                      <w:highlight w:val="none"/>
                    </w:rPr>
                  </w:pPr>
                </w:p>
              </w:tc>
            </w:tr>
            <w:tr w14:paraId="220314C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36" w:hRule="atLeast"/>
                <w:jc w:val="center"/>
              </w:trPr>
              <w:tc>
                <w:tcPr>
                  <w:tcW w:w="485" w:type="dxa"/>
                  <w:vMerge w:val="continue"/>
                  <w:tcBorders>
                    <w:bottom w:val="single" w:color="auto" w:sz="4" w:space="0"/>
                    <w:tl2br w:val="nil"/>
                    <w:tr2bl w:val="nil"/>
                  </w:tcBorders>
                  <w:noWrap/>
                  <w:vAlign w:val="center"/>
                </w:tcPr>
                <w:p w14:paraId="6F9173EE">
                  <w:pPr>
                    <w:widowControl/>
                    <w:jc w:val="center"/>
                    <w:rPr>
                      <w:rFonts w:hint="default" w:ascii="Times New Roman" w:hAnsi="Times New Roman" w:eastAsia="宋体"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51097698">
                  <w:pPr>
                    <w:widowControl/>
                    <w:jc w:val="center"/>
                    <w:rPr>
                      <w:rFonts w:hint="default" w:ascii="Times New Roman" w:hAnsi="Times New Roman" w:eastAsia="宋体" w:cs="Times New Roman"/>
                      <w:color w:val="auto"/>
                      <w:kern w:val="0"/>
                      <w:sz w:val="21"/>
                      <w:szCs w:val="21"/>
                      <w:highlight w:val="none"/>
                    </w:rPr>
                  </w:pPr>
                </w:p>
              </w:tc>
              <w:tc>
                <w:tcPr>
                  <w:tcW w:w="1067" w:type="dxa"/>
                  <w:vMerge w:val="continue"/>
                  <w:tcBorders>
                    <w:top w:val="single" w:color="auto" w:sz="4" w:space="0"/>
                    <w:bottom w:val="single" w:color="auto" w:sz="4" w:space="0"/>
                    <w:tl2br w:val="nil"/>
                    <w:tr2bl w:val="nil"/>
                  </w:tcBorders>
                  <w:noWrap w:val="0"/>
                  <w:vAlign w:val="center"/>
                </w:tcPr>
                <w:p w14:paraId="2758A0FA">
                  <w:pPr>
                    <w:jc w:val="center"/>
                    <w:rPr>
                      <w:rFonts w:hint="default" w:ascii="Times New Roman" w:hAnsi="Times New Roman" w:eastAsia="Arial" w:cs="Times New Roman"/>
                      <w:color w:val="auto"/>
                      <w:sz w:val="21"/>
                      <w:szCs w:val="21"/>
                      <w:highlight w:val="none"/>
                    </w:rPr>
                  </w:pPr>
                </w:p>
              </w:tc>
              <w:tc>
                <w:tcPr>
                  <w:tcW w:w="589" w:type="dxa"/>
                  <w:vMerge w:val="continue"/>
                  <w:tcBorders>
                    <w:bottom w:val="single" w:color="auto" w:sz="4" w:space="0"/>
                    <w:tl2br w:val="nil"/>
                    <w:tr2bl w:val="nil"/>
                  </w:tcBorders>
                  <w:noWrap/>
                  <w:vAlign w:val="center"/>
                </w:tcPr>
                <w:p w14:paraId="7EFF92C8">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bottom w:val="single" w:color="auto" w:sz="4" w:space="0"/>
                    <w:tl2br w:val="nil"/>
                    <w:tr2bl w:val="nil"/>
                  </w:tcBorders>
                  <w:noWrap/>
                  <w:vAlign w:val="center"/>
                </w:tcPr>
                <w:p w14:paraId="4AC7BC26">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bottom w:val="single" w:color="auto" w:sz="4" w:space="0"/>
                    <w:tl2br w:val="nil"/>
                    <w:tr2bl w:val="nil"/>
                  </w:tcBorders>
                  <w:noWrap/>
                  <w:vAlign w:val="center"/>
                </w:tcPr>
                <w:p w14:paraId="64DE8003">
                  <w:pPr>
                    <w:widowControl/>
                    <w:jc w:val="center"/>
                    <w:rPr>
                      <w:rFonts w:hint="default" w:ascii="Times New Roman" w:hAnsi="Times New Roman" w:eastAsia="宋体" w:cs="Times New Roman"/>
                      <w:color w:val="auto"/>
                      <w:sz w:val="21"/>
                      <w:szCs w:val="21"/>
                      <w:highlight w:val="none"/>
                      <w:lang w:val="en-US" w:eastAsia="zh-CN"/>
                    </w:rPr>
                  </w:pPr>
                </w:p>
              </w:tc>
              <w:tc>
                <w:tcPr>
                  <w:tcW w:w="1425" w:type="dxa"/>
                  <w:vMerge w:val="continue"/>
                  <w:tcBorders>
                    <w:bottom w:val="single" w:color="auto" w:sz="4" w:space="0"/>
                    <w:tl2br w:val="nil"/>
                    <w:tr2bl w:val="nil"/>
                  </w:tcBorders>
                  <w:noWrap/>
                  <w:vAlign w:val="center"/>
                </w:tcPr>
                <w:p w14:paraId="40796554">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bottom w:val="single" w:color="auto" w:sz="4" w:space="0"/>
                    <w:tl2br w:val="nil"/>
                    <w:tr2bl w:val="nil"/>
                  </w:tcBorders>
                  <w:noWrap/>
                  <w:vAlign w:val="center"/>
                </w:tcPr>
                <w:p w14:paraId="51254C9D">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12855AE4">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w:t>
                  </w:r>
                </w:p>
              </w:tc>
              <w:tc>
                <w:tcPr>
                  <w:tcW w:w="739" w:type="dxa"/>
                  <w:tcBorders>
                    <w:top w:val="single" w:color="auto" w:sz="4" w:space="0"/>
                    <w:bottom w:val="single" w:color="auto" w:sz="4" w:space="0"/>
                    <w:tl2br w:val="nil"/>
                    <w:tr2bl w:val="nil"/>
                  </w:tcBorders>
                  <w:noWrap w:val="0"/>
                  <w:vAlign w:val="center"/>
                </w:tcPr>
                <w:p w14:paraId="4B78DC96">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932" w:type="dxa"/>
                  <w:tcBorders>
                    <w:top w:val="single" w:color="auto" w:sz="4" w:space="0"/>
                    <w:bottom w:val="single" w:color="auto" w:sz="4" w:space="0"/>
                    <w:tl2br w:val="nil"/>
                    <w:tr2bl w:val="nil"/>
                  </w:tcBorders>
                  <w:noWrap w:val="0"/>
                  <w:vAlign w:val="center"/>
                </w:tcPr>
                <w:p w14:paraId="159572A1">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42.5</w:t>
                  </w:r>
                </w:p>
              </w:tc>
              <w:tc>
                <w:tcPr>
                  <w:tcW w:w="695" w:type="dxa"/>
                  <w:vMerge w:val="continue"/>
                  <w:tcBorders>
                    <w:bottom w:val="single" w:color="auto" w:sz="4" w:space="0"/>
                    <w:tl2br w:val="nil"/>
                    <w:tr2bl w:val="nil"/>
                  </w:tcBorders>
                  <w:noWrap w:val="0"/>
                  <w:vAlign w:val="center"/>
                </w:tcPr>
                <w:p w14:paraId="05992BF8">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bottom w:val="single" w:color="auto" w:sz="4" w:space="0"/>
                    <w:tl2br w:val="nil"/>
                    <w:tr2bl w:val="nil"/>
                  </w:tcBorders>
                  <w:noWrap w:val="0"/>
                  <w:vAlign w:val="center"/>
                </w:tcPr>
                <w:p w14:paraId="0093F6AA">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6A0DE3A5">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2"/>
                      <w:szCs w:val="22"/>
                      <w:u w:val="none"/>
                      <w:lang w:val="en-US" w:eastAsia="zh-CN" w:bidi="ar"/>
                    </w:rPr>
                  </w:pPr>
                  <w:r>
                    <w:rPr>
                      <w:rFonts w:hint="default" w:ascii="Times New Roman" w:hAnsi="Times New Roman" w:eastAsia="等线" w:cs="Times New Roman"/>
                      <w:i w:val="0"/>
                      <w:iCs w:val="0"/>
                      <w:color w:val="auto"/>
                      <w:kern w:val="0"/>
                      <w:sz w:val="22"/>
                      <w:szCs w:val="22"/>
                      <w:u w:val="none"/>
                      <w:lang w:val="en-US" w:eastAsia="zh-CN" w:bidi="ar"/>
                    </w:rPr>
                    <w:t xml:space="preserve">21.5 </w:t>
                  </w:r>
                </w:p>
              </w:tc>
              <w:tc>
                <w:tcPr>
                  <w:tcW w:w="1073" w:type="dxa"/>
                  <w:vMerge w:val="continue"/>
                  <w:tcBorders>
                    <w:bottom w:val="single" w:color="auto" w:sz="4" w:space="0"/>
                    <w:tl2br w:val="nil"/>
                    <w:tr2bl w:val="nil"/>
                  </w:tcBorders>
                  <w:noWrap w:val="0"/>
                  <w:vAlign w:val="center"/>
                </w:tcPr>
                <w:p w14:paraId="3AFB25F7">
                  <w:pPr>
                    <w:widowControl/>
                    <w:jc w:val="center"/>
                    <w:rPr>
                      <w:rFonts w:hint="default" w:ascii="Times New Roman" w:hAnsi="Times New Roman" w:eastAsia="宋体" w:cs="Times New Roman"/>
                      <w:color w:val="auto"/>
                      <w:kern w:val="0"/>
                      <w:sz w:val="21"/>
                      <w:szCs w:val="21"/>
                      <w:highlight w:val="none"/>
                    </w:rPr>
                  </w:pPr>
                </w:p>
              </w:tc>
            </w:tr>
            <w:tr w14:paraId="73BA743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66" w:hRule="atLeast"/>
                <w:jc w:val="center"/>
              </w:trPr>
              <w:tc>
                <w:tcPr>
                  <w:tcW w:w="485" w:type="dxa"/>
                  <w:vMerge w:val="restart"/>
                  <w:tcBorders>
                    <w:top w:val="single" w:color="auto" w:sz="4" w:space="0"/>
                    <w:tl2br w:val="nil"/>
                    <w:tr2bl w:val="nil"/>
                  </w:tcBorders>
                  <w:noWrap/>
                  <w:vAlign w:val="center"/>
                </w:tcPr>
                <w:p w14:paraId="0BD83D97">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13</w:t>
                  </w:r>
                </w:p>
              </w:tc>
              <w:tc>
                <w:tcPr>
                  <w:tcW w:w="697" w:type="dxa"/>
                  <w:vMerge w:val="continue"/>
                  <w:tcBorders>
                    <w:tl2br w:val="nil"/>
                    <w:tr2bl w:val="nil"/>
                  </w:tcBorders>
                  <w:noWrap/>
                  <w:vAlign w:val="center"/>
                </w:tcPr>
                <w:p w14:paraId="054ABA9D">
                  <w:pPr>
                    <w:widowControl/>
                    <w:jc w:val="center"/>
                    <w:rPr>
                      <w:rFonts w:hint="default" w:ascii="Times New Roman" w:hAnsi="Times New Roman" w:eastAsia="宋体" w:cs="Times New Roman"/>
                      <w:color w:val="auto"/>
                      <w:kern w:val="0"/>
                      <w:sz w:val="21"/>
                      <w:szCs w:val="21"/>
                      <w:highlight w:val="none"/>
                    </w:rPr>
                  </w:pPr>
                </w:p>
              </w:tc>
              <w:tc>
                <w:tcPr>
                  <w:tcW w:w="1067" w:type="dxa"/>
                  <w:vMerge w:val="restart"/>
                  <w:tcBorders>
                    <w:top w:val="single" w:color="auto" w:sz="4" w:space="0"/>
                    <w:tl2br w:val="nil"/>
                    <w:tr2bl w:val="nil"/>
                  </w:tcBorders>
                  <w:noWrap w:val="0"/>
                  <w:vAlign w:val="center"/>
                </w:tcPr>
                <w:p w14:paraId="55598AD1">
                  <w:pPr>
                    <w:spacing w:line="240" w:lineRule="auto"/>
                    <w:jc w:val="center"/>
                    <w:rPr>
                      <w:rFonts w:hint="eastAsia" w:ascii="Times New Roman" w:hAnsi="Times New Roman" w:eastAsia="宋体" w:cs="Times New Roman"/>
                      <w:color w:val="auto"/>
                      <w:sz w:val="21"/>
                      <w:szCs w:val="21"/>
                      <w:highlight w:val="none"/>
                      <w:lang w:eastAsia="zh-CN"/>
                    </w:rPr>
                  </w:pPr>
                  <w:r>
                    <w:rPr>
                      <w:rFonts w:hint="eastAsia"/>
                      <w:color w:val="auto"/>
                      <w:kern w:val="0"/>
                      <w:szCs w:val="21"/>
                      <w:lang w:bidi="ar"/>
                    </w:rPr>
                    <w:t>全自动包装生产线</w:t>
                  </w:r>
                  <w:r>
                    <w:rPr>
                      <w:rFonts w:hint="eastAsia"/>
                      <w:color w:val="auto"/>
                      <w:kern w:val="0"/>
                      <w:szCs w:val="21"/>
                      <w:lang w:eastAsia="zh-CN" w:bidi="ar"/>
                    </w:rPr>
                    <w:t>（</w:t>
                  </w:r>
                  <w:r>
                    <w:rPr>
                      <w:rFonts w:hint="eastAsia"/>
                      <w:color w:val="auto"/>
                      <w:kern w:val="0"/>
                      <w:szCs w:val="21"/>
                      <w:lang w:val="en-US" w:eastAsia="zh-CN" w:bidi="ar"/>
                    </w:rPr>
                    <w:t>3条</w:t>
                  </w:r>
                  <w:r>
                    <w:rPr>
                      <w:rFonts w:hint="eastAsia"/>
                      <w:color w:val="auto"/>
                      <w:kern w:val="0"/>
                      <w:szCs w:val="21"/>
                      <w:lang w:eastAsia="zh-CN" w:bidi="ar"/>
                    </w:rPr>
                    <w:t>）</w:t>
                  </w:r>
                </w:p>
              </w:tc>
              <w:tc>
                <w:tcPr>
                  <w:tcW w:w="589" w:type="dxa"/>
                  <w:vMerge w:val="restart"/>
                  <w:tcBorders>
                    <w:top w:val="single" w:color="auto" w:sz="4" w:space="0"/>
                    <w:tl2br w:val="nil"/>
                    <w:tr2bl w:val="nil"/>
                  </w:tcBorders>
                  <w:noWrap/>
                  <w:vAlign w:val="center"/>
                </w:tcPr>
                <w:p w14:paraId="34939738">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636" w:type="dxa"/>
                  <w:vMerge w:val="restart"/>
                  <w:tcBorders>
                    <w:top w:val="single" w:color="auto" w:sz="4" w:space="0"/>
                    <w:tl2br w:val="nil"/>
                    <w:tr2bl w:val="nil"/>
                  </w:tcBorders>
                  <w:noWrap/>
                  <w:vAlign w:val="center"/>
                </w:tcPr>
                <w:p w14:paraId="282929D7">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750" w:type="dxa"/>
                  <w:vMerge w:val="restart"/>
                  <w:tcBorders>
                    <w:top w:val="single" w:color="auto" w:sz="4" w:space="0"/>
                    <w:tl2br w:val="nil"/>
                    <w:tr2bl w:val="nil"/>
                  </w:tcBorders>
                  <w:noWrap/>
                  <w:vAlign w:val="center"/>
                </w:tcPr>
                <w:p w14:paraId="507B615C">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425" w:type="dxa"/>
                  <w:vMerge w:val="restart"/>
                  <w:tcBorders>
                    <w:top w:val="single" w:color="auto" w:sz="4" w:space="0"/>
                    <w:tl2br w:val="nil"/>
                    <w:tr2bl w:val="nil"/>
                  </w:tcBorders>
                  <w:noWrap/>
                  <w:vAlign w:val="center"/>
                </w:tcPr>
                <w:p w14:paraId="7308D19F">
                  <w:pPr>
                    <w:widowControl/>
                    <w:jc w:val="center"/>
                    <w:rPr>
                      <w:rFonts w:hint="default" w:ascii="Times New Roman" w:hAnsi="Times New Roman" w:eastAsia="Arial" w:cs="Times New Roman"/>
                      <w:color w:val="auto"/>
                      <w:sz w:val="21"/>
                      <w:szCs w:val="21"/>
                      <w:highlight w:val="none"/>
                    </w:rPr>
                  </w:pPr>
                  <w:r>
                    <w:rPr>
                      <w:rFonts w:hint="eastAsia" w:cs="Times New Roman"/>
                      <w:color w:val="auto"/>
                      <w:kern w:val="0"/>
                      <w:sz w:val="21"/>
                      <w:szCs w:val="21"/>
                      <w:lang w:val="en-US" w:eastAsia="zh-CN"/>
                    </w:rPr>
                    <w:t>75</w:t>
                  </w:r>
                  <w:r>
                    <w:rPr>
                      <w:rFonts w:hint="default" w:ascii="Times New Roman" w:hAnsi="Times New Roman" w:eastAsia="宋体" w:cs="Times New Roman"/>
                      <w:color w:val="auto"/>
                      <w:kern w:val="0"/>
                      <w:sz w:val="21"/>
                      <w:szCs w:val="21"/>
                    </w:rPr>
                    <w:t>/1</w:t>
                  </w:r>
                </w:p>
              </w:tc>
              <w:tc>
                <w:tcPr>
                  <w:tcW w:w="1222" w:type="dxa"/>
                  <w:vMerge w:val="restart"/>
                  <w:tcBorders>
                    <w:top w:val="single" w:color="auto" w:sz="4" w:space="0"/>
                    <w:tl2br w:val="nil"/>
                    <w:tr2bl w:val="nil"/>
                  </w:tcBorders>
                  <w:noWrap/>
                  <w:vAlign w:val="center"/>
                </w:tcPr>
                <w:p w14:paraId="4EA71B80">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隔声、减振</w:t>
                  </w:r>
                </w:p>
              </w:tc>
              <w:tc>
                <w:tcPr>
                  <w:tcW w:w="686" w:type="dxa"/>
                  <w:tcBorders>
                    <w:top w:val="single" w:color="auto" w:sz="4" w:space="0"/>
                    <w:bottom w:val="single" w:color="auto" w:sz="4" w:space="0"/>
                    <w:tl2br w:val="nil"/>
                    <w:tr2bl w:val="nil"/>
                  </w:tcBorders>
                  <w:noWrap w:val="0"/>
                  <w:vAlign w:val="center"/>
                </w:tcPr>
                <w:p w14:paraId="1FDBCE75">
                  <w:pPr>
                    <w:jc w:val="center"/>
                    <w:rPr>
                      <w:rFonts w:hint="default" w:ascii="Times New Roman" w:hAnsi="Times New Roman" w:eastAsia="Arial"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rPr>
                    <w:t>E</w:t>
                  </w:r>
                </w:p>
              </w:tc>
              <w:tc>
                <w:tcPr>
                  <w:tcW w:w="739" w:type="dxa"/>
                  <w:tcBorders>
                    <w:top w:val="single" w:color="auto" w:sz="4" w:space="0"/>
                    <w:bottom w:val="single" w:color="auto" w:sz="4" w:space="0"/>
                    <w:tl2br w:val="nil"/>
                    <w:tr2bl w:val="nil"/>
                  </w:tcBorders>
                  <w:noWrap w:val="0"/>
                  <w:vAlign w:val="center"/>
                </w:tcPr>
                <w:p w14:paraId="01DECF9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932" w:type="dxa"/>
                  <w:tcBorders>
                    <w:top w:val="single" w:color="auto" w:sz="4" w:space="0"/>
                    <w:bottom w:val="single" w:color="auto" w:sz="4" w:space="0"/>
                    <w:tl2br w:val="nil"/>
                    <w:tr2bl w:val="nil"/>
                  </w:tcBorders>
                  <w:noWrap w:val="0"/>
                  <w:vAlign w:val="center"/>
                </w:tcPr>
                <w:p w14:paraId="3BEDF47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u w:val="none"/>
                      <w:lang w:val="en-US" w:eastAsia="zh-CN" w:bidi="ar"/>
                    </w:rPr>
                    <w:t>43.0</w:t>
                  </w:r>
                </w:p>
              </w:tc>
              <w:tc>
                <w:tcPr>
                  <w:tcW w:w="695" w:type="dxa"/>
                  <w:vMerge w:val="restart"/>
                  <w:tcBorders>
                    <w:top w:val="single" w:color="auto" w:sz="4" w:space="0"/>
                    <w:tl2br w:val="nil"/>
                    <w:tr2bl w:val="nil"/>
                  </w:tcBorders>
                  <w:noWrap w:val="0"/>
                  <w:vAlign w:val="center"/>
                </w:tcPr>
                <w:p w14:paraId="1199D662">
                  <w:pPr>
                    <w:widowControl/>
                    <w:jc w:val="center"/>
                    <w:rPr>
                      <w:rFonts w:hint="default" w:ascii="Times New Roman" w:hAnsi="Times New Roman" w:eastAsia="等线" w:cs="Times New Roman"/>
                      <w:color w:val="auto"/>
                      <w:sz w:val="21"/>
                      <w:szCs w:val="21"/>
                      <w:highlight w:val="none"/>
                    </w:rPr>
                  </w:pPr>
                  <w:r>
                    <w:rPr>
                      <w:rFonts w:hint="eastAsia" w:eastAsia="等线" w:cs="Times New Roman"/>
                      <w:color w:val="auto"/>
                      <w:sz w:val="21"/>
                      <w:szCs w:val="21"/>
                      <w:highlight w:val="none"/>
                      <w:lang w:val="en-US" w:eastAsia="zh-CN"/>
                    </w:rPr>
                    <w:t>16</w:t>
                  </w:r>
                  <w:r>
                    <w:rPr>
                      <w:rFonts w:hint="default" w:ascii="Times New Roman" w:hAnsi="Times New Roman" w:eastAsia="等线" w:cs="Times New Roman"/>
                      <w:color w:val="auto"/>
                      <w:sz w:val="21"/>
                      <w:szCs w:val="21"/>
                      <w:highlight w:val="none"/>
                    </w:rPr>
                    <w:t>h/d</w:t>
                  </w:r>
                </w:p>
              </w:tc>
              <w:tc>
                <w:tcPr>
                  <w:tcW w:w="889" w:type="dxa"/>
                  <w:vMerge w:val="restart"/>
                  <w:tcBorders>
                    <w:top w:val="single" w:color="auto" w:sz="4" w:space="0"/>
                    <w:tl2br w:val="nil"/>
                    <w:tr2bl w:val="nil"/>
                  </w:tcBorders>
                  <w:noWrap w:val="0"/>
                  <w:vAlign w:val="center"/>
                </w:tcPr>
                <w:p w14:paraId="7C2F82C3">
                  <w:pPr>
                    <w:widowControl/>
                    <w:jc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等线" w:cs="Times New Roman"/>
                      <w:color w:val="auto"/>
                      <w:sz w:val="21"/>
                      <w:szCs w:val="21"/>
                      <w:highlight w:val="none"/>
                      <w:lang w:val="en-US" w:eastAsia="zh-CN"/>
                    </w:rPr>
                    <w:t>21</w:t>
                  </w:r>
                </w:p>
              </w:tc>
              <w:tc>
                <w:tcPr>
                  <w:tcW w:w="932" w:type="dxa"/>
                  <w:tcBorders>
                    <w:top w:val="single" w:color="auto" w:sz="4" w:space="0"/>
                    <w:bottom w:val="single" w:color="auto" w:sz="4" w:space="0"/>
                    <w:tl2br w:val="nil"/>
                    <w:tr2bl w:val="nil"/>
                  </w:tcBorders>
                  <w:noWrap/>
                  <w:vAlign w:val="center"/>
                </w:tcPr>
                <w:p w14:paraId="4B4BC83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color w:val="auto"/>
                      <w:kern w:val="0"/>
                      <w:sz w:val="22"/>
                      <w:szCs w:val="22"/>
                      <w:u w:val="none"/>
                      <w:lang w:val="en-US" w:eastAsia="zh-CN" w:bidi="ar"/>
                    </w:rPr>
                    <w:t xml:space="preserve">22.0 </w:t>
                  </w:r>
                </w:p>
              </w:tc>
              <w:tc>
                <w:tcPr>
                  <w:tcW w:w="1073" w:type="dxa"/>
                  <w:vMerge w:val="restart"/>
                  <w:tcBorders>
                    <w:top w:val="single" w:color="auto" w:sz="4" w:space="0"/>
                    <w:tl2br w:val="nil"/>
                    <w:tr2bl w:val="nil"/>
                  </w:tcBorders>
                  <w:noWrap w:val="0"/>
                  <w:vAlign w:val="center"/>
                </w:tcPr>
                <w:p w14:paraId="6E23DEDE">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r>
            <w:tr w14:paraId="77C2C0F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9" w:hRule="atLeast"/>
                <w:jc w:val="center"/>
              </w:trPr>
              <w:tc>
                <w:tcPr>
                  <w:tcW w:w="485" w:type="dxa"/>
                  <w:vMerge w:val="continue"/>
                  <w:tcBorders>
                    <w:bottom w:val="single" w:color="auto" w:sz="4" w:space="0"/>
                    <w:tl2br w:val="nil"/>
                    <w:tr2bl w:val="nil"/>
                  </w:tcBorders>
                  <w:noWrap/>
                  <w:vAlign w:val="center"/>
                </w:tcPr>
                <w:p w14:paraId="4048C093">
                  <w:pPr>
                    <w:widowControl/>
                    <w:jc w:val="center"/>
                    <w:rPr>
                      <w:rFonts w:hint="eastAsia"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2E95CE95">
                  <w:pPr>
                    <w:widowControl/>
                    <w:jc w:val="center"/>
                    <w:rPr>
                      <w:rFonts w:hint="default" w:ascii="Times New Roman" w:hAnsi="Times New Roman" w:eastAsia="宋体" w:cs="Times New Roman"/>
                      <w:color w:val="auto"/>
                      <w:kern w:val="0"/>
                      <w:sz w:val="21"/>
                      <w:szCs w:val="21"/>
                      <w:highlight w:val="none"/>
                    </w:rPr>
                  </w:pPr>
                </w:p>
              </w:tc>
              <w:tc>
                <w:tcPr>
                  <w:tcW w:w="1067" w:type="dxa"/>
                  <w:vMerge w:val="continue"/>
                  <w:tcBorders>
                    <w:bottom w:val="single" w:color="auto" w:sz="4" w:space="0"/>
                    <w:tl2br w:val="nil"/>
                    <w:tr2bl w:val="nil"/>
                  </w:tcBorders>
                  <w:noWrap w:val="0"/>
                  <w:vAlign w:val="center"/>
                </w:tcPr>
                <w:p w14:paraId="3EF5172B">
                  <w:pPr>
                    <w:spacing w:line="240" w:lineRule="auto"/>
                    <w:jc w:val="center"/>
                    <w:rPr>
                      <w:rFonts w:hint="eastAsia"/>
                      <w:color w:val="auto"/>
                      <w:kern w:val="0"/>
                      <w:szCs w:val="21"/>
                      <w:lang w:bidi="ar"/>
                    </w:rPr>
                  </w:pPr>
                </w:p>
              </w:tc>
              <w:tc>
                <w:tcPr>
                  <w:tcW w:w="589" w:type="dxa"/>
                  <w:vMerge w:val="continue"/>
                  <w:tcBorders>
                    <w:bottom w:val="single" w:color="auto" w:sz="4" w:space="0"/>
                    <w:tl2br w:val="nil"/>
                    <w:tr2bl w:val="nil"/>
                  </w:tcBorders>
                  <w:noWrap/>
                  <w:vAlign w:val="center"/>
                </w:tcPr>
                <w:p w14:paraId="4A887967">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bottom w:val="single" w:color="auto" w:sz="4" w:space="0"/>
                    <w:tl2br w:val="nil"/>
                    <w:tr2bl w:val="nil"/>
                  </w:tcBorders>
                  <w:noWrap/>
                  <w:vAlign w:val="center"/>
                </w:tcPr>
                <w:p w14:paraId="5177FD4D">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bottom w:val="single" w:color="auto" w:sz="4" w:space="0"/>
                    <w:tl2br w:val="nil"/>
                    <w:tr2bl w:val="nil"/>
                  </w:tcBorders>
                  <w:noWrap/>
                  <w:vAlign w:val="center"/>
                </w:tcPr>
                <w:p w14:paraId="01EF5251">
                  <w:pPr>
                    <w:widowControl/>
                    <w:jc w:val="center"/>
                    <w:rPr>
                      <w:rFonts w:hint="eastAsia" w:cs="Times New Roman"/>
                      <w:color w:val="auto"/>
                      <w:sz w:val="21"/>
                      <w:szCs w:val="21"/>
                      <w:highlight w:val="none"/>
                      <w:lang w:val="en-US" w:eastAsia="zh-CN"/>
                    </w:rPr>
                  </w:pPr>
                </w:p>
              </w:tc>
              <w:tc>
                <w:tcPr>
                  <w:tcW w:w="1425" w:type="dxa"/>
                  <w:vMerge w:val="continue"/>
                  <w:tcBorders>
                    <w:tl2br w:val="nil"/>
                    <w:tr2bl w:val="nil"/>
                  </w:tcBorders>
                  <w:noWrap/>
                  <w:vAlign w:val="center"/>
                </w:tcPr>
                <w:p w14:paraId="3D797056">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4CA63F70">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4C466C0C">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w:t>
                  </w:r>
                </w:p>
              </w:tc>
              <w:tc>
                <w:tcPr>
                  <w:tcW w:w="739" w:type="dxa"/>
                  <w:tcBorders>
                    <w:top w:val="single" w:color="auto" w:sz="4" w:space="0"/>
                    <w:bottom w:val="single" w:color="auto" w:sz="4" w:space="0"/>
                    <w:tl2br w:val="nil"/>
                    <w:tr2bl w:val="nil"/>
                  </w:tcBorders>
                  <w:noWrap w:val="0"/>
                  <w:vAlign w:val="center"/>
                </w:tcPr>
                <w:p w14:paraId="2086ABC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932" w:type="dxa"/>
                  <w:tcBorders>
                    <w:top w:val="single" w:color="auto" w:sz="4" w:space="0"/>
                    <w:bottom w:val="single" w:color="auto" w:sz="4" w:space="0"/>
                    <w:tl2br w:val="nil"/>
                    <w:tr2bl w:val="nil"/>
                  </w:tcBorders>
                  <w:noWrap w:val="0"/>
                  <w:vAlign w:val="center"/>
                </w:tcPr>
                <w:p w14:paraId="2B045F82">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55.0</w:t>
                  </w:r>
                </w:p>
              </w:tc>
              <w:tc>
                <w:tcPr>
                  <w:tcW w:w="695" w:type="dxa"/>
                  <w:vMerge w:val="continue"/>
                  <w:tcBorders>
                    <w:tl2br w:val="nil"/>
                    <w:tr2bl w:val="nil"/>
                  </w:tcBorders>
                  <w:noWrap w:val="0"/>
                  <w:vAlign w:val="center"/>
                </w:tcPr>
                <w:p w14:paraId="6EC1C73F">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16C486E0">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2C227708">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2"/>
                      <w:szCs w:val="22"/>
                      <w:u w:val="none"/>
                      <w:lang w:val="en-US" w:eastAsia="zh-CN" w:bidi="ar"/>
                    </w:rPr>
                  </w:pPr>
                  <w:r>
                    <w:rPr>
                      <w:rFonts w:hint="default" w:ascii="Times New Roman" w:hAnsi="Times New Roman" w:eastAsia="等线" w:cs="Times New Roman"/>
                      <w:i w:val="0"/>
                      <w:iCs w:val="0"/>
                      <w:color w:val="auto"/>
                      <w:kern w:val="0"/>
                      <w:sz w:val="22"/>
                      <w:szCs w:val="22"/>
                      <w:u w:val="none"/>
                      <w:lang w:val="en-US" w:eastAsia="zh-CN" w:bidi="ar"/>
                    </w:rPr>
                    <w:t xml:space="preserve">34.0 </w:t>
                  </w:r>
                </w:p>
              </w:tc>
              <w:tc>
                <w:tcPr>
                  <w:tcW w:w="1073" w:type="dxa"/>
                  <w:vMerge w:val="continue"/>
                  <w:tcBorders>
                    <w:tl2br w:val="nil"/>
                    <w:tr2bl w:val="nil"/>
                  </w:tcBorders>
                  <w:noWrap w:val="0"/>
                  <w:vAlign w:val="center"/>
                </w:tcPr>
                <w:p w14:paraId="722FC16A">
                  <w:pPr>
                    <w:widowControl/>
                    <w:jc w:val="center"/>
                    <w:rPr>
                      <w:rFonts w:hint="default" w:ascii="Times New Roman" w:hAnsi="Times New Roman" w:eastAsia="宋体" w:cs="Times New Roman"/>
                      <w:color w:val="auto"/>
                      <w:kern w:val="0"/>
                      <w:sz w:val="21"/>
                      <w:szCs w:val="21"/>
                      <w:highlight w:val="none"/>
                    </w:rPr>
                  </w:pPr>
                </w:p>
              </w:tc>
            </w:tr>
            <w:tr w14:paraId="7369D00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42" w:hRule="atLeast"/>
                <w:jc w:val="center"/>
              </w:trPr>
              <w:tc>
                <w:tcPr>
                  <w:tcW w:w="485" w:type="dxa"/>
                  <w:vMerge w:val="continue"/>
                  <w:tcBorders>
                    <w:bottom w:val="single" w:color="auto" w:sz="4" w:space="0"/>
                    <w:tl2br w:val="nil"/>
                    <w:tr2bl w:val="nil"/>
                  </w:tcBorders>
                  <w:noWrap/>
                  <w:vAlign w:val="center"/>
                </w:tcPr>
                <w:p w14:paraId="2C400911">
                  <w:pPr>
                    <w:widowControl/>
                    <w:jc w:val="center"/>
                    <w:rPr>
                      <w:rFonts w:hint="eastAsia"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631B0A57">
                  <w:pPr>
                    <w:widowControl/>
                    <w:jc w:val="center"/>
                    <w:rPr>
                      <w:rFonts w:hint="default" w:ascii="Times New Roman" w:hAnsi="Times New Roman" w:eastAsia="宋体" w:cs="Times New Roman"/>
                      <w:color w:val="auto"/>
                      <w:kern w:val="0"/>
                      <w:sz w:val="21"/>
                      <w:szCs w:val="21"/>
                      <w:highlight w:val="none"/>
                    </w:rPr>
                  </w:pPr>
                </w:p>
              </w:tc>
              <w:tc>
                <w:tcPr>
                  <w:tcW w:w="1067" w:type="dxa"/>
                  <w:vMerge w:val="continue"/>
                  <w:tcBorders>
                    <w:bottom w:val="single" w:color="auto" w:sz="4" w:space="0"/>
                    <w:tl2br w:val="nil"/>
                    <w:tr2bl w:val="nil"/>
                  </w:tcBorders>
                  <w:noWrap w:val="0"/>
                  <w:vAlign w:val="center"/>
                </w:tcPr>
                <w:p w14:paraId="3C692121">
                  <w:pPr>
                    <w:spacing w:line="240" w:lineRule="auto"/>
                    <w:jc w:val="center"/>
                    <w:rPr>
                      <w:rFonts w:hint="eastAsia"/>
                      <w:color w:val="auto"/>
                      <w:kern w:val="0"/>
                      <w:szCs w:val="21"/>
                      <w:lang w:bidi="ar"/>
                    </w:rPr>
                  </w:pPr>
                </w:p>
              </w:tc>
              <w:tc>
                <w:tcPr>
                  <w:tcW w:w="589" w:type="dxa"/>
                  <w:vMerge w:val="continue"/>
                  <w:tcBorders>
                    <w:bottom w:val="single" w:color="auto" w:sz="4" w:space="0"/>
                    <w:tl2br w:val="nil"/>
                    <w:tr2bl w:val="nil"/>
                  </w:tcBorders>
                  <w:noWrap/>
                  <w:vAlign w:val="center"/>
                </w:tcPr>
                <w:p w14:paraId="05B0E612">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bottom w:val="single" w:color="auto" w:sz="4" w:space="0"/>
                    <w:tl2br w:val="nil"/>
                    <w:tr2bl w:val="nil"/>
                  </w:tcBorders>
                  <w:noWrap/>
                  <w:vAlign w:val="center"/>
                </w:tcPr>
                <w:p w14:paraId="34063D95">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bottom w:val="single" w:color="auto" w:sz="4" w:space="0"/>
                    <w:tl2br w:val="nil"/>
                    <w:tr2bl w:val="nil"/>
                  </w:tcBorders>
                  <w:noWrap/>
                  <w:vAlign w:val="center"/>
                </w:tcPr>
                <w:p w14:paraId="40B7684A">
                  <w:pPr>
                    <w:widowControl/>
                    <w:jc w:val="center"/>
                    <w:rPr>
                      <w:rFonts w:hint="eastAsia" w:cs="Times New Roman"/>
                      <w:color w:val="auto"/>
                      <w:sz w:val="21"/>
                      <w:szCs w:val="21"/>
                      <w:highlight w:val="none"/>
                      <w:lang w:val="en-US" w:eastAsia="zh-CN"/>
                    </w:rPr>
                  </w:pPr>
                </w:p>
              </w:tc>
              <w:tc>
                <w:tcPr>
                  <w:tcW w:w="1425" w:type="dxa"/>
                  <w:vMerge w:val="continue"/>
                  <w:tcBorders>
                    <w:tl2br w:val="nil"/>
                    <w:tr2bl w:val="nil"/>
                  </w:tcBorders>
                  <w:noWrap/>
                  <w:vAlign w:val="center"/>
                </w:tcPr>
                <w:p w14:paraId="59D036B6">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5157D4CB">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58ACB093">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w:t>
                  </w:r>
                </w:p>
              </w:tc>
              <w:tc>
                <w:tcPr>
                  <w:tcW w:w="739" w:type="dxa"/>
                  <w:tcBorders>
                    <w:top w:val="single" w:color="auto" w:sz="4" w:space="0"/>
                    <w:bottom w:val="single" w:color="auto" w:sz="4" w:space="0"/>
                    <w:tl2br w:val="nil"/>
                    <w:tr2bl w:val="nil"/>
                  </w:tcBorders>
                  <w:noWrap w:val="0"/>
                  <w:vAlign w:val="center"/>
                </w:tcPr>
                <w:p w14:paraId="7201E90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932" w:type="dxa"/>
                  <w:tcBorders>
                    <w:top w:val="single" w:color="auto" w:sz="4" w:space="0"/>
                    <w:bottom w:val="single" w:color="auto" w:sz="4" w:space="0"/>
                    <w:tl2br w:val="nil"/>
                    <w:tr2bl w:val="nil"/>
                  </w:tcBorders>
                  <w:noWrap w:val="0"/>
                  <w:vAlign w:val="center"/>
                </w:tcPr>
                <w:p w14:paraId="0B901FED">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39.4</w:t>
                  </w:r>
                </w:p>
              </w:tc>
              <w:tc>
                <w:tcPr>
                  <w:tcW w:w="695" w:type="dxa"/>
                  <w:vMerge w:val="continue"/>
                  <w:tcBorders>
                    <w:tl2br w:val="nil"/>
                    <w:tr2bl w:val="nil"/>
                  </w:tcBorders>
                  <w:noWrap w:val="0"/>
                  <w:vAlign w:val="center"/>
                </w:tcPr>
                <w:p w14:paraId="3D7ECB9A">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4E789E4D">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3C191800">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2"/>
                      <w:szCs w:val="22"/>
                      <w:u w:val="none"/>
                      <w:lang w:val="en-US" w:eastAsia="zh-CN" w:bidi="ar"/>
                    </w:rPr>
                  </w:pPr>
                  <w:r>
                    <w:rPr>
                      <w:rFonts w:hint="default" w:ascii="Times New Roman" w:hAnsi="Times New Roman" w:eastAsia="等线" w:cs="Times New Roman"/>
                      <w:i w:val="0"/>
                      <w:iCs w:val="0"/>
                      <w:color w:val="auto"/>
                      <w:kern w:val="0"/>
                      <w:sz w:val="22"/>
                      <w:szCs w:val="22"/>
                      <w:u w:val="none"/>
                      <w:lang w:val="en-US" w:eastAsia="zh-CN" w:bidi="ar"/>
                    </w:rPr>
                    <w:t xml:space="preserve">18.4 </w:t>
                  </w:r>
                </w:p>
              </w:tc>
              <w:tc>
                <w:tcPr>
                  <w:tcW w:w="1073" w:type="dxa"/>
                  <w:vMerge w:val="continue"/>
                  <w:tcBorders>
                    <w:tl2br w:val="nil"/>
                    <w:tr2bl w:val="nil"/>
                  </w:tcBorders>
                  <w:noWrap w:val="0"/>
                  <w:vAlign w:val="center"/>
                </w:tcPr>
                <w:p w14:paraId="58170ECF">
                  <w:pPr>
                    <w:widowControl/>
                    <w:jc w:val="center"/>
                    <w:rPr>
                      <w:rFonts w:hint="default" w:ascii="Times New Roman" w:hAnsi="Times New Roman" w:eastAsia="宋体" w:cs="Times New Roman"/>
                      <w:color w:val="auto"/>
                      <w:kern w:val="0"/>
                      <w:sz w:val="21"/>
                      <w:szCs w:val="21"/>
                      <w:highlight w:val="none"/>
                    </w:rPr>
                  </w:pPr>
                </w:p>
              </w:tc>
            </w:tr>
            <w:tr w14:paraId="3AB9707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15" w:hRule="atLeast"/>
                <w:jc w:val="center"/>
              </w:trPr>
              <w:tc>
                <w:tcPr>
                  <w:tcW w:w="485" w:type="dxa"/>
                  <w:vMerge w:val="continue"/>
                  <w:tcBorders>
                    <w:bottom w:val="single" w:color="auto" w:sz="4" w:space="0"/>
                    <w:tl2br w:val="nil"/>
                    <w:tr2bl w:val="nil"/>
                  </w:tcBorders>
                  <w:noWrap/>
                  <w:vAlign w:val="center"/>
                </w:tcPr>
                <w:p w14:paraId="7A2C06E0">
                  <w:pPr>
                    <w:widowControl/>
                    <w:jc w:val="center"/>
                    <w:rPr>
                      <w:rFonts w:hint="eastAsia"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639624CD">
                  <w:pPr>
                    <w:widowControl/>
                    <w:jc w:val="center"/>
                    <w:rPr>
                      <w:rFonts w:hint="default" w:ascii="Times New Roman" w:hAnsi="Times New Roman" w:eastAsia="宋体" w:cs="Times New Roman"/>
                      <w:color w:val="auto"/>
                      <w:kern w:val="0"/>
                      <w:sz w:val="21"/>
                      <w:szCs w:val="21"/>
                      <w:highlight w:val="none"/>
                    </w:rPr>
                  </w:pPr>
                </w:p>
              </w:tc>
              <w:tc>
                <w:tcPr>
                  <w:tcW w:w="1067" w:type="dxa"/>
                  <w:vMerge w:val="continue"/>
                  <w:tcBorders>
                    <w:bottom w:val="single" w:color="auto" w:sz="4" w:space="0"/>
                    <w:tl2br w:val="nil"/>
                    <w:tr2bl w:val="nil"/>
                  </w:tcBorders>
                  <w:noWrap w:val="0"/>
                  <w:vAlign w:val="center"/>
                </w:tcPr>
                <w:p w14:paraId="264E4BAE">
                  <w:pPr>
                    <w:spacing w:line="240" w:lineRule="auto"/>
                    <w:jc w:val="center"/>
                    <w:rPr>
                      <w:rFonts w:hint="eastAsia"/>
                      <w:color w:val="auto"/>
                      <w:kern w:val="0"/>
                      <w:szCs w:val="21"/>
                      <w:lang w:bidi="ar"/>
                    </w:rPr>
                  </w:pPr>
                </w:p>
              </w:tc>
              <w:tc>
                <w:tcPr>
                  <w:tcW w:w="589" w:type="dxa"/>
                  <w:vMerge w:val="continue"/>
                  <w:tcBorders>
                    <w:bottom w:val="single" w:color="auto" w:sz="4" w:space="0"/>
                    <w:tl2br w:val="nil"/>
                    <w:tr2bl w:val="nil"/>
                  </w:tcBorders>
                  <w:noWrap/>
                  <w:vAlign w:val="center"/>
                </w:tcPr>
                <w:p w14:paraId="42E0AEE8">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bottom w:val="single" w:color="auto" w:sz="4" w:space="0"/>
                    <w:tl2br w:val="nil"/>
                    <w:tr2bl w:val="nil"/>
                  </w:tcBorders>
                  <w:noWrap/>
                  <w:vAlign w:val="center"/>
                </w:tcPr>
                <w:p w14:paraId="0000ED12">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bottom w:val="single" w:color="auto" w:sz="4" w:space="0"/>
                    <w:tl2br w:val="nil"/>
                    <w:tr2bl w:val="nil"/>
                  </w:tcBorders>
                  <w:noWrap/>
                  <w:vAlign w:val="center"/>
                </w:tcPr>
                <w:p w14:paraId="0B788F7D">
                  <w:pPr>
                    <w:widowControl/>
                    <w:jc w:val="center"/>
                    <w:rPr>
                      <w:rFonts w:hint="eastAsia" w:cs="Times New Roman"/>
                      <w:color w:val="auto"/>
                      <w:sz w:val="21"/>
                      <w:szCs w:val="21"/>
                      <w:highlight w:val="none"/>
                      <w:lang w:val="en-US" w:eastAsia="zh-CN"/>
                    </w:rPr>
                  </w:pPr>
                </w:p>
              </w:tc>
              <w:tc>
                <w:tcPr>
                  <w:tcW w:w="1425" w:type="dxa"/>
                  <w:vMerge w:val="continue"/>
                  <w:tcBorders>
                    <w:bottom w:val="single" w:color="auto" w:sz="4" w:space="0"/>
                    <w:tl2br w:val="nil"/>
                    <w:tr2bl w:val="nil"/>
                  </w:tcBorders>
                  <w:noWrap/>
                  <w:vAlign w:val="center"/>
                </w:tcPr>
                <w:p w14:paraId="22D9286F">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bottom w:val="single" w:color="auto" w:sz="4" w:space="0"/>
                    <w:tl2br w:val="nil"/>
                    <w:tr2bl w:val="nil"/>
                  </w:tcBorders>
                  <w:noWrap/>
                  <w:vAlign w:val="center"/>
                </w:tcPr>
                <w:p w14:paraId="0849B5A8">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032A32D4">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w:t>
                  </w:r>
                </w:p>
              </w:tc>
              <w:tc>
                <w:tcPr>
                  <w:tcW w:w="739" w:type="dxa"/>
                  <w:tcBorders>
                    <w:top w:val="single" w:color="auto" w:sz="4" w:space="0"/>
                    <w:bottom w:val="single" w:color="auto" w:sz="4" w:space="0"/>
                    <w:tl2br w:val="nil"/>
                    <w:tr2bl w:val="nil"/>
                  </w:tcBorders>
                  <w:noWrap w:val="0"/>
                  <w:vAlign w:val="center"/>
                </w:tcPr>
                <w:p w14:paraId="4ED3A9B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48</w:t>
                  </w:r>
                </w:p>
              </w:tc>
              <w:tc>
                <w:tcPr>
                  <w:tcW w:w="932" w:type="dxa"/>
                  <w:tcBorders>
                    <w:top w:val="single" w:color="auto" w:sz="4" w:space="0"/>
                    <w:bottom w:val="single" w:color="auto" w:sz="4" w:space="0"/>
                    <w:tl2br w:val="nil"/>
                    <w:tr2bl w:val="nil"/>
                  </w:tcBorders>
                  <w:noWrap w:val="0"/>
                  <w:vAlign w:val="center"/>
                </w:tcPr>
                <w:p w14:paraId="36C57D21">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41.4</w:t>
                  </w:r>
                </w:p>
              </w:tc>
              <w:tc>
                <w:tcPr>
                  <w:tcW w:w="695" w:type="dxa"/>
                  <w:vMerge w:val="continue"/>
                  <w:tcBorders>
                    <w:bottom w:val="single" w:color="auto" w:sz="4" w:space="0"/>
                    <w:tl2br w:val="nil"/>
                    <w:tr2bl w:val="nil"/>
                  </w:tcBorders>
                  <w:noWrap w:val="0"/>
                  <w:vAlign w:val="center"/>
                </w:tcPr>
                <w:p w14:paraId="32C69E53">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bottom w:val="single" w:color="auto" w:sz="4" w:space="0"/>
                    <w:tl2br w:val="nil"/>
                    <w:tr2bl w:val="nil"/>
                  </w:tcBorders>
                  <w:noWrap w:val="0"/>
                  <w:vAlign w:val="center"/>
                </w:tcPr>
                <w:p w14:paraId="5E98F706">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599D2127">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2"/>
                      <w:szCs w:val="22"/>
                      <w:u w:val="none"/>
                      <w:lang w:val="en-US" w:eastAsia="zh-CN" w:bidi="ar"/>
                    </w:rPr>
                  </w:pPr>
                  <w:r>
                    <w:rPr>
                      <w:rFonts w:hint="default" w:ascii="Times New Roman" w:hAnsi="Times New Roman" w:eastAsia="等线" w:cs="Times New Roman"/>
                      <w:i w:val="0"/>
                      <w:iCs w:val="0"/>
                      <w:color w:val="auto"/>
                      <w:kern w:val="0"/>
                      <w:sz w:val="22"/>
                      <w:szCs w:val="22"/>
                      <w:u w:val="none"/>
                      <w:lang w:val="en-US" w:eastAsia="zh-CN" w:bidi="ar"/>
                    </w:rPr>
                    <w:t xml:space="preserve">20.4 </w:t>
                  </w:r>
                </w:p>
              </w:tc>
              <w:tc>
                <w:tcPr>
                  <w:tcW w:w="1073" w:type="dxa"/>
                  <w:vMerge w:val="continue"/>
                  <w:tcBorders>
                    <w:bottom w:val="single" w:color="auto" w:sz="4" w:space="0"/>
                    <w:tl2br w:val="nil"/>
                    <w:tr2bl w:val="nil"/>
                  </w:tcBorders>
                  <w:noWrap w:val="0"/>
                  <w:vAlign w:val="center"/>
                </w:tcPr>
                <w:p w14:paraId="46A496B7">
                  <w:pPr>
                    <w:widowControl/>
                    <w:jc w:val="center"/>
                    <w:rPr>
                      <w:rFonts w:hint="default" w:ascii="Times New Roman" w:hAnsi="Times New Roman" w:eastAsia="宋体" w:cs="Times New Roman"/>
                      <w:color w:val="auto"/>
                      <w:kern w:val="0"/>
                      <w:sz w:val="21"/>
                      <w:szCs w:val="21"/>
                      <w:highlight w:val="none"/>
                    </w:rPr>
                  </w:pPr>
                </w:p>
              </w:tc>
            </w:tr>
            <w:tr w14:paraId="393ADFDE">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31" w:hRule="atLeast"/>
                <w:jc w:val="center"/>
              </w:trPr>
              <w:tc>
                <w:tcPr>
                  <w:tcW w:w="485" w:type="dxa"/>
                  <w:vMerge w:val="restart"/>
                  <w:tcBorders>
                    <w:top w:val="single" w:color="auto" w:sz="4" w:space="0"/>
                    <w:tl2br w:val="nil"/>
                    <w:tr2bl w:val="nil"/>
                  </w:tcBorders>
                  <w:noWrap/>
                  <w:vAlign w:val="center"/>
                </w:tcPr>
                <w:p w14:paraId="62410484">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w:t>
                  </w:r>
                </w:p>
              </w:tc>
              <w:tc>
                <w:tcPr>
                  <w:tcW w:w="697" w:type="dxa"/>
                  <w:vMerge w:val="continue"/>
                  <w:tcBorders>
                    <w:tl2br w:val="nil"/>
                    <w:tr2bl w:val="nil"/>
                  </w:tcBorders>
                  <w:noWrap/>
                  <w:vAlign w:val="center"/>
                </w:tcPr>
                <w:p w14:paraId="083B7076">
                  <w:pPr>
                    <w:widowControl/>
                    <w:jc w:val="center"/>
                    <w:rPr>
                      <w:rFonts w:hint="default" w:ascii="Times New Roman" w:hAnsi="Times New Roman" w:eastAsia="宋体" w:cs="Times New Roman"/>
                      <w:color w:val="auto"/>
                      <w:kern w:val="0"/>
                      <w:sz w:val="21"/>
                      <w:szCs w:val="21"/>
                      <w:highlight w:val="none"/>
                    </w:rPr>
                  </w:pPr>
                </w:p>
              </w:tc>
              <w:tc>
                <w:tcPr>
                  <w:tcW w:w="1067" w:type="dxa"/>
                  <w:vMerge w:val="restart"/>
                  <w:tcBorders>
                    <w:top w:val="single" w:color="auto" w:sz="4" w:space="0"/>
                    <w:tl2br w:val="nil"/>
                    <w:tr2bl w:val="nil"/>
                  </w:tcBorders>
                  <w:noWrap w:val="0"/>
                  <w:vAlign w:val="center"/>
                </w:tcPr>
                <w:p w14:paraId="686D1781">
                  <w:pPr>
                    <w:spacing w:line="240" w:lineRule="auto"/>
                    <w:jc w:val="center"/>
                    <w:rPr>
                      <w:rFonts w:hint="default" w:ascii="Times New Roman" w:hAnsi="Times New Roman" w:eastAsia="Arial" w:cs="Times New Roman"/>
                      <w:color w:val="auto"/>
                      <w:sz w:val="21"/>
                      <w:szCs w:val="21"/>
                      <w:highlight w:val="none"/>
                    </w:rPr>
                  </w:pPr>
                  <w:r>
                    <w:rPr>
                      <w:rFonts w:hint="eastAsia" w:eastAsia="Calibri" w:cs="Times New Roman"/>
                      <w:color w:val="auto"/>
                      <w:kern w:val="2"/>
                      <w:sz w:val="21"/>
                      <w:szCs w:val="21"/>
                      <w:lang w:val="en-US" w:eastAsia="zh-CN"/>
                    </w:rPr>
                    <w:t>人工组装生产线（2条）</w:t>
                  </w:r>
                </w:p>
              </w:tc>
              <w:tc>
                <w:tcPr>
                  <w:tcW w:w="589" w:type="dxa"/>
                  <w:vMerge w:val="restart"/>
                  <w:tcBorders>
                    <w:top w:val="single" w:color="auto" w:sz="4" w:space="0"/>
                    <w:tl2br w:val="nil"/>
                    <w:tr2bl w:val="nil"/>
                  </w:tcBorders>
                  <w:noWrap/>
                  <w:vAlign w:val="center"/>
                </w:tcPr>
                <w:p w14:paraId="509D9918">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636" w:type="dxa"/>
                  <w:vMerge w:val="restart"/>
                  <w:tcBorders>
                    <w:top w:val="single" w:color="auto" w:sz="4" w:space="0"/>
                    <w:tl2br w:val="nil"/>
                    <w:tr2bl w:val="nil"/>
                  </w:tcBorders>
                  <w:noWrap/>
                  <w:vAlign w:val="center"/>
                </w:tcPr>
                <w:p w14:paraId="367E2257">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750" w:type="dxa"/>
                  <w:vMerge w:val="restart"/>
                  <w:tcBorders>
                    <w:top w:val="single" w:color="auto" w:sz="4" w:space="0"/>
                    <w:tl2br w:val="nil"/>
                    <w:tr2bl w:val="nil"/>
                  </w:tcBorders>
                  <w:noWrap/>
                  <w:vAlign w:val="center"/>
                </w:tcPr>
                <w:p w14:paraId="6993C0BA">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425" w:type="dxa"/>
                  <w:vMerge w:val="restart"/>
                  <w:tcBorders>
                    <w:top w:val="single" w:color="auto" w:sz="4" w:space="0"/>
                    <w:tl2br w:val="nil"/>
                    <w:tr2bl w:val="nil"/>
                  </w:tcBorders>
                  <w:noWrap/>
                  <w:vAlign w:val="center"/>
                </w:tcPr>
                <w:p w14:paraId="7BAEBF99">
                  <w:pPr>
                    <w:widowControl/>
                    <w:jc w:val="center"/>
                    <w:rPr>
                      <w:rFonts w:hint="default" w:ascii="Times New Roman" w:hAnsi="Times New Roman" w:eastAsia="Arial" w:cs="Times New Roman"/>
                      <w:color w:val="auto"/>
                      <w:sz w:val="21"/>
                      <w:szCs w:val="21"/>
                      <w:highlight w:val="none"/>
                    </w:rPr>
                  </w:pPr>
                  <w:r>
                    <w:rPr>
                      <w:rFonts w:hint="eastAsia" w:cs="Times New Roman"/>
                      <w:color w:val="auto"/>
                      <w:kern w:val="0"/>
                      <w:sz w:val="21"/>
                      <w:szCs w:val="21"/>
                      <w:lang w:val="en-US" w:eastAsia="zh-CN"/>
                    </w:rPr>
                    <w:t>75</w:t>
                  </w:r>
                  <w:r>
                    <w:rPr>
                      <w:rFonts w:hint="default" w:ascii="Times New Roman" w:hAnsi="Times New Roman" w:eastAsia="宋体" w:cs="Times New Roman"/>
                      <w:color w:val="auto"/>
                      <w:kern w:val="0"/>
                      <w:sz w:val="21"/>
                      <w:szCs w:val="21"/>
                    </w:rPr>
                    <w:t>/1</w:t>
                  </w:r>
                </w:p>
              </w:tc>
              <w:tc>
                <w:tcPr>
                  <w:tcW w:w="1222" w:type="dxa"/>
                  <w:vMerge w:val="restart"/>
                  <w:tcBorders>
                    <w:top w:val="single" w:color="auto" w:sz="4" w:space="0"/>
                    <w:tl2br w:val="nil"/>
                    <w:tr2bl w:val="nil"/>
                  </w:tcBorders>
                  <w:noWrap/>
                  <w:vAlign w:val="center"/>
                </w:tcPr>
                <w:p w14:paraId="7787548E">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隔声、减振</w:t>
                  </w:r>
                </w:p>
              </w:tc>
              <w:tc>
                <w:tcPr>
                  <w:tcW w:w="686" w:type="dxa"/>
                  <w:tcBorders>
                    <w:top w:val="single" w:color="auto" w:sz="4" w:space="0"/>
                    <w:bottom w:val="single" w:color="auto" w:sz="4" w:space="0"/>
                    <w:tl2br w:val="nil"/>
                    <w:tr2bl w:val="nil"/>
                  </w:tcBorders>
                  <w:noWrap w:val="0"/>
                  <w:vAlign w:val="center"/>
                </w:tcPr>
                <w:p w14:paraId="59C0BDDD">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E</w:t>
                  </w:r>
                </w:p>
              </w:tc>
              <w:tc>
                <w:tcPr>
                  <w:tcW w:w="739" w:type="dxa"/>
                  <w:tcBorders>
                    <w:top w:val="single" w:color="auto" w:sz="4" w:space="0"/>
                    <w:bottom w:val="single" w:color="auto" w:sz="4" w:space="0"/>
                    <w:tl2br w:val="nil"/>
                    <w:tr2bl w:val="nil"/>
                  </w:tcBorders>
                  <w:noWrap w:val="0"/>
                  <w:vAlign w:val="center"/>
                </w:tcPr>
                <w:p w14:paraId="21636473">
                  <w:pPr>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932" w:type="dxa"/>
                  <w:tcBorders>
                    <w:top w:val="single" w:color="auto" w:sz="4" w:space="0"/>
                    <w:bottom w:val="single" w:color="auto" w:sz="4" w:space="0"/>
                    <w:tl2br w:val="nil"/>
                    <w:tr2bl w:val="nil"/>
                  </w:tcBorders>
                  <w:noWrap w:val="0"/>
                  <w:vAlign w:val="center"/>
                </w:tcPr>
                <w:p w14:paraId="3055113A">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39.7</w:t>
                  </w:r>
                </w:p>
              </w:tc>
              <w:tc>
                <w:tcPr>
                  <w:tcW w:w="695" w:type="dxa"/>
                  <w:vMerge w:val="restart"/>
                  <w:tcBorders>
                    <w:top w:val="single" w:color="auto" w:sz="4" w:space="0"/>
                    <w:tl2br w:val="nil"/>
                    <w:tr2bl w:val="nil"/>
                  </w:tcBorders>
                  <w:noWrap w:val="0"/>
                  <w:vAlign w:val="center"/>
                </w:tcPr>
                <w:p w14:paraId="5AD34F61">
                  <w:pPr>
                    <w:widowControl/>
                    <w:jc w:val="center"/>
                    <w:rPr>
                      <w:rFonts w:hint="default" w:ascii="Times New Roman" w:hAnsi="Times New Roman" w:eastAsia="等线" w:cs="Times New Roman"/>
                      <w:color w:val="auto"/>
                      <w:sz w:val="21"/>
                      <w:szCs w:val="21"/>
                      <w:highlight w:val="none"/>
                    </w:rPr>
                  </w:pPr>
                  <w:r>
                    <w:rPr>
                      <w:rFonts w:hint="eastAsia" w:eastAsia="等线" w:cs="Times New Roman"/>
                      <w:color w:val="auto"/>
                      <w:sz w:val="21"/>
                      <w:szCs w:val="21"/>
                      <w:highlight w:val="none"/>
                      <w:lang w:val="en-US" w:eastAsia="zh-CN"/>
                    </w:rPr>
                    <w:t>16</w:t>
                  </w:r>
                  <w:r>
                    <w:rPr>
                      <w:rFonts w:hint="default" w:ascii="Times New Roman" w:hAnsi="Times New Roman" w:eastAsia="等线" w:cs="Times New Roman"/>
                      <w:color w:val="auto"/>
                      <w:sz w:val="21"/>
                      <w:szCs w:val="21"/>
                      <w:highlight w:val="none"/>
                    </w:rPr>
                    <w:t>h/d</w:t>
                  </w:r>
                </w:p>
              </w:tc>
              <w:tc>
                <w:tcPr>
                  <w:tcW w:w="889" w:type="dxa"/>
                  <w:vMerge w:val="restart"/>
                  <w:tcBorders>
                    <w:top w:val="single" w:color="auto" w:sz="4" w:space="0"/>
                    <w:tl2br w:val="nil"/>
                    <w:tr2bl w:val="nil"/>
                  </w:tcBorders>
                  <w:noWrap w:val="0"/>
                  <w:vAlign w:val="center"/>
                </w:tcPr>
                <w:p w14:paraId="2B566BF8">
                  <w:pPr>
                    <w:widowControl/>
                    <w:jc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等线" w:cs="Times New Roman"/>
                      <w:color w:val="auto"/>
                      <w:sz w:val="21"/>
                      <w:szCs w:val="21"/>
                      <w:highlight w:val="none"/>
                      <w:lang w:val="en-US" w:eastAsia="zh-CN"/>
                    </w:rPr>
                    <w:t>21</w:t>
                  </w:r>
                </w:p>
              </w:tc>
              <w:tc>
                <w:tcPr>
                  <w:tcW w:w="932" w:type="dxa"/>
                  <w:tcBorders>
                    <w:top w:val="single" w:color="auto" w:sz="4" w:space="0"/>
                    <w:bottom w:val="single" w:color="auto" w:sz="4" w:space="0"/>
                    <w:tl2br w:val="nil"/>
                    <w:tr2bl w:val="nil"/>
                  </w:tcBorders>
                  <w:noWrap/>
                  <w:vAlign w:val="center"/>
                </w:tcPr>
                <w:p w14:paraId="5AB9A3D6">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2"/>
                      <w:szCs w:val="22"/>
                      <w:u w:val="none"/>
                      <w:lang w:val="en-US" w:eastAsia="zh-CN" w:bidi="ar"/>
                    </w:rPr>
                  </w:pPr>
                  <w:r>
                    <w:rPr>
                      <w:rFonts w:hint="default" w:ascii="Times New Roman" w:hAnsi="Times New Roman" w:eastAsia="等线" w:cs="Times New Roman"/>
                      <w:i w:val="0"/>
                      <w:iCs w:val="0"/>
                      <w:color w:val="auto"/>
                      <w:kern w:val="0"/>
                      <w:sz w:val="22"/>
                      <w:szCs w:val="22"/>
                      <w:u w:val="none"/>
                      <w:lang w:val="en-US" w:eastAsia="zh-CN" w:bidi="ar"/>
                    </w:rPr>
                    <w:t xml:space="preserve">18.7 </w:t>
                  </w:r>
                </w:p>
              </w:tc>
              <w:tc>
                <w:tcPr>
                  <w:tcW w:w="1073" w:type="dxa"/>
                  <w:vMerge w:val="restart"/>
                  <w:tcBorders>
                    <w:top w:val="single" w:color="auto" w:sz="4" w:space="0"/>
                    <w:tl2br w:val="nil"/>
                    <w:tr2bl w:val="nil"/>
                  </w:tcBorders>
                  <w:noWrap w:val="0"/>
                  <w:vAlign w:val="center"/>
                </w:tcPr>
                <w:p w14:paraId="35EF7957">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r>
            <w:tr w14:paraId="30CACD8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99" w:hRule="atLeast"/>
                <w:jc w:val="center"/>
              </w:trPr>
              <w:tc>
                <w:tcPr>
                  <w:tcW w:w="485" w:type="dxa"/>
                  <w:vMerge w:val="continue"/>
                  <w:tcBorders>
                    <w:tl2br w:val="nil"/>
                    <w:tr2bl w:val="nil"/>
                  </w:tcBorders>
                  <w:noWrap/>
                  <w:vAlign w:val="center"/>
                </w:tcPr>
                <w:p w14:paraId="0F70AB80">
                  <w:pPr>
                    <w:widowControl/>
                    <w:jc w:val="center"/>
                    <w:rPr>
                      <w:rFonts w:hint="eastAsia"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42E89947">
                  <w:pPr>
                    <w:widowControl/>
                    <w:jc w:val="center"/>
                    <w:rPr>
                      <w:rFonts w:hint="default" w:ascii="Times New Roman" w:hAnsi="Times New Roman" w:eastAsia="宋体" w:cs="Times New Roman"/>
                      <w:color w:val="auto"/>
                      <w:kern w:val="0"/>
                      <w:sz w:val="21"/>
                      <w:szCs w:val="21"/>
                      <w:highlight w:val="none"/>
                    </w:rPr>
                  </w:pPr>
                </w:p>
              </w:tc>
              <w:tc>
                <w:tcPr>
                  <w:tcW w:w="1067" w:type="dxa"/>
                  <w:vMerge w:val="continue"/>
                  <w:tcBorders>
                    <w:tl2br w:val="nil"/>
                    <w:tr2bl w:val="nil"/>
                  </w:tcBorders>
                  <w:noWrap w:val="0"/>
                  <w:vAlign w:val="center"/>
                </w:tcPr>
                <w:p w14:paraId="46769B5B">
                  <w:pPr>
                    <w:spacing w:line="240" w:lineRule="auto"/>
                    <w:jc w:val="center"/>
                    <w:rPr>
                      <w:rFonts w:hint="eastAsia" w:eastAsia="Calibri" w:cs="Times New Roman"/>
                      <w:color w:val="auto"/>
                      <w:kern w:val="2"/>
                      <w:sz w:val="21"/>
                      <w:szCs w:val="21"/>
                      <w:lang w:val="en-US" w:eastAsia="zh-CN"/>
                    </w:rPr>
                  </w:pPr>
                </w:p>
              </w:tc>
              <w:tc>
                <w:tcPr>
                  <w:tcW w:w="589" w:type="dxa"/>
                  <w:vMerge w:val="continue"/>
                  <w:tcBorders>
                    <w:tl2br w:val="nil"/>
                    <w:tr2bl w:val="nil"/>
                  </w:tcBorders>
                  <w:noWrap/>
                  <w:vAlign w:val="center"/>
                </w:tcPr>
                <w:p w14:paraId="77EB05C6">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tl2br w:val="nil"/>
                    <w:tr2bl w:val="nil"/>
                  </w:tcBorders>
                  <w:noWrap/>
                  <w:vAlign w:val="center"/>
                </w:tcPr>
                <w:p w14:paraId="69D13EFE">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tl2br w:val="nil"/>
                    <w:tr2bl w:val="nil"/>
                  </w:tcBorders>
                  <w:noWrap/>
                  <w:vAlign w:val="center"/>
                </w:tcPr>
                <w:p w14:paraId="62CC9864">
                  <w:pPr>
                    <w:widowControl/>
                    <w:jc w:val="center"/>
                    <w:rPr>
                      <w:rFonts w:hint="eastAsia" w:cs="Times New Roman"/>
                      <w:color w:val="auto"/>
                      <w:sz w:val="21"/>
                      <w:szCs w:val="21"/>
                      <w:highlight w:val="none"/>
                      <w:lang w:val="en-US" w:eastAsia="zh-CN"/>
                    </w:rPr>
                  </w:pPr>
                </w:p>
              </w:tc>
              <w:tc>
                <w:tcPr>
                  <w:tcW w:w="1425" w:type="dxa"/>
                  <w:vMerge w:val="continue"/>
                  <w:tcBorders>
                    <w:tl2br w:val="nil"/>
                    <w:tr2bl w:val="nil"/>
                  </w:tcBorders>
                  <w:noWrap/>
                  <w:vAlign w:val="center"/>
                </w:tcPr>
                <w:p w14:paraId="68DDDB63">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3FC05101">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114F51FD">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w:t>
                  </w:r>
                </w:p>
              </w:tc>
              <w:tc>
                <w:tcPr>
                  <w:tcW w:w="739" w:type="dxa"/>
                  <w:tcBorders>
                    <w:top w:val="single" w:color="auto" w:sz="4" w:space="0"/>
                    <w:bottom w:val="single" w:color="auto" w:sz="4" w:space="0"/>
                    <w:tl2br w:val="nil"/>
                    <w:tr2bl w:val="nil"/>
                  </w:tcBorders>
                  <w:noWrap w:val="0"/>
                  <w:vAlign w:val="center"/>
                </w:tcPr>
                <w:p w14:paraId="10EC0E92">
                  <w:pPr>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932" w:type="dxa"/>
                  <w:tcBorders>
                    <w:top w:val="single" w:color="auto" w:sz="4" w:space="0"/>
                    <w:bottom w:val="single" w:color="auto" w:sz="4" w:space="0"/>
                    <w:tl2br w:val="nil"/>
                    <w:tr2bl w:val="nil"/>
                  </w:tcBorders>
                  <w:noWrap w:val="0"/>
                  <w:vAlign w:val="center"/>
                </w:tcPr>
                <w:p w14:paraId="733CFC15">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55.0</w:t>
                  </w:r>
                </w:p>
              </w:tc>
              <w:tc>
                <w:tcPr>
                  <w:tcW w:w="695" w:type="dxa"/>
                  <w:vMerge w:val="continue"/>
                  <w:tcBorders>
                    <w:tl2br w:val="nil"/>
                    <w:tr2bl w:val="nil"/>
                  </w:tcBorders>
                  <w:noWrap w:val="0"/>
                  <w:vAlign w:val="center"/>
                </w:tcPr>
                <w:p w14:paraId="5515FA22">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76567FFA">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26F50B88">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2"/>
                      <w:szCs w:val="22"/>
                      <w:u w:val="none"/>
                      <w:lang w:val="en-US" w:eastAsia="zh-CN" w:bidi="ar"/>
                    </w:rPr>
                  </w:pPr>
                  <w:r>
                    <w:rPr>
                      <w:rFonts w:hint="default" w:ascii="Times New Roman" w:hAnsi="Times New Roman" w:eastAsia="等线" w:cs="Times New Roman"/>
                      <w:i w:val="0"/>
                      <w:iCs w:val="0"/>
                      <w:color w:val="auto"/>
                      <w:kern w:val="0"/>
                      <w:sz w:val="22"/>
                      <w:szCs w:val="22"/>
                      <w:u w:val="none"/>
                      <w:lang w:val="en-US" w:eastAsia="zh-CN" w:bidi="ar"/>
                    </w:rPr>
                    <w:t xml:space="preserve">34.0 </w:t>
                  </w:r>
                </w:p>
              </w:tc>
              <w:tc>
                <w:tcPr>
                  <w:tcW w:w="1073" w:type="dxa"/>
                  <w:vMerge w:val="continue"/>
                  <w:tcBorders>
                    <w:tl2br w:val="nil"/>
                    <w:tr2bl w:val="nil"/>
                  </w:tcBorders>
                  <w:noWrap w:val="0"/>
                  <w:vAlign w:val="center"/>
                </w:tcPr>
                <w:p w14:paraId="3FE86C40">
                  <w:pPr>
                    <w:widowControl/>
                    <w:jc w:val="center"/>
                    <w:rPr>
                      <w:rFonts w:hint="default" w:ascii="Times New Roman" w:hAnsi="Times New Roman" w:eastAsia="宋体" w:cs="Times New Roman"/>
                      <w:color w:val="auto"/>
                      <w:kern w:val="0"/>
                      <w:sz w:val="21"/>
                      <w:szCs w:val="21"/>
                      <w:highlight w:val="none"/>
                    </w:rPr>
                  </w:pPr>
                </w:p>
              </w:tc>
            </w:tr>
            <w:tr w14:paraId="648A9AB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27" w:hRule="atLeast"/>
                <w:jc w:val="center"/>
              </w:trPr>
              <w:tc>
                <w:tcPr>
                  <w:tcW w:w="485" w:type="dxa"/>
                  <w:vMerge w:val="continue"/>
                  <w:tcBorders>
                    <w:bottom w:val="single" w:color="auto" w:sz="4" w:space="0"/>
                    <w:tl2br w:val="nil"/>
                    <w:tr2bl w:val="nil"/>
                  </w:tcBorders>
                  <w:noWrap/>
                  <w:vAlign w:val="center"/>
                </w:tcPr>
                <w:p w14:paraId="69E21970">
                  <w:pPr>
                    <w:widowControl/>
                    <w:jc w:val="center"/>
                    <w:rPr>
                      <w:rFonts w:hint="eastAsia"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55B6042D">
                  <w:pPr>
                    <w:widowControl/>
                    <w:jc w:val="center"/>
                    <w:rPr>
                      <w:rFonts w:hint="default" w:ascii="Times New Roman" w:hAnsi="Times New Roman" w:eastAsia="宋体" w:cs="Times New Roman"/>
                      <w:color w:val="auto"/>
                      <w:kern w:val="0"/>
                      <w:sz w:val="21"/>
                      <w:szCs w:val="21"/>
                      <w:highlight w:val="none"/>
                    </w:rPr>
                  </w:pPr>
                </w:p>
              </w:tc>
              <w:tc>
                <w:tcPr>
                  <w:tcW w:w="1067" w:type="dxa"/>
                  <w:vMerge w:val="continue"/>
                  <w:tcBorders>
                    <w:bottom w:val="single" w:color="auto" w:sz="4" w:space="0"/>
                    <w:tl2br w:val="nil"/>
                    <w:tr2bl w:val="nil"/>
                  </w:tcBorders>
                  <w:noWrap w:val="0"/>
                  <w:vAlign w:val="center"/>
                </w:tcPr>
                <w:p w14:paraId="15A1CBA8">
                  <w:pPr>
                    <w:spacing w:line="240" w:lineRule="auto"/>
                    <w:jc w:val="center"/>
                    <w:rPr>
                      <w:rFonts w:hint="eastAsia" w:eastAsia="Calibri" w:cs="Times New Roman"/>
                      <w:color w:val="auto"/>
                      <w:kern w:val="2"/>
                      <w:sz w:val="21"/>
                      <w:szCs w:val="21"/>
                      <w:lang w:val="en-US" w:eastAsia="zh-CN"/>
                    </w:rPr>
                  </w:pPr>
                </w:p>
              </w:tc>
              <w:tc>
                <w:tcPr>
                  <w:tcW w:w="589" w:type="dxa"/>
                  <w:vMerge w:val="continue"/>
                  <w:tcBorders>
                    <w:bottom w:val="single" w:color="auto" w:sz="4" w:space="0"/>
                    <w:tl2br w:val="nil"/>
                    <w:tr2bl w:val="nil"/>
                  </w:tcBorders>
                  <w:noWrap/>
                  <w:vAlign w:val="center"/>
                </w:tcPr>
                <w:p w14:paraId="19BA28A3">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bottom w:val="single" w:color="auto" w:sz="4" w:space="0"/>
                    <w:tl2br w:val="nil"/>
                    <w:tr2bl w:val="nil"/>
                  </w:tcBorders>
                  <w:noWrap/>
                  <w:vAlign w:val="center"/>
                </w:tcPr>
                <w:p w14:paraId="6F5AF68B">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bottom w:val="single" w:color="auto" w:sz="4" w:space="0"/>
                    <w:tl2br w:val="nil"/>
                    <w:tr2bl w:val="nil"/>
                  </w:tcBorders>
                  <w:noWrap/>
                  <w:vAlign w:val="center"/>
                </w:tcPr>
                <w:p w14:paraId="0F6F4E15">
                  <w:pPr>
                    <w:widowControl/>
                    <w:jc w:val="center"/>
                    <w:rPr>
                      <w:rFonts w:hint="eastAsia" w:cs="Times New Roman"/>
                      <w:color w:val="auto"/>
                      <w:sz w:val="21"/>
                      <w:szCs w:val="21"/>
                      <w:highlight w:val="none"/>
                      <w:lang w:val="en-US" w:eastAsia="zh-CN"/>
                    </w:rPr>
                  </w:pPr>
                </w:p>
              </w:tc>
              <w:tc>
                <w:tcPr>
                  <w:tcW w:w="1425" w:type="dxa"/>
                  <w:vMerge w:val="continue"/>
                  <w:tcBorders>
                    <w:tl2br w:val="nil"/>
                    <w:tr2bl w:val="nil"/>
                  </w:tcBorders>
                  <w:noWrap/>
                  <w:vAlign w:val="center"/>
                </w:tcPr>
                <w:p w14:paraId="68D6078A">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6466A809">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7AC5CA51">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w:t>
                  </w:r>
                </w:p>
              </w:tc>
              <w:tc>
                <w:tcPr>
                  <w:tcW w:w="739" w:type="dxa"/>
                  <w:tcBorders>
                    <w:top w:val="single" w:color="auto" w:sz="4" w:space="0"/>
                    <w:bottom w:val="single" w:color="auto" w:sz="4" w:space="0"/>
                    <w:tl2br w:val="nil"/>
                    <w:tr2bl w:val="nil"/>
                  </w:tcBorders>
                  <w:noWrap w:val="0"/>
                  <w:vAlign w:val="center"/>
                </w:tcPr>
                <w:p w14:paraId="0E8A96D6">
                  <w:pPr>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932" w:type="dxa"/>
                  <w:tcBorders>
                    <w:top w:val="single" w:color="auto" w:sz="4" w:space="0"/>
                    <w:bottom w:val="single" w:color="auto" w:sz="4" w:space="0"/>
                    <w:tl2br w:val="nil"/>
                    <w:tr2bl w:val="nil"/>
                  </w:tcBorders>
                  <w:noWrap w:val="0"/>
                  <w:vAlign w:val="center"/>
                </w:tcPr>
                <w:p w14:paraId="34FC253F">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41.9</w:t>
                  </w:r>
                </w:p>
              </w:tc>
              <w:tc>
                <w:tcPr>
                  <w:tcW w:w="695" w:type="dxa"/>
                  <w:vMerge w:val="continue"/>
                  <w:tcBorders>
                    <w:tl2br w:val="nil"/>
                    <w:tr2bl w:val="nil"/>
                  </w:tcBorders>
                  <w:noWrap w:val="0"/>
                  <w:vAlign w:val="center"/>
                </w:tcPr>
                <w:p w14:paraId="44CBD045">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4FF2A72E">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4BED65C7">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2"/>
                      <w:szCs w:val="22"/>
                      <w:u w:val="none"/>
                      <w:lang w:val="en-US" w:eastAsia="zh-CN" w:bidi="ar"/>
                    </w:rPr>
                  </w:pPr>
                  <w:r>
                    <w:rPr>
                      <w:rFonts w:hint="default" w:ascii="Times New Roman" w:hAnsi="Times New Roman" w:eastAsia="等线" w:cs="Times New Roman"/>
                      <w:i w:val="0"/>
                      <w:iCs w:val="0"/>
                      <w:color w:val="auto"/>
                      <w:kern w:val="0"/>
                      <w:sz w:val="22"/>
                      <w:szCs w:val="22"/>
                      <w:u w:val="none"/>
                      <w:lang w:val="en-US" w:eastAsia="zh-CN" w:bidi="ar"/>
                    </w:rPr>
                    <w:t xml:space="preserve">20.9 </w:t>
                  </w:r>
                </w:p>
              </w:tc>
              <w:tc>
                <w:tcPr>
                  <w:tcW w:w="1073" w:type="dxa"/>
                  <w:vMerge w:val="continue"/>
                  <w:tcBorders>
                    <w:tl2br w:val="nil"/>
                    <w:tr2bl w:val="nil"/>
                  </w:tcBorders>
                  <w:noWrap w:val="0"/>
                  <w:vAlign w:val="center"/>
                </w:tcPr>
                <w:p w14:paraId="552F7CB0">
                  <w:pPr>
                    <w:widowControl/>
                    <w:jc w:val="center"/>
                    <w:rPr>
                      <w:rFonts w:hint="default" w:ascii="Times New Roman" w:hAnsi="Times New Roman" w:eastAsia="宋体" w:cs="Times New Roman"/>
                      <w:color w:val="auto"/>
                      <w:kern w:val="0"/>
                      <w:sz w:val="21"/>
                      <w:szCs w:val="21"/>
                      <w:highlight w:val="none"/>
                    </w:rPr>
                  </w:pPr>
                </w:p>
              </w:tc>
            </w:tr>
            <w:tr w14:paraId="62F611A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05" w:hRule="atLeast"/>
                <w:jc w:val="center"/>
              </w:trPr>
              <w:tc>
                <w:tcPr>
                  <w:tcW w:w="485" w:type="dxa"/>
                  <w:vMerge w:val="continue"/>
                  <w:tcBorders>
                    <w:bottom w:val="single" w:color="auto" w:sz="4" w:space="0"/>
                    <w:tl2br w:val="nil"/>
                    <w:tr2bl w:val="nil"/>
                  </w:tcBorders>
                  <w:noWrap/>
                  <w:vAlign w:val="center"/>
                </w:tcPr>
                <w:p w14:paraId="667C9057">
                  <w:pPr>
                    <w:widowControl/>
                    <w:jc w:val="center"/>
                    <w:rPr>
                      <w:rFonts w:hint="eastAsia" w:cs="Times New Roman"/>
                      <w:color w:val="auto"/>
                      <w:kern w:val="0"/>
                      <w:sz w:val="21"/>
                      <w:szCs w:val="21"/>
                      <w:highlight w:val="none"/>
                      <w:lang w:val="en-US" w:eastAsia="zh-CN"/>
                    </w:rPr>
                  </w:pPr>
                </w:p>
              </w:tc>
              <w:tc>
                <w:tcPr>
                  <w:tcW w:w="697" w:type="dxa"/>
                  <w:vMerge w:val="continue"/>
                  <w:tcBorders>
                    <w:tl2br w:val="nil"/>
                    <w:tr2bl w:val="nil"/>
                  </w:tcBorders>
                  <w:noWrap/>
                  <w:vAlign w:val="center"/>
                </w:tcPr>
                <w:p w14:paraId="5E54BEEF">
                  <w:pPr>
                    <w:widowControl/>
                    <w:jc w:val="center"/>
                    <w:rPr>
                      <w:rFonts w:hint="default" w:ascii="Times New Roman" w:hAnsi="Times New Roman" w:eastAsia="宋体" w:cs="Times New Roman"/>
                      <w:color w:val="auto"/>
                      <w:kern w:val="0"/>
                      <w:sz w:val="21"/>
                      <w:szCs w:val="21"/>
                      <w:highlight w:val="none"/>
                    </w:rPr>
                  </w:pPr>
                </w:p>
              </w:tc>
              <w:tc>
                <w:tcPr>
                  <w:tcW w:w="1067" w:type="dxa"/>
                  <w:vMerge w:val="continue"/>
                  <w:tcBorders>
                    <w:bottom w:val="single" w:color="auto" w:sz="4" w:space="0"/>
                    <w:tl2br w:val="nil"/>
                    <w:tr2bl w:val="nil"/>
                  </w:tcBorders>
                  <w:noWrap w:val="0"/>
                  <w:vAlign w:val="center"/>
                </w:tcPr>
                <w:p w14:paraId="06B5FC40">
                  <w:pPr>
                    <w:spacing w:line="240" w:lineRule="auto"/>
                    <w:jc w:val="center"/>
                    <w:rPr>
                      <w:rFonts w:hint="eastAsia" w:eastAsia="Calibri" w:cs="Times New Roman"/>
                      <w:color w:val="auto"/>
                      <w:kern w:val="2"/>
                      <w:sz w:val="21"/>
                      <w:szCs w:val="21"/>
                      <w:lang w:val="en-US" w:eastAsia="zh-CN"/>
                    </w:rPr>
                  </w:pPr>
                </w:p>
              </w:tc>
              <w:tc>
                <w:tcPr>
                  <w:tcW w:w="589" w:type="dxa"/>
                  <w:vMerge w:val="continue"/>
                  <w:tcBorders>
                    <w:bottom w:val="single" w:color="auto" w:sz="4" w:space="0"/>
                    <w:tl2br w:val="nil"/>
                    <w:tr2bl w:val="nil"/>
                  </w:tcBorders>
                  <w:noWrap/>
                  <w:vAlign w:val="center"/>
                </w:tcPr>
                <w:p w14:paraId="79BA87AE">
                  <w:pPr>
                    <w:widowControl/>
                    <w:jc w:val="center"/>
                    <w:rPr>
                      <w:rFonts w:hint="default" w:ascii="Times New Roman" w:hAnsi="Times New Roman" w:eastAsia="宋体" w:cs="Times New Roman"/>
                      <w:color w:val="auto"/>
                      <w:sz w:val="21"/>
                      <w:szCs w:val="21"/>
                      <w:highlight w:val="none"/>
                      <w:lang w:val="en-US" w:eastAsia="zh-CN"/>
                    </w:rPr>
                  </w:pPr>
                </w:p>
              </w:tc>
              <w:tc>
                <w:tcPr>
                  <w:tcW w:w="636" w:type="dxa"/>
                  <w:vMerge w:val="continue"/>
                  <w:tcBorders>
                    <w:bottom w:val="single" w:color="auto" w:sz="4" w:space="0"/>
                    <w:tl2br w:val="nil"/>
                    <w:tr2bl w:val="nil"/>
                  </w:tcBorders>
                  <w:noWrap/>
                  <w:vAlign w:val="center"/>
                </w:tcPr>
                <w:p w14:paraId="6264471B">
                  <w:pPr>
                    <w:widowControl/>
                    <w:jc w:val="center"/>
                    <w:rPr>
                      <w:rFonts w:hint="default" w:ascii="Times New Roman" w:hAnsi="Times New Roman" w:eastAsia="宋体" w:cs="Times New Roman"/>
                      <w:color w:val="auto"/>
                      <w:sz w:val="21"/>
                      <w:szCs w:val="21"/>
                      <w:highlight w:val="none"/>
                      <w:lang w:val="en-US" w:eastAsia="zh-CN"/>
                    </w:rPr>
                  </w:pPr>
                </w:p>
              </w:tc>
              <w:tc>
                <w:tcPr>
                  <w:tcW w:w="750" w:type="dxa"/>
                  <w:vMerge w:val="continue"/>
                  <w:tcBorders>
                    <w:bottom w:val="single" w:color="auto" w:sz="4" w:space="0"/>
                    <w:tl2br w:val="nil"/>
                    <w:tr2bl w:val="nil"/>
                  </w:tcBorders>
                  <w:noWrap/>
                  <w:vAlign w:val="center"/>
                </w:tcPr>
                <w:p w14:paraId="410010CE">
                  <w:pPr>
                    <w:widowControl/>
                    <w:jc w:val="center"/>
                    <w:rPr>
                      <w:rFonts w:hint="eastAsia" w:cs="Times New Roman"/>
                      <w:color w:val="auto"/>
                      <w:sz w:val="21"/>
                      <w:szCs w:val="21"/>
                      <w:highlight w:val="none"/>
                      <w:lang w:val="en-US" w:eastAsia="zh-CN"/>
                    </w:rPr>
                  </w:pPr>
                </w:p>
              </w:tc>
              <w:tc>
                <w:tcPr>
                  <w:tcW w:w="1425" w:type="dxa"/>
                  <w:vMerge w:val="continue"/>
                  <w:tcBorders>
                    <w:bottom w:val="single" w:color="auto" w:sz="4" w:space="0"/>
                    <w:tl2br w:val="nil"/>
                    <w:tr2bl w:val="nil"/>
                  </w:tcBorders>
                  <w:noWrap/>
                  <w:vAlign w:val="center"/>
                </w:tcPr>
                <w:p w14:paraId="7ED44618">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bottom w:val="single" w:color="auto" w:sz="4" w:space="0"/>
                    <w:tl2br w:val="nil"/>
                    <w:tr2bl w:val="nil"/>
                  </w:tcBorders>
                  <w:noWrap/>
                  <w:vAlign w:val="center"/>
                </w:tcPr>
                <w:p w14:paraId="50B86BB9">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35A4E323">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w:t>
                  </w:r>
                </w:p>
              </w:tc>
              <w:tc>
                <w:tcPr>
                  <w:tcW w:w="739" w:type="dxa"/>
                  <w:tcBorders>
                    <w:top w:val="single" w:color="auto" w:sz="4" w:space="0"/>
                    <w:bottom w:val="single" w:color="auto" w:sz="4" w:space="0"/>
                    <w:tl2br w:val="nil"/>
                    <w:tr2bl w:val="nil"/>
                  </w:tcBorders>
                  <w:noWrap w:val="0"/>
                  <w:vAlign w:val="center"/>
                </w:tcPr>
                <w:p w14:paraId="55750F45">
                  <w:pPr>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48</w:t>
                  </w:r>
                </w:p>
              </w:tc>
              <w:tc>
                <w:tcPr>
                  <w:tcW w:w="932" w:type="dxa"/>
                  <w:tcBorders>
                    <w:top w:val="single" w:color="auto" w:sz="4" w:space="0"/>
                    <w:bottom w:val="single" w:color="auto" w:sz="4" w:space="0"/>
                    <w:tl2br w:val="nil"/>
                    <w:tr2bl w:val="nil"/>
                  </w:tcBorders>
                  <w:noWrap w:val="0"/>
                  <w:vAlign w:val="center"/>
                </w:tcPr>
                <w:p w14:paraId="429648D8">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41.4</w:t>
                  </w:r>
                </w:p>
              </w:tc>
              <w:tc>
                <w:tcPr>
                  <w:tcW w:w="695" w:type="dxa"/>
                  <w:vMerge w:val="continue"/>
                  <w:tcBorders>
                    <w:bottom w:val="single" w:color="auto" w:sz="4" w:space="0"/>
                    <w:tl2br w:val="nil"/>
                    <w:tr2bl w:val="nil"/>
                  </w:tcBorders>
                  <w:noWrap w:val="0"/>
                  <w:vAlign w:val="center"/>
                </w:tcPr>
                <w:p w14:paraId="5DBC6991">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bottom w:val="single" w:color="auto" w:sz="4" w:space="0"/>
                    <w:tl2br w:val="nil"/>
                    <w:tr2bl w:val="nil"/>
                  </w:tcBorders>
                  <w:noWrap w:val="0"/>
                  <w:vAlign w:val="center"/>
                </w:tcPr>
                <w:p w14:paraId="4EE96B5E">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45DD80E1">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2"/>
                      <w:szCs w:val="22"/>
                      <w:u w:val="none"/>
                      <w:lang w:val="en-US" w:eastAsia="zh-CN" w:bidi="ar"/>
                    </w:rPr>
                  </w:pPr>
                  <w:r>
                    <w:rPr>
                      <w:rFonts w:hint="default" w:ascii="Times New Roman" w:hAnsi="Times New Roman" w:eastAsia="等线" w:cs="Times New Roman"/>
                      <w:i w:val="0"/>
                      <w:iCs w:val="0"/>
                      <w:color w:val="auto"/>
                      <w:kern w:val="0"/>
                      <w:sz w:val="22"/>
                      <w:szCs w:val="22"/>
                      <w:u w:val="none"/>
                      <w:lang w:val="en-US" w:eastAsia="zh-CN" w:bidi="ar"/>
                    </w:rPr>
                    <w:t xml:space="preserve">20.4 </w:t>
                  </w:r>
                </w:p>
              </w:tc>
              <w:tc>
                <w:tcPr>
                  <w:tcW w:w="1073" w:type="dxa"/>
                  <w:vMerge w:val="continue"/>
                  <w:tcBorders>
                    <w:bottom w:val="single" w:color="auto" w:sz="4" w:space="0"/>
                    <w:tl2br w:val="nil"/>
                    <w:tr2bl w:val="nil"/>
                  </w:tcBorders>
                  <w:noWrap w:val="0"/>
                  <w:vAlign w:val="center"/>
                </w:tcPr>
                <w:p w14:paraId="578C6B5F">
                  <w:pPr>
                    <w:widowControl/>
                    <w:jc w:val="center"/>
                    <w:rPr>
                      <w:rFonts w:hint="default" w:ascii="Times New Roman" w:hAnsi="Times New Roman" w:eastAsia="宋体" w:cs="Times New Roman"/>
                      <w:color w:val="auto"/>
                      <w:kern w:val="0"/>
                      <w:sz w:val="21"/>
                      <w:szCs w:val="21"/>
                      <w:highlight w:val="none"/>
                    </w:rPr>
                  </w:pPr>
                </w:p>
              </w:tc>
            </w:tr>
            <w:tr w14:paraId="048E77F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02" w:hRule="atLeast"/>
                <w:jc w:val="center"/>
              </w:trPr>
              <w:tc>
                <w:tcPr>
                  <w:tcW w:w="485" w:type="dxa"/>
                  <w:vMerge w:val="restart"/>
                  <w:tcBorders>
                    <w:top w:val="single" w:color="auto" w:sz="4" w:space="0"/>
                    <w:tl2br w:val="nil"/>
                    <w:tr2bl w:val="nil"/>
                  </w:tcBorders>
                  <w:noWrap/>
                  <w:vAlign w:val="center"/>
                </w:tcPr>
                <w:p w14:paraId="2B3B1E71">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w:t>
                  </w:r>
                </w:p>
              </w:tc>
              <w:tc>
                <w:tcPr>
                  <w:tcW w:w="697" w:type="dxa"/>
                  <w:vMerge w:val="continue"/>
                  <w:tcBorders>
                    <w:bottom w:val="single" w:color="auto" w:sz="4" w:space="0"/>
                    <w:tl2br w:val="nil"/>
                    <w:tr2bl w:val="nil"/>
                  </w:tcBorders>
                  <w:noWrap/>
                  <w:vAlign w:val="center"/>
                </w:tcPr>
                <w:p w14:paraId="4EF85733">
                  <w:pPr>
                    <w:widowControl/>
                    <w:jc w:val="center"/>
                    <w:rPr>
                      <w:rFonts w:hint="default" w:ascii="Times New Roman" w:hAnsi="Times New Roman" w:eastAsia="宋体" w:cs="Times New Roman"/>
                      <w:color w:val="auto"/>
                      <w:kern w:val="0"/>
                      <w:sz w:val="21"/>
                      <w:szCs w:val="21"/>
                      <w:highlight w:val="none"/>
                    </w:rPr>
                  </w:pPr>
                </w:p>
              </w:tc>
              <w:tc>
                <w:tcPr>
                  <w:tcW w:w="1067" w:type="dxa"/>
                  <w:vMerge w:val="restart"/>
                  <w:tcBorders>
                    <w:top w:val="single" w:color="auto" w:sz="4" w:space="0"/>
                    <w:tl2br w:val="nil"/>
                    <w:tr2bl w:val="nil"/>
                  </w:tcBorders>
                  <w:noWrap w:val="0"/>
                  <w:vAlign w:val="center"/>
                </w:tcPr>
                <w:p w14:paraId="572B2F97">
                  <w:pPr>
                    <w:spacing w:line="240" w:lineRule="auto"/>
                    <w:jc w:val="center"/>
                    <w:rPr>
                      <w:rFonts w:hint="default" w:ascii="Times New Roman" w:hAnsi="Times New Roman" w:eastAsia="Arial" w:cs="Times New Roman"/>
                      <w:color w:val="auto"/>
                      <w:sz w:val="21"/>
                      <w:szCs w:val="21"/>
                      <w:highlight w:val="none"/>
                    </w:rPr>
                  </w:pPr>
                  <w:r>
                    <w:rPr>
                      <w:rFonts w:hint="eastAsia" w:ascii="Times New Roman" w:hAnsi="Times New Roman" w:eastAsia="Calibri" w:cs="Times New Roman"/>
                      <w:color w:val="auto"/>
                      <w:kern w:val="2"/>
                      <w:sz w:val="21"/>
                      <w:szCs w:val="21"/>
                      <w:highlight w:val="none"/>
                      <w:lang w:val="en-US" w:eastAsia="zh-CN"/>
                    </w:rPr>
                    <w:t>印刷打样机</w:t>
                  </w:r>
                </w:p>
              </w:tc>
              <w:tc>
                <w:tcPr>
                  <w:tcW w:w="589" w:type="dxa"/>
                  <w:vMerge w:val="restart"/>
                  <w:tcBorders>
                    <w:top w:val="single" w:color="auto" w:sz="4" w:space="0"/>
                    <w:tl2br w:val="nil"/>
                    <w:tr2bl w:val="nil"/>
                  </w:tcBorders>
                  <w:noWrap/>
                  <w:vAlign w:val="center"/>
                </w:tcPr>
                <w:p w14:paraId="4C92AC2E">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636" w:type="dxa"/>
                  <w:vMerge w:val="restart"/>
                  <w:tcBorders>
                    <w:top w:val="single" w:color="auto" w:sz="4" w:space="0"/>
                    <w:tl2br w:val="nil"/>
                    <w:tr2bl w:val="nil"/>
                  </w:tcBorders>
                  <w:noWrap/>
                  <w:vAlign w:val="center"/>
                </w:tcPr>
                <w:p w14:paraId="3FAD53AA">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750" w:type="dxa"/>
                  <w:vMerge w:val="restart"/>
                  <w:tcBorders>
                    <w:top w:val="single" w:color="auto" w:sz="4" w:space="0"/>
                    <w:tl2br w:val="nil"/>
                    <w:tr2bl w:val="nil"/>
                  </w:tcBorders>
                  <w:noWrap/>
                  <w:vAlign w:val="center"/>
                </w:tcPr>
                <w:p w14:paraId="18322F9F">
                  <w:pPr>
                    <w:widowControl/>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425" w:type="dxa"/>
                  <w:vMerge w:val="restart"/>
                  <w:tcBorders>
                    <w:top w:val="single" w:color="auto" w:sz="4" w:space="0"/>
                    <w:tl2br w:val="nil"/>
                    <w:tr2bl w:val="nil"/>
                  </w:tcBorders>
                  <w:noWrap/>
                  <w:vAlign w:val="center"/>
                </w:tcPr>
                <w:p w14:paraId="16E50C82">
                  <w:pPr>
                    <w:widowControl/>
                    <w:jc w:val="center"/>
                    <w:rPr>
                      <w:rFonts w:hint="default" w:ascii="Times New Roman" w:hAnsi="Times New Roman" w:eastAsia="Arial" w:cs="Times New Roman"/>
                      <w:color w:val="auto"/>
                      <w:sz w:val="21"/>
                      <w:szCs w:val="21"/>
                      <w:highlight w:val="none"/>
                    </w:rPr>
                  </w:pPr>
                  <w:r>
                    <w:rPr>
                      <w:rFonts w:hint="eastAsia" w:cs="Times New Roman"/>
                      <w:color w:val="auto"/>
                      <w:kern w:val="0"/>
                      <w:sz w:val="21"/>
                      <w:szCs w:val="21"/>
                      <w:lang w:val="en-US" w:eastAsia="zh-CN"/>
                    </w:rPr>
                    <w:t>75</w:t>
                  </w:r>
                  <w:r>
                    <w:rPr>
                      <w:rFonts w:hint="default" w:ascii="Times New Roman" w:hAnsi="Times New Roman" w:eastAsia="宋体" w:cs="Times New Roman"/>
                      <w:color w:val="auto"/>
                      <w:kern w:val="0"/>
                      <w:sz w:val="21"/>
                      <w:szCs w:val="21"/>
                    </w:rPr>
                    <w:t>/1</w:t>
                  </w:r>
                </w:p>
              </w:tc>
              <w:tc>
                <w:tcPr>
                  <w:tcW w:w="1222" w:type="dxa"/>
                  <w:vMerge w:val="restart"/>
                  <w:tcBorders>
                    <w:top w:val="single" w:color="auto" w:sz="4" w:space="0"/>
                    <w:tl2br w:val="nil"/>
                    <w:tr2bl w:val="nil"/>
                  </w:tcBorders>
                  <w:noWrap/>
                  <w:vAlign w:val="center"/>
                </w:tcPr>
                <w:p w14:paraId="6F760475">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隔声、减振</w:t>
                  </w:r>
                </w:p>
              </w:tc>
              <w:tc>
                <w:tcPr>
                  <w:tcW w:w="686" w:type="dxa"/>
                  <w:tcBorders>
                    <w:top w:val="single" w:color="auto" w:sz="4" w:space="0"/>
                    <w:bottom w:val="single" w:color="auto" w:sz="4" w:space="0"/>
                    <w:tl2br w:val="nil"/>
                    <w:tr2bl w:val="nil"/>
                  </w:tcBorders>
                  <w:noWrap w:val="0"/>
                  <w:vAlign w:val="center"/>
                </w:tcPr>
                <w:p w14:paraId="662DB58A">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E</w:t>
                  </w:r>
                </w:p>
              </w:tc>
              <w:tc>
                <w:tcPr>
                  <w:tcW w:w="739" w:type="dxa"/>
                  <w:tcBorders>
                    <w:top w:val="single" w:color="auto" w:sz="4" w:space="0"/>
                    <w:bottom w:val="single" w:color="auto" w:sz="4" w:space="0"/>
                    <w:tl2br w:val="nil"/>
                    <w:tr2bl w:val="nil"/>
                  </w:tcBorders>
                  <w:noWrap w:val="0"/>
                  <w:vAlign w:val="center"/>
                </w:tcPr>
                <w:p w14:paraId="104C1B64">
                  <w:pPr>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932" w:type="dxa"/>
                  <w:tcBorders>
                    <w:top w:val="single" w:color="auto" w:sz="4" w:space="0"/>
                    <w:bottom w:val="single" w:color="auto" w:sz="4" w:space="0"/>
                    <w:tl2br w:val="nil"/>
                    <w:tr2bl w:val="nil"/>
                  </w:tcBorders>
                  <w:noWrap w:val="0"/>
                  <w:vAlign w:val="center"/>
                </w:tcPr>
                <w:p w14:paraId="4CDBE9A1">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35.0</w:t>
                  </w:r>
                </w:p>
              </w:tc>
              <w:tc>
                <w:tcPr>
                  <w:tcW w:w="695" w:type="dxa"/>
                  <w:vMerge w:val="restart"/>
                  <w:tcBorders>
                    <w:top w:val="single" w:color="auto" w:sz="4" w:space="0"/>
                    <w:tl2br w:val="nil"/>
                    <w:tr2bl w:val="nil"/>
                  </w:tcBorders>
                  <w:noWrap w:val="0"/>
                  <w:vAlign w:val="center"/>
                </w:tcPr>
                <w:p w14:paraId="16E18A9D">
                  <w:pPr>
                    <w:widowControl/>
                    <w:jc w:val="center"/>
                    <w:rPr>
                      <w:rFonts w:hint="default" w:ascii="Times New Roman" w:hAnsi="Times New Roman" w:eastAsia="等线" w:cs="Times New Roman"/>
                      <w:color w:val="auto"/>
                      <w:sz w:val="21"/>
                      <w:szCs w:val="21"/>
                      <w:highlight w:val="none"/>
                    </w:rPr>
                  </w:pPr>
                  <w:r>
                    <w:rPr>
                      <w:rFonts w:hint="eastAsia" w:eastAsia="等线" w:cs="Times New Roman"/>
                      <w:color w:val="auto"/>
                      <w:sz w:val="21"/>
                      <w:szCs w:val="21"/>
                      <w:highlight w:val="none"/>
                      <w:lang w:val="en-US" w:eastAsia="zh-CN"/>
                    </w:rPr>
                    <w:t>16</w:t>
                  </w:r>
                  <w:r>
                    <w:rPr>
                      <w:rFonts w:hint="default" w:ascii="Times New Roman" w:hAnsi="Times New Roman" w:eastAsia="等线" w:cs="Times New Roman"/>
                      <w:color w:val="auto"/>
                      <w:sz w:val="21"/>
                      <w:szCs w:val="21"/>
                      <w:highlight w:val="none"/>
                    </w:rPr>
                    <w:t>h/d</w:t>
                  </w:r>
                </w:p>
              </w:tc>
              <w:tc>
                <w:tcPr>
                  <w:tcW w:w="889" w:type="dxa"/>
                  <w:vMerge w:val="restart"/>
                  <w:tcBorders>
                    <w:top w:val="single" w:color="auto" w:sz="4" w:space="0"/>
                    <w:tl2br w:val="nil"/>
                    <w:tr2bl w:val="nil"/>
                  </w:tcBorders>
                  <w:noWrap w:val="0"/>
                  <w:vAlign w:val="center"/>
                </w:tcPr>
                <w:p w14:paraId="4C326D02">
                  <w:pPr>
                    <w:widowControl/>
                    <w:jc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等线" w:cs="Times New Roman"/>
                      <w:color w:val="auto"/>
                      <w:sz w:val="21"/>
                      <w:szCs w:val="21"/>
                      <w:highlight w:val="none"/>
                      <w:lang w:val="en-US" w:eastAsia="zh-CN"/>
                    </w:rPr>
                    <w:t>21</w:t>
                  </w:r>
                </w:p>
              </w:tc>
              <w:tc>
                <w:tcPr>
                  <w:tcW w:w="932" w:type="dxa"/>
                  <w:tcBorders>
                    <w:top w:val="single" w:color="auto" w:sz="4" w:space="0"/>
                    <w:bottom w:val="single" w:color="auto" w:sz="4" w:space="0"/>
                    <w:tl2br w:val="nil"/>
                    <w:tr2bl w:val="nil"/>
                  </w:tcBorders>
                  <w:noWrap/>
                  <w:vAlign w:val="center"/>
                </w:tcPr>
                <w:p w14:paraId="5744BA59">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2"/>
                      <w:szCs w:val="22"/>
                      <w:u w:val="none"/>
                      <w:lang w:val="en-US" w:eastAsia="zh-CN" w:bidi="ar"/>
                    </w:rPr>
                  </w:pPr>
                  <w:r>
                    <w:rPr>
                      <w:rFonts w:hint="default" w:ascii="Times New Roman" w:hAnsi="Times New Roman" w:eastAsia="等线" w:cs="Times New Roman"/>
                      <w:i w:val="0"/>
                      <w:iCs w:val="0"/>
                      <w:color w:val="auto"/>
                      <w:kern w:val="0"/>
                      <w:sz w:val="22"/>
                      <w:szCs w:val="22"/>
                      <w:u w:val="none"/>
                      <w:lang w:val="en-US" w:eastAsia="zh-CN" w:bidi="ar"/>
                    </w:rPr>
                    <w:t xml:space="preserve">14.0 </w:t>
                  </w:r>
                </w:p>
              </w:tc>
              <w:tc>
                <w:tcPr>
                  <w:tcW w:w="1073" w:type="dxa"/>
                  <w:vMerge w:val="restart"/>
                  <w:tcBorders>
                    <w:top w:val="single" w:color="auto" w:sz="4" w:space="0"/>
                    <w:tl2br w:val="nil"/>
                    <w:tr2bl w:val="nil"/>
                  </w:tcBorders>
                  <w:noWrap w:val="0"/>
                  <w:vAlign w:val="center"/>
                </w:tcPr>
                <w:p w14:paraId="6B43EAED">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r>
            <w:tr w14:paraId="49215BF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68" w:hRule="atLeast"/>
                <w:jc w:val="center"/>
              </w:trPr>
              <w:tc>
                <w:tcPr>
                  <w:tcW w:w="485" w:type="dxa"/>
                  <w:vMerge w:val="continue"/>
                  <w:tcBorders>
                    <w:tl2br w:val="nil"/>
                    <w:tr2bl w:val="nil"/>
                  </w:tcBorders>
                  <w:noWrap/>
                  <w:vAlign w:val="center"/>
                </w:tcPr>
                <w:p w14:paraId="09BB8DA2">
                  <w:pPr>
                    <w:widowControl/>
                    <w:jc w:val="center"/>
                    <w:rPr>
                      <w:rFonts w:hint="eastAsia" w:cs="Times New Roman"/>
                      <w:color w:val="auto"/>
                      <w:kern w:val="0"/>
                      <w:sz w:val="21"/>
                      <w:szCs w:val="21"/>
                      <w:highlight w:val="none"/>
                      <w:lang w:val="en-US" w:eastAsia="zh-CN"/>
                    </w:rPr>
                  </w:pPr>
                </w:p>
              </w:tc>
              <w:tc>
                <w:tcPr>
                  <w:tcW w:w="697" w:type="dxa"/>
                  <w:vMerge w:val="continue"/>
                  <w:tcBorders>
                    <w:bottom w:val="single" w:color="auto" w:sz="4" w:space="0"/>
                    <w:tl2br w:val="nil"/>
                    <w:tr2bl w:val="nil"/>
                  </w:tcBorders>
                  <w:noWrap/>
                  <w:vAlign w:val="center"/>
                </w:tcPr>
                <w:p w14:paraId="74321E6C">
                  <w:pPr>
                    <w:widowControl/>
                    <w:jc w:val="center"/>
                    <w:rPr>
                      <w:rFonts w:hint="default" w:ascii="Times New Roman" w:hAnsi="Times New Roman" w:eastAsia="宋体" w:cs="Times New Roman"/>
                      <w:color w:val="auto"/>
                      <w:kern w:val="0"/>
                      <w:sz w:val="21"/>
                      <w:szCs w:val="21"/>
                      <w:highlight w:val="none"/>
                    </w:rPr>
                  </w:pPr>
                </w:p>
              </w:tc>
              <w:tc>
                <w:tcPr>
                  <w:tcW w:w="1067" w:type="dxa"/>
                  <w:vMerge w:val="continue"/>
                  <w:tcBorders>
                    <w:tl2br w:val="nil"/>
                    <w:tr2bl w:val="nil"/>
                  </w:tcBorders>
                  <w:noWrap w:val="0"/>
                  <w:vAlign w:val="center"/>
                </w:tcPr>
                <w:p w14:paraId="2D799404">
                  <w:pPr>
                    <w:spacing w:line="240" w:lineRule="auto"/>
                    <w:jc w:val="center"/>
                    <w:rPr>
                      <w:rFonts w:hint="eastAsia" w:ascii="Times New Roman" w:hAnsi="Times New Roman" w:eastAsia="Calibri" w:cs="Times New Roman"/>
                      <w:color w:val="auto"/>
                      <w:kern w:val="2"/>
                      <w:sz w:val="21"/>
                      <w:szCs w:val="21"/>
                      <w:highlight w:val="none"/>
                      <w:lang w:val="en-US" w:eastAsia="zh-CN"/>
                    </w:rPr>
                  </w:pPr>
                </w:p>
              </w:tc>
              <w:tc>
                <w:tcPr>
                  <w:tcW w:w="589" w:type="dxa"/>
                  <w:vMerge w:val="continue"/>
                  <w:tcBorders>
                    <w:tl2br w:val="nil"/>
                    <w:tr2bl w:val="nil"/>
                  </w:tcBorders>
                  <w:noWrap/>
                  <w:vAlign w:val="center"/>
                </w:tcPr>
                <w:p w14:paraId="5A8AC702">
                  <w:pPr>
                    <w:widowControl/>
                    <w:jc w:val="center"/>
                    <w:rPr>
                      <w:rFonts w:hint="eastAsia" w:cs="Times New Roman"/>
                      <w:color w:val="auto"/>
                      <w:sz w:val="21"/>
                      <w:szCs w:val="21"/>
                      <w:highlight w:val="none"/>
                      <w:lang w:val="en-US" w:eastAsia="zh-CN"/>
                    </w:rPr>
                  </w:pPr>
                </w:p>
              </w:tc>
              <w:tc>
                <w:tcPr>
                  <w:tcW w:w="636" w:type="dxa"/>
                  <w:vMerge w:val="continue"/>
                  <w:tcBorders>
                    <w:tl2br w:val="nil"/>
                    <w:tr2bl w:val="nil"/>
                  </w:tcBorders>
                  <w:noWrap/>
                  <w:vAlign w:val="center"/>
                </w:tcPr>
                <w:p w14:paraId="27989D9D">
                  <w:pPr>
                    <w:widowControl/>
                    <w:jc w:val="center"/>
                    <w:rPr>
                      <w:rFonts w:hint="eastAsia" w:cs="Times New Roman"/>
                      <w:color w:val="auto"/>
                      <w:sz w:val="21"/>
                      <w:szCs w:val="21"/>
                      <w:highlight w:val="none"/>
                      <w:lang w:val="en-US" w:eastAsia="zh-CN"/>
                    </w:rPr>
                  </w:pPr>
                </w:p>
              </w:tc>
              <w:tc>
                <w:tcPr>
                  <w:tcW w:w="750" w:type="dxa"/>
                  <w:vMerge w:val="continue"/>
                  <w:tcBorders>
                    <w:tl2br w:val="nil"/>
                    <w:tr2bl w:val="nil"/>
                  </w:tcBorders>
                  <w:noWrap/>
                  <w:vAlign w:val="center"/>
                </w:tcPr>
                <w:p w14:paraId="6FC8E614">
                  <w:pPr>
                    <w:widowControl/>
                    <w:jc w:val="center"/>
                    <w:rPr>
                      <w:rFonts w:hint="eastAsia" w:cs="Times New Roman"/>
                      <w:color w:val="auto"/>
                      <w:sz w:val="21"/>
                      <w:szCs w:val="21"/>
                      <w:highlight w:val="none"/>
                      <w:lang w:val="en-US" w:eastAsia="zh-CN"/>
                    </w:rPr>
                  </w:pPr>
                </w:p>
              </w:tc>
              <w:tc>
                <w:tcPr>
                  <w:tcW w:w="1425" w:type="dxa"/>
                  <w:vMerge w:val="continue"/>
                  <w:tcBorders>
                    <w:tl2br w:val="nil"/>
                    <w:tr2bl w:val="nil"/>
                  </w:tcBorders>
                  <w:noWrap/>
                  <w:vAlign w:val="center"/>
                </w:tcPr>
                <w:p w14:paraId="3528E047">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18D1BBEF">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72084CA6">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w:t>
                  </w:r>
                </w:p>
              </w:tc>
              <w:tc>
                <w:tcPr>
                  <w:tcW w:w="739" w:type="dxa"/>
                  <w:tcBorders>
                    <w:top w:val="single" w:color="auto" w:sz="4" w:space="0"/>
                    <w:bottom w:val="single" w:color="auto" w:sz="4" w:space="0"/>
                    <w:tl2br w:val="nil"/>
                    <w:tr2bl w:val="nil"/>
                  </w:tcBorders>
                  <w:noWrap w:val="0"/>
                  <w:vAlign w:val="center"/>
                </w:tcPr>
                <w:p w14:paraId="21FC24E1">
                  <w:pPr>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932" w:type="dxa"/>
                  <w:tcBorders>
                    <w:top w:val="single" w:color="auto" w:sz="4" w:space="0"/>
                    <w:bottom w:val="single" w:color="auto" w:sz="4" w:space="0"/>
                    <w:tl2br w:val="nil"/>
                    <w:tr2bl w:val="nil"/>
                  </w:tcBorders>
                  <w:noWrap w:val="0"/>
                  <w:vAlign w:val="center"/>
                </w:tcPr>
                <w:p w14:paraId="37A18CD5">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56.9</w:t>
                  </w:r>
                </w:p>
              </w:tc>
              <w:tc>
                <w:tcPr>
                  <w:tcW w:w="695" w:type="dxa"/>
                  <w:vMerge w:val="continue"/>
                  <w:tcBorders>
                    <w:tl2br w:val="nil"/>
                    <w:tr2bl w:val="nil"/>
                  </w:tcBorders>
                  <w:noWrap w:val="0"/>
                  <w:vAlign w:val="center"/>
                </w:tcPr>
                <w:p w14:paraId="4FDAE7B2">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670D1380">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0A1DC133">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2"/>
                      <w:szCs w:val="22"/>
                      <w:u w:val="none"/>
                      <w:lang w:val="en-US" w:eastAsia="zh-CN" w:bidi="ar"/>
                    </w:rPr>
                  </w:pPr>
                  <w:r>
                    <w:rPr>
                      <w:rFonts w:hint="default" w:ascii="Times New Roman" w:hAnsi="Times New Roman" w:eastAsia="等线" w:cs="Times New Roman"/>
                      <w:i w:val="0"/>
                      <w:iCs w:val="0"/>
                      <w:color w:val="auto"/>
                      <w:kern w:val="0"/>
                      <w:sz w:val="22"/>
                      <w:szCs w:val="22"/>
                      <w:u w:val="none"/>
                      <w:lang w:val="en-US" w:eastAsia="zh-CN" w:bidi="ar"/>
                    </w:rPr>
                    <w:t xml:space="preserve">35.9 </w:t>
                  </w:r>
                </w:p>
              </w:tc>
              <w:tc>
                <w:tcPr>
                  <w:tcW w:w="1073" w:type="dxa"/>
                  <w:vMerge w:val="continue"/>
                  <w:tcBorders>
                    <w:tl2br w:val="nil"/>
                    <w:tr2bl w:val="nil"/>
                  </w:tcBorders>
                  <w:noWrap w:val="0"/>
                  <w:vAlign w:val="center"/>
                </w:tcPr>
                <w:p w14:paraId="7AB014A1">
                  <w:pPr>
                    <w:widowControl/>
                    <w:jc w:val="center"/>
                    <w:rPr>
                      <w:rFonts w:hint="default" w:ascii="Times New Roman" w:hAnsi="Times New Roman" w:eastAsia="宋体" w:cs="Times New Roman"/>
                      <w:color w:val="auto"/>
                      <w:kern w:val="0"/>
                      <w:sz w:val="21"/>
                      <w:szCs w:val="21"/>
                      <w:highlight w:val="none"/>
                    </w:rPr>
                  </w:pPr>
                </w:p>
              </w:tc>
            </w:tr>
            <w:tr w14:paraId="515BB9E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9" w:hRule="atLeast"/>
                <w:jc w:val="center"/>
              </w:trPr>
              <w:tc>
                <w:tcPr>
                  <w:tcW w:w="485" w:type="dxa"/>
                  <w:vMerge w:val="continue"/>
                  <w:tcBorders>
                    <w:tl2br w:val="nil"/>
                    <w:tr2bl w:val="nil"/>
                  </w:tcBorders>
                  <w:noWrap/>
                  <w:vAlign w:val="center"/>
                </w:tcPr>
                <w:p w14:paraId="5121294B">
                  <w:pPr>
                    <w:widowControl/>
                    <w:jc w:val="center"/>
                    <w:rPr>
                      <w:rFonts w:hint="eastAsia" w:cs="Times New Roman"/>
                      <w:color w:val="auto"/>
                      <w:kern w:val="0"/>
                      <w:sz w:val="21"/>
                      <w:szCs w:val="21"/>
                      <w:highlight w:val="none"/>
                      <w:lang w:val="en-US" w:eastAsia="zh-CN"/>
                    </w:rPr>
                  </w:pPr>
                </w:p>
              </w:tc>
              <w:tc>
                <w:tcPr>
                  <w:tcW w:w="697" w:type="dxa"/>
                  <w:vMerge w:val="continue"/>
                  <w:tcBorders>
                    <w:bottom w:val="single" w:color="auto" w:sz="4" w:space="0"/>
                    <w:tl2br w:val="nil"/>
                    <w:tr2bl w:val="nil"/>
                  </w:tcBorders>
                  <w:noWrap/>
                  <w:vAlign w:val="center"/>
                </w:tcPr>
                <w:p w14:paraId="4BE1F63F">
                  <w:pPr>
                    <w:widowControl/>
                    <w:jc w:val="center"/>
                    <w:rPr>
                      <w:rFonts w:hint="default" w:ascii="Times New Roman" w:hAnsi="Times New Roman" w:eastAsia="宋体" w:cs="Times New Roman"/>
                      <w:color w:val="auto"/>
                      <w:kern w:val="0"/>
                      <w:sz w:val="21"/>
                      <w:szCs w:val="21"/>
                      <w:highlight w:val="none"/>
                    </w:rPr>
                  </w:pPr>
                </w:p>
              </w:tc>
              <w:tc>
                <w:tcPr>
                  <w:tcW w:w="1067" w:type="dxa"/>
                  <w:vMerge w:val="continue"/>
                  <w:tcBorders>
                    <w:tl2br w:val="nil"/>
                    <w:tr2bl w:val="nil"/>
                  </w:tcBorders>
                  <w:noWrap w:val="0"/>
                  <w:vAlign w:val="center"/>
                </w:tcPr>
                <w:p w14:paraId="2D21554E">
                  <w:pPr>
                    <w:spacing w:line="240" w:lineRule="auto"/>
                    <w:jc w:val="center"/>
                    <w:rPr>
                      <w:rFonts w:hint="eastAsia" w:ascii="Times New Roman" w:hAnsi="Times New Roman" w:eastAsia="Calibri" w:cs="Times New Roman"/>
                      <w:color w:val="auto"/>
                      <w:kern w:val="2"/>
                      <w:sz w:val="21"/>
                      <w:szCs w:val="21"/>
                      <w:highlight w:val="none"/>
                      <w:lang w:val="en-US" w:eastAsia="zh-CN"/>
                    </w:rPr>
                  </w:pPr>
                </w:p>
              </w:tc>
              <w:tc>
                <w:tcPr>
                  <w:tcW w:w="589" w:type="dxa"/>
                  <w:vMerge w:val="continue"/>
                  <w:tcBorders>
                    <w:tl2br w:val="nil"/>
                    <w:tr2bl w:val="nil"/>
                  </w:tcBorders>
                  <w:noWrap/>
                  <w:vAlign w:val="center"/>
                </w:tcPr>
                <w:p w14:paraId="23416A20">
                  <w:pPr>
                    <w:widowControl/>
                    <w:jc w:val="center"/>
                    <w:rPr>
                      <w:rFonts w:hint="eastAsia" w:cs="Times New Roman"/>
                      <w:color w:val="auto"/>
                      <w:sz w:val="21"/>
                      <w:szCs w:val="21"/>
                      <w:highlight w:val="none"/>
                      <w:lang w:val="en-US" w:eastAsia="zh-CN"/>
                    </w:rPr>
                  </w:pPr>
                </w:p>
              </w:tc>
              <w:tc>
                <w:tcPr>
                  <w:tcW w:w="636" w:type="dxa"/>
                  <w:vMerge w:val="continue"/>
                  <w:tcBorders>
                    <w:tl2br w:val="nil"/>
                    <w:tr2bl w:val="nil"/>
                  </w:tcBorders>
                  <w:noWrap/>
                  <w:vAlign w:val="center"/>
                </w:tcPr>
                <w:p w14:paraId="5883A9C2">
                  <w:pPr>
                    <w:widowControl/>
                    <w:jc w:val="center"/>
                    <w:rPr>
                      <w:rFonts w:hint="eastAsia" w:cs="Times New Roman"/>
                      <w:color w:val="auto"/>
                      <w:sz w:val="21"/>
                      <w:szCs w:val="21"/>
                      <w:highlight w:val="none"/>
                      <w:lang w:val="en-US" w:eastAsia="zh-CN"/>
                    </w:rPr>
                  </w:pPr>
                </w:p>
              </w:tc>
              <w:tc>
                <w:tcPr>
                  <w:tcW w:w="750" w:type="dxa"/>
                  <w:vMerge w:val="continue"/>
                  <w:tcBorders>
                    <w:tl2br w:val="nil"/>
                    <w:tr2bl w:val="nil"/>
                  </w:tcBorders>
                  <w:noWrap/>
                  <w:vAlign w:val="center"/>
                </w:tcPr>
                <w:p w14:paraId="6E458732">
                  <w:pPr>
                    <w:widowControl/>
                    <w:jc w:val="center"/>
                    <w:rPr>
                      <w:rFonts w:hint="eastAsia" w:cs="Times New Roman"/>
                      <w:color w:val="auto"/>
                      <w:sz w:val="21"/>
                      <w:szCs w:val="21"/>
                      <w:highlight w:val="none"/>
                      <w:lang w:val="en-US" w:eastAsia="zh-CN"/>
                    </w:rPr>
                  </w:pPr>
                </w:p>
              </w:tc>
              <w:tc>
                <w:tcPr>
                  <w:tcW w:w="1425" w:type="dxa"/>
                  <w:vMerge w:val="continue"/>
                  <w:tcBorders>
                    <w:tl2br w:val="nil"/>
                    <w:tr2bl w:val="nil"/>
                  </w:tcBorders>
                  <w:noWrap/>
                  <w:vAlign w:val="center"/>
                </w:tcPr>
                <w:p w14:paraId="2CE5F64D">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tl2br w:val="nil"/>
                    <w:tr2bl w:val="nil"/>
                  </w:tcBorders>
                  <w:noWrap/>
                  <w:vAlign w:val="center"/>
                </w:tcPr>
                <w:p w14:paraId="72368F1D">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535C1D36">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w:t>
                  </w:r>
                </w:p>
              </w:tc>
              <w:tc>
                <w:tcPr>
                  <w:tcW w:w="739" w:type="dxa"/>
                  <w:tcBorders>
                    <w:top w:val="single" w:color="auto" w:sz="4" w:space="0"/>
                    <w:bottom w:val="single" w:color="auto" w:sz="4" w:space="0"/>
                    <w:tl2br w:val="nil"/>
                    <w:tr2bl w:val="nil"/>
                  </w:tcBorders>
                  <w:noWrap w:val="0"/>
                  <w:vAlign w:val="center"/>
                </w:tcPr>
                <w:p w14:paraId="65BE2E55">
                  <w:pPr>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932" w:type="dxa"/>
                  <w:tcBorders>
                    <w:top w:val="single" w:color="auto" w:sz="4" w:space="0"/>
                    <w:bottom w:val="single" w:color="auto" w:sz="4" w:space="0"/>
                    <w:tl2br w:val="nil"/>
                    <w:tr2bl w:val="nil"/>
                  </w:tcBorders>
                  <w:noWrap w:val="0"/>
                  <w:vAlign w:val="center"/>
                </w:tcPr>
                <w:p w14:paraId="023DA935">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45.5</w:t>
                  </w:r>
                </w:p>
              </w:tc>
              <w:tc>
                <w:tcPr>
                  <w:tcW w:w="695" w:type="dxa"/>
                  <w:vMerge w:val="continue"/>
                  <w:tcBorders>
                    <w:tl2br w:val="nil"/>
                    <w:tr2bl w:val="nil"/>
                  </w:tcBorders>
                  <w:noWrap w:val="0"/>
                  <w:vAlign w:val="center"/>
                </w:tcPr>
                <w:p w14:paraId="58D7276C">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tl2br w:val="nil"/>
                    <w:tr2bl w:val="nil"/>
                  </w:tcBorders>
                  <w:noWrap w:val="0"/>
                  <w:vAlign w:val="center"/>
                </w:tcPr>
                <w:p w14:paraId="558552D9">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44A2A487">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2"/>
                      <w:szCs w:val="22"/>
                      <w:u w:val="none"/>
                      <w:lang w:val="en-US" w:eastAsia="zh-CN" w:bidi="ar"/>
                    </w:rPr>
                  </w:pPr>
                  <w:r>
                    <w:rPr>
                      <w:rFonts w:hint="default" w:ascii="Times New Roman" w:hAnsi="Times New Roman" w:eastAsia="等线" w:cs="Times New Roman"/>
                      <w:i w:val="0"/>
                      <w:iCs w:val="0"/>
                      <w:color w:val="auto"/>
                      <w:kern w:val="0"/>
                      <w:sz w:val="22"/>
                      <w:szCs w:val="22"/>
                      <w:u w:val="none"/>
                      <w:lang w:val="en-US" w:eastAsia="zh-CN" w:bidi="ar"/>
                    </w:rPr>
                    <w:t xml:space="preserve">24.5 </w:t>
                  </w:r>
                </w:p>
              </w:tc>
              <w:tc>
                <w:tcPr>
                  <w:tcW w:w="1073" w:type="dxa"/>
                  <w:vMerge w:val="continue"/>
                  <w:tcBorders>
                    <w:tl2br w:val="nil"/>
                    <w:tr2bl w:val="nil"/>
                  </w:tcBorders>
                  <w:noWrap w:val="0"/>
                  <w:vAlign w:val="center"/>
                </w:tcPr>
                <w:p w14:paraId="44BFA49C">
                  <w:pPr>
                    <w:widowControl/>
                    <w:jc w:val="center"/>
                    <w:rPr>
                      <w:rFonts w:hint="default" w:ascii="Times New Roman" w:hAnsi="Times New Roman" w:eastAsia="宋体" w:cs="Times New Roman"/>
                      <w:color w:val="auto"/>
                      <w:kern w:val="0"/>
                      <w:sz w:val="21"/>
                      <w:szCs w:val="21"/>
                      <w:highlight w:val="none"/>
                    </w:rPr>
                  </w:pPr>
                </w:p>
              </w:tc>
            </w:tr>
            <w:tr w14:paraId="2E68AB3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61" w:hRule="atLeast"/>
                <w:jc w:val="center"/>
              </w:trPr>
              <w:tc>
                <w:tcPr>
                  <w:tcW w:w="485" w:type="dxa"/>
                  <w:vMerge w:val="continue"/>
                  <w:tcBorders>
                    <w:bottom w:val="single" w:color="auto" w:sz="4" w:space="0"/>
                    <w:tl2br w:val="nil"/>
                    <w:tr2bl w:val="nil"/>
                  </w:tcBorders>
                  <w:noWrap/>
                  <w:vAlign w:val="center"/>
                </w:tcPr>
                <w:p w14:paraId="22F3CF16">
                  <w:pPr>
                    <w:widowControl/>
                    <w:jc w:val="center"/>
                    <w:rPr>
                      <w:rFonts w:hint="eastAsia" w:cs="Times New Roman"/>
                      <w:color w:val="auto"/>
                      <w:kern w:val="0"/>
                      <w:sz w:val="21"/>
                      <w:szCs w:val="21"/>
                      <w:highlight w:val="none"/>
                      <w:lang w:val="en-US" w:eastAsia="zh-CN"/>
                    </w:rPr>
                  </w:pPr>
                </w:p>
              </w:tc>
              <w:tc>
                <w:tcPr>
                  <w:tcW w:w="697" w:type="dxa"/>
                  <w:vMerge w:val="continue"/>
                  <w:tcBorders>
                    <w:bottom w:val="single" w:color="auto" w:sz="4" w:space="0"/>
                    <w:tl2br w:val="nil"/>
                    <w:tr2bl w:val="nil"/>
                  </w:tcBorders>
                  <w:noWrap/>
                  <w:vAlign w:val="center"/>
                </w:tcPr>
                <w:p w14:paraId="22CA90E0">
                  <w:pPr>
                    <w:widowControl/>
                    <w:jc w:val="center"/>
                    <w:rPr>
                      <w:rFonts w:hint="default" w:ascii="Times New Roman" w:hAnsi="Times New Roman" w:eastAsia="宋体" w:cs="Times New Roman"/>
                      <w:color w:val="auto"/>
                      <w:kern w:val="0"/>
                      <w:sz w:val="21"/>
                      <w:szCs w:val="21"/>
                      <w:highlight w:val="none"/>
                    </w:rPr>
                  </w:pPr>
                </w:p>
              </w:tc>
              <w:tc>
                <w:tcPr>
                  <w:tcW w:w="1067" w:type="dxa"/>
                  <w:vMerge w:val="continue"/>
                  <w:tcBorders>
                    <w:bottom w:val="single" w:color="auto" w:sz="4" w:space="0"/>
                    <w:tl2br w:val="nil"/>
                    <w:tr2bl w:val="nil"/>
                  </w:tcBorders>
                  <w:noWrap w:val="0"/>
                  <w:vAlign w:val="center"/>
                </w:tcPr>
                <w:p w14:paraId="76C55E9D">
                  <w:pPr>
                    <w:spacing w:line="240" w:lineRule="auto"/>
                    <w:jc w:val="center"/>
                    <w:rPr>
                      <w:rFonts w:hint="eastAsia" w:ascii="Times New Roman" w:hAnsi="Times New Roman" w:eastAsia="Calibri" w:cs="Times New Roman"/>
                      <w:color w:val="auto"/>
                      <w:kern w:val="2"/>
                      <w:sz w:val="21"/>
                      <w:szCs w:val="21"/>
                      <w:highlight w:val="none"/>
                      <w:lang w:val="en-US" w:eastAsia="zh-CN"/>
                    </w:rPr>
                  </w:pPr>
                </w:p>
              </w:tc>
              <w:tc>
                <w:tcPr>
                  <w:tcW w:w="589" w:type="dxa"/>
                  <w:vMerge w:val="continue"/>
                  <w:tcBorders>
                    <w:bottom w:val="single" w:color="auto" w:sz="4" w:space="0"/>
                    <w:tl2br w:val="nil"/>
                    <w:tr2bl w:val="nil"/>
                  </w:tcBorders>
                  <w:noWrap/>
                  <w:vAlign w:val="center"/>
                </w:tcPr>
                <w:p w14:paraId="0FC4CF33">
                  <w:pPr>
                    <w:widowControl/>
                    <w:jc w:val="center"/>
                    <w:rPr>
                      <w:rFonts w:hint="eastAsia" w:cs="Times New Roman"/>
                      <w:color w:val="auto"/>
                      <w:sz w:val="21"/>
                      <w:szCs w:val="21"/>
                      <w:highlight w:val="none"/>
                      <w:lang w:val="en-US" w:eastAsia="zh-CN"/>
                    </w:rPr>
                  </w:pPr>
                </w:p>
              </w:tc>
              <w:tc>
                <w:tcPr>
                  <w:tcW w:w="636" w:type="dxa"/>
                  <w:vMerge w:val="continue"/>
                  <w:tcBorders>
                    <w:bottom w:val="single" w:color="auto" w:sz="4" w:space="0"/>
                    <w:tl2br w:val="nil"/>
                    <w:tr2bl w:val="nil"/>
                  </w:tcBorders>
                  <w:noWrap/>
                  <w:vAlign w:val="center"/>
                </w:tcPr>
                <w:p w14:paraId="0E054167">
                  <w:pPr>
                    <w:widowControl/>
                    <w:jc w:val="center"/>
                    <w:rPr>
                      <w:rFonts w:hint="eastAsia" w:cs="Times New Roman"/>
                      <w:color w:val="auto"/>
                      <w:sz w:val="21"/>
                      <w:szCs w:val="21"/>
                      <w:highlight w:val="none"/>
                      <w:lang w:val="en-US" w:eastAsia="zh-CN"/>
                    </w:rPr>
                  </w:pPr>
                </w:p>
              </w:tc>
              <w:tc>
                <w:tcPr>
                  <w:tcW w:w="750" w:type="dxa"/>
                  <w:vMerge w:val="continue"/>
                  <w:tcBorders>
                    <w:bottom w:val="single" w:color="auto" w:sz="4" w:space="0"/>
                    <w:tl2br w:val="nil"/>
                    <w:tr2bl w:val="nil"/>
                  </w:tcBorders>
                  <w:noWrap/>
                  <w:vAlign w:val="center"/>
                </w:tcPr>
                <w:p w14:paraId="71F8C3A6">
                  <w:pPr>
                    <w:widowControl/>
                    <w:jc w:val="center"/>
                    <w:rPr>
                      <w:rFonts w:hint="eastAsia" w:cs="Times New Roman"/>
                      <w:color w:val="auto"/>
                      <w:sz w:val="21"/>
                      <w:szCs w:val="21"/>
                      <w:highlight w:val="none"/>
                      <w:lang w:val="en-US" w:eastAsia="zh-CN"/>
                    </w:rPr>
                  </w:pPr>
                </w:p>
              </w:tc>
              <w:tc>
                <w:tcPr>
                  <w:tcW w:w="1425" w:type="dxa"/>
                  <w:vMerge w:val="continue"/>
                  <w:tcBorders>
                    <w:bottom w:val="single" w:color="auto" w:sz="4" w:space="0"/>
                    <w:tl2br w:val="nil"/>
                    <w:tr2bl w:val="nil"/>
                  </w:tcBorders>
                  <w:noWrap/>
                  <w:vAlign w:val="center"/>
                </w:tcPr>
                <w:p w14:paraId="6F40706B">
                  <w:pPr>
                    <w:widowControl/>
                    <w:jc w:val="center"/>
                    <w:rPr>
                      <w:rFonts w:hint="default" w:ascii="Times New Roman" w:hAnsi="Times New Roman" w:eastAsia="Arial" w:cs="Times New Roman"/>
                      <w:color w:val="auto"/>
                      <w:sz w:val="21"/>
                      <w:szCs w:val="21"/>
                      <w:highlight w:val="none"/>
                    </w:rPr>
                  </w:pPr>
                </w:p>
              </w:tc>
              <w:tc>
                <w:tcPr>
                  <w:tcW w:w="1222" w:type="dxa"/>
                  <w:vMerge w:val="continue"/>
                  <w:tcBorders>
                    <w:bottom w:val="single" w:color="auto" w:sz="4" w:space="0"/>
                    <w:tl2br w:val="nil"/>
                    <w:tr2bl w:val="nil"/>
                  </w:tcBorders>
                  <w:noWrap/>
                  <w:vAlign w:val="center"/>
                </w:tcPr>
                <w:p w14:paraId="02AFDA94">
                  <w:pPr>
                    <w:widowControl/>
                    <w:jc w:val="center"/>
                    <w:rPr>
                      <w:rFonts w:hint="default" w:ascii="Times New Roman" w:hAnsi="Times New Roman" w:eastAsia="宋体" w:cs="Times New Roman"/>
                      <w:color w:val="auto"/>
                      <w:kern w:val="0"/>
                      <w:sz w:val="21"/>
                      <w:szCs w:val="21"/>
                      <w:highlight w:val="none"/>
                    </w:rPr>
                  </w:pPr>
                </w:p>
              </w:tc>
              <w:tc>
                <w:tcPr>
                  <w:tcW w:w="686" w:type="dxa"/>
                  <w:tcBorders>
                    <w:top w:val="single" w:color="auto" w:sz="4" w:space="0"/>
                    <w:bottom w:val="single" w:color="auto" w:sz="4" w:space="0"/>
                    <w:tl2br w:val="nil"/>
                    <w:tr2bl w:val="nil"/>
                  </w:tcBorders>
                  <w:noWrap w:val="0"/>
                  <w:vAlign w:val="center"/>
                </w:tcPr>
                <w:p w14:paraId="131F54FF">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w:t>
                  </w:r>
                </w:p>
              </w:tc>
              <w:tc>
                <w:tcPr>
                  <w:tcW w:w="739" w:type="dxa"/>
                  <w:tcBorders>
                    <w:top w:val="single" w:color="auto" w:sz="4" w:space="0"/>
                    <w:bottom w:val="single" w:color="auto" w:sz="4" w:space="0"/>
                    <w:tl2br w:val="nil"/>
                    <w:tr2bl w:val="nil"/>
                  </w:tcBorders>
                  <w:noWrap w:val="0"/>
                  <w:vAlign w:val="center"/>
                </w:tcPr>
                <w:p w14:paraId="4849F536">
                  <w:pPr>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78</w:t>
                  </w:r>
                </w:p>
              </w:tc>
              <w:tc>
                <w:tcPr>
                  <w:tcW w:w="932" w:type="dxa"/>
                  <w:tcBorders>
                    <w:top w:val="single" w:color="auto" w:sz="4" w:space="0"/>
                    <w:bottom w:val="single" w:color="auto" w:sz="4" w:space="0"/>
                    <w:tl2br w:val="nil"/>
                    <w:tr2bl w:val="nil"/>
                  </w:tcBorders>
                  <w:noWrap w:val="0"/>
                  <w:vAlign w:val="center"/>
                </w:tcPr>
                <w:p w14:paraId="6E19AF94">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u w:val="none"/>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37.2</w:t>
                  </w:r>
                </w:p>
              </w:tc>
              <w:tc>
                <w:tcPr>
                  <w:tcW w:w="695" w:type="dxa"/>
                  <w:vMerge w:val="continue"/>
                  <w:tcBorders>
                    <w:bottom w:val="single" w:color="auto" w:sz="4" w:space="0"/>
                    <w:tl2br w:val="nil"/>
                    <w:tr2bl w:val="nil"/>
                  </w:tcBorders>
                  <w:noWrap w:val="0"/>
                  <w:vAlign w:val="center"/>
                </w:tcPr>
                <w:p w14:paraId="6F097B7E">
                  <w:pPr>
                    <w:widowControl/>
                    <w:jc w:val="center"/>
                    <w:rPr>
                      <w:rFonts w:hint="default" w:ascii="Times New Roman" w:hAnsi="Times New Roman" w:eastAsia="等线" w:cs="Times New Roman"/>
                      <w:color w:val="auto"/>
                      <w:sz w:val="21"/>
                      <w:szCs w:val="21"/>
                      <w:highlight w:val="none"/>
                    </w:rPr>
                  </w:pPr>
                </w:p>
              </w:tc>
              <w:tc>
                <w:tcPr>
                  <w:tcW w:w="889" w:type="dxa"/>
                  <w:vMerge w:val="continue"/>
                  <w:tcBorders>
                    <w:bottom w:val="single" w:color="auto" w:sz="4" w:space="0"/>
                    <w:tl2br w:val="nil"/>
                    <w:tr2bl w:val="nil"/>
                  </w:tcBorders>
                  <w:noWrap w:val="0"/>
                  <w:vAlign w:val="center"/>
                </w:tcPr>
                <w:p w14:paraId="7492C1EC">
                  <w:pPr>
                    <w:widowControl/>
                    <w:jc w:val="center"/>
                    <w:rPr>
                      <w:rFonts w:hint="default" w:ascii="Times New Roman" w:hAnsi="Times New Roman" w:eastAsia="等线" w:cs="Times New Roman"/>
                      <w:color w:val="auto"/>
                      <w:sz w:val="21"/>
                      <w:szCs w:val="21"/>
                      <w:highlight w:val="none"/>
                      <w:lang w:val="en-US" w:eastAsia="zh-CN"/>
                    </w:rPr>
                  </w:pPr>
                </w:p>
              </w:tc>
              <w:tc>
                <w:tcPr>
                  <w:tcW w:w="932" w:type="dxa"/>
                  <w:tcBorders>
                    <w:top w:val="single" w:color="auto" w:sz="4" w:space="0"/>
                    <w:bottom w:val="single" w:color="auto" w:sz="4" w:space="0"/>
                    <w:tl2br w:val="nil"/>
                    <w:tr2bl w:val="nil"/>
                  </w:tcBorders>
                  <w:noWrap/>
                  <w:vAlign w:val="center"/>
                </w:tcPr>
                <w:p w14:paraId="2D647CD4">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2"/>
                      <w:szCs w:val="22"/>
                      <w:u w:val="none"/>
                      <w:lang w:val="en-US" w:eastAsia="zh-CN" w:bidi="ar"/>
                    </w:rPr>
                  </w:pPr>
                  <w:r>
                    <w:rPr>
                      <w:rFonts w:hint="default" w:ascii="Times New Roman" w:hAnsi="Times New Roman" w:eastAsia="等线" w:cs="Times New Roman"/>
                      <w:i w:val="0"/>
                      <w:iCs w:val="0"/>
                      <w:color w:val="auto"/>
                      <w:kern w:val="0"/>
                      <w:sz w:val="22"/>
                      <w:szCs w:val="22"/>
                      <w:u w:val="none"/>
                      <w:lang w:val="en-US" w:eastAsia="zh-CN" w:bidi="ar"/>
                    </w:rPr>
                    <w:t xml:space="preserve">16.2 </w:t>
                  </w:r>
                </w:p>
              </w:tc>
              <w:tc>
                <w:tcPr>
                  <w:tcW w:w="1073" w:type="dxa"/>
                  <w:vMerge w:val="continue"/>
                  <w:tcBorders>
                    <w:bottom w:val="single" w:color="auto" w:sz="4" w:space="0"/>
                    <w:tl2br w:val="nil"/>
                    <w:tr2bl w:val="nil"/>
                  </w:tcBorders>
                  <w:noWrap w:val="0"/>
                  <w:vAlign w:val="center"/>
                </w:tcPr>
                <w:p w14:paraId="2D44059E">
                  <w:pPr>
                    <w:widowControl/>
                    <w:jc w:val="center"/>
                    <w:rPr>
                      <w:rFonts w:hint="default" w:ascii="Times New Roman" w:hAnsi="Times New Roman" w:eastAsia="宋体" w:cs="Times New Roman"/>
                      <w:color w:val="auto"/>
                      <w:kern w:val="0"/>
                      <w:sz w:val="21"/>
                      <w:szCs w:val="21"/>
                      <w:highlight w:val="none"/>
                    </w:rPr>
                  </w:pPr>
                </w:p>
              </w:tc>
            </w:tr>
            <w:tr w14:paraId="66B6CF0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58" w:hRule="atLeast"/>
                <w:jc w:val="center"/>
              </w:trPr>
              <w:tc>
                <w:tcPr>
                  <w:tcW w:w="12817" w:type="dxa"/>
                  <w:gridSpan w:val="15"/>
                  <w:tcBorders>
                    <w:tl2br w:val="nil"/>
                    <w:tr2bl w:val="nil"/>
                  </w:tcBorders>
                  <w:noWrap/>
                  <w:vAlign w:val="center"/>
                </w:tcPr>
                <w:p w14:paraId="4242CC7E">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b/>
                      <w:bCs/>
                      <w:color w:val="auto"/>
                      <w:kern w:val="0"/>
                      <w:sz w:val="21"/>
                      <w:szCs w:val="21"/>
                    </w:rPr>
                  </w:pPr>
                  <w:r>
                    <w:rPr>
                      <w:b/>
                      <w:bCs/>
                      <w:color w:val="auto"/>
                      <w:kern w:val="0"/>
                      <w:szCs w:val="21"/>
                    </w:rPr>
                    <w:t>注：</w:t>
                  </w:r>
                  <w:r>
                    <w:rPr>
                      <w:rFonts w:hint="default" w:ascii="Times New Roman" w:hAnsi="Times New Roman" w:eastAsia="宋体" w:cs="Times New Roman"/>
                      <w:b/>
                      <w:bCs/>
                      <w:color w:val="auto"/>
                      <w:kern w:val="0"/>
                      <w:sz w:val="18"/>
                      <w:szCs w:val="18"/>
                      <w:highlight w:val="none"/>
                      <w:lang w:val="en-US" w:eastAsia="zh-CN"/>
                    </w:rPr>
                    <w:t>空间相对位置原点为厂房</w:t>
                  </w:r>
                  <w:r>
                    <w:rPr>
                      <w:rFonts w:hint="eastAsia" w:ascii="Times New Roman" w:hAnsi="Times New Roman" w:eastAsia="宋体" w:cs="Times New Roman"/>
                      <w:b/>
                      <w:bCs/>
                      <w:color w:val="auto"/>
                      <w:kern w:val="0"/>
                      <w:sz w:val="18"/>
                      <w:szCs w:val="18"/>
                      <w:highlight w:val="none"/>
                      <w:lang w:val="en-US" w:eastAsia="zh-CN"/>
                    </w:rPr>
                    <w:t>2F西</w:t>
                  </w:r>
                  <w:r>
                    <w:rPr>
                      <w:rFonts w:hint="eastAsia" w:cs="Times New Roman"/>
                      <w:b/>
                      <w:bCs/>
                      <w:color w:val="auto"/>
                      <w:kern w:val="0"/>
                      <w:sz w:val="18"/>
                      <w:szCs w:val="18"/>
                      <w:highlight w:val="none"/>
                      <w:lang w:val="en-US" w:eastAsia="zh-CN"/>
                    </w:rPr>
                    <w:t>南</w:t>
                  </w:r>
                  <w:r>
                    <w:rPr>
                      <w:rFonts w:hint="default" w:ascii="Times New Roman" w:hAnsi="Times New Roman" w:eastAsia="宋体" w:cs="Times New Roman"/>
                      <w:b/>
                      <w:bCs/>
                      <w:color w:val="auto"/>
                      <w:kern w:val="0"/>
                      <w:sz w:val="18"/>
                      <w:szCs w:val="18"/>
                      <w:highlight w:val="none"/>
                      <w:lang w:val="en-US" w:eastAsia="zh-CN"/>
                    </w:rPr>
                    <w:t>角（0，0，0）：东</w:t>
                  </w:r>
                  <w:r>
                    <w:rPr>
                      <w:rFonts w:hint="eastAsia" w:cs="Times New Roman"/>
                      <w:b/>
                      <w:bCs/>
                      <w:color w:val="auto"/>
                      <w:kern w:val="0"/>
                      <w:sz w:val="18"/>
                      <w:szCs w:val="18"/>
                      <w:highlight w:val="none"/>
                      <w:lang w:val="en-US" w:eastAsia="zh-CN"/>
                    </w:rPr>
                    <w:t>北</w:t>
                  </w:r>
                  <w:r>
                    <w:rPr>
                      <w:rFonts w:hint="default" w:ascii="Times New Roman" w:hAnsi="Times New Roman" w:eastAsia="宋体" w:cs="Times New Roman"/>
                      <w:b/>
                      <w:bCs/>
                      <w:color w:val="auto"/>
                      <w:kern w:val="0"/>
                      <w:sz w:val="18"/>
                      <w:szCs w:val="18"/>
                      <w:highlight w:val="none"/>
                      <w:lang w:val="en-US" w:eastAsia="zh-CN"/>
                    </w:rPr>
                    <w:t>向为X轴正方向，</w:t>
                  </w:r>
                  <w:r>
                    <w:rPr>
                      <w:rFonts w:hint="eastAsia" w:cs="Times New Roman"/>
                      <w:b/>
                      <w:bCs/>
                      <w:color w:val="auto"/>
                      <w:kern w:val="0"/>
                      <w:sz w:val="18"/>
                      <w:szCs w:val="18"/>
                      <w:highlight w:val="none"/>
                      <w:lang w:val="en-US" w:eastAsia="zh-CN"/>
                    </w:rPr>
                    <w:t>东南</w:t>
                  </w:r>
                  <w:r>
                    <w:rPr>
                      <w:rFonts w:hint="default" w:ascii="Times New Roman" w:hAnsi="Times New Roman" w:eastAsia="宋体" w:cs="Times New Roman"/>
                      <w:b/>
                      <w:bCs/>
                      <w:color w:val="auto"/>
                      <w:kern w:val="0"/>
                      <w:sz w:val="18"/>
                      <w:szCs w:val="18"/>
                      <w:highlight w:val="none"/>
                      <w:lang w:val="en-US" w:eastAsia="zh-CN"/>
                    </w:rPr>
                    <w:t>向为Y轴正方向</w:t>
                  </w:r>
                  <w:r>
                    <w:rPr>
                      <w:b/>
                      <w:bCs/>
                      <w:color w:val="auto"/>
                      <w:kern w:val="0"/>
                      <w:szCs w:val="21"/>
                    </w:rPr>
                    <w:t>；</w:t>
                  </w:r>
                </w:p>
                <w:p w14:paraId="6A0C511F">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b/>
                      <w:bCs/>
                      <w:color w:val="auto"/>
                      <w:kern w:val="0"/>
                      <w:sz w:val="18"/>
                      <w:szCs w:val="18"/>
                    </w:rPr>
                    <w:t>表中声压级均为叠加结果，设备数量型号详见设备清单，设备位置详见平面布置图。</w:t>
                  </w:r>
                </w:p>
              </w:tc>
            </w:tr>
          </w:tbl>
          <w:p w14:paraId="0A8173C7">
            <w:pPr>
              <w:spacing w:line="420" w:lineRule="exact"/>
              <w:ind w:firstLine="480" w:firstLineChars="200"/>
              <w:rPr>
                <w:bCs/>
                <w:color w:val="auto"/>
                <w:sz w:val="24"/>
              </w:rPr>
            </w:pPr>
          </w:p>
        </w:tc>
      </w:tr>
    </w:tbl>
    <w:p w14:paraId="0486C67C">
      <w:pPr>
        <w:pStyle w:val="59"/>
        <w:ind w:firstLine="0" w:firstLineChars="0"/>
        <w:rPr>
          <w:snapToGrid w:val="0"/>
          <w:color w:val="auto"/>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25"/>
        <w:tblW w:w="91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9062"/>
      </w:tblGrid>
      <w:tr w14:paraId="55DA10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66" w:type="dxa"/>
            <w:tcMar>
              <w:left w:w="28" w:type="dxa"/>
              <w:right w:w="28" w:type="dxa"/>
            </w:tcMar>
            <w:vAlign w:val="center"/>
          </w:tcPr>
          <w:p w14:paraId="267B4DE2">
            <w:pPr>
              <w:adjustRightInd w:val="0"/>
              <w:snapToGrid w:val="0"/>
              <w:jc w:val="center"/>
              <w:rPr>
                <w:bCs/>
                <w:color w:val="auto"/>
                <w:szCs w:val="21"/>
              </w:rPr>
            </w:pPr>
            <w:r>
              <w:rPr>
                <w:bCs/>
                <w:color w:val="auto"/>
                <w:szCs w:val="21"/>
              </w:rPr>
              <w:t>运营</w:t>
            </w:r>
          </w:p>
          <w:p w14:paraId="68144D2C">
            <w:pPr>
              <w:adjustRightInd w:val="0"/>
              <w:snapToGrid w:val="0"/>
              <w:jc w:val="center"/>
              <w:rPr>
                <w:bCs/>
                <w:color w:val="auto"/>
                <w:szCs w:val="21"/>
              </w:rPr>
            </w:pPr>
            <w:r>
              <w:rPr>
                <w:bCs/>
                <w:color w:val="auto"/>
                <w:szCs w:val="21"/>
              </w:rPr>
              <w:t>期环</w:t>
            </w:r>
          </w:p>
          <w:p w14:paraId="12D5D393">
            <w:pPr>
              <w:adjustRightInd w:val="0"/>
              <w:snapToGrid w:val="0"/>
              <w:jc w:val="center"/>
              <w:rPr>
                <w:bCs/>
                <w:color w:val="auto"/>
                <w:szCs w:val="21"/>
              </w:rPr>
            </w:pPr>
            <w:r>
              <w:rPr>
                <w:bCs/>
                <w:color w:val="auto"/>
                <w:szCs w:val="21"/>
              </w:rPr>
              <w:t>境影</w:t>
            </w:r>
          </w:p>
          <w:p w14:paraId="0660EA75">
            <w:pPr>
              <w:adjustRightInd w:val="0"/>
              <w:snapToGrid w:val="0"/>
              <w:jc w:val="center"/>
              <w:rPr>
                <w:bCs/>
                <w:color w:val="auto"/>
                <w:szCs w:val="21"/>
              </w:rPr>
            </w:pPr>
            <w:r>
              <w:rPr>
                <w:bCs/>
                <w:color w:val="auto"/>
                <w:szCs w:val="21"/>
              </w:rPr>
              <w:t>响和</w:t>
            </w:r>
          </w:p>
          <w:p w14:paraId="282E1CB7">
            <w:pPr>
              <w:adjustRightInd w:val="0"/>
              <w:snapToGrid w:val="0"/>
              <w:jc w:val="center"/>
              <w:rPr>
                <w:bCs/>
                <w:color w:val="auto"/>
                <w:szCs w:val="21"/>
              </w:rPr>
            </w:pPr>
            <w:r>
              <w:rPr>
                <w:bCs/>
                <w:color w:val="auto"/>
                <w:szCs w:val="21"/>
              </w:rPr>
              <w:t>保护</w:t>
            </w:r>
          </w:p>
          <w:p w14:paraId="01357486">
            <w:pPr>
              <w:adjustRightInd w:val="0"/>
              <w:snapToGrid w:val="0"/>
              <w:jc w:val="center"/>
              <w:rPr>
                <w:bCs/>
                <w:color w:val="auto"/>
                <w:szCs w:val="21"/>
              </w:rPr>
            </w:pPr>
            <w:r>
              <w:rPr>
                <w:bCs/>
                <w:color w:val="auto"/>
                <w:szCs w:val="21"/>
              </w:rPr>
              <w:t>措施</w:t>
            </w:r>
          </w:p>
        </w:tc>
        <w:tc>
          <w:tcPr>
            <w:tcW w:w="8925" w:type="dxa"/>
            <w:vAlign w:val="center"/>
          </w:tcPr>
          <w:p w14:paraId="10DFA4E0">
            <w:pPr>
              <w:spacing w:line="360" w:lineRule="auto"/>
              <w:ind w:firstLine="482" w:firstLineChars="200"/>
              <w:rPr>
                <w:b/>
                <w:color w:val="auto"/>
                <w:sz w:val="24"/>
              </w:rPr>
            </w:pPr>
            <w:r>
              <w:rPr>
                <w:rFonts w:hint="eastAsia"/>
                <w:b/>
                <w:color w:val="auto"/>
                <w:sz w:val="24"/>
              </w:rPr>
              <w:t>治理措施：</w:t>
            </w:r>
          </w:p>
          <w:p w14:paraId="0EEC0DEB">
            <w:pPr>
              <w:spacing w:line="360" w:lineRule="auto"/>
              <w:ind w:firstLine="480" w:firstLineChars="200"/>
              <w:rPr>
                <w:bCs/>
                <w:color w:val="auto"/>
                <w:sz w:val="24"/>
              </w:rPr>
            </w:pPr>
            <w:r>
              <w:rPr>
                <w:bCs/>
                <w:color w:val="auto"/>
                <w:sz w:val="24"/>
              </w:rPr>
              <w:t>为有效降低设备噪声，确保厂界噪声达到《工业企业厂界环境噪声排放标准》（GB12348-2008）中3 类标准，环评要求建设单位须采取如减缓措施：</w:t>
            </w:r>
          </w:p>
          <w:p w14:paraId="03A75CCC">
            <w:pPr>
              <w:spacing w:line="360" w:lineRule="auto"/>
              <w:ind w:firstLine="480" w:firstLineChars="200"/>
              <w:rPr>
                <w:bCs/>
                <w:color w:val="auto"/>
                <w:sz w:val="24"/>
              </w:rPr>
            </w:pPr>
            <w:r>
              <w:rPr>
                <w:bCs/>
                <w:color w:val="auto"/>
                <w:sz w:val="24"/>
              </w:rPr>
              <w:t>a.</w:t>
            </w:r>
            <w:r>
              <w:rPr>
                <w:color w:val="auto"/>
                <w:sz w:val="24"/>
              </w:rPr>
              <w:t xml:space="preserve"> </w:t>
            </w:r>
            <w:r>
              <w:rPr>
                <w:bCs/>
                <w:color w:val="auto"/>
                <w:sz w:val="24"/>
              </w:rPr>
              <w:t>设备选型上选用先进的、噪音低、震动小的生产设备，</w:t>
            </w:r>
            <w:r>
              <w:rPr>
                <w:color w:val="auto"/>
                <w:sz w:val="24"/>
              </w:rPr>
              <w:t>为高噪声设备加装减振垫，进行柔性</w:t>
            </w:r>
            <w:r>
              <w:rPr>
                <w:rFonts w:hint="eastAsia"/>
                <w:color w:val="auto"/>
                <w:sz w:val="24"/>
                <w:lang w:val="en-US" w:eastAsia="zh-CN"/>
              </w:rPr>
              <w:t>连接</w:t>
            </w:r>
            <w:r>
              <w:rPr>
                <w:color w:val="auto"/>
                <w:sz w:val="24"/>
              </w:rPr>
              <w:t>，以减小其振动影响</w:t>
            </w:r>
            <w:r>
              <w:rPr>
                <w:bCs/>
                <w:color w:val="auto"/>
                <w:sz w:val="24"/>
              </w:rPr>
              <w:t>；</w:t>
            </w:r>
            <w:r>
              <w:rPr>
                <w:rFonts w:hint="eastAsia"/>
                <w:bCs/>
                <w:color w:val="auto"/>
                <w:sz w:val="24"/>
              </w:rPr>
              <w:t>空压机设置在车间内，加装</w:t>
            </w:r>
            <w:r>
              <w:rPr>
                <w:color w:val="auto"/>
                <w:sz w:val="24"/>
              </w:rPr>
              <w:t>减振垫</w:t>
            </w:r>
            <w:r>
              <w:rPr>
                <w:rFonts w:hint="eastAsia"/>
                <w:color w:val="auto"/>
                <w:sz w:val="24"/>
              </w:rPr>
              <w:t>，合理利用车间隔声、距离衰减。</w:t>
            </w:r>
          </w:p>
          <w:p w14:paraId="2EBCDACB">
            <w:pPr>
              <w:spacing w:line="360" w:lineRule="auto"/>
              <w:ind w:firstLine="480" w:firstLineChars="200"/>
              <w:rPr>
                <w:bCs/>
                <w:color w:val="auto"/>
                <w:sz w:val="24"/>
              </w:rPr>
            </w:pPr>
            <w:r>
              <w:rPr>
                <w:bCs/>
                <w:color w:val="auto"/>
                <w:sz w:val="24"/>
              </w:rPr>
              <w:t>b. 合理布置产噪设备，将高噪声、使用频率高的设备集中摆放，置于厂房内合理位置，以有效利用噪声距离衰减作用；</w:t>
            </w:r>
          </w:p>
          <w:p w14:paraId="5A219D6C">
            <w:pPr>
              <w:spacing w:line="360" w:lineRule="auto"/>
              <w:ind w:firstLine="480" w:firstLineChars="200"/>
              <w:rPr>
                <w:bCs/>
                <w:color w:val="auto"/>
                <w:sz w:val="24"/>
              </w:rPr>
            </w:pPr>
            <w:r>
              <w:rPr>
                <w:bCs/>
                <w:color w:val="auto"/>
                <w:sz w:val="24"/>
              </w:rPr>
              <w:t>c. 加强对设备的维修保养，减少设备异常发生的噪声。</w:t>
            </w:r>
          </w:p>
          <w:p w14:paraId="76B3F5E9">
            <w:pPr>
              <w:spacing w:line="360" w:lineRule="auto"/>
              <w:ind w:firstLine="480" w:firstLineChars="200"/>
              <w:rPr>
                <w:bCs/>
                <w:color w:val="auto"/>
                <w:sz w:val="24"/>
              </w:rPr>
            </w:pPr>
            <w:r>
              <w:rPr>
                <w:bCs/>
                <w:color w:val="auto"/>
                <w:sz w:val="24"/>
              </w:rPr>
              <w:t xml:space="preserve">d. </w:t>
            </w:r>
            <w:r>
              <w:rPr>
                <w:rFonts w:hint="eastAsia"/>
                <w:bCs/>
                <w:color w:val="auto"/>
                <w:sz w:val="24"/>
              </w:rPr>
              <w:t>针对风机等室外运行设备，</w:t>
            </w:r>
            <w:r>
              <w:rPr>
                <w:bCs/>
                <w:color w:val="auto"/>
                <w:sz w:val="24"/>
              </w:rPr>
              <w:t>评价要求安装</w:t>
            </w:r>
            <w:r>
              <w:rPr>
                <w:rFonts w:hint="eastAsia"/>
                <w:bCs/>
                <w:color w:val="auto"/>
                <w:sz w:val="24"/>
              </w:rPr>
              <w:t>隔声</w:t>
            </w:r>
            <w:r>
              <w:rPr>
                <w:bCs/>
                <w:color w:val="auto"/>
                <w:sz w:val="24"/>
              </w:rPr>
              <w:t>罩，使风机四周处于密闭空间，风机安装时进出口与排气管道连接处采用柔性连接</w:t>
            </w:r>
            <w:r>
              <w:rPr>
                <w:rFonts w:hint="eastAsia"/>
                <w:bCs/>
                <w:color w:val="auto"/>
                <w:sz w:val="24"/>
              </w:rPr>
              <w:t>，设备底座安装减震垫</w:t>
            </w:r>
            <w:r>
              <w:rPr>
                <w:bCs/>
                <w:color w:val="auto"/>
                <w:sz w:val="24"/>
              </w:rPr>
              <w:t>。</w:t>
            </w:r>
          </w:p>
          <w:p w14:paraId="7CFEB053">
            <w:pPr>
              <w:widowControl/>
              <w:spacing w:line="360" w:lineRule="auto"/>
              <w:ind w:firstLine="480" w:firstLineChars="200"/>
              <w:jc w:val="left"/>
              <w:rPr>
                <w:bCs/>
                <w:color w:val="auto"/>
                <w:sz w:val="24"/>
              </w:rPr>
            </w:pPr>
            <w:r>
              <w:rPr>
                <w:rFonts w:hint="eastAsia"/>
                <w:bCs/>
                <w:color w:val="auto"/>
                <w:sz w:val="24"/>
              </w:rPr>
              <w:t>e．本项目夜间不生产。</w:t>
            </w:r>
          </w:p>
          <w:p w14:paraId="36F94831">
            <w:pPr>
              <w:widowControl/>
              <w:spacing w:line="360" w:lineRule="auto"/>
              <w:ind w:firstLine="482" w:firstLineChars="200"/>
              <w:jc w:val="left"/>
              <w:rPr>
                <w:b/>
                <w:color w:val="auto"/>
                <w:sz w:val="24"/>
              </w:rPr>
            </w:pPr>
            <w:r>
              <w:rPr>
                <w:rFonts w:hint="eastAsia"/>
                <w:b/>
                <w:color w:val="auto"/>
                <w:sz w:val="24"/>
              </w:rPr>
              <w:t>（</w:t>
            </w:r>
            <w:r>
              <w:rPr>
                <w:b/>
                <w:color w:val="auto"/>
                <w:sz w:val="24"/>
              </w:rPr>
              <w:t>2</w:t>
            </w:r>
            <w:r>
              <w:rPr>
                <w:rFonts w:hint="eastAsia"/>
                <w:b/>
                <w:color w:val="auto"/>
                <w:sz w:val="24"/>
              </w:rPr>
              <w:t>）预测模型</w:t>
            </w:r>
          </w:p>
          <w:p w14:paraId="567E58DF">
            <w:pPr>
              <w:widowControl/>
              <w:spacing w:line="360" w:lineRule="auto"/>
              <w:ind w:firstLine="480" w:firstLineChars="200"/>
              <w:jc w:val="left"/>
              <w:rPr>
                <w:color w:val="auto"/>
                <w:sz w:val="24"/>
              </w:rPr>
            </w:pPr>
            <w:r>
              <w:rPr>
                <w:rFonts w:hint="eastAsia"/>
                <w:color w:val="auto"/>
                <w:sz w:val="24"/>
              </w:rPr>
              <w:t>评价采用《环境影响评价技术导则 声环境》(HJ2.4-2021)中推荐的模式—工业噪声预测计算模式进行预测。</w:t>
            </w:r>
          </w:p>
          <w:p w14:paraId="38A8D3BF">
            <w:pPr>
              <w:widowControl/>
              <w:spacing w:line="360" w:lineRule="auto"/>
              <w:ind w:firstLine="480" w:firstLineChars="200"/>
              <w:jc w:val="left"/>
              <w:rPr>
                <w:color w:val="auto"/>
                <w:sz w:val="24"/>
              </w:rPr>
            </w:pPr>
            <w:r>
              <w:rPr>
                <w:rFonts w:hint="eastAsia"/>
                <w:color w:val="auto"/>
                <w:sz w:val="24"/>
              </w:rPr>
              <w:t>A、室内声源等效为室外声源的计算</w:t>
            </w:r>
          </w:p>
          <w:p w14:paraId="7490B861">
            <w:pPr>
              <w:spacing w:line="360" w:lineRule="auto"/>
              <w:ind w:firstLine="480" w:firstLineChars="200"/>
              <w:rPr>
                <w:color w:val="auto"/>
                <w:sz w:val="24"/>
              </w:rPr>
            </w:pPr>
            <w:r>
              <w:rPr>
                <w:rFonts w:hint="eastAsia" w:ascii="宋体" w:hAnsi="宋体" w:cs="宋体"/>
                <w:color w:val="auto"/>
                <w:sz w:val="24"/>
              </w:rPr>
              <w:t>①</w:t>
            </w:r>
            <w:r>
              <w:rPr>
                <w:color w:val="auto"/>
                <w:sz w:val="24"/>
              </w:rPr>
              <w:t>首先计算出某个室内靠近围护结构处的倍频带声压级</w:t>
            </w:r>
          </w:p>
          <w:p w14:paraId="7F5874D1">
            <w:pPr>
              <w:spacing w:line="360" w:lineRule="auto"/>
              <w:ind w:firstLine="420" w:firstLineChars="200"/>
              <w:rPr>
                <w:color w:val="auto"/>
                <w:sz w:val="24"/>
              </w:rPr>
            </w:pPr>
            <w:r>
              <w:rPr>
                <w:color w:val="auto"/>
              </w:rPr>
              <w:drawing>
                <wp:inline distT="0" distB="0" distL="0" distR="0">
                  <wp:extent cx="1575435" cy="474980"/>
                  <wp:effectExtent l="0" t="0" r="5715"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1"/>
                          <a:stretch>
                            <a:fillRect/>
                          </a:stretch>
                        </pic:blipFill>
                        <pic:spPr>
                          <a:xfrm>
                            <a:off x="0" y="0"/>
                            <a:ext cx="1591972" cy="479877"/>
                          </a:xfrm>
                          <a:prstGeom prst="rect">
                            <a:avLst/>
                          </a:prstGeom>
                        </pic:spPr>
                      </pic:pic>
                    </a:graphicData>
                  </a:graphic>
                </wp:inline>
              </w:drawing>
            </w:r>
          </w:p>
          <w:p w14:paraId="3EC63B6B">
            <w:pPr>
              <w:spacing w:line="360" w:lineRule="auto"/>
              <w:ind w:firstLine="480" w:firstLineChars="200"/>
              <w:rPr>
                <w:color w:val="auto"/>
                <w:sz w:val="24"/>
              </w:rPr>
            </w:pPr>
            <w:r>
              <w:rPr>
                <w:color w:val="auto"/>
                <w:sz w:val="24"/>
              </w:rPr>
              <w:t>式中：L</w:t>
            </w:r>
            <w:r>
              <w:rPr>
                <w:color w:val="auto"/>
                <w:sz w:val="24"/>
                <w:vertAlign w:val="subscript"/>
              </w:rPr>
              <w:t>P1</w:t>
            </w:r>
            <w:r>
              <w:rPr>
                <w:color w:val="auto"/>
                <w:sz w:val="24"/>
              </w:rPr>
              <w:t>——某个室内声源在靠近围护结构处产生的倍频带声压级；</w:t>
            </w:r>
          </w:p>
          <w:p w14:paraId="59560E84">
            <w:pPr>
              <w:spacing w:line="360" w:lineRule="auto"/>
              <w:ind w:firstLine="480" w:firstLineChars="200"/>
              <w:rPr>
                <w:color w:val="auto"/>
                <w:sz w:val="24"/>
              </w:rPr>
            </w:pPr>
            <w:r>
              <w:rPr>
                <w:color w:val="auto"/>
                <w:sz w:val="24"/>
              </w:rPr>
              <w:t>Lw——某个声源的倍频带声功率级，dB；</w:t>
            </w:r>
          </w:p>
          <w:p w14:paraId="3DF5E7F8">
            <w:pPr>
              <w:spacing w:line="360" w:lineRule="auto"/>
              <w:ind w:firstLine="480" w:firstLineChars="200"/>
              <w:rPr>
                <w:color w:val="auto"/>
                <w:sz w:val="24"/>
              </w:rPr>
            </w:pPr>
            <w:r>
              <w:rPr>
                <w:color w:val="auto"/>
                <w:sz w:val="24"/>
              </w:rPr>
              <w:t>r——某个声源靠近围护结构处的距离，m；</w:t>
            </w:r>
          </w:p>
          <w:p w14:paraId="164F29E0">
            <w:pPr>
              <w:spacing w:line="360" w:lineRule="auto"/>
              <w:ind w:firstLine="480" w:firstLineChars="200"/>
              <w:rPr>
                <w:color w:val="auto"/>
                <w:sz w:val="24"/>
              </w:rPr>
            </w:pPr>
            <w:r>
              <w:rPr>
                <w:color w:val="auto"/>
                <w:sz w:val="24"/>
              </w:rPr>
              <w:t>R——房间常数，R=Sα/（1-α），S 为房间内表面面积，m</w:t>
            </w:r>
            <w:r>
              <w:rPr>
                <w:color w:val="auto"/>
                <w:sz w:val="24"/>
                <w:vertAlign w:val="superscript"/>
              </w:rPr>
              <w:t>2</w:t>
            </w:r>
            <w:r>
              <w:rPr>
                <w:color w:val="auto"/>
                <w:sz w:val="24"/>
              </w:rPr>
              <w:t>；α 为平均吸声系数；</w:t>
            </w:r>
          </w:p>
          <w:p w14:paraId="43CB6205">
            <w:pPr>
              <w:spacing w:line="360" w:lineRule="auto"/>
              <w:ind w:firstLine="480" w:firstLineChars="200"/>
              <w:rPr>
                <w:color w:val="auto"/>
                <w:sz w:val="24"/>
              </w:rPr>
            </w:pPr>
            <w:r>
              <w:rPr>
                <w:color w:val="auto"/>
                <w:sz w:val="24"/>
              </w:rPr>
              <w:t>Q——指向性因子，通常对无指向性声源，当声源在房间中心时，Q=1；当在一面墙的中心时，Q=2；当在两面墙夹角处时，Q=4；当放在三面墙夹角处时，Q=8；</w:t>
            </w:r>
          </w:p>
          <w:p w14:paraId="562D285F">
            <w:pPr>
              <w:spacing w:line="360" w:lineRule="auto"/>
              <w:ind w:firstLine="480" w:firstLineChars="200"/>
              <w:rPr>
                <w:color w:val="auto"/>
                <w:sz w:val="24"/>
              </w:rPr>
            </w:pPr>
            <w:r>
              <w:rPr>
                <w:rFonts w:hint="eastAsia"/>
                <w:color w:val="auto"/>
                <w:sz w:val="24"/>
              </w:rPr>
              <w:t>②计算出所有室内声源在围护结构处产生的 i 倍频带叠加声压级</w:t>
            </w:r>
          </w:p>
          <w:p w14:paraId="722A0A12">
            <w:pPr>
              <w:spacing w:line="360" w:lineRule="auto"/>
              <w:ind w:firstLine="420" w:firstLineChars="200"/>
              <w:rPr>
                <w:color w:val="auto"/>
                <w:sz w:val="24"/>
              </w:rPr>
            </w:pPr>
            <w:r>
              <w:rPr>
                <w:color w:val="auto"/>
              </w:rPr>
              <w:drawing>
                <wp:inline distT="0" distB="0" distL="0" distR="0">
                  <wp:extent cx="1697990" cy="31813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2"/>
                          <a:stretch>
                            <a:fillRect/>
                          </a:stretch>
                        </pic:blipFill>
                        <pic:spPr>
                          <a:xfrm>
                            <a:off x="0" y="0"/>
                            <a:ext cx="1742305" cy="326474"/>
                          </a:xfrm>
                          <a:prstGeom prst="rect">
                            <a:avLst/>
                          </a:prstGeom>
                        </pic:spPr>
                      </pic:pic>
                    </a:graphicData>
                  </a:graphic>
                </wp:inline>
              </w:drawing>
            </w:r>
          </w:p>
          <w:p w14:paraId="545B534A">
            <w:pPr>
              <w:spacing w:line="360" w:lineRule="auto"/>
              <w:ind w:firstLine="480" w:firstLineChars="200"/>
              <w:rPr>
                <w:color w:val="auto"/>
                <w:sz w:val="24"/>
              </w:rPr>
            </w:pPr>
            <w:r>
              <w:rPr>
                <w:rFonts w:hint="eastAsia"/>
                <w:color w:val="auto"/>
                <w:sz w:val="24"/>
              </w:rPr>
              <w:t>式中：L</w:t>
            </w:r>
            <w:r>
              <w:rPr>
                <w:rFonts w:hint="eastAsia"/>
                <w:color w:val="auto"/>
                <w:sz w:val="24"/>
                <w:vertAlign w:val="subscript"/>
              </w:rPr>
              <w:t>P1ij</w:t>
            </w:r>
            <w:r>
              <w:rPr>
                <w:rFonts w:hint="eastAsia"/>
                <w:color w:val="auto"/>
                <w:sz w:val="24"/>
              </w:rPr>
              <w:t>——室内 j 声源 i倍频带的声压级，dB；</w:t>
            </w:r>
          </w:p>
          <w:p w14:paraId="00B551FB">
            <w:pPr>
              <w:spacing w:line="360" w:lineRule="auto"/>
              <w:ind w:firstLine="480" w:firstLineChars="200"/>
              <w:rPr>
                <w:color w:val="auto"/>
                <w:sz w:val="24"/>
              </w:rPr>
            </w:pPr>
            <w:r>
              <w:rPr>
                <w:rFonts w:hint="eastAsia"/>
                <w:color w:val="auto"/>
                <w:sz w:val="24"/>
              </w:rPr>
              <w:t>L</w:t>
            </w:r>
            <w:r>
              <w:rPr>
                <w:rFonts w:hint="eastAsia"/>
                <w:color w:val="auto"/>
                <w:sz w:val="24"/>
                <w:vertAlign w:val="subscript"/>
              </w:rPr>
              <w:t>P1i(T)</w:t>
            </w:r>
            <w:r>
              <w:rPr>
                <w:rFonts w:hint="eastAsia"/>
                <w:color w:val="auto"/>
                <w:sz w:val="24"/>
              </w:rPr>
              <w:t>——靠近围护结构处 N 个室内声源产生的 i倍频带的叠加声压级，dB；</w:t>
            </w:r>
          </w:p>
          <w:p w14:paraId="21BAAE8E">
            <w:pPr>
              <w:spacing w:line="360" w:lineRule="auto"/>
              <w:ind w:firstLine="480" w:firstLineChars="200"/>
              <w:rPr>
                <w:color w:val="auto"/>
                <w:sz w:val="24"/>
              </w:rPr>
            </w:pPr>
            <w:r>
              <w:rPr>
                <w:rFonts w:hint="eastAsia"/>
                <w:color w:val="auto"/>
                <w:sz w:val="24"/>
              </w:rPr>
              <w:t>N——室内声源总数；</w:t>
            </w:r>
          </w:p>
          <w:p w14:paraId="64D162C6">
            <w:pPr>
              <w:spacing w:line="360" w:lineRule="auto"/>
              <w:ind w:firstLine="480" w:firstLineChars="200"/>
              <w:rPr>
                <w:color w:val="auto"/>
                <w:sz w:val="24"/>
              </w:rPr>
            </w:pPr>
            <w:r>
              <w:rPr>
                <w:rFonts w:hint="eastAsia"/>
                <w:color w:val="auto"/>
                <w:sz w:val="24"/>
              </w:rPr>
              <w:t>③计算出室外靠近维护结构处的声压级</w:t>
            </w:r>
          </w:p>
          <w:p w14:paraId="4FE614C6">
            <w:pPr>
              <w:spacing w:line="360" w:lineRule="auto"/>
              <w:ind w:firstLine="420" w:firstLineChars="200"/>
              <w:rPr>
                <w:color w:val="auto"/>
                <w:sz w:val="24"/>
              </w:rPr>
            </w:pPr>
            <w:r>
              <w:rPr>
                <w:color w:val="auto"/>
              </w:rPr>
              <w:drawing>
                <wp:inline distT="0" distB="0" distL="0" distR="0">
                  <wp:extent cx="1668145" cy="356870"/>
                  <wp:effectExtent l="0" t="0" r="0" b="508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3"/>
                          <a:stretch>
                            <a:fillRect/>
                          </a:stretch>
                        </pic:blipFill>
                        <pic:spPr>
                          <a:xfrm>
                            <a:off x="0" y="0"/>
                            <a:ext cx="1745467" cy="373784"/>
                          </a:xfrm>
                          <a:prstGeom prst="rect">
                            <a:avLst/>
                          </a:prstGeom>
                        </pic:spPr>
                      </pic:pic>
                    </a:graphicData>
                  </a:graphic>
                </wp:inline>
              </w:drawing>
            </w:r>
          </w:p>
          <w:p w14:paraId="2AD2722A">
            <w:pPr>
              <w:spacing w:line="360" w:lineRule="auto"/>
              <w:ind w:firstLine="480" w:firstLineChars="200"/>
              <w:rPr>
                <w:color w:val="auto"/>
                <w:sz w:val="24"/>
              </w:rPr>
            </w:pPr>
            <w:r>
              <w:rPr>
                <w:rFonts w:hint="eastAsia"/>
                <w:color w:val="auto"/>
                <w:sz w:val="24"/>
              </w:rPr>
              <w:t>式中：T</w:t>
            </w:r>
            <w:r>
              <w:rPr>
                <w:rFonts w:hint="eastAsia"/>
                <w:color w:val="auto"/>
                <w:sz w:val="24"/>
                <w:vertAlign w:val="subscript"/>
              </w:rPr>
              <w:t>Li</w:t>
            </w:r>
            <w:r>
              <w:rPr>
                <w:rFonts w:hint="eastAsia"/>
                <w:color w:val="auto"/>
                <w:sz w:val="24"/>
              </w:rPr>
              <w:t>——维护结构 i倍频带的隔声量，dB；</w:t>
            </w:r>
          </w:p>
          <w:p w14:paraId="4DFA0851">
            <w:pPr>
              <w:spacing w:line="360" w:lineRule="auto"/>
              <w:ind w:firstLine="480" w:firstLineChars="200"/>
              <w:rPr>
                <w:color w:val="auto"/>
                <w:sz w:val="24"/>
              </w:rPr>
            </w:pPr>
            <w:r>
              <w:rPr>
                <w:rFonts w:hint="eastAsia"/>
                <w:color w:val="auto"/>
                <w:sz w:val="24"/>
              </w:rPr>
              <w:t>L</w:t>
            </w:r>
            <w:r>
              <w:rPr>
                <w:rFonts w:hint="eastAsia"/>
                <w:color w:val="auto"/>
                <w:sz w:val="24"/>
                <w:vertAlign w:val="subscript"/>
              </w:rPr>
              <w:t>P2i(T)</w:t>
            </w:r>
            <w:r>
              <w:rPr>
                <w:rFonts w:hint="eastAsia"/>
                <w:color w:val="auto"/>
                <w:sz w:val="24"/>
              </w:rPr>
              <w:t>——靠近围护结构处 N 个室外声源产生的 i倍频带的叠加声压级，dB；</w:t>
            </w:r>
          </w:p>
          <w:p w14:paraId="20E49188">
            <w:pPr>
              <w:spacing w:line="360" w:lineRule="auto"/>
              <w:ind w:firstLine="480" w:firstLineChars="200"/>
              <w:rPr>
                <w:color w:val="auto"/>
                <w:sz w:val="24"/>
              </w:rPr>
            </w:pPr>
            <w:r>
              <w:rPr>
                <w:rFonts w:hint="eastAsia"/>
                <w:color w:val="auto"/>
                <w:sz w:val="24"/>
              </w:rPr>
              <w:t>④将室外声源的声压级和透声面积换算成等效的室外声源，计算出中心位置位于透声面积（S）处的等效声源的倍频带声功率级</w:t>
            </w:r>
          </w:p>
          <w:p w14:paraId="18C7E422">
            <w:pPr>
              <w:spacing w:line="360" w:lineRule="auto"/>
              <w:ind w:firstLine="420" w:firstLineChars="200"/>
              <w:rPr>
                <w:color w:val="auto"/>
                <w:sz w:val="24"/>
              </w:rPr>
            </w:pPr>
            <w:r>
              <w:rPr>
                <w:color w:val="auto"/>
              </w:rPr>
              <w:drawing>
                <wp:inline distT="0" distB="0" distL="0" distR="0">
                  <wp:extent cx="1365250" cy="330200"/>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4"/>
                          <a:stretch>
                            <a:fillRect/>
                          </a:stretch>
                        </pic:blipFill>
                        <pic:spPr>
                          <a:xfrm>
                            <a:off x="0" y="0"/>
                            <a:ext cx="1414258" cy="342159"/>
                          </a:xfrm>
                          <a:prstGeom prst="rect">
                            <a:avLst/>
                          </a:prstGeom>
                        </pic:spPr>
                      </pic:pic>
                    </a:graphicData>
                  </a:graphic>
                </wp:inline>
              </w:drawing>
            </w:r>
          </w:p>
          <w:p w14:paraId="57216F89">
            <w:pPr>
              <w:spacing w:line="360" w:lineRule="auto"/>
              <w:ind w:firstLine="480" w:firstLineChars="200"/>
              <w:rPr>
                <w:color w:val="auto"/>
                <w:sz w:val="24"/>
              </w:rPr>
            </w:pPr>
            <w:r>
              <w:rPr>
                <w:rFonts w:hint="eastAsia"/>
                <w:color w:val="auto"/>
                <w:sz w:val="24"/>
              </w:rPr>
              <w:t>式中：S——透声面积，m</w:t>
            </w:r>
            <w:r>
              <w:rPr>
                <w:rFonts w:hint="eastAsia"/>
                <w:color w:val="auto"/>
                <w:sz w:val="24"/>
                <w:vertAlign w:val="superscript"/>
              </w:rPr>
              <w:t>2</w:t>
            </w:r>
            <w:r>
              <w:rPr>
                <w:rFonts w:hint="eastAsia"/>
                <w:color w:val="auto"/>
                <w:sz w:val="24"/>
              </w:rPr>
              <w:t>。</w:t>
            </w:r>
          </w:p>
          <w:p w14:paraId="56CF4DB9">
            <w:pPr>
              <w:spacing w:line="360" w:lineRule="auto"/>
              <w:ind w:firstLine="480" w:firstLineChars="200"/>
              <w:rPr>
                <w:color w:val="auto"/>
                <w:sz w:val="24"/>
              </w:rPr>
            </w:pPr>
            <w:r>
              <w:rPr>
                <w:rFonts w:hint="eastAsia"/>
                <w:color w:val="auto"/>
                <w:sz w:val="24"/>
              </w:rPr>
              <w:t>B、单个室外点声源在预测点产生的 A 声级的计算</w:t>
            </w:r>
          </w:p>
          <w:p w14:paraId="19733B76">
            <w:pPr>
              <w:spacing w:line="360" w:lineRule="auto"/>
              <w:ind w:firstLine="480" w:firstLineChars="200"/>
              <w:rPr>
                <w:color w:val="auto"/>
                <w:sz w:val="24"/>
              </w:rPr>
            </w:pPr>
            <w:r>
              <w:rPr>
                <w:rFonts w:hint="eastAsia"/>
                <w:color w:val="auto"/>
                <w:sz w:val="24"/>
              </w:rPr>
              <w:t>本次评价计算时不考虑地面效应引起的附加隔声量和空气吸收造成的衰减，只考虑几何发散衰减按下式计算：</w:t>
            </w:r>
          </w:p>
          <w:p w14:paraId="565FC5F0">
            <w:pPr>
              <w:spacing w:line="360" w:lineRule="auto"/>
              <w:ind w:firstLine="420" w:firstLineChars="200"/>
              <w:rPr>
                <w:color w:val="auto"/>
                <w:sz w:val="24"/>
              </w:rPr>
            </w:pPr>
            <w:r>
              <w:rPr>
                <w:color w:val="auto"/>
              </w:rPr>
              <w:drawing>
                <wp:inline distT="0" distB="0" distL="0" distR="0">
                  <wp:extent cx="1377315" cy="666115"/>
                  <wp:effectExtent l="0" t="0" r="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5"/>
                          <a:stretch>
                            <a:fillRect/>
                          </a:stretch>
                        </pic:blipFill>
                        <pic:spPr>
                          <a:xfrm>
                            <a:off x="0" y="0"/>
                            <a:ext cx="1407393" cy="681110"/>
                          </a:xfrm>
                          <a:prstGeom prst="rect">
                            <a:avLst/>
                          </a:prstGeom>
                        </pic:spPr>
                      </pic:pic>
                    </a:graphicData>
                  </a:graphic>
                </wp:inline>
              </w:drawing>
            </w:r>
          </w:p>
          <w:p w14:paraId="44303AF9">
            <w:pPr>
              <w:spacing w:line="360" w:lineRule="auto"/>
              <w:ind w:firstLine="480" w:firstLineChars="200"/>
              <w:rPr>
                <w:color w:val="auto"/>
                <w:sz w:val="24"/>
              </w:rPr>
            </w:pPr>
            <w:r>
              <w:rPr>
                <w:rFonts w:hint="eastAsia"/>
                <w:color w:val="auto"/>
                <w:sz w:val="24"/>
              </w:rPr>
              <w:t>式中：L</w:t>
            </w:r>
            <w:r>
              <w:rPr>
                <w:rFonts w:hint="eastAsia"/>
                <w:color w:val="auto"/>
                <w:sz w:val="24"/>
                <w:vertAlign w:val="subscript"/>
              </w:rPr>
              <w:t>A(r)</w:t>
            </w:r>
            <w:r>
              <w:rPr>
                <w:rFonts w:hint="eastAsia"/>
                <w:color w:val="auto"/>
                <w:sz w:val="24"/>
              </w:rPr>
              <w:t>——距声源 r 处的 A 声级，dB(A)；</w:t>
            </w:r>
          </w:p>
          <w:p w14:paraId="40DDBF01">
            <w:pPr>
              <w:spacing w:line="360" w:lineRule="auto"/>
              <w:ind w:firstLine="480" w:firstLineChars="200"/>
              <w:rPr>
                <w:color w:val="auto"/>
                <w:sz w:val="24"/>
              </w:rPr>
            </w:pPr>
            <w:r>
              <w:rPr>
                <w:rFonts w:hint="eastAsia"/>
                <w:color w:val="auto"/>
                <w:sz w:val="24"/>
              </w:rPr>
              <w:t>L</w:t>
            </w:r>
            <w:r>
              <w:rPr>
                <w:rFonts w:hint="eastAsia"/>
                <w:color w:val="auto"/>
                <w:sz w:val="24"/>
                <w:vertAlign w:val="subscript"/>
              </w:rPr>
              <w:t>A(r0)</w:t>
            </w:r>
            <w:r>
              <w:rPr>
                <w:rFonts w:hint="eastAsia"/>
                <w:color w:val="auto"/>
                <w:sz w:val="24"/>
              </w:rPr>
              <w:t>——参考位置 r</w:t>
            </w:r>
            <w:r>
              <w:rPr>
                <w:rFonts w:hint="eastAsia"/>
                <w:color w:val="auto"/>
                <w:sz w:val="24"/>
                <w:vertAlign w:val="subscript"/>
              </w:rPr>
              <w:t>0</w:t>
            </w:r>
            <w:r>
              <w:rPr>
                <w:rFonts w:hint="eastAsia"/>
                <w:color w:val="auto"/>
                <w:sz w:val="24"/>
              </w:rPr>
              <w:t xml:space="preserve"> 处的 A 声级，dB(A)；</w:t>
            </w:r>
          </w:p>
          <w:p w14:paraId="7DCDFD9C">
            <w:pPr>
              <w:spacing w:line="360" w:lineRule="auto"/>
              <w:ind w:firstLine="480" w:firstLineChars="200"/>
              <w:rPr>
                <w:color w:val="auto"/>
                <w:sz w:val="24"/>
              </w:rPr>
            </w:pPr>
            <w:r>
              <w:rPr>
                <w:rFonts w:hint="eastAsia"/>
                <w:color w:val="auto"/>
                <w:sz w:val="24"/>
              </w:rPr>
              <w:t>A</w:t>
            </w:r>
            <w:r>
              <w:rPr>
                <w:rFonts w:hint="eastAsia"/>
                <w:color w:val="auto"/>
                <w:sz w:val="24"/>
                <w:vertAlign w:val="subscript"/>
              </w:rPr>
              <w:t>div</w:t>
            </w:r>
            <w:r>
              <w:rPr>
                <w:rFonts w:hint="eastAsia"/>
                <w:color w:val="auto"/>
                <w:sz w:val="24"/>
              </w:rPr>
              <w:t>——几何发散引起的倍频带衰减，dB；</w:t>
            </w:r>
          </w:p>
          <w:p w14:paraId="42F1CD5E">
            <w:pPr>
              <w:spacing w:line="360" w:lineRule="auto"/>
              <w:ind w:firstLine="480" w:firstLineChars="200"/>
              <w:rPr>
                <w:color w:val="auto"/>
                <w:sz w:val="24"/>
              </w:rPr>
            </w:pPr>
            <w:r>
              <w:rPr>
                <w:rFonts w:hint="eastAsia"/>
                <w:color w:val="auto"/>
                <w:sz w:val="24"/>
              </w:rPr>
              <w:t>r</w:t>
            </w:r>
            <w:r>
              <w:rPr>
                <w:rFonts w:hint="eastAsia"/>
                <w:color w:val="auto"/>
                <w:sz w:val="24"/>
                <w:vertAlign w:val="subscript"/>
              </w:rPr>
              <w:t>0</w:t>
            </w:r>
            <w:r>
              <w:rPr>
                <w:rFonts w:hint="eastAsia"/>
                <w:color w:val="auto"/>
                <w:sz w:val="24"/>
              </w:rPr>
              <w:t>——参考位置距声源的距离，m；</w:t>
            </w:r>
          </w:p>
          <w:p w14:paraId="6A06CC7E">
            <w:pPr>
              <w:spacing w:line="360" w:lineRule="auto"/>
              <w:ind w:firstLine="480" w:firstLineChars="200"/>
              <w:rPr>
                <w:color w:val="auto"/>
                <w:sz w:val="24"/>
              </w:rPr>
            </w:pPr>
            <w:r>
              <w:rPr>
                <w:rFonts w:hint="eastAsia"/>
                <w:color w:val="auto"/>
                <w:sz w:val="24"/>
              </w:rPr>
              <w:t>r——预测点距声源的距离，m</w:t>
            </w:r>
          </w:p>
          <w:p w14:paraId="4C6E5592">
            <w:pPr>
              <w:spacing w:line="360" w:lineRule="auto"/>
              <w:ind w:firstLine="482" w:firstLineChars="200"/>
              <w:rPr>
                <w:b/>
                <w:bCs/>
                <w:color w:val="auto"/>
                <w:sz w:val="24"/>
              </w:rPr>
            </w:pPr>
            <w:r>
              <w:rPr>
                <w:rFonts w:hint="eastAsia"/>
                <w:b/>
                <w:bCs/>
                <w:color w:val="auto"/>
                <w:sz w:val="24"/>
              </w:rPr>
              <w:t>（3）声源在预测点处噪声贡献值的计算</w:t>
            </w:r>
          </w:p>
          <w:p w14:paraId="27054022">
            <w:pPr>
              <w:spacing w:line="360" w:lineRule="auto"/>
              <w:ind w:firstLine="480" w:firstLineChars="200"/>
              <w:rPr>
                <w:color w:val="auto"/>
                <w:sz w:val="24"/>
              </w:rPr>
            </w:pPr>
            <w:r>
              <w:rPr>
                <w:rFonts w:hint="eastAsia"/>
                <w:color w:val="auto"/>
                <w:sz w:val="24"/>
              </w:rPr>
              <w:t>各声源的噪声传播在同一点的贡献值按下式计算：</w:t>
            </w:r>
          </w:p>
          <w:p w14:paraId="0FC54862">
            <w:pPr>
              <w:spacing w:line="360" w:lineRule="auto"/>
              <w:ind w:firstLine="420" w:firstLineChars="200"/>
              <w:rPr>
                <w:color w:val="auto"/>
                <w:sz w:val="24"/>
              </w:rPr>
            </w:pPr>
            <w:r>
              <w:rPr>
                <w:color w:val="auto"/>
              </w:rPr>
              <w:drawing>
                <wp:inline distT="0" distB="0" distL="0" distR="0">
                  <wp:extent cx="1840230" cy="610870"/>
                  <wp:effectExtent l="0" t="0" r="762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6"/>
                          <a:stretch>
                            <a:fillRect/>
                          </a:stretch>
                        </pic:blipFill>
                        <pic:spPr>
                          <a:xfrm>
                            <a:off x="0" y="0"/>
                            <a:ext cx="1856672" cy="616415"/>
                          </a:xfrm>
                          <a:prstGeom prst="rect">
                            <a:avLst/>
                          </a:prstGeom>
                        </pic:spPr>
                      </pic:pic>
                    </a:graphicData>
                  </a:graphic>
                </wp:inline>
              </w:drawing>
            </w:r>
          </w:p>
          <w:p w14:paraId="29B69C33">
            <w:pPr>
              <w:spacing w:line="360" w:lineRule="auto"/>
              <w:ind w:firstLine="480" w:firstLineChars="200"/>
              <w:rPr>
                <w:color w:val="auto"/>
                <w:sz w:val="24"/>
              </w:rPr>
            </w:pPr>
            <w:r>
              <w:rPr>
                <w:rFonts w:hint="eastAsia"/>
                <w:color w:val="auto"/>
                <w:sz w:val="24"/>
              </w:rPr>
              <w:t>式中：Leqg ——噪声贡献值，dB；</w:t>
            </w:r>
          </w:p>
          <w:p w14:paraId="52975A8B">
            <w:pPr>
              <w:spacing w:line="360" w:lineRule="auto"/>
              <w:ind w:firstLine="480" w:firstLineChars="200"/>
              <w:rPr>
                <w:color w:val="auto"/>
                <w:sz w:val="24"/>
              </w:rPr>
            </w:pPr>
            <w:r>
              <w:rPr>
                <w:rFonts w:hint="eastAsia"/>
                <w:color w:val="auto"/>
                <w:sz w:val="24"/>
              </w:rPr>
              <w:t>T——预测计算的时间段，s；</w:t>
            </w:r>
          </w:p>
          <w:p w14:paraId="3CBF1C79">
            <w:pPr>
              <w:spacing w:line="360" w:lineRule="auto"/>
              <w:ind w:firstLine="480" w:firstLineChars="200"/>
              <w:rPr>
                <w:color w:val="auto"/>
                <w:sz w:val="24"/>
              </w:rPr>
            </w:pPr>
            <w:r>
              <w:rPr>
                <w:rFonts w:hint="eastAsia"/>
                <w:color w:val="auto"/>
                <w:sz w:val="24"/>
              </w:rPr>
              <w:t>ti—— i声源在 T 时段内的运行时间，s；</w:t>
            </w:r>
          </w:p>
          <w:p w14:paraId="301FA439">
            <w:pPr>
              <w:spacing w:line="360" w:lineRule="auto"/>
              <w:ind w:firstLine="480" w:firstLineChars="200"/>
              <w:rPr>
                <w:color w:val="auto"/>
                <w:sz w:val="24"/>
              </w:rPr>
            </w:pPr>
            <w:r>
              <w:rPr>
                <w:rFonts w:hint="eastAsia"/>
                <w:color w:val="auto"/>
                <w:sz w:val="24"/>
              </w:rPr>
              <w:t>LAi——i声源在预测点产生的等效连续 A 声级，dB。</w:t>
            </w:r>
          </w:p>
          <w:p w14:paraId="378AA84E">
            <w:pPr>
              <w:spacing w:line="360" w:lineRule="auto"/>
              <w:ind w:firstLine="482" w:firstLineChars="200"/>
              <w:rPr>
                <w:color w:val="auto"/>
                <w:sz w:val="24"/>
              </w:rPr>
            </w:pPr>
            <w:r>
              <w:rPr>
                <w:rFonts w:hint="eastAsia"/>
                <w:b/>
                <w:color w:val="auto"/>
                <w:sz w:val="24"/>
              </w:rPr>
              <w:t>（</w:t>
            </w:r>
            <w:r>
              <w:rPr>
                <w:b/>
                <w:color w:val="auto"/>
                <w:sz w:val="24"/>
              </w:rPr>
              <w:t>4</w:t>
            </w:r>
            <w:r>
              <w:rPr>
                <w:rFonts w:hint="eastAsia"/>
                <w:b/>
                <w:color w:val="auto"/>
                <w:sz w:val="24"/>
              </w:rPr>
              <w:t>）预测点处噪声预测值的计算</w:t>
            </w:r>
          </w:p>
          <w:p w14:paraId="14AC26DD">
            <w:pPr>
              <w:spacing w:line="360" w:lineRule="auto"/>
              <w:ind w:firstLine="480" w:firstLineChars="200"/>
              <w:rPr>
                <w:color w:val="auto"/>
                <w:sz w:val="24"/>
              </w:rPr>
            </w:pPr>
            <w:r>
              <w:rPr>
                <w:rFonts w:hint="eastAsia"/>
                <w:color w:val="auto"/>
                <w:sz w:val="24"/>
              </w:rPr>
              <w:t>预测点的贡献值和背景值按能量叠加方法计算得到的叠加声级按下式计算：</w:t>
            </w:r>
          </w:p>
          <w:p w14:paraId="05F1AFB8">
            <w:pPr>
              <w:spacing w:line="360" w:lineRule="auto"/>
              <w:ind w:firstLine="420" w:firstLineChars="200"/>
              <w:rPr>
                <w:color w:val="auto"/>
                <w:sz w:val="24"/>
              </w:rPr>
            </w:pPr>
            <w:r>
              <w:rPr>
                <w:color w:val="auto"/>
              </w:rPr>
              <w:drawing>
                <wp:inline distT="0" distB="0" distL="0" distR="0">
                  <wp:extent cx="2181860" cy="3676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7"/>
                          <a:stretch>
                            <a:fillRect/>
                          </a:stretch>
                        </pic:blipFill>
                        <pic:spPr>
                          <a:xfrm>
                            <a:off x="0" y="0"/>
                            <a:ext cx="2272035" cy="383348"/>
                          </a:xfrm>
                          <a:prstGeom prst="rect">
                            <a:avLst/>
                          </a:prstGeom>
                        </pic:spPr>
                      </pic:pic>
                    </a:graphicData>
                  </a:graphic>
                </wp:inline>
              </w:drawing>
            </w:r>
          </w:p>
          <w:p w14:paraId="5790BFF1">
            <w:pPr>
              <w:spacing w:line="360" w:lineRule="auto"/>
              <w:ind w:firstLine="480" w:firstLineChars="200"/>
              <w:rPr>
                <w:color w:val="auto"/>
                <w:sz w:val="24"/>
              </w:rPr>
            </w:pPr>
            <w:r>
              <w:rPr>
                <w:rFonts w:hint="eastAsia"/>
                <w:color w:val="auto"/>
                <w:sz w:val="24"/>
              </w:rPr>
              <w:t>式中：Leq ——预测点的噪声预测值，dB；</w:t>
            </w:r>
          </w:p>
          <w:p w14:paraId="6EACA8A3">
            <w:pPr>
              <w:spacing w:line="360" w:lineRule="auto"/>
              <w:ind w:firstLine="480" w:firstLineChars="200"/>
              <w:rPr>
                <w:color w:val="auto"/>
                <w:sz w:val="24"/>
              </w:rPr>
            </w:pPr>
            <w:r>
              <w:rPr>
                <w:rFonts w:hint="eastAsia"/>
                <w:color w:val="auto"/>
                <w:sz w:val="24"/>
              </w:rPr>
              <w:t>Leqg——建设项目声源在预测点产生的噪声贡献值，dB；</w:t>
            </w:r>
          </w:p>
          <w:p w14:paraId="1544547A">
            <w:pPr>
              <w:spacing w:line="360" w:lineRule="auto"/>
              <w:ind w:firstLine="480" w:firstLineChars="200"/>
              <w:rPr>
                <w:color w:val="auto"/>
                <w:spacing w:val="-2"/>
                <w:sz w:val="24"/>
              </w:rPr>
            </w:pPr>
            <w:r>
              <w:rPr>
                <w:rFonts w:hint="eastAsia"/>
                <w:color w:val="auto"/>
                <w:sz w:val="24"/>
              </w:rPr>
              <w:t>Leqb——预测点的背景噪声值，dB。</w:t>
            </w:r>
          </w:p>
          <w:p w14:paraId="759E8160">
            <w:pPr>
              <w:widowControl/>
              <w:spacing w:line="360" w:lineRule="auto"/>
              <w:ind w:firstLine="482" w:firstLineChars="200"/>
              <w:jc w:val="left"/>
              <w:rPr>
                <w:b/>
                <w:color w:val="auto"/>
                <w:sz w:val="24"/>
              </w:rPr>
            </w:pPr>
            <w:r>
              <w:rPr>
                <w:rFonts w:hint="eastAsia"/>
                <w:b/>
                <w:color w:val="auto"/>
                <w:sz w:val="24"/>
              </w:rPr>
              <w:t>（</w:t>
            </w:r>
            <w:r>
              <w:rPr>
                <w:b/>
                <w:color w:val="auto"/>
                <w:sz w:val="24"/>
              </w:rPr>
              <w:t>3</w:t>
            </w:r>
            <w:r>
              <w:rPr>
                <w:rFonts w:hint="eastAsia"/>
                <w:b/>
                <w:color w:val="auto"/>
                <w:sz w:val="24"/>
              </w:rPr>
              <w:t>）达标分析</w:t>
            </w:r>
          </w:p>
          <w:p w14:paraId="67B91613">
            <w:pPr>
              <w:autoSpaceDE w:val="0"/>
              <w:autoSpaceDN w:val="0"/>
              <w:adjustRightInd w:val="0"/>
              <w:spacing w:line="360" w:lineRule="auto"/>
              <w:ind w:firstLine="480" w:firstLineChars="200"/>
              <w:rPr>
                <w:color w:val="auto"/>
                <w:kern w:val="0"/>
                <w:sz w:val="24"/>
                <w:highlight w:val="yellow"/>
              </w:rPr>
            </w:pPr>
            <w:r>
              <w:rPr>
                <w:color w:val="auto"/>
                <w:sz w:val="24"/>
              </w:rPr>
              <w:t>根据外环境关系可知，项目周边50m范围内无敏感点</w:t>
            </w:r>
            <w:r>
              <w:rPr>
                <w:rFonts w:hint="eastAsia"/>
                <w:color w:val="auto"/>
                <w:sz w:val="24"/>
              </w:rPr>
              <w:t>，本项目夜间不生产</w:t>
            </w:r>
            <w:r>
              <w:rPr>
                <w:color w:val="auto"/>
                <w:sz w:val="24"/>
              </w:rPr>
              <w:t>。本项目参照</w:t>
            </w:r>
            <w:r>
              <w:rPr>
                <w:color w:val="auto"/>
                <w:sz w:val="24"/>
                <w:highlight w:val="none"/>
              </w:rPr>
              <w:t>《环境影响评价技术导则 声环境》（HJ2.4-2021）的技术要求，采用附录B.1工业噪声预测计算模型，对厂界处噪声进行预测，声环境影响预测结果如下：</w:t>
            </w:r>
          </w:p>
          <w:p w14:paraId="7D2C708B">
            <w:pPr>
              <w:jc w:val="center"/>
              <w:rPr>
                <w:b/>
                <w:color w:val="auto"/>
                <w:szCs w:val="21"/>
                <w:highlight w:val="none"/>
              </w:rPr>
            </w:pPr>
            <w:r>
              <w:rPr>
                <w:b/>
                <w:color w:val="auto"/>
                <w:szCs w:val="21"/>
                <w:highlight w:val="none"/>
              </w:rPr>
              <w:t>表4-</w:t>
            </w:r>
            <w:r>
              <w:rPr>
                <w:rFonts w:hint="eastAsia"/>
                <w:b/>
                <w:color w:val="auto"/>
                <w:szCs w:val="21"/>
                <w:highlight w:val="none"/>
                <w:lang w:val="en-US" w:eastAsia="zh-CN"/>
              </w:rPr>
              <w:t>23</w:t>
            </w:r>
            <w:r>
              <w:rPr>
                <w:b/>
                <w:color w:val="auto"/>
                <w:szCs w:val="21"/>
                <w:highlight w:val="none"/>
              </w:rPr>
              <w:t xml:space="preserve">  项目建成投产后厂界噪声预测结果     单位：dB（A）</w:t>
            </w:r>
          </w:p>
          <w:tbl>
            <w:tblPr>
              <w:tblStyle w:val="25"/>
              <w:tblW w:w="884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595"/>
              <w:gridCol w:w="2074"/>
              <w:gridCol w:w="1713"/>
              <w:gridCol w:w="1587"/>
              <w:gridCol w:w="1036"/>
            </w:tblGrid>
            <w:tr w14:paraId="44BC6D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841" w:type="dxa"/>
                  <w:vMerge w:val="restart"/>
                  <w:tcBorders>
                    <w:tl2br w:val="nil"/>
                    <w:tr2bl w:val="nil"/>
                  </w:tcBorders>
                  <w:vAlign w:val="center"/>
                </w:tcPr>
                <w:p w14:paraId="52D1F750">
                  <w:pPr>
                    <w:widowControl/>
                    <w:jc w:val="center"/>
                    <w:rPr>
                      <w:b/>
                      <w:bCs/>
                      <w:color w:val="auto"/>
                      <w:szCs w:val="21"/>
                      <w:highlight w:val="none"/>
                    </w:rPr>
                  </w:pPr>
                  <w:r>
                    <w:rPr>
                      <w:b/>
                      <w:bCs/>
                      <w:color w:val="auto"/>
                      <w:szCs w:val="21"/>
                      <w:highlight w:val="none"/>
                    </w:rPr>
                    <w:t>编号</w:t>
                  </w:r>
                </w:p>
              </w:tc>
              <w:tc>
                <w:tcPr>
                  <w:tcW w:w="1595" w:type="dxa"/>
                  <w:vMerge w:val="restart"/>
                  <w:tcBorders>
                    <w:tl2br w:val="nil"/>
                    <w:tr2bl w:val="nil"/>
                  </w:tcBorders>
                  <w:vAlign w:val="center"/>
                </w:tcPr>
                <w:p w14:paraId="69B5A1BC">
                  <w:pPr>
                    <w:snapToGrid w:val="0"/>
                    <w:ind w:left="-105" w:leftChars="-50" w:right="-105" w:rightChars="-50"/>
                    <w:jc w:val="center"/>
                    <w:rPr>
                      <w:b/>
                      <w:bCs/>
                      <w:color w:val="auto"/>
                      <w:szCs w:val="21"/>
                      <w:highlight w:val="none"/>
                    </w:rPr>
                  </w:pPr>
                  <w:r>
                    <w:rPr>
                      <w:b/>
                      <w:bCs/>
                      <w:color w:val="auto"/>
                      <w:szCs w:val="21"/>
                      <w:highlight w:val="none"/>
                    </w:rPr>
                    <w:t>预测点位置</w:t>
                  </w:r>
                </w:p>
              </w:tc>
              <w:tc>
                <w:tcPr>
                  <w:tcW w:w="2074" w:type="dxa"/>
                  <w:tcBorders>
                    <w:tl2br w:val="nil"/>
                    <w:tr2bl w:val="nil"/>
                  </w:tcBorders>
                  <w:vAlign w:val="center"/>
                </w:tcPr>
                <w:p w14:paraId="25D148B6">
                  <w:pPr>
                    <w:snapToGrid w:val="0"/>
                    <w:ind w:left="-105" w:leftChars="-50" w:right="-105" w:rightChars="-50"/>
                    <w:jc w:val="center"/>
                    <w:rPr>
                      <w:b/>
                      <w:bCs/>
                      <w:color w:val="auto"/>
                      <w:szCs w:val="21"/>
                      <w:highlight w:val="none"/>
                    </w:rPr>
                  </w:pPr>
                  <w:r>
                    <w:rPr>
                      <w:rFonts w:hint="eastAsia"/>
                      <w:b/>
                      <w:bCs/>
                      <w:color w:val="auto"/>
                      <w:szCs w:val="21"/>
                      <w:highlight w:val="none"/>
                    </w:rPr>
                    <w:t>本项目噪声</w:t>
                  </w:r>
                  <w:r>
                    <w:rPr>
                      <w:rFonts w:hint="eastAsia"/>
                      <w:b/>
                      <w:bCs/>
                      <w:color w:val="auto"/>
                      <w:szCs w:val="21"/>
                      <w:highlight w:val="none"/>
                      <w:lang w:val="en-US" w:eastAsia="zh-CN"/>
                    </w:rPr>
                    <w:t>贡献值</w:t>
                  </w:r>
                  <w:r>
                    <w:rPr>
                      <w:b/>
                      <w:bCs/>
                      <w:color w:val="auto"/>
                      <w:szCs w:val="21"/>
                      <w:highlight w:val="none"/>
                    </w:rPr>
                    <w:t>L</w:t>
                  </w:r>
                  <w:r>
                    <w:rPr>
                      <w:b/>
                      <w:bCs/>
                      <w:color w:val="auto"/>
                      <w:szCs w:val="21"/>
                      <w:highlight w:val="none"/>
                      <w:vertAlign w:val="subscript"/>
                    </w:rPr>
                    <w:t>max</w:t>
                  </w:r>
                </w:p>
              </w:tc>
              <w:tc>
                <w:tcPr>
                  <w:tcW w:w="1713" w:type="dxa"/>
                  <w:tcBorders>
                    <w:tl2br w:val="nil"/>
                    <w:tr2bl w:val="nil"/>
                  </w:tcBorders>
                  <w:vAlign w:val="center"/>
                </w:tcPr>
                <w:p w14:paraId="686F4CB8">
                  <w:pPr>
                    <w:snapToGrid w:val="0"/>
                    <w:ind w:left="-105" w:leftChars="-50" w:right="-105" w:rightChars="-50"/>
                    <w:jc w:val="center"/>
                    <w:rPr>
                      <w:rFonts w:hint="default" w:eastAsia="宋体"/>
                      <w:b/>
                      <w:bCs/>
                      <w:color w:val="auto"/>
                      <w:szCs w:val="21"/>
                      <w:lang w:val="en-US" w:eastAsia="zh-CN"/>
                    </w:rPr>
                  </w:pPr>
                  <w:r>
                    <w:rPr>
                      <w:rFonts w:hint="eastAsia"/>
                      <w:b/>
                      <w:bCs/>
                      <w:color w:val="auto"/>
                      <w:szCs w:val="21"/>
                      <w:lang w:val="en-US" w:eastAsia="zh-CN"/>
                    </w:rPr>
                    <w:t>现有工程噪声背景值</w:t>
                  </w:r>
                  <w:r>
                    <w:rPr>
                      <w:b/>
                      <w:bCs/>
                      <w:color w:val="auto"/>
                      <w:szCs w:val="21"/>
                    </w:rPr>
                    <w:t>L</w:t>
                  </w:r>
                  <w:r>
                    <w:rPr>
                      <w:b/>
                      <w:bCs/>
                      <w:color w:val="auto"/>
                      <w:szCs w:val="21"/>
                      <w:vertAlign w:val="subscript"/>
                    </w:rPr>
                    <w:t>max</w:t>
                  </w:r>
                </w:p>
              </w:tc>
              <w:tc>
                <w:tcPr>
                  <w:tcW w:w="1587" w:type="dxa"/>
                  <w:tcBorders>
                    <w:tl2br w:val="nil"/>
                    <w:tr2bl w:val="nil"/>
                  </w:tcBorders>
                  <w:vAlign w:val="center"/>
                </w:tcPr>
                <w:p w14:paraId="279B0BF6">
                  <w:pPr>
                    <w:snapToGrid w:val="0"/>
                    <w:ind w:left="-105" w:leftChars="-50" w:right="-105" w:rightChars="-50"/>
                    <w:jc w:val="center"/>
                    <w:rPr>
                      <w:rFonts w:hint="default" w:eastAsia="宋体"/>
                      <w:b/>
                      <w:bCs/>
                      <w:color w:val="auto"/>
                      <w:szCs w:val="21"/>
                      <w:lang w:val="en-US" w:eastAsia="zh-CN"/>
                    </w:rPr>
                  </w:pPr>
                  <w:r>
                    <w:rPr>
                      <w:rFonts w:hint="eastAsia"/>
                      <w:b/>
                      <w:bCs/>
                      <w:color w:val="auto"/>
                      <w:szCs w:val="21"/>
                      <w:lang w:val="en-US" w:eastAsia="zh-CN"/>
                    </w:rPr>
                    <w:t>本项目建成后全厂噪声预测值</w:t>
                  </w:r>
                </w:p>
              </w:tc>
              <w:tc>
                <w:tcPr>
                  <w:tcW w:w="1036" w:type="dxa"/>
                  <w:tcBorders>
                    <w:tl2br w:val="nil"/>
                    <w:tr2bl w:val="nil"/>
                  </w:tcBorders>
                  <w:vAlign w:val="center"/>
                </w:tcPr>
                <w:p w14:paraId="28EC0922">
                  <w:pPr>
                    <w:snapToGrid w:val="0"/>
                    <w:ind w:left="-105" w:leftChars="-50" w:right="-105" w:rightChars="-50"/>
                    <w:jc w:val="center"/>
                    <w:rPr>
                      <w:b/>
                      <w:bCs/>
                      <w:color w:val="auto"/>
                      <w:szCs w:val="21"/>
                    </w:rPr>
                  </w:pPr>
                  <w:r>
                    <w:rPr>
                      <w:b/>
                      <w:bCs/>
                      <w:color w:val="auto"/>
                      <w:szCs w:val="21"/>
                    </w:rPr>
                    <w:t>评价结果</w:t>
                  </w:r>
                </w:p>
              </w:tc>
            </w:tr>
            <w:tr w14:paraId="7EF96B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Borders>
                    <w:tl2br w:val="nil"/>
                    <w:tr2bl w:val="nil"/>
                  </w:tcBorders>
                  <w:vAlign w:val="center"/>
                </w:tcPr>
                <w:p w14:paraId="6B9D4D74">
                  <w:pPr>
                    <w:widowControl/>
                    <w:jc w:val="center"/>
                    <w:rPr>
                      <w:b/>
                      <w:bCs/>
                      <w:color w:val="auto"/>
                      <w:szCs w:val="21"/>
                      <w:highlight w:val="none"/>
                    </w:rPr>
                  </w:pPr>
                </w:p>
              </w:tc>
              <w:tc>
                <w:tcPr>
                  <w:tcW w:w="1595" w:type="dxa"/>
                  <w:vMerge w:val="continue"/>
                  <w:tcBorders>
                    <w:tl2br w:val="nil"/>
                    <w:tr2bl w:val="nil"/>
                  </w:tcBorders>
                  <w:vAlign w:val="center"/>
                </w:tcPr>
                <w:p w14:paraId="7731D190">
                  <w:pPr>
                    <w:snapToGrid w:val="0"/>
                    <w:ind w:left="-105" w:leftChars="-50" w:right="-105" w:rightChars="-50"/>
                    <w:jc w:val="center"/>
                    <w:rPr>
                      <w:b/>
                      <w:bCs/>
                      <w:color w:val="auto"/>
                      <w:szCs w:val="21"/>
                      <w:highlight w:val="none"/>
                    </w:rPr>
                  </w:pPr>
                </w:p>
              </w:tc>
              <w:tc>
                <w:tcPr>
                  <w:tcW w:w="2074" w:type="dxa"/>
                  <w:tcBorders>
                    <w:tl2br w:val="nil"/>
                    <w:tr2bl w:val="nil"/>
                  </w:tcBorders>
                  <w:vAlign w:val="center"/>
                </w:tcPr>
                <w:p w14:paraId="6127B814">
                  <w:pPr>
                    <w:snapToGrid w:val="0"/>
                    <w:ind w:left="-105" w:leftChars="-50" w:right="-105" w:rightChars="-50"/>
                    <w:jc w:val="center"/>
                    <w:rPr>
                      <w:b/>
                      <w:bCs/>
                      <w:color w:val="auto"/>
                      <w:szCs w:val="21"/>
                      <w:highlight w:val="none"/>
                    </w:rPr>
                  </w:pPr>
                  <w:r>
                    <w:rPr>
                      <w:rFonts w:hint="eastAsia"/>
                      <w:b/>
                      <w:bCs/>
                      <w:color w:val="auto"/>
                      <w:szCs w:val="21"/>
                      <w:highlight w:val="none"/>
                    </w:rPr>
                    <w:t>昼间</w:t>
                  </w:r>
                </w:p>
              </w:tc>
              <w:tc>
                <w:tcPr>
                  <w:tcW w:w="1713" w:type="dxa"/>
                  <w:tcBorders>
                    <w:tl2br w:val="nil"/>
                    <w:tr2bl w:val="nil"/>
                  </w:tcBorders>
                  <w:vAlign w:val="center"/>
                </w:tcPr>
                <w:p w14:paraId="4367EDE6">
                  <w:pPr>
                    <w:snapToGrid w:val="0"/>
                    <w:ind w:left="-105" w:leftChars="-50" w:right="-105" w:rightChars="-50"/>
                    <w:jc w:val="center"/>
                    <w:rPr>
                      <w:b/>
                      <w:bCs/>
                      <w:color w:val="auto"/>
                      <w:szCs w:val="21"/>
                    </w:rPr>
                  </w:pPr>
                  <w:r>
                    <w:rPr>
                      <w:rFonts w:hint="eastAsia"/>
                      <w:b/>
                      <w:bCs/>
                      <w:color w:val="auto"/>
                      <w:szCs w:val="21"/>
                    </w:rPr>
                    <w:t>昼间</w:t>
                  </w:r>
                </w:p>
              </w:tc>
              <w:tc>
                <w:tcPr>
                  <w:tcW w:w="1587" w:type="dxa"/>
                  <w:tcBorders>
                    <w:tl2br w:val="nil"/>
                    <w:tr2bl w:val="nil"/>
                  </w:tcBorders>
                  <w:vAlign w:val="center"/>
                </w:tcPr>
                <w:p w14:paraId="1EAC9D80">
                  <w:pPr>
                    <w:snapToGrid w:val="0"/>
                    <w:ind w:left="-105" w:leftChars="-50" w:right="-105" w:rightChars="-50"/>
                    <w:jc w:val="center"/>
                    <w:rPr>
                      <w:b/>
                      <w:bCs/>
                      <w:color w:val="auto"/>
                      <w:szCs w:val="21"/>
                    </w:rPr>
                  </w:pPr>
                  <w:r>
                    <w:rPr>
                      <w:rFonts w:hint="eastAsia"/>
                      <w:b/>
                      <w:bCs/>
                      <w:color w:val="auto"/>
                      <w:szCs w:val="21"/>
                    </w:rPr>
                    <w:t>昼间</w:t>
                  </w:r>
                </w:p>
              </w:tc>
              <w:tc>
                <w:tcPr>
                  <w:tcW w:w="1036" w:type="dxa"/>
                  <w:tcBorders>
                    <w:tl2br w:val="nil"/>
                    <w:tr2bl w:val="nil"/>
                  </w:tcBorders>
                  <w:vAlign w:val="center"/>
                </w:tcPr>
                <w:p w14:paraId="41787F78">
                  <w:pPr>
                    <w:snapToGrid w:val="0"/>
                    <w:ind w:left="-105" w:leftChars="-50" w:right="-105" w:rightChars="-50"/>
                    <w:jc w:val="center"/>
                    <w:rPr>
                      <w:b/>
                      <w:bCs/>
                      <w:color w:val="auto"/>
                      <w:szCs w:val="21"/>
                    </w:rPr>
                  </w:pPr>
                  <w:r>
                    <w:rPr>
                      <w:b/>
                      <w:bCs/>
                      <w:color w:val="auto"/>
                      <w:szCs w:val="21"/>
                    </w:rPr>
                    <w:t>昼间</w:t>
                  </w:r>
                </w:p>
              </w:tc>
            </w:tr>
            <w:tr w14:paraId="7E44AD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tcBorders>
                    <w:tl2br w:val="nil"/>
                    <w:tr2bl w:val="nil"/>
                  </w:tcBorders>
                  <w:vAlign w:val="center"/>
                </w:tcPr>
                <w:p w14:paraId="4798878C">
                  <w:pPr>
                    <w:widowControl/>
                    <w:jc w:val="center"/>
                    <w:rPr>
                      <w:color w:val="auto"/>
                      <w:szCs w:val="21"/>
                      <w:highlight w:val="none"/>
                    </w:rPr>
                  </w:pPr>
                  <w:r>
                    <w:rPr>
                      <w:color w:val="auto"/>
                      <w:szCs w:val="21"/>
                      <w:highlight w:val="none"/>
                    </w:rPr>
                    <w:t>1</w:t>
                  </w:r>
                </w:p>
              </w:tc>
              <w:tc>
                <w:tcPr>
                  <w:tcW w:w="1595" w:type="dxa"/>
                  <w:tcBorders>
                    <w:tl2br w:val="nil"/>
                    <w:tr2bl w:val="nil"/>
                  </w:tcBorders>
                  <w:vAlign w:val="center"/>
                </w:tcPr>
                <w:p w14:paraId="2AF4FE9D">
                  <w:pPr>
                    <w:snapToGrid w:val="0"/>
                    <w:ind w:left="-105" w:leftChars="-50" w:right="-105" w:rightChars="-50"/>
                    <w:jc w:val="center"/>
                    <w:rPr>
                      <w:bCs/>
                      <w:color w:val="auto"/>
                      <w:szCs w:val="21"/>
                      <w:highlight w:val="none"/>
                    </w:rPr>
                  </w:pPr>
                  <w:r>
                    <w:rPr>
                      <w:rFonts w:hint="eastAsia"/>
                      <w:bCs/>
                      <w:color w:val="auto"/>
                      <w:szCs w:val="21"/>
                      <w:highlight w:val="none"/>
                    </w:rPr>
                    <w:t>东</w:t>
                  </w:r>
                  <w:r>
                    <w:rPr>
                      <w:bCs/>
                      <w:color w:val="auto"/>
                      <w:szCs w:val="21"/>
                      <w:highlight w:val="none"/>
                    </w:rPr>
                    <w:t>厂界外1m</w:t>
                  </w:r>
                </w:p>
              </w:tc>
              <w:tc>
                <w:tcPr>
                  <w:tcW w:w="2074" w:type="dxa"/>
                  <w:tcBorders>
                    <w:tl2br w:val="nil"/>
                    <w:tr2bl w:val="nil"/>
                  </w:tcBorders>
                  <w:vAlign w:val="center"/>
                </w:tcPr>
                <w:p w14:paraId="21756714">
                  <w:pPr>
                    <w:snapToGrid w:val="0"/>
                    <w:ind w:left="-105" w:leftChars="-50" w:right="-105" w:rightChars="-50"/>
                    <w:jc w:val="center"/>
                    <w:rPr>
                      <w:rFonts w:hint="default" w:eastAsia="宋体"/>
                      <w:bCs/>
                      <w:color w:val="auto"/>
                      <w:szCs w:val="21"/>
                      <w:highlight w:val="none"/>
                      <w:lang w:val="en-US" w:eastAsia="zh-CN"/>
                    </w:rPr>
                  </w:pPr>
                  <w:r>
                    <w:rPr>
                      <w:rFonts w:hint="eastAsia"/>
                      <w:bCs/>
                      <w:color w:val="auto"/>
                      <w:szCs w:val="21"/>
                      <w:highlight w:val="none"/>
                      <w:lang w:val="en-US" w:eastAsia="zh-CN"/>
                    </w:rPr>
                    <w:t>21.0</w:t>
                  </w:r>
                </w:p>
              </w:tc>
              <w:tc>
                <w:tcPr>
                  <w:tcW w:w="1713" w:type="dxa"/>
                  <w:tcBorders>
                    <w:tl2br w:val="nil"/>
                    <w:tr2bl w:val="nil"/>
                  </w:tcBorders>
                  <w:vAlign w:val="center"/>
                </w:tcPr>
                <w:p w14:paraId="2BFD7C34">
                  <w:pPr>
                    <w:snapToGrid w:val="0"/>
                    <w:ind w:left="-105" w:leftChars="-50" w:right="-105" w:rightChars="-50"/>
                    <w:jc w:val="center"/>
                    <w:rPr>
                      <w:rFonts w:hint="default" w:eastAsia="宋体"/>
                      <w:bCs/>
                      <w:color w:val="auto"/>
                      <w:szCs w:val="21"/>
                      <w:lang w:val="en-US" w:eastAsia="zh-CN"/>
                    </w:rPr>
                  </w:pPr>
                  <w:r>
                    <w:rPr>
                      <w:rFonts w:hint="eastAsia" w:eastAsia="宋体"/>
                      <w:bCs/>
                      <w:color w:val="auto"/>
                      <w:szCs w:val="21"/>
                      <w:lang w:val="en-US" w:eastAsia="zh-CN"/>
                    </w:rPr>
                    <w:t>58.3</w:t>
                  </w:r>
                </w:p>
              </w:tc>
              <w:tc>
                <w:tcPr>
                  <w:tcW w:w="1587" w:type="dxa"/>
                  <w:tcBorders>
                    <w:tl2br w:val="nil"/>
                    <w:tr2bl w:val="nil"/>
                  </w:tcBorders>
                  <w:vAlign w:val="center"/>
                </w:tcPr>
                <w:p w14:paraId="65D8BDB2">
                  <w:pPr>
                    <w:snapToGrid w:val="0"/>
                    <w:ind w:left="-105" w:leftChars="-50" w:right="-105" w:rightChars="-5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 xml:space="preserve">58.6 </w:t>
                  </w:r>
                </w:p>
              </w:tc>
              <w:tc>
                <w:tcPr>
                  <w:tcW w:w="1036" w:type="dxa"/>
                  <w:tcBorders>
                    <w:tl2br w:val="nil"/>
                    <w:tr2bl w:val="nil"/>
                  </w:tcBorders>
                  <w:vAlign w:val="center"/>
                </w:tcPr>
                <w:p w14:paraId="72A37058">
                  <w:pPr>
                    <w:snapToGrid w:val="0"/>
                    <w:ind w:left="-105" w:leftChars="-50" w:right="-105" w:rightChars="-50"/>
                    <w:jc w:val="center"/>
                    <w:rPr>
                      <w:bCs/>
                      <w:color w:val="auto"/>
                      <w:szCs w:val="21"/>
                    </w:rPr>
                  </w:pPr>
                  <w:r>
                    <w:rPr>
                      <w:bCs/>
                      <w:color w:val="auto"/>
                      <w:szCs w:val="21"/>
                    </w:rPr>
                    <w:t>达标</w:t>
                  </w:r>
                </w:p>
              </w:tc>
            </w:tr>
            <w:tr w14:paraId="68322C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tcBorders>
                    <w:tl2br w:val="nil"/>
                    <w:tr2bl w:val="nil"/>
                  </w:tcBorders>
                  <w:vAlign w:val="center"/>
                </w:tcPr>
                <w:p w14:paraId="119F33BC">
                  <w:pPr>
                    <w:widowControl/>
                    <w:jc w:val="center"/>
                    <w:rPr>
                      <w:color w:val="auto"/>
                      <w:szCs w:val="21"/>
                      <w:highlight w:val="none"/>
                    </w:rPr>
                  </w:pPr>
                  <w:r>
                    <w:rPr>
                      <w:color w:val="auto"/>
                      <w:szCs w:val="21"/>
                      <w:highlight w:val="none"/>
                    </w:rPr>
                    <w:t>2</w:t>
                  </w:r>
                </w:p>
              </w:tc>
              <w:tc>
                <w:tcPr>
                  <w:tcW w:w="1595" w:type="dxa"/>
                  <w:tcBorders>
                    <w:tl2br w:val="nil"/>
                    <w:tr2bl w:val="nil"/>
                  </w:tcBorders>
                  <w:vAlign w:val="center"/>
                </w:tcPr>
                <w:p w14:paraId="798F9688">
                  <w:pPr>
                    <w:snapToGrid w:val="0"/>
                    <w:ind w:left="-105" w:leftChars="-50" w:right="-105" w:rightChars="-50"/>
                    <w:jc w:val="center"/>
                    <w:rPr>
                      <w:bCs/>
                      <w:color w:val="auto"/>
                      <w:szCs w:val="21"/>
                      <w:highlight w:val="none"/>
                    </w:rPr>
                  </w:pPr>
                  <w:r>
                    <w:rPr>
                      <w:rFonts w:hint="eastAsia"/>
                      <w:bCs/>
                      <w:color w:val="auto"/>
                      <w:szCs w:val="21"/>
                      <w:highlight w:val="none"/>
                    </w:rPr>
                    <w:t>南</w:t>
                  </w:r>
                  <w:r>
                    <w:rPr>
                      <w:bCs/>
                      <w:color w:val="auto"/>
                      <w:szCs w:val="21"/>
                      <w:highlight w:val="none"/>
                    </w:rPr>
                    <w:t>厂界外1m</w:t>
                  </w:r>
                </w:p>
              </w:tc>
              <w:tc>
                <w:tcPr>
                  <w:tcW w:w="2074" w:type="dxa"/>
                  <w:tcBorders>
                    <w:tl2br w:val="nil"/>
                    <w:tr2bl w:val="nil"/>
                  </w:tcBorders>
                  <w:vAlign w:val="center"/>
                </w:tcPr>
                <w:p w14:paraId="415FDB86">
                  <w:pPr>
                    <w:snapToGrid w:val="0"/>
                    <w:ind w:left="-105" w:leftChars="-50" w:right="-105" w:rightChars="-50"/>
                    <w:jc w:val="center"/>
                    <w:rPr>
                      <w:rFonts w:hint="default" w:eastAsia="宋体"/>
                      <w:bCs/>
                      <w:color w:val="auto"/>
                      <w:szCs w:val="21"/>
                      <w:highlight w:val="none"/>
                      <w:lang w:val="en-US" w:eastAsia="zh-CN"/>
                    </w:rPr>
                  </w:pPr>
                  <w:r>
                    <w:rPr>
                      <w:rFonts w:hint="eastAsia"/>
                      <w:bCs/>
                      <w:color w:val="auto"/>
                      <w:szCs w:val="21"/>
                      <w:highlight w:val="none"/>
                      <w:lang w:val="en-US" w:eastAsia="zh-CN"/>
                    </w:rPr>
                    <w:t>36.9</w:t>
                  </w:r>
                </w:p>
              </w:tc>
              <w:tc>
                <w:tcPr>
                  <w:tcW w:w="1713" w:type="dxa"/>
                  <w:tcBorders>
                    <w:tl2br w:val="nil"/>
                    <w:tr2bl w:val="nil"/>
                  </w:tcBorders>
                  <w:vAlign w:val="center"/>
                </w:tcPr>
                <w:p w14:paraId="5ACF9541">
                  <w:pPr>
                    <w:snapToGrid w:val="0"/>
                    <w:ind w:left="-105" w:leftChars="-50" w:right="-105" w:rightChars="-50"/>
                    <w:jc w:val="center"/>
                    <w:rPr>
                      <w:rFonts w:hint="default" w:eastAsia="宋体"/>
                      <w:bCs/>
                      <w:color w:val="auto"/>
                      <w:szCs w:val="21"/>
                      <w:lang w:val="en-US" w:eastAsia="zh-CN"/>
                    </w:rPr>
                  </w:pPr>
                  <w:r>
                    <w:rPr>
                      <w:rFonts w:hint="eastAsia"/>
                      <w:bCs/>
                      <w:color w:val="auto"/>
                      <w:szCs w:val="21"/>
                      <w:lang w:val="en-US" w:eastAsia="zh-CN"/>
                    </w:rPr>
                    <w:t>56.8</w:t>
                  </w:r>
                </w:p>
              </w:tc>
              <w:tc>
                <w:tcPr>
                  <w:tcW w:w="1587" w:type="dxa"/>
                  <w:tcBorders>
                    <w:tl2br w:val="nil"/>
                    <w:tr2bl w:val="nil"/>
                  </w:tcBorders>
                  <w:vAlign w:val="center"/>
                </w:tcPr>
                <w:p w14:paraId="5BBA20A4">
                  <w:pPr>
                    <w:snapToGrid w:val="0"/>
                    <w:ind w:left="-105" w:leftChars="-50" w:right="-105" w:rightChars="-5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 xml:space="preserve">57.0 </w:t>
                  </w:r>
                </w:p>
              </w:tc>
              <w:tc>
                <w:tcPr>
                  <w:tcW w:w="1036" w:type="dxa"/>
                  <w:tcBorders>
                    <w:tl2br w:val="nil"/>
                    <w:tr2bl w:val="nil"/>
                  </w:tcBorders>
                  <w:vAlign w:val="center"/>
                </w:tcPr>
                <w:p w14:paraId="1EC55FBD">
                  <w:pPr>
                    <w:snapToGrid w:val="0"/>
                    <w:ind w:left="-105" w:leftChars="-50" w:right="-105" w:rightChars="-50"/>
                    <w:jc w:val="center"/>
                    <w:rPr>
                      <w:bCs/>
                      <w:color w:val="auto"/>
                      <w:szCs w:val="21"/>
                    </w:rPr>
                  </w:pPr>
                  <w:r>
                    <w:rPr>
                      <w:bCs/>
                      <w:color w:val="auto"/>
                      <w:szCs w:val="21"/>
                    </w:rPr>
                    <w:t>达标</w:t>
                  </w:r>
                </w:p>
              </w:tc>
            </w:tr>
            <w:tr w14:paraId="5C5D3D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tcBorders>
                    <w:tl2br w:val="nil"/>
                    <w:tr2bl w:val="nil"/>
                  </w:tcBorders>
                  <w:vAlign w:val="center"/>
                </w:tcPr>
                <w:p w14:paraId="682C461A">
                  <w:pPr>
                    <w:jc w:val="center"/>
                    <w:rPr>
                      <w:color w:val="auto"/>
                      <w:szCs w:val="21"/>
                      <w:highlight w:val="none"/>
                    </w:rPr>
                  </w:pPr>
                  <w:r>
                    <w:rPr>
                      <w:color w:val="auto"/>
                      <w:szCs w:val="21"/>
                      <w:highlight w:val="none"/>
                    </w:rPr>
                    <w:t>3</w:t>
                  </w:r>
                </w:p>
              </w:tc>
              <w:tc>
                <w:tcPr>
                  <w:tcW w:w="1595" w:type="dxa"/>
                  <w:tcBorders>
                    <w:tl2br w:val="nil"/>
                    <w:tr2bl w:val="nil"/>
                  </w:tcBorders>
                  <w:vAlign w:val="center"/>
                </w:tcPr>
                <w:p w14:paraId="6F7440BD">
                  <w:pPr>
                    <w:snapToGrid w:val="0"/>
                    <w:ind w:left="-105" w:leftChars="-50" w:right="-105" w:rightChars="-50"/>
                    <w:jc w:val="center"/>
                    <w:rPr>
                      <w:bCs/>
                      <w:color w:val="auto"/>
                      <w:szCs w:val="21"/>
                      <w:highlight w:val="none"/>
                    </w:rPr>
                  </w:pPr>
                  <w:r>
                    <w:rPr>
                      <w:rFonts w:hint="eastAsia"/>
                      <w:bCs/>
                      <w:color w:val="auto"/>
                      <w:szCs w:val="21"/>
                      <w:highlight w:val="none"/>
                    </w:rPr>
                    <w:t>西</w:t>
                  </w:r>
                  <w:r>
                    <w:rPr>
                      <w:bCs/>
                      <w:color w:val="auto"/>
                      <w:szCs w:val="21"/>
                      <w:highlight w:val="none"/>
                    </w:rPr>
                    <w:t>厂界外1m</w:t>
                  </w:r>
                </w:p>
              </w:tc>
              <w:tc>
                <w:tcPr>
                  <w:tcW w:w="2074" w:type="dxa"/>
                  <w:tcBorders>
                    <w:tl2br w:val="nil"/>
                    <w:tr2bl w:val="nil"/>
                  </w:tcBorders>
                  <w:vAlign w:val="center"/>
                </w:tcPr>
                <w:p w14:paraId="690E5068">
                  <w:pPr>
                    <w:snapToGrid w:val="0"/>
                    <w:ind w:left="-105" w:leftChars="-50" w:right="-105" w:rightChars="-50"/>
                    <w:jc w:val="center"/>
                    <w:rPr>
                      <w:rFonts w:hint="default" w:eastAsia="宋体"/>
                      <w:bCs/>
                      <w:color w:val="auto"/>
                      <w:szCs w:val="21"/>
                      <w:highlight w:val="none"/>
                      <w:lang w:val="en-US" w:eastAsia="zh-CN"/>
                    </w:rPr>
                  </w:pPr>
                  <w:r>
                    <w:rPr>
                      <w:rFonts w:hint="eastAsia"/>
                      <w:bCs/>
                      <w:color w:val="auto"/>
                      <w:szCs w:val="21"/>
                      <w:highlight w:val="none"/>
                      <w:lang w:val="en-US" w:eastAsia="zh-CN"/>
                    </w:rPr>
                    <w:t>57.0</w:t>
                  </w:r>
                </w:p>
              </w:tc>
              <w:tc>
                <w:tcPr>
                  <w:tcW w:w="1713" w:type="dxa"/>
                  <w:tcBorders>
                    <w:tl2br w:val="nil"/>
                    <w:tr2bl w:val="nil"/>
                  </w:tcBorders>
                  <w:vAlign w:val="center"/>
                </w:tcPr>
                <w:p w14:paraId="5123F6A2">
                  <w:pPr>
                    <w:snapToGrid w:val="0"/>
                    <w:ind w:left="-105" w:leftChars="-50" w:right="-105" w:rightChars="-50"/>
                    <w:jc w:val="center"/>
                    <w:rPr>
                      <w:rFonts w:hint="default" w:eastAsia="宋体"/>
                      <w:bCs/>
                      <w:color w:val="auto"/>
                      <w:szCs w:val="21"/>
                      <w:lang w:val="en-US" w:eastAsia="zh-CN"/>
                    </w:rPr>
                  </w:pPr>
                  <w:r>
                    <w:rPr>
                      <w:rFonts w:hint="eastAsia"/>
                      <w:bCs/>
                      <w:color w:val="auto"/>
                      <w:szCs w:val="21"/>
                      <w:lang w:val="en-US" w:eastAsia="zh-CN"/>
                    </w:rPr>
                    <w:t>54.2</w:t>
                  </w:r>
                </w:p>
              </w:tc>
              <w:tc>
                <w:tcPr>
                  <w:tcW w:w="1587" w:type="dxa"/>
                  <w:tcBorders>
                    <w:tl2br w:val="nil"/>
                    <w:tr2bl w:val="nil"/>
                  </w:tcBorders>
                  <w:vAlign w:val="center"/>
                </w:tcPr>
                <w:p w14:paraId="3CCA45ED">
                  <w:pPr>
                    <w:snapToGrid w:val="0"/>
                    <w:ind w:left="-105" w:leftChars="-50" w:right="-105" w:rightChars="-5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 xml:space="preserve">55.0 </w:t>
                  </w:r>
                </w:p>
              </w:tc>
              <w:tc>
                <w:tcPr>
                  <w:tcW w:w="1036" w:type="dxa"/>
                  <w:tcBorders>
                    <w:tl2br w:val="nil"/>
                    <w:tr2bl w:val="nil"/>
                  </w:tcBorders>
                  <w:vAlign w:val="center"/>
                </w:tcPr>
                <w:p w14:paraId="6099CB28">
                  <w:pPr>
                    <w:snapToGrid w:val="0"/>
                    <w:ind w:left="-105" w:leftChars="-50" w:right="-105" w:rightChars="-50"/>
                    <w:jc w:val="center"/>
                    <w:rPr>
                      <w:bCs/>
                      <w:color w:val="auto"/>
                      <w:szCs w:val="21"/>
                    </w:rPr>
                  </w:pPr>
                  <w:r>
                    <w:rPr>
                      <w:bCs/>
                      <w:color w:val="auto"/>
                      <w:szCs w:val="21"/>
                    </w:rPr>
                    <w:t>达标</w:t>
                  </w:r>
                </w:p>
              </w:tc>
            </w:tr>
            <w:tr w14:paraId="37B37F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tcBorders>
                    <w:tl2br w:val="nil"/>
                    <w:tr2bl w:val="nil"/>
                  </w:tcBorders>
                  <w:vAlign w:val="center"/>
                </w:tcPr>
                <w:p w14:paraId="6C447C1A">
                  <w:pPr>
                    <w:jc w:val="center"/>
                    <w:rPr>
                      <w:color w:val="auto"/>
                      <w:szCs w:val="21"/>
                      <w:highlight w:val="none"/>
                    </w:rPr>
                  </w:pPr>
                  <w:r>
                    <w:rPr>
                      <w:color w:val="auto"/>
                      <w:szCs w:val="21"/>
                      <w:highlight w:val="none"/>
                    </w:rPr>
                    <w:t>4</w:t>
                  </w:r>
                </w:p>
              </w:tc>
              <w:tc>
                <w:tcPr>
                  <w:tcW w:w="1595" w:type="dxa"/>
                  <w:tcBorders>
                    <w:tl2br w:val="nil"/>
                    <w:tr2bl w:val="nil"/>
                  </w:tcBorders>
                  <w:vAlign w:val="center"/>
                </w:tcPr>
                <w:p w14:paraId="1288399B">
                  <w:pPr>
                    <w:snapToGrid w:val="0"/>
                    <w:ind w:left="-105" w:leftChars="-50" w:right="-105" w:rightChars="-50"/>
                    <w:jc w:val="center"/>
                    <w:rPr>
                      <w:color w:val="auto"/>
                      <w:szCs w:val="21"/>
                      <w:highlight w:val="none"/>
                    </w:rPr>
                  </w:pPr>
                  <w:r>
                    <w:rPr>
                      <w:rFonts w:hint="eastAsia"/>
                      <w:color w:val="auto"/>
                      <w:szCs w:val="21"/>
                      <w:highlight w:val="none"/>
                    </w:rPr>
                    <w:t>北</w:t>
                  </w:r>
                  <w:r>
                    <w:rPr>
                      <w:color w:val="auto"/>
                      <w:szCs w:val="21"/>
                      <w:highlight w:val="none"/>
                    </w:rPr>
                    <w:t>厂界外1m</w:t>
                  </w:r>
                </w:p>
              </w:tc>
              <w:tc>
                <w:tcPr>
                  <w:tcW w:w="2074" w:type="dxa"/>
                  <w:tcBorders>
                    <w:tl2br w:val="nil"/>
                    <w:tr2bl w:val="nil"/>
                  </w:tcBorders>
                  <w:vAlign w:val="center"/>
                </w:tcPr>
                <w:p w14:paraId="7A0E54E5">
                  <w:pPr>
                    <w:snapToGrid w:val="0"/>
                    <w:ind w:left="-105" w:leftChars="-50" w:right="-105" w:rightChars="-50"/>
                    <w:jc w:val="center"/>
                    <w:rPr>
                      <w:rFonts w:hint="default" w:eastAsia="宋体"/>
                      <w:bCs/>
                      <w:color w:val="auto"/>
                      <w:szCs w:val="21"/>
                      <w:highlight w:val="none"/>
                      <w:lang w:val="en-US" w:eastAsia="zh-CN"/>
                    </w:rPr>
                  </w:pPr>
                  <w:r>
                    <w:rPr>
                      <w:rFonts w:hint="eastAsia"/>
                      <w:bCs/>
                      <w:color w:val="auto"/>
                      <w:szCs w:val="21"/>
                      <w:highlight w:val="none"/>
                      <w:lang w:val="en-US" w:eastAsia="zh-CN"/>
                    </w:rPr>
                    <w:t>29.2</w:t>
                  </w:r>
                </w:p>
              </w:tc>
              <w:tc>
                <w:tcPr>
                  <w:tcW w:w="1713" w:type="dxa"/>
                  <w:tcBorders>
                    <w:tl2br w:val="nil"/>
                    <w:tr2bl w:val="nil"/>
                  </w:tcBorders>
                  <w:vAlign w:val="center"/>
                </w:tcPr>
                <w:p w14:paraId="7434BAA4">
                  <w:pPr>
                    <w:snapToGrid w:val="0"/>
                    <w:ind w:left="-105" w:leftChars="-50" w:right="-105" w:rightChars="-50"/>
                    <w:jc w:val="center"/>
                    <w:rPr>
                      <w:rFonts w:hint="default" w:eastAsia="宋体"/>
                      <w:bCs/>
                      <w:color w:val="auto"/>
                      <w:szCs w:val="21"/>
                      <w:highlight w:val="none"/>
                      <w:lang w:val="en-US" w:eastAsia="zh-CN"/>
                    </w:rPr>
                  </w:pPr>
                  <w:r>
                    <w:rPr>
                      <w:rFonts w:hint="eastAsia" w:eastAsia="宋体"/>
                      <w:bCs/>
                      <w:color w:val="auto"/>
                      <w:szCs w:val="21"/>
                      <w:highlight w:val="none"/>
                      <w:lang w:val="en-US" w:eastAsia="zh-CN"/>
                    </w:rPr>
                    <w:t>58.3</w:t>
                  </w:r>
                </w:p>
              </w:tc>
              <w:tc>
                <w:tcPr>
                  <w:tcW w:w="1587" w:type="dxa"/>
                  <w:tcBorders>
                    <w:tl2br w:val="nil"/>
                    <w:tr2bl w:val="nil"/>
                  </w:tcBorders>
                  <w:vAlign w:val="center"/>
                </w:tcPr>
                <w:p w14:paraId="4AE91C61">
                  <w:pPr>
                    <w:snapToGrid w:val="0"/>
                    <w:ind w:left="-105" w:leftChars="-50" w:right="-105" w:rightChars="-5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 xml:space="preserve">58.9 </w:t>
                  </w:r>
                </w:p>
              </w:tc>
              <w:tc>
                <w:tcPr>
                  <w:tcW w:w="1036" w:type="dxa"/>
                  <w:tcBorders>
                    <w:tl2br w:val="nil"/>
                    <w:tr2bl w:val="nil"/>
                  </w:tcBorders>
                  <w:vAlign w:val="center"/>
                </w:tcPr>
                <w:p w14:paraId="0B3421EA">
                  <w:pPr>
                    <w:snapToGrid w:val="0"/>
                    <w:ind w:left="-105" w:leftChars="-50" w:right="-105" w:rightChars="-50"/>
                    <w:jc w:val="center"/>
                    <w:rPr>
                      <w:bCs/>
                      <w:color w:val="auto"/>
                      <w:szCs w:val="21"/>
                    </w:rPr>
                  </w:pPr>
                  <w:r>
                    <w:rPr>
                      <w:bCs/>
                      <w:color w:val="auto"/>
                      <w:szCs w:val="21"/>
                    </w:rPr>
                    <w:t>达标</w:t>
                  </w:r>
                </w:p>
              </w:tc>
            </w:tr>
            <w:tr w14:paraId="311458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46" w:type="dxa"/>
                  <w:gridSpan w:val="6"/>
                  <w:tcBorders>
                    <w:tl2br w:val="nil"/>
                    <w:tr2bl w:val="nil"/>
                  </w:tcBorders>
                  <w:vAlign w:val="center"/>
                </w:tcPr>
                <w:p w14:paraId="758A3518">
                  <w:pPr>
                    <w:snapToGrid w:val="0"/>
                    <w:ind w:left="-105" w:leftChars="-50" w:right="-105" w:rightChars="-50"/>
                    <w:jc w:val="left"/>
                    <w:rPr>
                      <w:rFonts w:hint="eastAsia"/>
                      <w:bCs/>
                      <w:color w:val="auto"/>
                      <w:szCs w:val="21"/>
                    </w:rPr>
                  </w:pPr>
                  <w:r>
                    <w:rPr>
                      <w:rFonts w:hint="eastAsia"/>
                      <w:bCs/>
                      <w:color w:val="auto"/>
                      <w:szCs w:val="21"/>
                    </w:rPr>
                    <w:t>本项目夜间不生产，</w:t>
                  </w:r>
                  <w:r>
                    <w:rPr>
                      <w:rFonts w:hint="eastAsia"/>
                      <w:bCs/>
                      <w:color w:val="auto"/>
                      <w:szCs w:val="21"/>
                      <w:lang w:val="en-US" w:eastAsia="zh-CN"/>
                    </w:rPr>
                    <w:t>现有工程噪声值来源于例行监测数据；</w:t>
                  </w:r>
                  <w:r>
                    <w:rPr>
                      <w:bCs/>
                      <w:color w:val="auto"/>
                      <w:szCs w:val="21"/>
                    </w:rPr>
                    <w:t>评价标准：《工业企业厂界环境噪声排放标准》GB12348-2008中3类区排放标准：昼间65</w:t>
                  </w:r>
                  <w:r>
                    <w:rPr>
                      <w:color w:val="auto"/>
                      <w:szCs w:val="21"/>
                    </w:rPr>
                    <w:t xml:space="preserve"> </w:t>
                  </w:r>
                  <w:r>
                    <w:rPr>
                      <w:bCs/>
                      <w:color w:val="auto"/>
                      <w:szCs w:val="21"/>
                    </w:rPr>
                    <w:t>dB</w:t>
                  </w:r>
                  <w:r>
                    <w:rPr>
                      <w:rFonts w:hint="eastAsia"/>
                      <w:bCs/>
                      <w:color w:val="auto"/>
                      <w:szCs w:val="21"/>
                    </w:rPr>
                    <w:t>。</w:t>
                  </w:r>
                </w:p>
              </w:tc>
            </w:tr>
          </w:tbl>
          <w:p w14:paraId="6D3D3AF2">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由预测结果可知，本项目厂界噪声通过采取相应隔声降噪措施后，再经距离衰减、厂房隔声后，本项目昼间厂界噪声可满足《工业企业厂界环境噪声排放标准》GB12348-2008中3类区排放标准。</w:t>
            </w:r>
          </w:p>
          <w:p w14:paraId="643C9EBA">
            <w:pPr>
              <w:autoSpaceDE w:val="0"/>
              <w:autoSpaceDN w:val="0"/>
              <w:adjustRightInd w:val="0"/>
              <w:spacing w:line="360" w:lineRule="auto"/>
              <w:ind w:firstLine="482" w:firstLineChars="200"/>
              <w:jc w:val="left"/>
              <w:rPr>
                <w:b/>
                <w:color w:val="auto"/>
                <w:kern w:val="0"/>
                <w:sz w:val="24"/>
                <w:highlight w:val="none"/>
              </w:rPr>
            </w:pPr>
            <w:r>
              <w:rPr>
                <w:b/>
                <w:color w:val="auto"/>
                <w:kern w:val="0"/>
                <w:sz w:val="24"/>
                <w:highlight w:val="none"/>
              </w:rPr>
              <w:t xml:space="preserve">综上所述，项目建设不会对外环境造成明显不良影响。 </w:t>
            </w:r>
          </w:p>
          <w:p w14:paraId="2343DEB5">
            <w:pPr>
              <w:widowControl/>
              <w:adjustRightInd w:val="0"/>
              <w:snapToGrid w:val="0"/>
              <w:spacing w:line="360" w:lineRule="auto"/>
              <w:ind w:firstLine="442" w:firstLineChars="200"/>
              <w:jc w:val="left"/>
              <w:rPr>
                <w:b/>
                <w:color w:val="auto"/>
                <w:spacing w:val="-10"/>
                <w:sz w:val="24"/>
                <w:highlight w:val="none"/>
              </w:rPr>
            </w:pPr>
            <w:r>
              <w:rPr>
                <w:rFonts w:hint="eastAsia"/>
                <w:b/>
                <w:color w:val="auto"/>
                <w:spacing w:val="-10"/>
                <w:sz w:val="24"/>
                <w:highlight w:val="none"/>
              </w:rPr>
              <w:t>（3）监测要求</w:t>
            </w:r>
          </w:p>
          <w:p w14:paraId="62640392">
            <w:pPr>
              <w:spacing w:line="360" w:lineRule="auto"/>
              <w:ind w:firstLine="480" w:firstLineChars="200"/>
              <w:rPr>
                <w:color w:val="auto"/>
                <w:sz w:val="24"/>
                <w:highlight w:val="none"/>
              </w:rPr>
            </w:pPr>
            <w:r>
              <w:rPr>
                <w:color w:val="auto"/>
                <w:sz w:val="24"/>
                <w:highlight w:val="none"/>
              </w:rPr>
              <w:t>项目噪声监测要求如下：</w:t>
            </w:r>
          </w:p>
          <w:p w14:paraId="52C060E0">
            <w:pPr>
              <w:tabs>
                <w:tab w:val="left" w:pos="0"/>
              </w:tabs>
              <w:adjustRightInd w:val="0"/>
              <w:snapToGrid w:val="0"/>
              <w:jc w:val="center"/>
              <w:rPr>
                <w:b/>
                <w:snapToGrid w:val="0"/>
                <w:color w:val="auto"/>
                <w:spacing w:val="4"/>
                <w:szCs w:val="21"/>
                <w:highlight w:val="none"/>
              </w:rPr>
            </w:pPr>
            <w:r>
              <w:rPr>
                <w:b/>
                <w:snapToGrid w:val="0"/>
                <w:color w:val="auto"/>
                <w:spacing w:val="4"/>
                <w:szCs w:val="21"/>
                <w:highlight w:val="none"/>
              </w:rPr>
              <w:t>表4-</w:t>
            </w:r>
            <w:r>
              <w:rPr>
                <w:rFonts w:hint="eastAsia"/>
                <w:b/>
                <w:snapToGrid w:val="0"/>
                <w:color w:val="auto"/>
                <w:spacing w:val="4"/>
                <w:szCs w:val="21"/>
                <w:highlight w:val="none"/>
                <w:lang w:val="en-US" w:eastAsia="zh-CN"/>
              </w:rPr>
              <w:t>24</w:t>
            </w:r>
            <w:r>
              <w:rPr>
                <w:b/>
                <w:snapToGrid w:val="0"/>
                <w:color w:val="auto"/>
                <w:spacing w:val="4"/>
                <w:szCs w:val="21"/>
                <w:highlight w:val="none"/>
              </w:rPr>
              <w:t xml:space="preserve">  环境监督监测计划一览表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1805"/>
              <w:gridCol w:w="1577"/>
              <w:gridCol w:w="2049"/>
              <w:gridCol w:w="2815"/>
            </w:tblGrid>
            <w:tr w14:paraId="37E18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2" w:type="pct"/>
                  <w:vAlign w:val="center"/>
                </w:tcPr>
                <w:p w14:paraId="765E7B99">
                  <w:pPr>
                    <w:ind w:left="-105" w:leftChars="-50" w:right="-105" w:rightChars="-50"/>
                    <w:jc w:val="center"/>
                    <w:rPr>
                      <w:b/>
                      <w:color w:val="auto"/>
                      <w:szCs w:val="21"/>
                      <w:highlight w:val="none"/>
                    </w:rPr>
                  </w:pPr>
                  <w:r>
                    <w:rPr>
                      <w:b/>
                      <w:color w:val="auto"/>
                      <w:szCs w:val="21"/>
                      <w:highlight w:val="none"/>
                    </w:rPr>
                    <w:t>类别</w:t>
                  </w:r>
                </w:p>
              </w:tc>
              <w:tc>
                <w:tcPr>
                  <w:tcW w:w="1022" w:type="pct"/>
                  <w:vAlign w:val="center"/>
                </w:tcPr>
                <w:p w14:paraId="1AA6D038">
                  <w:pPr>
                    <w:ind w:left="-105" w:leftChars="-50" w:right="-105" w:rightChars="-50"/>
                    <w:jc w:val="center"/>
                    <w:rPr>
                      <w:b/>
                      <w:color w:val="auto"/>
                      <w:szCs w:val="21"/>
                      <w:highlight w:val="none"/>
                    </w:rPr>
                  </w:pPr>
                  <w:r>
                    <w:rPr>
                      <w:b/>
                      <w:color w:val="auto"/>
                      <w:szCs w:val="21"/>
                      <w:highlight w:val="none"/>
                    </w:rPr>
                    <w:t>监测点</w:t>
                  </w:r>
                  <w:r>
                    <w:rPr>
                      <w:rFonts w:hint="eastAsia"/>
                      <w:b/>
                      <w:color w:val="auto"/>
                      <w:szCs w:val="21"/>
                      <w:highlight w:val="none"/>
                    </w:rPr>
                    <w:t>位</w:t>
                  </w:r>
                  <w:r>
                    <w:rPr>
                      <w:b/>
                      <w:color w:val="auto"/>
                      <w:szCs w:val="21"/>
                      <w:highlight w:val="none"/>
                    </w:rPr>
                    <w:t>及数量</w:t>
                  </w:r>
                </w:p>
              </w:tc>
              <w:tc>
                <w:tcPr>
                  <w:tcW w:w="893" w:type="pct"/>
                  <w:vAlign w:val="center"/>
                </w:tcPr>
                <w:p w14:paraId="66866CEE">
                  <w:pPr>
                    <w:ind w:left="-105" w:leftChars="-50" w:right="-105" w:rightChars="-50"/>
                    <w:jc w:val="center"/>
                    <w:rPr>
                      <w:b/>
                      <w:color w:val="auto"/>
                      <w:szCs w:val="21"/>
                      <w:highlight w:val="none"/>
                    </w:rPr>
                  </w:pPr>
                  <w:r>
                    <w:rPr>
                      <w:b/>
                      <w:color w:val="auto"/>
                      <w:szCs w:val="21"/>
                      <w:highlight w:val="none"/>
                    </w:rPr>
                    <w:t>监测</w:t>
                  </w:r>
                  <w:r>
                    <w:rPr>
                      <w:rFonts w:hint="eastAsia"/>
                      <w:b/>
                      <w:color w:val="auto"/>
                      <w:szCs w:val="21"/>
                      <w:highlight w:val="none"/>
                    </w:rPr>
                    <w:t>因子</w:t>
                  </w:r>
                </w:p>
              </w:tc>
              <w:tc>
                <w:tcPr>
                  <w:tcW w:w="1160" w:type="pct"/>
                  <w:vAlign w:val="center"/>
                </w:tcPr>
                <w:p w14:paraId="62139FDF">
                  <w:pPr>
                    <w:ind w:left="-105" w:leftChars="-50" w:right="-105" w:rightChars="-50"/>
                    <w:jc w:val="center"/>
                    <w:rPr>
                      <w:b/>
                      <w:color w:val="auto"/>
                      <w:szCs w:val="21"/>
                      <w:highlight w:val="none"/>
                    </w:rPr>
                  </w:pPr>
                  <w:r>
                    <w:rPr>
                      <w:b/>
                      <w:color w:val="auto"/>
                      <w:szCs w:val="21"/>
                      <w:highlight w:val="none"/>
                    </w:rPr>
                    <w:t>监测频次</w:t>
                  </w:r>
                </w:p>
              </w:tc>
              <w:tc>
                <w:tcPr>
                  <w:tcW w:w="1594" w:type="pct"/>
                  <w:vAlign w:val="center"/>
                </w:tcPr>
                <w:p w14:paraId="1AD555E7">
                  <w:pPr>
                    <w:ind w:left="-105" w:leftChars="-50" w:right="-105" w:rightChars="-50"/>
                    <w:jc w:val="center"/>
                    <w:rPr>
                      <w:b/>
                      <w:color w:val="auto"/>
                      <w:szCs w:val="21"/>
                      <w:highlight w:val="none"/>
                    </w:rPr>
                  </w:pPr>
                  <w:r>
                    <w:rPr>
                      <w:b/>
                      <w:color w:val="auto"/>
                      <w:szCs w:val="21"/>
                      <w:highlight w:val="none"/>
                    </w:rPr>
                    <w:t>执行标准</w:t>
                  </w:r>
                </w:p>
              </w:tc>
            </w:tr>
            <w:tr w14:paraId="307A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2" w:type="pct"/>
                  <w:vAlign w:val="center"/>
                </w:tcPr>
                <w:p w14:paraId="7CD22C76">
                  <w:pPr>
                    <w:ind w:left="-105" w:leftChars="-50" w:right="-105" w:rightChars="-50"/>
                    <w:jc w:val="center"/>
                    <w:rPr>
                      <w:color w:val="auto"/>
                      <w:szCs w:val="21"/>
                      <w:highlight w:val="none"/>
                    </w:rPr>
                  </w:pPr>
                  <w:r>
                    <w:rPr>
                      <w:color w:val="auto"/>
                      <w:szCs w:val="21"/>
                      <w:highlight w:val="none"/>
                    </w:rPr>
                    <w:t>噪声</w:t>
                  </w:r>
                </w:p>
              </w:tc>
              <w:tc>
                <w:tcPr>
                  <w:tcW w:w="1022" w:type="pct"/>
                  <w:vAlign w:val="center"/>
                </w:tcPr>
                <w:p w14:paraId="1C3CC9B0">
                  <w:pPr>
                    <w:jc w:val="center"/>
                    <w:rPr>
                      <w:color w:val="auto"/>
                      <w:szCs w:val="21"/>
                      <w:highlight w:val="none"/>
                    </w:rPr>
                  </w:pPr>
                  <w:r>
                    <w:rPr>
                      <w:rFonts w:hint="eastAsia"/>
                      <w:color w:val="auto"/>
                      <w:szCs w:val="21"/>
                      <w:highlight w:val="none"/>
                    </w:rPr>
                    <w:t>厂</w:t>
                  </w:r>
                  <w:r>
                    <w:rPr>
                      <w:color w:val="auto"/>
                      <w:szCs w:val="21"/>
                      <w:highlight w:val="none"/>
                    </w:rPr>
                    <w:t>界处4个</w:t>
                  </w:r>
                </w:p>
              </w:tc>
              <w:tc>
                <w:tcPr>
                  <w:tcW w:w="893" w:type="pct"/>
                  <w:vAlign w:val="center"/>
                </w:tcPr>
                <w:p w14:paraId="232A8851">
                  <w:pPr>
                    <w:ind w:left="-105" w:leftChars="-50" w:right="-105" w:rightChars="-50"/>
                    <w:jc w:val="center"/>
                    <w:rPr>
                      <w:color w:val="auto"/>
                      <w:szCs w:val="21"/>
                      <w:highlight w:val="none"/>
                    </w:rPr>
                  </w:pPr>
                  <w:r>
                    <w:rPr>
                      <w:color w:val="auto"/>
                      <w:szCs w:val="21"/>
                      <w:highlight w:val="none"/>
                    </w:rPr>
                    <w:t>等效连续A声级</w:t>
                  </w:r>
                </w:p>
              </w:tc>
              <w:tc>
                <w:tcPr>
                  <w:tcW w:w="1160" w:type="pct"/>
                  <w:vAlign w:val="center"/>
                </w:tcPr>
                <w:p w14:paraId="5AE3792C">
                  <w:pPr>
                    <w:ind w:left="-105" w:leftChars="-50" w:right="-105" w:rightChars="-50"/>
                    <w:jc w:val="center"/>
                    <w:rPr>
                      <w:color w:val="auto"/>
                      <w:szCs w:val="21"/>
                      <w:highlight w:val="none"/>
                    </w:rPr>
                  </w:pPr>
                  <w:r>
                    <w:rPr>
                      <w:color w:val="auto"/>
                      <w:szCs w:val="21"/>
                      <w:highlight w:val="none"/>
                    </w:rPr>
                    <w:t>1次/季；1天/次，</w:t>
                  </w:r>
                </w:p>
                <w:p w14:paraId="1003BFA3">
                  <w:pPr>
                    <w:ind w:left="-105" w:leftChars="-50" w:right="-105" w:rightChars="-50"/>
                    <w:jc w:val="center"/>
                    <w:rPr>
                      <w:color w:val="auto"/>
                      <w:szCs w:val="21"/>
                      <w:highlight w:val="none"/>
                    </w:rPr>
                  </w:pPr>
                  <w:r>
                    <w:rPr>
                      <w:color w:val="auto"/>
                      <w:szCs w:val="21"/>
                      <w:highlight w:val="none"/>
                    </w:rPr>
                    <w:t>昼间监测1次</w:t>
                  </w:r>
                </w:p>
              </w:tc>
              <w:tc>
                <w:tcPr>
                  <w:tcW w:w="1594" w:type="pct"/>
                  <w:vAlign w:val="center"/>
                </w:tcPr>
                <w:p w14:paraId="5EBE9BBC">
                  <w:pPr>
                    <w:wordWrap w:val="0"/>
                    <w:ind w:left="-105" w:leftChars="-50" w:right="-105" w:rightChars="-50"/>
                    <w:jc w:val="center"/>
                    <w:rPr>
                      <w:color w:val="auto"/>
                      <w:szCs w:val="21"/>
                      <w:highlight w:val="none"/>
                    </w:rPr>
                  </w:pPr>
                  <w:r>
                    <w:rPr>
                      <w:color w:val="auto"/>
                      <w:szCs w:val="21"/>
                      <w:highlight w:val="none"/>
                    </w:rPr>
                    <w:t>《工业企业厂界环境噪声排放标准》（GB12348-2008）中的3类标准</w:t>
                  </w:r>
                </w:p>
              </w:tc>
            </w:tr>
          </w:tbl>
          <w:p w14:paraId="6EC5B5B6">
            <w:pPr>
              <w:spacing w:line="360" w:lineRule="auto"/>
              <w:ind w:firstLine="482" w:firstLineChars="200"/>
              <w:rPr>
                <w:b/>
                <w:color w:val="auto"/>
                <w:sz w:val="24"/>
              </w:rPr>
            </w:pPr>
            <w:r>
              <w:rPr>
                <w:rFonts w:hint="eastAsia"/>
                <w:b/>
                <w:color w:val="auto"/>
                <w:sz w:val="24"/>
              </w:rPr>
              <w:t>4、固废</w:t>
            </w:r>
          </w:p>
          <w:p w14:paraId="245C9273">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lang w:eastAsia="zh-CN"/>
              </w:rPr>
              <w:t>本项目运营期固废</w:t>
            </w:r>
            <w:r>
              <w:rPr>
                <w:rFonts w:hint="eastAsia" w:ascii="宋体" w:hAnsi="宋体" w:cs="宋体"/>
                <w:color w:val="auto"/>
                <w:sz w:val="24"/>
                <w:szCs w:val="24"/>
                <w:lang w:eastAsia="zh-CN"/>
              </w:rPr>
              <w:t>主要</w:t>
            </w:r>
            <w:r>
              <w:rPr>
                <w:rFonts w:hint="eastAsia" w:ascii="宋体" w:hAnsi="宋体" w:eastAsia="宋体" w:cs="宋体"/>
                <w:color w:val="auto"/>
                <w:sz w:val="24"/>
                <w:szCs w:val="24"/>
                <w:lang w:eastAsia="zh-CN"/>
              </w:rPr>
              <w:t>包括一般固废及危险废物，一般</w:t>
            </w:r>
            <w:r>
              <w:rPr>
                <w:rFonts w:hint="eastAsia" w:ascii="宋体" w:hAnsi="宋体" w:cs="宋体"/>
                <w:color w:val="auto"/>
                <w:sz w:val="24"/>
                <w:szCs w:val="24"/>
                <w:lang w:eastAsia="zh-CN"/>
              </w:rPr>
              <w:t>固废</w:t>
            </w:r>
            <w:r>
              <w:rPr>
                <w:rFonts w:hint="eastAsia" w:ascii="宋体" w:hAnsi="宋体" w:eastAsia="宋体" w:cs="宋体"/>
                <w:color w:val="auto"/>
                <w:sz w:val="24"/>
                <w:szCs w:val="24"/>
                <w:lang w:eastAsia="zh-CN"/>
              </w:rPr>
              <w:t>主要为烫金纸、废边角料、残次品、废包装材料</w:t>
            </w:r>
            <w:r>
              <w:rPr>
                <w:rFonts w:hint="eastAsia" w:ascii="宋体" w:hAnsi="宋体" w:cs="宋体"/>
                <w:color w:val="auto"/>
                <w:sz w:val="24"/>
                <w:szCs w:val="24"/>
                <w:highlight w:val="none"/>
                <w:lang w:val="en-US" w:eastAsia="zh-CN"/>
              </w:rPr>
              <w:t>、生活垃圾、</w:t>
            </w:r>
            <w:r>
              <w:rPr>
                <w:rFonts w:hint="eastAsia"/>
                <w:color w:val="auto"/>
                <w:sz w:val="24"/>
                <w:highlight w:val="none"/>
              </w:rPr>
              <w:t>餐厨垃圾、</w:t>
            </w:r>
            <w:r>
              <w:rPr>
                <w:rFonts w:hint="eastAsia"/>
                <w:color w:val="auto"/>
                <w:sz w:val="24"/>
                <w:highlight w:val="none"/>
                <w:lang w:val="en-US" w:eastAsia="zh-CN"/>
              </w:rPr>
              <w:t>油水分离器废油脂</w:t>
            </w:r>
            <w:r>
              <w:rPr>
                <w:rFonts w:hint="eastAsia" w:ascii="宋体" w:hAnsi="宋体" w:eastAsia="宋体" w:cs="宋体"/>
                <w:color w:val="auto"/>
                <w:sz w:val="24"/>
                <w:szCs w:val="24"/>
                <w:highlight w:val="none"/>
                <w:lang w:eastAsia="zh-CN"/>
              </w:rPr>
              <w:t>；</w:t>
            </w:r>
          </w:p>
          <w:p w14:paraId="339C3B9F">
            <w:pPr>
              <w:spacing w:line="360" w:lineRule="auto"/>
              <w:ind w:firstLine="480" w:firstLineChars="200"/>
              <w:rPr>
                <w:color w:val="auto"/>
                <w:sz w:val="24"/>
                <w:highlight w:val="none"/>
              </w:rPr>
            </w:pPr>
            <w:bookmarkStart w:id="62" w:name="OLE_LINK59"/>
            <w:r>
              <w:rPr>
                <w:rFonts w:hint="eastAsia"/>
                <w:color w:val="auto"/>
                <w:sz w:val="24"/>
                <w:highlight w:val="none"/>
              </w:rPr>
              <w:t>危险废物包括废包装桶、废显影液</w:t>
            </w:r>
            <w:r>
              <w:rPr>
                <w:rFonts w:hint="eastAsia"/>
                <w:color w:val="auto"/>
                <w:sz w:val="24"/>
                <w:highlight w:val="none"/>
                <w:lang w:eastAsia="zh-CN"/>
              </w:rPr>
              <w:t>、洗版废液、废滤材滤渣、</w:t>
            </w:r>
            <w:r>
              <w:rPr>
                <w:rFonts w:hint="eastAsia"/>
                <w:color w:val="auto"/>
                <w:sz w:val="24"/>
                <w:highlight w:val="none"/>
              </w:rPr>
              <w:t>清洁丝网版棉布手套、废丝网版、</w:t>
            </w:r>
            <w:r>
              <w:rPr>
                <w:rFonts w:hint="eastAsia"/>
                <w:color w:val="auto"/>
                <w:sz w:val="24"/>
                <w:highlight w:val="none"/>
                <w:lang w:eastAsia="zh-CN"/>
              </w:rPr>
              <w:t>废CTP版</w:t>
            </w:r>
            <w:r>
              <w:rPr>
                <w:rFonts w:hint="eastAsia"/>
                <w:color w:val="auto"/>
                <w:sz w:val="24"/>
                <w:highlight w:val="none"/>
              </w:rPr>
              <w:t>、</w:t>
            </w:r>
            <w:r>
              <w:rPr>
                <w:rFonts w:hint="eastAsia"/>
                <w:color w:val="auto"/>
                <w:sz w:val="24"/>
                <w:highlight w:val="none"/>
                <w:lang w:val="en-US" w:eastAsia="zh-CN"/>
              </w:rPr>
              <w:t>废UV灯管、</w:t>
            </w:r>
            <w:r>
              <w:rPr>
                <w:rFonts w:hint="eastAsia"/>
                <w:color w:val="auto"/>
                <w:sz w:val="24"/>
                <w:highlight w:val="none"/>
              </w:rPr>
              <w:t>废</w:t>
            </w:r>
            <w:r>
              <w:rPr>
                <w:rFonts w:hint="eastAsia"/>
                <w:color w:val="auto"/>
                <w:sz w:val="24"/>
                <w:highlight w:val="none"/>
                <w:lang w:val="en-US" w:eastAsia="zh-CN"/>
              </w:rPr>
              <w:t>润滑油</w:t>
            </w:r>
            <w:r>
              <w:rPr>
                <w:rFonts w:hint="eastAsia"/>
                <w:color w:val="auto"/>
                <w:sz w:val="24"/>
                <w:highlight w:val="none"/>
              </w:rPr>
              <w:t>、废棉纱手套、废活性炭</w:t>
            </w:r>
            <w:bookmarkEnd w:id="62"/>
            <w:r>
              <w:rPr>
                <w:rFonts w:hint="eastAsia"/>
                <w:color w:val="auto"/>
                <w:sz w:val="24"/>
                <w:highlight w:val="none"/>
              </w:rPr>
              <w:t>等</w:t>
            </w:r>
            <w:r>
              <w:rPr>
                <w:color w:val="auto"/>
                <w:sz w:val="24"/>
                <w:highlight w:val="none"/>
              </w:rPr>
              <w:t>。</w:t>
            </w:r>
          </w:p>
          <w:p w14:paraId="565D0137">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4.1一般固废</w:t>
            </w:r>
          </w:p>
          <w:p w14:paraId="31FC61B0">
            <w:pPr>
              <w:spacing w:line="360" w:lineRule="auto"/>
              <w:ind w:firstLine="482"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①废烫金纸：</w:t>
            </w:r>
            <w:r>
              <w:rPr>
                <w:rFonts w:hint="default" w:ascii="Times New Roman" w:hAnsi="Times New Roman" w:cs="Times New Roman"/>
                <w:color w:val="auto"/>
                <w:sz w:val="24"/>
                <w:szCs w:val="24"/>
                <w:highlight w:val="none"/>
                <w:lang w:val="en-US" w:eastAsia="zh-CN"/>
              </w:rPr>
              <w:t>根据业主提供资料，废烫金纸的产生量为</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t/a。均收集暂存后统一外售至废品收购站。根据《固体废物分类与代码目录》（生态环境部公告2024年第4号），废物代码为900-0</w:t>
            </w:r>
            <w:r>
              <w:rPr>
                <w:rFonts w:hint="eastAsia" w:cs="Times New Roman"/>
                <w:color w:val="auto"/>
                <w:sz w:val="24"/>
                <w:szCs w:val="24"/>
                <w:highlight w:val="none"/>
                <w:lang w:val="en-US" w:eastAsia="zh-CN"/>
              </w:rPr>
              <w:t>99</w:t>
            </w:r>
            <w:r>
              <w:rPr>
                <w:rFonts w:hint="default" w:ascii="Times New Roman" w:hAnsi="Times New Roman" w:cs="Times New Roman"/>
                <w:color w:val="auto"/>
                <w:sz w:val="24"/>
                <w:szCs w:val="24"/>
                <w:highlight w:val="none"/>
                <w:lang w:val="en-US" w:eastAsia="zh-CN"/>
              </w:rPr>
              <w:t>-S</w:t>
            </w:r>
            <w:r>
              <w:rPr>
                <w:rFonts w:hint="eastAsia" w:cs="Times New Roman"/>
                <w:color w:val="auto"/>
                <w:sz w:val="24"/>
                <w:szCs w:val="24"/>
                <w:highlight w:val="none"/>
                <w:lang w:val="en-US" w:eastAsia="zh-CN"/>
              </w:rPr>
              <w:t>59</w:t>
            </w:r>
            <w:r>
              <w:rPr>
                <w:rFonts w:hint="default" w:ascii="Times New Roman" w:hAnsi="Times New Roman" w:cs="Times New Roman"/>
                <w:color w:val="auto"/>
                <w:sz w:val="24"/>
                <w:szCs w:val="24"/>
                <w:highlight w:val="none"/>
                <w:lang w:val="en-US" w:eastAsia="zh-CN"/>
              </w:rPr>
              <w:t>。</w:t>
            </w:r>
          </w:p>
          <w:p w14:paraId="700CCB4E">
            <w:pPr>
              <w:spacing w:line="360" w:lineRule="auto"/>
              <w:ind w:firstLine="482"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②废边角料</w:t>
            </w:r>
            <w:r>
              <w:rPr>
                <w:rFonts w:hint="default" w:ascii="Times New Roman" w:hAnsi="Times New Roman" w:cs="Times New Roman"/>
                <w:color w:val="auto"/>
                <w:sz w:val="24"/>
                <w:szCs w:val="24"/>
                <w:highlight w:val="none"/>
                <w:lang w:val="en-US" w:eastAsia="zh-CN"/>
              </w:rPr>
              <w:t>：本项目产生的一般固废主要包括废纸屑、废纸条。纸张的废边角料的产生量约为</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t/a，均收集暂存后统一外售至废品收购站。根据《固体废物分类与代码目录》（生态环境部公告2024年第4号），废物代码为900-005-S17。</w:t>
            </w:r>
          </w:p>
          <w:p w14:paraId="3FF6E326">
            <w:pPr>
              <w:spacing w:line="360" w:lineRule="auto"/>
              <w:ind w:firstLine="482"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③残次品：</w:t>
            </w:r>
            <w:r>
              <w:rPr>
                <w:rFonts w:hint="default" w:ascii="Times New Roman" w:hAnsi="Times New Roman" w:cs="Times New Roman"/>
                <w:color w:val="auto"/>
                <w:sz w:val="24"/>
                <w:szCs w:val="24"/>
                <w:highlight w:val="none"/>
                <w:lang w:val="en-US" w:eastAsia="zh-CN"/>
              </w:rPr>
              <w:t>本项目产生的不合格产品，产生量为</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t/a。均收集暂存后统一外售至废品收购站。根据《固体废物分类与代码目录》（生态环境部公告2024年第4号），废物代码为900-005-S17。</w:t>
            </w:r>
          </w:p>
          <w:p w14:paraId="5254585F">
            <w:pPr>
              <w:spacing w:line="360" w:lineRule="auto"/>
              <w:ind w:firstLine="482"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④废包装材料（未沾染危险特性物质）：</w:t>
            </w:r>
            <w:r>
              <w:rPr>
                <w:rFonts w:hint="default" w:ascii="Times New Roman" w:hAnsi="Times New Roman" w:cs="Times New Roman"/>
                <w:b w:val="0"/>
                <w:bCs w:val="0"/>
                <w:color w:val="auto"/>
                <w:sz w:val="24"/>
                <w:szCs w:val="24"/>
                <w:highlight w:val="none"/>
                <w:lang w:val="en-US" w:eastAsia="zh-CN"/>
              </w:rPr>
              <w:t>本项目来料拆封以及产品包装过程会产生废包装材料，根据业主提供的数据，产生量约为1t/a。</w:t>
            </w:r>
            <w:r>
              <w:rPr>
                <w:rFonts w:hint="default" w:ascii="Times New Roman" w:hAnsi="Times New Roman" w:cs="Times New Roman"/>
                <w:color w:val="auto"/>
                <w:sz w:val="24"/>
                <w:szCs w:val="24"/>
                <w:highlight w:val="none"/>
                <w:lang w:val="en-US" w:eastAsia="zh-CN"/>
              </w:rPr>
              <w:t>均收集暂存后统一外售至废品收购站</w:t>
            </w:r>
            <w:r>
              <w:rPr>
                <w:rFonts w:hint="eastAsia" w:cs="Times New Roman"/>
                <w:color w:val="auto"/>
                <w:sz w:val="24"/>
                <w:szCs w:val="24"/>
                <w:highlight w:val="none"/>
                <w:lang w:val="en-US" w:eastAsia="zh-CN"/>
              </w:rPr>
              <w:t>。</w:t>
            </w:r>
            <w:r>
              <w:rPr>
                <w:rFonts w:hint="eastAsia"/>
                <w:color w:val="auto"/>
                <w:sz w:val="24"/>
              </w:rPr>
              <w:t>根据</w:t>
            </w:r>
            <w:r>
              <w:rPr>
                <w:color w:val="auto"/>
                <w:sz w:val="24"/>
              </w:rPr>
              <w:t>《固体废物分类与代码目录》（生态环境部公告2024年第4号）</w:t>
            </w:r>
            <w:r>
              <w:rPr>
                <w:rFonts w:hint="eastAsia"/>
                <w:color w:val="auto"/>
                <w:sz w:val="24"/>
              </w:rPr>
              <w:t>，废物代码为900-003-S17</w:t>
            </w:r>
            <w:r>
              <w:rPr>
                <w:rFonts w:hint="default" w:ascii="Times New Roman" w:hAnsi="Times New Roman" w:cs="Times New Roman"/>
                <w:color w:val="auto"/>
                <w:sz w:val="24"/>
                <w:szCs w:val="24"/>
                <w:highlight w:val="none"/>
                <w:lang w:val="en-US" w:eastAsia="zh-CN"/>
              </w:rPr>
              <w:t>。</w:t>
            </w:r>
          </w:p>
          <w:p w14:paraId="127268D8">
            <w:pPr>
              <w:spacing w:line="360" w:lineRule="auto"/>
              <w:ind w:firstLine="482" w:firstLineChars="200"/>
              <w:rPr>
                <w:bCs/>
                <w:color w:val="auto"/>
                <w:sz w:val="24"/>
              </w:rPr>
            </w:pPr>
            <w:r>
              <w:rPr>
                <w:rFonts w:hint="eastAsia"/>
                <w:b/>
                <w:bCs/>
                <w:color w:val="auto"/>
                <w:sz w:val="24"/>
                <w:lang w:val="en-US" w:eastAsia="zh-CN"/>
              </w:rPr>
              <w:t>⑤</w:t>
            </w:r>
            <w:r>
              <w:rPr>
                <w:rFonts w:hint="eastAsia"/>
                <w:b/>
                <w:bCs/>
                <w:color w:val="auto"/>
                <w:sz w:val="24"/>
              </w:rPr>
              <w:t>生活垃圾</w:t>
            </w:r>
            <w:r>
              <w:rPr>
                <w:rFonts w:hint="eastAsia"/>
                <w:color w:val="auto"/>
                <w:sz w:val="24"/>
              </w:rPr>
              <w:t>：主要由日常办公和生活产生，</w:t>
            </w:r>
            <w:r>
              <w:rPr>
                <w:rFonts w:hint="eastAsia"/>
                <w:color w:val="auto"/>
                <w:sz w:val="24"/>
                <w:lang w:eastAsia="zh-CN"/>
              </w:rPr>
              <w:t>本项目新增劳动定员为</w:t>
            </w:r>
            <w:r>
              <w:rPr>
                <w:rFonts w:hint="eastAsia"/>
                <w:color w:val="auto"/>
                <w:sz w:val="24"/>
                <w:lang w:val="en-US" w:eastAsia="zh-CN"/>
              </w:rPr>
              <w:t>125</w:t>
            </w:r>
            <w:r>
              <w:rPr>
                <w:rFonts w:hint="eastAsia"/>
                <w:color w:val="auto"/>
                <w:sz w:val="24"/>
                <w:lang w:eastAsia="zh-CN"/>
              </w:rPr>
              <w:t>人</w:t>
            </w:r>
            <w:r>
              <w:rPr>
                <w:rFonts w:hint="eastAsia"/>
                <w:color w:val="auto"/>
                <w:sz w:val="24"/>
              </w:rPr>
              <w:t>，</w:t>
            </w:r>
            <w:r>
              <w:rPr>
                <w:bCs/>
                <w:color w:val="auto"/>
                <w:sz w:val="24"/>
              </w:rPr>
              <w:t>年工作天数300d</w:t>
            </w:r>
            <w:r>
              <w:rPr>
                <w:rFonts w:hint="eastAsia"/>
                <w:bCs/>
                <w:color w:val="auto"/>
                <w:sz w:val="24"/>
                <w:lang w:eastAsia="zh-CN"/>
              </w:rPr>
              <w:t>，</w:t>
            </w:r>
            <w:r>
              <w:rPr>
                <w:rFonts w:hint="eastAsia"/>
                <w:color w:val="auto"/>
                <w:sz w:val="24"/>
              </w:rPr>
              <w:t>厂内工作人员产生垃圾以0.5kg/人·d计，则办公生活垃圾量</w:t>
            </w:r>
            <w:r>
              <w:rPr>
                <w:rFonts w:hint="eastAsia"/>
                <w:color w:val="auto"/>
                <w:sz w:val="24"/>
                <w:lang w:val="en-US" w:eastAsia="zh-CN"/>
              </w:rPr>
              <w:t>62.5</w:t>
            </w:r>
            <w:r>
              <w:rPr>
                <w:rFonts w:hint="eastAsia"/>
                <w:color w:val="auto"/>
                <w:sz w:val="24"/>
              </w:rPr>
              <w:t>kg/d，</w:t>
            </w:r>
            <w:r>
              <w:rPr>
                <w:rFonts w:hint="eastAsia"/>
                <w:color w:val="auto"/>
                <w:sz w:val="24"/>
                <w:lang w:val="en-US" w:eastAsia="zh-CN"/>
              </w:rPr>
              <w:t>18.75</w:t>
            </w:r>
            <w:r>
              <w:rPr>
                <w:rFonts w:hint="eastAsia"/>
                <w:color w:val="auto"/>
                <w:sz w:val="24"/>
              </w:rPr>
              <w:t>t/a。</w:t>
            </w:r>
            <w:r>
              <w:rPr>
                <w:color w:val="auto"/>
                <w:sz w:val="24"/>
                <w:lang w:eastAsia="zh-CN"/>
              </w:rPr>
              <w:t>收集后交由环卫部门定期统一清运。</w:t>
            </w:r>
            <w:r>
              <w:rPr>
                <w:rFonts w:hint="eastAsia"/>
                <w:color w:val="auto"/>
                <w:sz w:val="24"/>
              </w:rPr>
              <w:t>根据</w:t>
            </w:r>
            <w:r>
              <w:rPr>
                <w:color w:val="auto"/>
                <w:sz w:val="24"/>
              </w:rPr>
              <w:t>《固体废物分类与代码目录》（生态环境部公告2024年第4号）</w:t>
            </w:r>
            <w:r>
              <w:rPr>
                <w:rFonts w:hint="eastAsia"/>
                <w:color w:val="auto"/>
                <w:sz w:val="24"/>
              </w:rPr>
              <w:t>，废物代码为900-001-S60</w:t>
            </w:r>
            <w:r>
              <w:rPr>
                <w:bCs/>
                <w:color w:val="auto"/>
                <w:sz w:val="24"/>
              </w:rPr>
              <w:t>。</w:t>
            </w:r>
          </w:p>
          <w:p w14:paraId="4A2CD3BA">
            <w:pPr>
              <w:spacing w:line="360" w:lineRule="auto"/>
              <w:ind w:firstLine="482" w:firstLineChars="200"/>
              <w:rPr>
                <w:bCs/>
                <w:color w:val="auto"/>
                <w:sz w:val="24"/>
              </w:rPr>
            </w:pPr>
            <w:r>
              <w:rPr>
                <w:rFonts w:hint="eastAsia"/>
                <w:b/>
                <w:color w:val="auto"/>
                <w:sz w:val="24"/>
                <w:lang w:val="en-US" w:eastAsia="zh-CN"/>
              </w:rPr>
              <w:t>⑥</w:t>
            </w:r>
            <w:r>
              <w:rPr>
                <w:rFonts w:hint="eastAsia"/>
                <w:b/>
                <w:color w:val="auto"/>
                <w:sz w:val="24"/>
              </w:rPr>
              <w:t>餐厨垃圾</w:t>
            </w:r>
            <w:r>
              <w:rPr>
                <w:rFonts w:hint="eastAsia"/>
                <w:bCs/>
                <w:color w:val="auto"/>
                <w:sz w:val="24"/>
              </w:rPr>
              <w:t>：</w:t>
            </w:r>
            <w:r>
              <w:rPr>
                <w:bCs/>
                <w:color w:val="auto"/>
                <w:sz w:val="24"/>
              </w:rPr>
              <w:t>本项目营运期间产生的餐厨垃圾主要</w:t>
            </w:r>
            <w:r>
              <w:rPr>
                <w:rFonts w:hint="eastAsia"/>
                <w:bCs/>
                <w:color w:val="auto"/>
                <w:sz w:val="24"/>
              </w:rPr>
              <w:t>为食堂菜品</w:t>
            </w:r>
            <w:r>
              <w:rPr>
                <w:bCs/>
                <w:color w:val="auto"/>
                <w:sz w:val="24"/>
              </w:rPr>
              <w:t>加工过程中产生的边角余料、剩饭剩菜。根据相关经验数据可得，食堂餐厨垃圾以0.</w:t>
            </w:r>
            <w:r>
              <w:rPr>
                <w:rFonts w:hint="eastAsia"/>
                <w:bCs/>
                <w:color w:val="auto"/>
                <w:sz w:val="24"/>
              </w:rPr>
              <w:t>15</w:t>
            </w:r>
            <w:r>
              <w:rPr>
                <w:bCs/>
                <w:color w:val="auto"/>
                <w:sz w:val="24"/>
              </w:rPr>
              <w:t>kg/人次•d计，</w:t>
            </w:r>
            <w:r>
              <w:rPr>
                <w:rFonts w:hint="eastAsia"/>
                <w:bCs/>
                <w:color w:val="auto"/>
                <w:sz w:val="24"/>
              </w:rPr>
              <w:t>本项目新增</w:t>
            </w:r>
            <w:r>
              <w:rPr>
                <w:bCs/>
                <w:color w:val="auto"/>
                <w:sz w:val="24"/>
              </w:rPr>
              <w:t>食堂总就餐人数约</w:t>
            </w:r>
            <w:r>
              <w:rPr>
                <w:rFonts w:hint="eastAsia"/>
                <w:bCs/>
                <w:color w:val="auto"/>
                <w:sz w:val="24"/>
              </w:rPr>
              <w:t>160</w:t>
            </w:r>
            <w:r>
              <w:rPr>
                <w:bCs/>
                <w:color w:val="auto"/>
                <w:sz w:val="24"/>
              </w:rPr>
              <w:t>人/d，则</w:t>
            </w:r>
            <w:r>
              <w:rPr>
                <w:rFonts w:hint="eastAsia"/>
                <w:bCs/>
                <w:color w:val="auto"/>
                <w:sz w:val="24"/>
              </w:rPr>
              <w:t>本项目餐厨垃圾产生量为</w:t>
            </w:r>
            <w:r>
              <w:rPr>
                <w:rFonts w:hint="eastAsia"/>
                <w:bCs/>
                <w:color w:val="auto"/>
                <w:sz w:val="24"/>
                <w:lang w:val="en-US" w:eastAsia="zh-CN"/>
              </w:rPr>
              <w:t>24kg</w:t>
            </w:r>
            <w:r>
              <w:rPr>
                <w:rFonts w:hint="eastAsia"/>
                <w:color w:val="auto"/>
                <w:sz w:val="24"/>
              </w:rPr>
              <w:t>/d</w:t>
            </w:r>
            <w:r>
              <w:rPr>
                <w:rFonts w:hint="eastAsia"/>
                <w:color w:val="auto"/>
                <w:sz w:val="24"/>
                <w:lang w:eastAsia="zh-CN"/>
              </w:rPr>
              <w:t>，</w:t>
            </w:r>
            <w:r>
              <w:rPr>
                <w:rFonts w:hint="eastAsia"/>
                <w:bCs/>
                <w:color w:val="auto"/>
                <w:sz w:val="24"/>
              </w:rPr>
              <w:t>7.2</w:t>
            </w:r>
            <w:r>
              <w:rPr>
                <w:bCs/>
                <w:color w:val="auto"/>
                <w:sz w:val="24"/>
              </w:rPr>
              <w:t>t/a。</w:t>
            </w:r>
            <w:r>
              <w:rPr>
                <w:rFonts w:hint="eastAsia"/>
                <w:color w:val="auto"/>
                <w:sz w:val="24"/>
              </w:rPr>
              <w:t>根据</w:t>
            </w:r>
            <w:r>
              <w:rPr>
                <w:color w:val="auto"/>
                <w:sz w:val="24"/>
              </w:rPr>
              <w:t>《固体废物分类与代码目录》（生态环境部公告2024年第4号）</w:t>
            </w:r>
            <w:r>
              <w:rPr>
                <w:rFonts w:hint="eastAsia"/>
                <w:color w:val="auto"/>
                <w:sz w:val="24"/>
              </w:rPr>
              <w:t>，废物代码为900-002-S61</w:t>
            </w:r>
            <w:r>
              <w:rPr>
                <w:bCs/>
                <w:color w:val="auto"/>
                <w:sz w:val="24"/>
              </w:rPr>
              <w:t>。</w:t>
            </w:r>
          </w:p>
          <w:p w14:paraId="10137461">
            <w:pPr>
              <w:spacing w:line="360" w:lineRule="auto"/>
              <w:ind w:firstLine="480" w:firstLineChars="200"/>
              <w:rPr>
                <w:bCs/>
                <w:color w:val="auto"/>
                <w:sz w:val="24"/>
              </w:rPr>
            </w:pPr>
            <w:r>
              <w:rPr>
                <w:bCs/>
                <w:color w:val="auto"/>
                <w:sz w:val="24"/>
              </w:rPr>
              <w:t>对餐饮废物应分类桶装收集（加盖、标识）。餐厨垃圾由项目每日使用加盖塑料桶进行收集，收集后由专人每日清运，不得在</w:t>
            </w:r>
            <w:r>
              <w:rPr>
                <w:rFonts w:hint="eastAsia"/>
                <w:bCs/>
                <w:color w:val="auto"/>
                <w:sz w:val="24"/>
              </w:rPr>
              <w:t>厂</w:t>
            </w:r>
            <w:r>
              <w:rPr>
                <w:bCs/>
                <w:color w:val="auto"/>
                <w:sz w:val="24"/>
              </w:rPr>
              <w:t>内滞留过夜，以免异味及蚊虫、老鼠等滋生。</w:t>
            </w:r>
          </w:p>
          <w:p w14:paraId="7AC29F97">
            <w:pPr>
              <w:spacing w:line="360" w:lineRule="auto"/>
              <w:ind w:firstLine="480" w:firstLineChars="200"/>
              <w:rPr>
                <w:rFonts w:hint="eastAsia"/>
                <w:bCs/>
                <w:color w:val="auto"/>
                <w:sz w:val="24"/>
              </w:rPr>
            </w:pPr>
            <w:r>
              <w:rPr>
                <w:rFonts w:hint="eastAsia"/>
                <w:bCs/>
                <w:color w:val="auto"/>
                <w:sz w:val="24"/>
              </w:rPr>
              <w:t>针对餐厨垃圾，本环评建议采取如下措施：</w:t>
            </w:r>
          </w:p>
          <w:p w14:paraId="35D1229D">
            <w:pPr>
              <w:spacing w:line="360" w:lineRule="auto"/>
              <w:ind w:firstLine="480" w:firstLineChars="200"/>
              <w:rPr>
                <w:rFonts w:hint="eastAsia"/>
                <w:bCs/>
                <w:color w:val="auto"/>
                <w:sz w:val="24"/>
              </w:rPr>
            </w:pPr>
            <w:r>
              <w:rPr>
                <w:rFonts w:hint="eastAsia"/>
                <w:bCs/>
                <w:color w:val="auto"/>
                <w:sz w:val="24"/>
              </w:rPr>
              <w:t>a.餐厨垃圾应当按照卫生、环保、城市管理部门的规定收集、存放和处置，也可以委托有经营资质的作业单位代为收集、存放、运输和处置。收集、存放、运输、处置餐厨垃圾，不得污染城市道路和环境。禁止将餐厨垃圾排入雨水、污水管道或沟渠、河道、公共厕所等。”</w:t>
            </w:r>
          </w:p>
          <w:p w14:paraId="60F8D4D7">
            <w:pPr>
              <w:spacing w:line="360" w:lineRule="auto"/>
              <w:ind w:firstLine="480" w:firstLineChars="200"/>
              <w:rPr>
                <w:rFonts w:hint="eastAsia"/>
                <w:bCs/>
                <w:color w:val="auto"/>
                <w:sz w:val="24"/>
              </w:rPr>
            </w:pPr>
            <w:r>
              <w:rPr>
                <w:rFonts w:hint="eastAsia"/>
                <w:bCs/>
                <w:color w:val="auto"/>
                <w:sz w:val="24"/>
              </w:rPr>
              <w:t>b.项目食堂应设置专门的餐厨垃圾收集容器，收集容器保持完好和密闭，并标明餐厨垃圾收集容器字样。</w:t>
            </w:r>
          </w:p>
          <w:p w14:paraId="7FDB348A">
            <w:pPr>
              <w:spacing w:line="360" w:lineRule="auto"/>
              <w:ind w:firstLine="480" w:firstLineChars="200"/>
              <w:rPr>
                <w:rFonts w:hint="eastAsia"/>
                <w:bCs/>
                <w:color w:val="auto"/>
                <w:sz w:val="24"/>
              </w:rPr>
            </w:pPr>
            <w:r>
              <w:rPr>
                <w:rFonts w:hint="eastAsia"/>
                <w:bCs/>
                <w:color w:val="auto"/>
                <w:sz w:val="24"/>
              </w:rPr>
              <w:t>c.项目食堂在餐厨垃圾产生后24小时内将其交给收运单位或个人运输，不得将餐厨垃圾交由未在城管部门建档备查的餐厨收运单位或个人收运、处理。</w:t>
            </w:r>
          </w:p>
          <w:p w14:paraId="438384C5">
            <w:pPr>
              <w:spacing w:line="360" w:lineRule="auto"/>
              <w:ind w:firstLine="480" w:firstLineChars="200"/>
              <w:rPr>
                <w:rFonts w:hint="eastAsia"/>
                <w:bCs/>
                <w:color w:val="auto"/>
                <w:sz w:val="24"/>
              </w:rPr>
            </w:pPr>
            <w:r>
              <w:rPr>
                <w:rFonts w:hint="eastAsia"/>
                <w:bCs/>
                <w:color w:val="auto"/>
                <w:sz w:val="24"/>
              </w:rPr>
              <w:t>d.项目食堂应当与餐厨垃圾收运者签订餐厨垃圾合收运同或协议，相关合同或者协议不得违反《中华人民共和国食品安全法》相关规定，不得将餐厨垃圾回收作为食品原料。</w:t>
            </w:r>
          </w:p>
          <w:p w14:paraId="77DBDD11">
            <w:pPr>
              <w:spacing w:line="360" w:lineRule="auto"/>
              <w:ind w:firstLine="480" w:firstLineChars="200"/>
              <w:rPr>
                <w:rFonts w:hint="eastAsia"/>
                <w:bCs/>
                <w:color w:val="auto"/>
                <w:sz w:val="24"/>
              </w:rPr>
            </w:pPr>
            <w:r>
              <w:rPr>
                <w:rFonts w:hint="eastAsia"/>
                <w:bCs/>
                <w:color w:val="auto"/>
                <w:sz w:val="24"/>
              </w:rPr>
              <w:t>e.“收购方”必须在卫生监管部门备案，运输工具（如三轮车、货车）等要在城管部门登记。</w:t>
            </w:r>
          </w:p>
          <w:p w14:paraId="5004A51D">
            <w:pPr>
              <w:spacing w:line="360" w:lineRule="auto"/>
              <w:ind w:firstLine="480" w:firstLineChars="200"/>
              <w:rPr>
                <w:rFonts w:hint="eastAsia" w:ascii="宋体" w:hAnsi="宋体" w:cs="宋体"/>
                <w:b/>
                <w:bCs/>
                <w:color w:val="auto"/>
                <w:sz w:val="24"/>
                <w:lang w:val="en-US" w:eastAsia="zh-CN"/>
              </w:rPr>
            </w:pPr>
            <w:r>
              <w:rPr>
                <w:rFonts w:hint="eastAsia"/>
                <w:bCs/>
                <w:color w:val="auto"/>
                <w:sz w:val="24"/>
              </w:rPr>
              <w:t>本项目应严格按照上述要求对餐厨垃圾进行处理，评价要求业主方必须与有餐厨垃圾处理资质单位签订潲水移交协议，并严格执行以上要求及《饮食业环境保护技术规范》中的相关要求，相关协议在项目营运前交环保部门备案。</w:t>
            </w:r>
          </w:p>
          <w:p w14:paraId="34C35552">
            <w:pPr>
              <w:spacing w:line="360" w:lineRule="auto"/>
              <w:ind w:firstLine="482" w:firstLineChars="200"/>
              <w:rPr>
                <w:bCs/>
                <w:color w:val="auto"/>
                <w:sz w:val="24"/>
              </w:rPr>
            </w:pPr>
            <w:r>
              <w:rPr>
                <w:rFonts w:hint="eastAsia" w:ascii="宋体" w:hAnsi="宋体" w:cs="宋体"/>
                <w:b/>
                <w:bCs/>
                <w:color w:val="auto"/>
                <w:sz w:val="24"/>
                <w:lang w:val="en-US" w:eastAsia="zh-CN"/>
              </w:rPr>
              <w:t>⑦油水分离器废油脂</w:t>
            </w:r>
            <w:r>
              <w:rPr>
                <w:rFonts w:hint="eastAsia" w:ascii="宋体" w:hAnsi="宋体" w:cs="宋体"/>
                <w:b/>
                <w:bCs/>
                <w:color w:val="auto"/>
                <w:sz w:val="24"/>
              </w:rPr>
              <w:t>：</w:t>
            </w:r>
            <w:r>
              <w:rPr>
                <w:bCs/>
                <w:color w:val="auto"/>
                <w:sz w:val="24"/>
              </w:rPr>
              <w:t>食堂废水</w:t>
            </w:r>
            <w:r>
              <w:rPr>
                <w:b w:val="0"/>
                <w:bCs/>
                <w:color w:val="auto"/>
                <w:sz w:val="24"/>
              </w:rPr>
              <w:t>经</w:t>
            </w:r>
            <w:r>
              <w:rPr>
                <w:rFonts w:hint="eastAsia" w:ascii="宋体" w:hAnsi="宋体" w:cs="宋体"/>
                <w:b w:val="0"/>
                <w:bCs/>
                <w:color w:val="auto"/>
                <w:sz w:val="24"/>
                <w:lang w:val="en-US" w:eastAsia="zh-CN"/>
              </w:rPr>
              <w:t>油水分离器</w:t>
            </w:r>
            <w:r>
              <w:rPr>
                <w:bCs/>
                <w:color w:val="auto"/>
                <w:sz w:val="24"/>
              </w:rPr>
              <w:t>处理后进入预处理池，本项目隔油器收集的废油脂量约为0.</w:t>
            </w:r>
            <w:r>
              <w:rPr>
                <w:rFonts w:hint="eastAsia"/>
                <w:bCs/>
                <w:color w:val="auto"/>
                <w:sz w:val="24"/>
                <w:lang w:val="en-US" w:eastAsia="zh-CN"/>
              </w:rPr>
              <w:t>1</w:t>
            </w:r>
            <w:r>
              <w:rPr>
                <w:bCs/>
                <w:color w:val="auto"/>
                <w:sz w:val="24"/>
              </w:rPr>
              <w:t>t/a。委托相关具有餐厨垃圾处理资质的单位定期前往厂区进行清掏，清掏完毕随即拉运至资质单</w:t>
            </w:r>
            <w:r>
              <w:rPr>
                <w:rFonts w:hint="eastAsia"/>
                <w:bCs/>
                <w:color w:val="auto"/>
                <w:sz w:val="24"/>
              </w:rPr>
              <w:t>位合理处置，建设单位不得随意处置。</w:t>
            </w:r>
            <w:r>
              <w:rPr>
                <w:rFonts w:hint="eastAsia"/>
                <w:color w:val="auto"/>
                <w:sz w:val="24"/>
              </w:rPr>
              <w:t>根据</w:t>
            </w:r>
            <w:r>
              <w:rPr>
                <w:color w:val="auto"/>
                <w:sz w:val="24"/>
              </w:rPr>
              <w:t>《固体废物分类与代码目录》（生态环境部公告2024年第4号）</w:t>
            </w:r>
            <w:r>
              <w:rPr>
                <w:rFonts w:hint="eastAsia"/>
                <w:color w:val="auto"/>
                <w:sz w:val="24"/>
              </w:rPr>
              <w:t>，废物代码为900-002-S61</w:t>
            </w:r>
            <w:r>
              <w:rPr>
                <w:bCs/>
                <w:color w:val="auto"/>
                <w:sz w:val="24"/>
              </w:rPr>
              <w:t>。</w:t>
            </w:r>
          </w:p>
          <w:p w14:paraId="3A153958">
            <w:pPr>
              <w:spacing w:line="360" w:lineRule="auto"/>
              <w:ind w:firstLine="482" w:firstLineChars="200"/>
              <w:rPr>
                <w:b/>
                <w:bCs w:val="0"/>
                <w:color w:val="auto"/>
                <w:sz w:val="24"/>
              </w:rPr>
            </w:pPr>
            <w:r>
              <w:rPr>
                <w:rFonts w:hint="eastAsia"/>
                <w:b/>
                <w:bCs w:val="0"/>
                <w:color w:val="auto"/>
                <w:sz w:val="24"/>
              </w:rPr>
              <w:t>一般</w:t>
            </w:r>
            <w:r>
              <w:rPr>
                <w:b/>
                <w:bCs w:val="0"/>
                <w:color w:val="auto"/>
                <w:sz w:val="24"/>
              </w:rPr>
              <w:t>固废</w:t>
            </w:r>
            <w:r>
              <w:rPr>
                <w:rFonts w:hint="eastAsia"/>
                <w:b/>
                <w:bCs w:val="0"/>
                <w:color w:val="auto"/>
                <w:sz w:val="24"/>
              </w:rPr>
              <w:t>收集</w:t>
            </w:r>
            <w:r>
              <w:rPr>
                <w:b/>
                <w:bCs w:val="0"/>
                <w:color w:val="auto"/>
                <w:sz w:val="24"/>
              </w:rPr>
              <w:t>暂存</w:t>
            </w:r>
            <w:r>
              <w:rPr>
                <w:rFonts w:hint="eastAsia"/>
                <w:b/>
                <w:bCs w:val="0"/>
                <w:color w:val="auto"/>
                <w:sz w:val="24"/>
              </w:rPr>
              <w:t>环境</w:t>
            </w:r>
            <w:r>
              <w:rPr>
                <w:b/>
                <w:bCs w:val="0"/>
                <w:color w:val="auto"/>
                <w:sz w:val="24"/>
              </w:rPr>
              <w:t>管理要求：</w:t>
            </w:r>
          </w:p>
          <w:p w14:paraId="6E9480EF">
            <w:pPr>
              <w:spacing w:line="360" w:lineRule="auto"/>
              <w:ind w:firstLine="480" w:firstLineChars="200"/>
              <w:rPr>
                <w:rFonts w:hint="eastAsia"/>
                <w:bCs/>
                <w:color w:val="auto"/>
                <w:sz w:val="24"/>
              </w:rPr>
            </w:pPr>
            <w:r>
              <w:rPr>
                <w:rFonts w:hint="eastAsia"/>
                <w:bCs/>
                <w:color w:val="auto"/>
                <w:sz w:val="24"/>
              </w:rPr>
              <w:t>依托建设单位</w:t>
            </w:r>
            <w:r>
              <w:rPr>
                <w:rFonts w:hint="default" w:ascii="Times New Roman" w:hAnsi="Times New Roman" w:eastAsia="宋体" w:cs="Times New Roman"/>
                <w:color w:val="auto"/>
                <w:sz w:val="24"/>
                <w:szCs w:val="24"/>
                <w:lang w:val="en-US" w:eastAsia="zh-CN"/>
              </w:rPr>
              <w:t>在</w:t>
            </w:r>
            <w:r>
              <w:rPr>
                <w:rFonts w:hint="eastAsia" w:ascii="Times New Roman" w:hAnsi="Times New Roman" w:eastAsia="宋体" w:cs="Times New Roman"/>
                <w:color w:val="auto"/>
                <w:sz w:val="24"/>
                <w:szCs w:val="24"/>
                <w:lang w:val="en-US" w:eastAsia="zh-CN"/>
              </w:rPr>
              <w:t>1#</w:t>
            </w:r>
            <w:r>
              <w:rPr>
                <w:rFonts w:hint="default" w:ascii="Times New Roman" w:hAnsi="Times New Roman" w:cs="Times New Roman"/>
                <w:color w:val="auto"/>
                <w:sz w:val="24"/>
                <w:szCs w:val="24"/>
                <w:lang w:val="en-US" w:eastAsia="zh-CN"/>
              </w:rPr>
              <w:t>车间西南角设置</w:t>
            </w:r>
            <w:r>
              <w:rPr>
                <w:rFonts w:hint="eastAsia" w:ascii="Times New Roman" w:hAnsi="Times New Roman" w:cs="Times New Roman"/>
                <w:color w:val="auto"/>
                <w:sz w:val="24"/>
                <w:szCs w:val="24"/>
                <w:lang w:val="en-US" w:eastAsia="zh-CN"/>
              </w:rPr>
              <w:t>的</w:t>
            </w:r>
            <w:r>
              <w:rPr>
                <w:rFonts w:hint="default" w:ascii="Times New Roman" w:hAnsi="Times New Roman" w:cs="Times New Roman"/>
                <w:color w:val="auto"/>
                <w:sz w:val="24"/>
                <w:szCs w:val="24"/>
                <w:lang w:val="en-US" w:eastAsia="zh-CN"/>
              </w:rPr>
              <w:t>一处占地约</w:t>
            </w:r>
            <w:r>
              <w:rPr>
                <w:rFonts w:hint="default" w:ascii="Times New Roman" w:hAnsi="Times New Roman" w:eastAsia="宋体" w:cs="Times New Roman"/>
                <w:bCs/>
                <w:color w:val="auto"/>
                <w:sz w:val="24"/>
                <w:szCs w:val="24"/>
                <w:lang w:val="en-US" w:eastAsia="zh-CN"/>
              </w:rPr>
              <w:t>50m</w:t>
            </w:r>
            <w:r>
              <w:rPr>
                <w:rFonts w:hint="default" w:ascii="Times New Roman" w:hAnsi="Times New Roman" w:eastAsia="宋体" w:cs="Times New Roman"/>
                <w:bCs/>
                <w:color w:val="auto"/>
                <w:sz w:val="24"/>
                <w:szCs w:val="24"/>
                <w:vertAlign w:val="superscript"/>
                <w:lang w:val="en-US" w:eastAsia="zh-CN"/>
              </w:rPr>
              <w:t>2</w:t>
            </w:r>
            <w:r>
              <w:rPr>
                <w:rFonts w:hint="default" w:ascii="Times New Roman" w:hAnsi="Times New Roman" w:cs="Times New Roman"/>
                <w:bCs/>
                <w:color w:val="auto"/>
                <w:sz w:val="24"/>
                <w:szCs w:val="24"/>
                <w:vertAlign w:val="baseline"/>
                <w:lang w:val="en-US" w:eastAsia="zh-CN"/>
              </w:rPr>
              <w:t>的残次品堆放间，专用于堆放生产过程中产生的残次品，</w:t>
            </w:r>
            <w:r>
              <w:rPr>
                <w:rFonts w:hint="eastAsia" w:ascii="Times New Roman" w:hAnsi="Times New Roman" w:cs="Times New Roman"/>
                <w:bCs/>
                <w:color w:val="auto"/>
                <w:sz w:val="24"/>
                <w:szCs w:val="24"/>
                <w:vertAlign w:val="baseline"/>
                <w:lang w:val="en-US" w:eastAsia="zh-CN"/>
              </w:rPr>
              <w:t>依托</w:t>
            </w:r>
            <w:r>
              <w:rPr>
                <w:rFonts w:hint="default" w:ascii="Times New Roman" w:hAnsi="Times New Roman" w:cs="Times New Roman"/>
                <w:color w:val="auto"/>
                <w:sz w:val="24"/>
                <w:szCs w:val="24"/>
                <w:lang w:val="en-US" w:eastAsia="zh-CN"/>
              </w:rPr>
              <w:t>在</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车间东南角设置</w:t>
            </w:r>
            <w:r>
              <w:rPr>
                <w:rFonts w:hint="eastAsia" w:ascii="Times New Roman" w:hAnsi="Times New Roman" w:cs="Times New Roman"/>
                <w:color w:val="auto"/>
                <w:sz w:val="24"/>
                <w:szCs w:val="24"/>
                <w:lang w:val="en-US" w:eastAsia="zh-CN"/>
              </w:rPr>
              <w:t>的</w:t>
            </w:r>
            <w:r>
              <w:rPr>
                <w:rFonts w:hint="default" w:ascii="Times New Roman" w:hAnsi="Times New Roman" w:cs="Times New Roman"/>
                <w:color w:val="auto"/>
                <w:sz w:val="24"/>
                <w:szCs w:val="24"/>
                <w:lang w:val="en-US" w:eastAsia="zh-CN"/>
              </w:rPr>
              <w:t>一处</w:t>
            </w:r>
            <w:r>
              <w:rPr>
                <w:rFonts w:hint="default" w:ascii="Times New Roman" w:hAnsi="Times New Roman" w:eastAsia="宋体" w:cs="Times New Roman"/>
                <w:color w:val="auto"/>
                <w:sz w:val="24"/>
                <w:szCs w:val="24"/>
                <w:lang w:val="en-US" w:eastAsia="zh-CN"/>
              </w:rPr>
              <w:t>占地2</w:t>
            </w:r>
            <w:r>
              <w:rPr>
                <w:rFonts w:hint="default" w:ascii="Times New Roman" w:hAnsi="Times New Roman"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的</w:t>
            </w:r>
            <w:r>
              <w:rPr>
                <w:rFonts w:hint="default" w:ascii="Times New Roman" w:hAnsi="Times New Roman" w:cs="Times New Roman"/>
                <w:color w:val="auto"/>
                <w:sz w:val="24"/>
                <w:szCs w:val="24"/>
                <w:lang w:val="en-US" w:eastAsia="zh-CN"/>
              </w:rPr>
              <w:t>固废暂存间</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用于暂存及管理生产过程产生的</w:t>
            </w:r>
            <w:r>
              <w:rPr>
                <w:rFonts w:hint="default" w:ascii="Times New Roman" w:hAnsi="Times New Roman" w:cs="Times New Roman"/>
                <w:color w:val="auto"/>
                <w:sz w:val="24"/>
                <w:szCs w:val="24"/>
                <w:lang w:val="en-US" w:eastAsia="zh-CN"/>
              </w:rPr>
              <w:t>其余</w:t>
            </w:r>
            <w:r>
              <w:rPr>
                <w:rFonts w:hint="default" w:ascii="Times New Roman" w:hAnsi="Times New Roman" w:eastAsia="宋体" w:cs="Times New Roman"/>
                <w:color w:val="auto"/>
                <w:sz w:val="24"/>
                <w:szCs w:val="24"/>
                <w:lang w:val="en-US" w:eastAsia="zh-CN"/>
              </w:rPr>
              <w:t>一般</w:t>
            </w:r>
            <w:r>
              <w:rPr>
                <w:rFonts w:hint="default" w:ascii="Times New Roman" w:hAnsi="Times New Roman" w:cs="Times New Roman"/>
                <w:color w:val="auto"/>
                <w:sz w:val="24"/>
                <w:szCs w:val="24"/>
                <w:lang w:val="en-US" w:eastAsia="zh-CN"/>
              </w:rPr>
              <w:t>生产</w:t>
            </w:r>
            <w:r>
              <w:rPr>
                <w:rFonts w:hint="default" w:ascii="Times New Roman" w:hAnsi="Times New Roman" w:eastAsia="宋体" w:cs="Times New Roman"/>
                <w:color w:val="auto"/>
                <w:sz w:val="24"/>
                <w:szCs w:val="24"/>
                <w:lang w:val="en-US" w:eastAsia="zh-CN"/>
              </w:rPr>
              <w:t>固废</w:t>
            </w:r>
            <w:r>
              <w:rPr>
                <w:rFonts w:hint="eastAsia"/>
                <w:bCs/>
                <w:color w:val="auto"/>
                <w:sz w:val="24"/>
              </w:rPr>
              <w:t>，评价要求对各类一般固废进行分类存放。废烫金纸、废边角料、残次品、废包装材料，分类收集，定期进行外售</w:t>
            </w:r>
            <w:r>
              <w:rPr>
                <w:bCs/>
                <w:color w:val="auto"/>
                <w:sz w:val="24"/>
              </w:rPr>
              <w:t>综合利用</w:t>
            </w:r>
            <w:r>
              <w:rPr>
                <w:rFonts w:hint="eastAsia"/>
                <w:bCs/>
                <w:color w:val="auto"/>
                <w:sz w:val="24"/>
              </w:rPr>
              <w:t>；生活垃圾收集于垃圾桶内，由环卫部门定期清运；餐厨垃圾及</w:t>
            </w:r>
            <w:r>
              <w:rPr>
                <w:rFonts w:hint="eastAsia"/>
                <w:bCs/>
                <w:color w:val="auto"/>
                <w:sz w:val="24"/>
                <w:lang w:val="en-US" w:eastAsia="zh-CN"/>
              </w:rPr>
              <w:t>油水分离器</w:t>
            </w:r>
            <w:r>
              <w:rPr>
                <w:rFonts w:hint="eastAsia"/>
                <w:bCs/>
                <w:color w:val="auto"/>
                <w:sz w:val="24"/>
              </w:rPr>
              <w:t>废油脂交有餐厨垃圾处理资质的单位处置。</w:t>
            </w:r>
          </w:p>
          <w:p w14:paraId="1697D4CF">
            <w:pPr>
              <w:adjustRightInd w:val="0"/>
              <w:snapToGrid w:val="0"/>
              <w:jc w:val="center"/>
              <w:rPr>
                <w:rFonts w:ascii="Times New Roman" w:hAnsi="Times New Roman" w:eastAsia="宋体"/>
                <w:b/>
                <w:color w:val="auto"/>
                <w:kern w:val="21"/>
                <w:szCs w:val="21"/>
              </w:rPr>
            </w:pPr>
            <w:r>
              <w:rPr>
                <w:rFonts w:hint="eastAsia" w:ascii="Times New Roman" w:hAnsi="Times New Roman" w:eastAsia="宋体"/>
                <w:b/>
                <w:color w:val="auto"/>
                <w:kern w:val="21"/>
                <w:szCs w:val="21"/>
              </w:rPr>
              <w:t>表4-</w:t>
            </w:r>
            <w:r>
              <w:rPr>
                <w:rFonts w:hint="eastAsia"/>
                <w:b/>
                <w:color w:val="auto"/>
                <w:kern w:val="21"/>
                <w:szCs w:val="21"/>
                <w:lang w:val="en-US" w:eastAsia="zh-CN"/>
              </w:rPr>
              <w:t>25</w:t>
            </w:r>
            <w:r>
              <w:rPr>
                <w:rFonts w:hint="eastAsia" w:ascii="Times New Roman" w:hAnsi="Times New Roman" w:eastAsia="宋体"/>
                <w:b/>
                <w:color w:val="auto"/>
                <w:kern w:val="21"/>
                <w:szCs w:val="21"/>
                <w:lang w:val="en-US" w:eastAsia="zh-CN"/>
              </w:rPr>
              <w:t>项目一般固体废弃物产生及处理情况表</w:t>
            </w:r>
          </w:p>
          <w:tbl>
            <w:tblPr>
              <w:tblStyle w:val="26"/>
              <w:tblW w:w="4985"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655"/>
              <w:gridCol w:w="1299"/>
              <w:gridCol w:w="1093"/>
              <w:gridCol w:w="1650"/>
              <w:gridCol w:w="1232"/>
              <w:gridCol w:w="2890"/>
            </w:tblGrid>
            <w:tr w14:paraId="2C1BB0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98" w:hRule="atLeast"/>
                <w:jc w:val="center"/>
              </w:trPr>
              <w:tc>
                <w:tcPr>
                  <w:tcW w:w="371" w:type="pct"/>
                  <w:shd w:val="clear" w:color="auto" w:fill="auto"/>
                  <w:vAlign w:val="center"/>
                </w:tcPr>
                <w:p w14:paraId="615CD289">
                  <w:pPr>
                    <w:adjustRightInd w:val="0"/>
                    <w:snapToGrid w:val="0"/>
                    <w:jc w:val="center"/>
                    <w:rPr>
                      <w:rFonts w:hint="default" w:ascii="Times New Roman" w:hAnsi="Times New Roman" w:eastAsia="宋体" w:cs="Times New Roman"/>
                      <w:b w:val="0"/>
                      <w:bCs/>
                      <w:i w:val="0"/>
                      <w:color w:val="auto"/>
                      <w:kern w:val="21"/>
                      <w:sz w:val="21"/>
                      <w:szCs w:val="21"/>
                    </w:rPr>
                  </w:pPr>
                  <w:r>
                    <w:rPr>
                      <w:rFonts w:hint="default" w:ascii="Times New Roman" w:hAnsi="Times New Roman" w:eastAsia="宋体" w:cs="Times New Roman"/>
                      <w:b/>
                      <w:bCs/>
                      <w:i w:val="0"/>
                      <w:color w:val="auto"/>
                      <w:kern w:val="21"/>
                      <w:sz w:val="21"/>
                      <w:szCs w:val="21"/>
                    </w:rPr>
                    <w:t>序号</w:t>
                  </w:r>
                </w:p>
              </w:tc>
              <w:tc>
                <w:tcPr>
                  <w:tcW w:w="736" w:type="pct"/>
                  <w:shd w:val="clear" w:color="auto" w:fill="auto"/>
                  <w:vAlign w:val="center"/>
                </w:tcPr>
                <w:p w14:paraId="60E5F349">
                  <w:pPr>
                    <w:adjustRightInd w:val="0"/>
                    <w:snapToGrid w:val="0"/>
                    <w:jc w:val="center"/>
                    <w:rPr>
                      <w:rFonts w:hint="default" w:ascii="Times New Roman" w:hAnsi="Times New Roman" w:eastAsia="宋体" w:cs="Times New Roman"/>
                      <w:b w:val="0"/>
                      <w:bCs/>
                      <w:i w:val="0"/>
                      <w:color w:val="auto"/>
                      <w:kern w:val="21"/>
                      <w:sz w:val="21"/>
                      <w:szCs w:val="21"/>
                    </w:rPr>
                  </w:pPr>
                  <w:r>
                    <w:rPr>
                      <w:rFonts w:hint="default" w:ascii="Times New Roman" w:hAnsi="Times New Roman" w:eastAsia="宋体" w:cs="Times New Roman"/>
                      <w:b/>
                      <w:bCs/>
                      <w:i w:val="0"/>
                      <w:color w:val="auto"/>
                      <w:kern w:val="21"/>
                      <w:sz w:val="21"/>
                      <w:szCs w:val="21"/>
                    </w:rPr>
                    <w:t>废弃物名称</w:t>
                  </w:r>
                </w:p>
              </w:tc>
              <w:tc>
                <w:tcPr>
                  <w:tcW w:w="619" w:type="pct"/>
                  <w:shd w:val="clear" w:color="auto" w:fill="auto"/>
                  <w:vAlign w:val="center"/>
                </w:tcPr>
                <w:p w14:paraId="74456396">
                  <w:pPr>
                    <w:adjustRightInd w:val="0"/>
                    <w:snapToGrid w:val="0"/>
                    <w:jc w:val="center"/>
                    <w:rPr>
                      <w:rFonts w:hint="default" w:ascii="Times New Roman" w:hAnsi="Times New Roman" w:eastAsia="宋体" w:cs="Times New Roman"/>
                      <w:b w:val="0"/>
                      <w:bCs/>
                      <w:i w:val="0"/>
                      <w:color w:val="auto"/>
                      <w:kern w:val="21"/>
                      <w:sz w:val="21"/>
                      <w:szCs w:val="21"/>
                    </w:rPr>
                  </w:pPr>
                  <w:r>
                    <w:rPr>
                      <w:rFonts w:hint="default" w:ascii="Times New Roman" w:hAnsi="Times New Roman" w:eastAsia="宋体" w:cs="Times New Roman"/>
                      <w:b/>
                      <w:bCs/>
                      <w:i w:val="0"/>
                      <w:color w:val="auto"/>
                      <w:kern w:val="21"/>
                      <w:sz w:val="21"/>
                      <w:szCs w:val="21"/>
                      <w:lang w:val="en-US" w:eastAsia="zh-CN"/>
                    </w:rPr>
                    <w:t>新增</w:t>
                  </w:r>
                  <w:r>
                    <w:rPr>
                      <w:rFonts w:hint="default" w:ascii="Times New Roman" w:hAnsi="Times New Roman" w:eastAsia="宋体" w:cs="Times New Roman"/>
                      <w:b/>
                      <w:bCs/>
                      <w:i w:val="0"/>
                      <w:color w:val="auto"/>
                      <w:kern w:val="21"/>
                      <w:sz w:val="21"/>
                      <w:szCs w:val="21"/>
                    </w:rPr>
                    <w:t>产生量t/a</w:t>
                  </w:r>
                </w:p>
              </w:tc>
              <w:tc>
                <w:tcPr>
                  <w:tcW w:w="935" w:type="pct"/>
                  <w:shd w:val="clear" w:color="auto" w:fill="auto"/>
                  <w:vAlign w:val="center"/>
                </w:tcPr>
                <w:p w14:paraId="6E15038A">
                  <w:pPr>
                    <w:adjustRightInd w:val="0"/>
                    <w:snapToGrid w:val="0"/>
                    <w:jc w:val="center"/>
                    <w:rPr>
                      <w:rFonts w:hint="default" w:ascii="Times New Roman" w:hAnsi="Times New Roman" w:eastAsia="宋体" w:cs="Times New Roman"/>
                      <w:b/>
                      <w:bCs/>
                      <w:i w:val="0"/>
                      <w:color w:val="auto"/>
                      <w:kern w:val="21"/>
                      <w:sz w:val="21"/>
                      <w:szCs w:val="21"/>
                    </w:rPr>
                  </w:pPr>
                  <w:r>
                    <w:rPr>
                      <w:rFonts w:hint="default" w:ascii="Times New Roman" w:hAnsi="Times New Roman" w:eastAsia="宋体" w:cs="Times New Roman"/>
                      <w:b/>
                      <w:bCs/>
                      <w:i w:val="0"/>
                      <w:color w:val="auto"/>
                      <w:kern w:val="21"/>
                      <w:sz w:val="21"/>
                      <w:szCs w:val="21"/>
                    </w:rPr>
                    <w:t>废物代码</w:t>
                  </w:r>
                </w:p>
              </w:tc>
              <w:tc>
                <w:tcPr>
                  <w:tcW w:w="698" w:type="pct"/>
                  <w:shd w:val="clear" w:color="auto" w:fill="auto"/>
                  <w:vAlign w:val="center"/>
                </w:tcPr>
                <w:p w14:paraId="588E4BB9">
                  <w:pPr>
                    <w:adjustRightInd w:val="0"/>
                    <w:snapToGrid w:val="0"/>
                    <w:jc w:val="center"/>
                    <w:rPr>
                      <w:rFonts w:hint="default" w:ascii="Times New Roman" w:hAnsi="Times New Roman" w:eastAsia="宋体" w:cs="Times New Roman"/>
                      <w:b w:val="0"/>
                      <w:bCs/>
                      <w:i w:val="0"/>
                      <w:color w:val="auto"/>
                      <w:kern w:val="21"/>
                      <w:sz w:val="21"/>
                      <w:szCs w:val="21"/>
                      <w:lang w:val="en-US" w:eastAsia="zh-CN"/>
                    </w:rPr>
                  </w:pPr>
                  <w:r>
                    <w:rPr>
                      <w:rFonts w:hint="default" w:ascii="Times New Roman" w:hAnsi="Times New Roman" w:eastAsia="宋体" w:cs="Times New Roman"/>
                      <w:b w:val="0"/>
                      <w:bCs/>
                      <w:i w:val="0"/>
                      <w:color w:val="auto"/>
                      <w:kern w:val="21"/>
                      <w:sz w:val="21"/>
                      <w:szCs w:val="21"/>
                      <w:lang w:val="en-US" w:eastAsia="zh-CN"/>
                    </w:rPr>
                    <w:t>固废属性</w:t>
                  </w:r>
                </w:p>
              </w:tc>
              <w:tc>
                <w:tcPr>
                  <w:tcW w:w="1637" w:type="pct"/>
                  <w:shd w:val="clear" w:color="auto" w:fill="auto"/>
                  <w:vAlign w:val="center"/>
                </w:tcPr>
                <w:p w14:paraId="32AC6350">
                  <w:pPr>
                    <w:adjustRightInd w:val="0"/>
                    <w:snapToGrid w:val="0"/>
                    <w:jc w:val="center"/>
                    <w:rPr>
                      <w:rFonts w:hint="default" w:ascii="Times New Roman" w:hAnsi="Times New Roman" w:eastAsia="宋体" w:cs="Times New Roman"/>
                      <w:b w:val="0"/>
                      <w:bCs/>
                      <w:i w:val="0"/>
                      <w:color w:val="auto"/>
                      <w:kern w:val="21"/>
                      <w:sz w:val="21"/>
                      <w:szCs w:val="21"/>
                    </w:rPr>
                  </w:pPr>
                  <w:r>
                    <w:rPr>
                      <w:rFonts w:hint="default" w:ascii="Times New Roman" w:hAnsi="Times New Roman" w:eastAsia="宋体" w:cs="Times New Roman"/>
                      <w:b/>
                      <w:bCs/>
                      <w:i w:val="0"/>
                      <w:color w:val="auto"/>
                      <w:kern w:val="21"/>
                      <w:sz w:val="21"/>
                      <w:szCs w:val="21"/>
                    </w:rPr>
                    <w:t>处置措施</w:t>
                  </w:r>
                </w:p>
              </w:tc>
            </w:tr>
            <w:tr w14:paraId="0ED40B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7" w:hRule="atLeast"/>
                <w:jc w:val="center"/>
              </w:trPr>
              <w:tc>
                <w:tcPr>
                  <w:tcW w:w="371" w:type="pct"/>
                  <w:shd w:val="clear" w:color="auto" w:fill="auto"/>
                  <w:vAlign w:val="center"/>
                </w:tcPr>
                <w:p w14:paraId="72458971">
                  <w:pPr>
                    <w:adjustRightInd w:val="0"/>
                    <w:snapToGrid w:val="0"/>
                    <w:jc w:val="center"/>
                    <w:rPr>
                      <w:rFonts w:hint="default" w:ascii="Times New Roman" w:hAnsi="Times New Roman" w:eastAsia="宋体" w:cs="Times New Roman"/>
                      <w:bCs/>
                      <w:color w:val="auto"/>
                      <w:kern w:val="21"/>
                      <w:sz w:val="21"/>
                      <w:szCs w:val="21"/>
                    </w:rPr>
                  </w:pPr>
                  <w:r>
                    <w:rPr>
                      <w:rFonts w:hint="default" w:ascii="Times New Roman" w:hAnsi="Times New Roman" w:eastAsia="宋体" w:cs="Times New Roman"/>
                      <w:bCs/>
                      <w:color w:val="auto"/>
                      <w:kern w:val="21"/>
                      <w:sz w:val="21"/>
                      <w:szCs w:val="21"/>
                    </w:rPr>
                    <w:t>1</w:t>
                  </w:r>
                </w:p>
              </w:tc>
              <w:tc>
                <w:tcPr>
                  <w:tcW w:w="736" w:type="pct"/>
                  <w:shd w:val="clear" w:color="auto" w:fill="auto"/>
                  <w:vAlign w:val="center"/>
                </w:tcPr>
                <w:p w14:paraId="1E59FFA1">
                  <w:pPr>
                    <w:wordWrap w:val="0"/>
                    <w:ind w:left="-105" w:leftChars="-50" w:right="-105" w:rightChars="-50"/>
                    <w:jc w:val="center"/>
                    <w:rPr>
                      <w:rFonts w:hint="default" w:ascii="Times New Roman" w:hAnsi="Times New Roman" w:eastAsia="宋体" w:cs="Times New Roman"/>
                      <w:bCs/>
                      <w:color w:val="auto"/>
                      <w:kern w:val="21"/>
                      <w:sz w:val="21"/>
                      <w:szCs w:val="21"/>
                    </w:rPr>
                  </w:pPr>
                  <w:r>
                    <w:rPr>
                      <w:rFonts w:hint="default" w:ascii="Times New Roman" w:hAnsi="Times New Roman" w:cs="Times New Roman"/>
                      <w:color w:val="auto"/>
                      <w:sz w:val="21"/>
                      <w:szCs w:val="21"/>
                    </w:rPr>
                    <w:t>废烫金纸</w:t>
                  </w:r>
                </w:p>
              </w:tc>
              <w:tc>
                <w:tcPr>
                  <w:tcW w:w="619" w:type="pct"/>
                  <w:shd w:val="clear" w:color="auto" w:fill="auto"/>
                  <w:vAlign w:val="center"/>
                </w:tcPr>
                <w:p w14:paraId="036F37AA">
                  <w:pPr>
                    <w:adjustRightInd w:val="0"/>
                    <w:snapToGrid w:val="0"/>
                    <w:jc w:val="center"/>
                    <w:rPr>
                      <w:rFonts w:hint="default" w:ascii="Times New Roman" w:hAnsi="Times New Roman" w:eastAsia="宋体" w:cs="Times New Roman"/>
                      <w:bCs/>
                      <w:color w:val="auto"/>
                      <w:kern w:val="21"/>
                      <w:sz w:val="21"/>
                      <w:szCs w:val="21"/>
                      <w:lang w:val="en-US" w:eastAsia="zh-CN"/>
                    </w:rPr>
                  </w:pPr>
                  <w:r>
                    <w:rPr>
                      <w:rFonts w:hint="eastAsia" w:ascii="Times New Roman" w:hAnsi="Times New Roman" w:cs="Times New Roman"/>
                      <w:bCs/>
                      <w:color w:val="auto"/>
                      <w:kern w:val="21"/>
                      <w:sz w:val="21"/>
                      <w:szCs w:val="21"/>
                      <w:lang w:val="en-US" w:eastAsia="zh-CN"/>
                    </w:rPr>
                    <w:t>1.0</w:t>
                  </w:r>
                </w:p>
              </w:tc>
              <w:tc>
                <w:tcPr>
                  <w:tcW w:w="935" w:type="pct"/>
                  <w:shd w:val="clear" w:color="auto" w:fill="auto"/>
                  <w:vAlign w:val="center"/>
                </w:tcPr>
                <w:p w14:paraId="613F0AA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工业</w:t>
                  </w:r>
                  <w:r>
                    <w:rPr>
                      <w:rFonts w:hint="default" w:ascii="Times New Roman" w:hAnsi="Times New Roman" w:eastAsia="宋体" w:cs="Times New Roman"/>
                      <w:color w:val="auto"/>
                      <w:sz w:val="21"/>
                      <w:szCs w:val="21"/>
                    </w:rPr>
                    <w:t>固体废物</w:t>
                  </w:r>
                </w:p>
                <w:p w14:paraId="181A9216">
                  <w:pPr>
                    <w:adjustRightInd w:val="0"/>
                    <w:snapToGrid w:val="0"/>
                    <w:jc w:val="center"/>
                    <w:rPr>
                      <w:rFonts w:hint="default" w:ascii="Times New Roman" w:hAnsi="Times New Roman" w:eastAsia="宋体" w:cs="Times New Roman"/>
                      <w:bCs/>
                      <w:color w:val="auto"/>
                      <w:kern w:val="21"/>
                      <w:sz w:val="21"/>
                      <w:szCs w:val="21"/>
                      <w:lang w:val="en-US"/>
                    </w:rPr>
                  </w:pPr>
                  <w:r>
                    <w:rPr>
                      <w:rFonts w:hint="default" w:ascii="Times New Roman" w:hAnsi="Times New Roman" w:cs="Times New Roman"/>
                      <w:color w:val="auto"/>
                      <w:sz w:val="21"/>
                      <w:szCs w:val="21"/>
                      <w:highlight w:val="none"/>
                      <w:lang w:val="en-US" w:eastAsia="zh-CN"/>
                    </w:rPr>
                    <w:t>900-0</w:t>
                  </w:r>
                  <w:r>
                    <w:rPr>
                      <w:rFonts w:hint="eastAsia" w:cs="Times New Roman"/>
                      <w:color w:val="auto"/>
                      <w:sz w:val="21"/>
                      <w:szCs w:val="21"/>
                      <w:highlight w:val="none"/>
                      <w:lang w:val="en-US" w:eastAsia="zh-CN"/>
                    </w:rPr>
                    <w:t>99</w:t>
                  </w:r>
                  <w:r>
                    <w:rPr>
                      <w:rFonts w:hint="default" w:ascii="Times New Roman" w:hAnsi="Times New Roman" w:cs="Times New Roman"/>
                      <w:color w:val="auto"/>
                      <w:sz w:val="21"/>
                      <w:szCs w:val="21"/>
                      <w:highlight w:val="none"/>
                      <w:lang w:val="en-US" w:eastAsia="zh-CN"/>
                    </w:rPr>
                    <w:t>-S</w:t>
                  </w:r>
                  <w:r>
                    <w:rPr>
                      <w:rFonts w:hint="eastAsia" w:ascii="Times New Roman" w:hAnsi="Times New Roman" w:cs="Times New Roman"/>
                      <w:color w:val="auto"/>
                      <w:sz w:val="21"/>
                      <w:szCs w:val="21"/>
                      <w:highlight w:val="none"/>
                      <w:lang w:val="en-US" w:eastAsia="zh-CN"/>
                    </w:rPr>
                    <w:t>59</w:t>
                  </w:r>
                </w:p>
              </w:tc>
              <w:tc>
                <w:tcPr>
                  <w:tcW w:w="698" w:type="pct"/>
                  <w:shd w:val="clear" w:color="auto" w:fill="auto"/>
                  <w:vAlign w:val="center"/>
                </w:tcPr>
                <w:p w14:paraId="72413B11">
                  <w:pPr>
                    <w:adjustRightInd w:val="0"/>
                    <w:snapToGrid w:val="0"/>
                    <w:jc w:val="center"/>
                    <w:rPr>
                      <w:rFonts w:hint="default" w:ascii="Times New Roman" w:hAnsi="Times New Roman" w:eastAsia="宋体" w:cs="Times New Roman"/>
                      <w:bCs/>
                      <w:color w:val="auto"/>
                      <w:kern w:val="21"/>
                      <w:sz w:val="21"/>
                      <w:szCs w:val="21"/>
                      <w:lang w:val="en-US" w:eastAsia="zh-CN"/>
                    </w:rPr>
                  </w:pPr>
                  <w:r>
                    <w:rPr>
                      <w:rFonts w:hint="eastAsia" w:ascii="Times New Roman" w:hAnsi="Times New Roman" w:cs="Times New Roman"/>
                      <w:bCs/>
                      <w:color w:val="auto"/>
                      <w:kern w:val="21"/>
                      <w:sz w:val="21"/>
                      <w:szCs w:val="21"/>
                      <w:lang w:val="en-US" w:eastAsia="zh-CN"/>
                    </w:rPr>
                    <w:t>一般固废</w:t>
                  </w:r>
                </w:p>
              </w:tc>
              <w:tc>
                <w:tcPr>
                  <w:tcW w:w="1637" w:type="pct"/>
                  <w:vMerge w:val="restart"/>
                  <w:shd w:val="clear" w:color="auto" w:fill="auto"/>
                  <w:vAlign w:val="center"/>
                </w:tcPr>
                <w:p w14:paraId="37A7F70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集中收集后外售废品回收单位再利用</w:t>
                  </w:r>
                </w:p>
              </w:tc>
            </w:tr>
            <w:tr w14:paraId="7034B2E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7" w:hRule="atLeast"/>
                <w:jc w:val="center"/>
              </w:trPr>
              <w:tc>
                <w:tcPr>
                  <w:tcW w:w="371" w:type="pct"/>
                  <w:shd w:val="clear" w:color="auto" w:fill="auto"/>
                  <w:vAlign w:val="center"/>
                </w:tcPr>
                <w:p w14:paraId="0AE8C3BE">
                  <w:pPr>
                    <w:adjustRightInd w:val="0"/>
                    <w:snapToGrid w:val="0"/>
                    <w:jc w:val="center"/>
                    <w:rPr>
                      <w:rFonts w:hint="default" w:ascii="Times New Roman" w:hAnsi="Times New Roman" w:eastAsia="宋体" w:cs="Times New Roman"/>
                      <w:bCs/>
                      <w:color w:val="auto"/>
                      <w:kern w:val="21"/>
                      <w:sz w:val="21"/>
                      <w:szCs w:val="21"/>
                    </w:rPr>
                  </w:pPr>
                  <w:r>
                    <w:rPr>
                      <w:rFonts w:hint="default" w:ascii="Times New Roman" w:hAnsi="Times New Roman" w:eastAsia="宋体" w:cs="Times New Roman"/>
                      <w:bCs/>
                      <w:color w:val="auto"/>
                      <w:kern w:val="21"/>
                      <w:sz w:val="21"/>
                      <w:szCs w:val="21"/>
                    </w:rPr>
                    <w:t>2</w:t>
                  </w:r>
                </w:p>
              </w:tc>
              <w:tc>
                <w:tcPr>
                  <w:tcW w:w="736" w:type="pct"/>
                  <w:shd w:val="clear" w:color="auto" w:fill="auto"/>
                  <w:vAlign w:val="center"/>
                </w:tcPr>
                <w:p w14:paraId="5528C341">
                  <w:pPr>
                    <w:wordWrap w:val="0"/>
                    <w:ind w:left="-105" w:leftChars="-50" w:right="-105" w:rightChars="-50"/>
                    <w:jc w:val="center"/>
                    <w:rPr>
                      <w:rFonts w:hint="default" w:ascii="Times New Roman" w:hAnsi="Times New Roman" w:eastAsia="宋体" w:cs="Times New Roman"/>
                      <w:bCs/>
                      <w:color w:val="auto"/>
                      <w:kern w:val="21"/>
                      <w:sz w:val="21"/>
                      <w:szCs w:val="21"/>
                    </w:rPr>
                  </w:pPr>
                  <w:r>
                    <w:rPr>
                      <w:rFonts w:hint="default" w:ascii="Times New Roman" w:hAnsi="Times New Roman" w:cs="Times New Roman"/>
                      <w:color w:val="auto"/>
                      <w:sz w:val="21"/>
                      <w:szCs w:val="21"/>
                    </w:rPr>
                    <w:t>废边角料</w:t>
                  </w:r>
                </w:p>
              </w:tc>
              <w:tc>
                <w:tcPr>
                  <w:tcW w:w="619" w:type="pct"/>
                  <w:shd w:val="clear" w:color="auto" w:fill="auto"/>
                  <w:vAlign w:val="center"/>
                </w:tcPr>
                <w:p w14:paraId="740FE890">
                  <w:pPr>
                    <w:adjustRightInd w:val="0"/>
                    <w:snapToGrid w:val="0"/>
                    <w:jc w:val="center"/>
                    <w:rPr>
                      <w:rFonts w:hint="default" w:ascii="Times New Roman" w:hAnsi="Times New Roman" w:eastAsia="宋体" w:cs="Times New Roman"/>
                      <w:bCs/>
                      <w:color w:val="auto"/>
                      <w:kern w:val="21"/>
                      <w:sz w:val="21"/>
                      <w:szCs w:val="21"/>
                      <w:lang w:val="en-US" w:eastAsia="zh-CN"/>
                    </w:rPr>
                  </w:pPr>
                  <w:r>
                    <w:rPr>
                      <w:rFonts w:hint="eastAsia" w:ascii="Times New Roman" w:hAnsi="Times New Roman" w:cs="Times New Roman"/>
                      <w:bCs/>
                      <w:color w:val="auto"/>
                      <w:kern w:val="21"/>
                      <w:sz w:val="21"/>
                      <w:szCs w:val="21"/>
                      <w:lang w:val="en-US" w:eastAsia="zh-CN"/>
                    </w:rPr>
                    <w:t>1.0</w:t>
                  </w:r>
                </w:p>
              </w:tc>
              <w:tc>
                <w:tcPr>
                  <w:tcW w:w="935" w:type="pct"/>
                  <w:shd w:val="clear" w:color="auto" w:fill="auto"/>
                  <w:vAlign w:val="center"/>
                </w:tcPr>
                <w:p w14:paraId="5216BC8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工业</w:t>
                  </w:r>
                  <w:r>
                    <w:rPr>
                      <w:rFonts w:hint="default" w:ascii="Times New Roman" w:hAnsi="Times New Roman" w:eastAsia="宋体" w:cs="Times New Roman"/>
                      <w:color w:val="auto"/>
                      <w:sz w:val="21"/>
                      <w:szCs w:val="21"/>
                    </w:rPr>
                    <w:t>固体废物</w:t>
                  </w:r>
                </w:p>
                <w:p w14:paraId="3347020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900-005-S17</w:t>
                  </w:r>
                </w:p>
              </w:tc>
              <w:tc>
                <w:tcPr>
                  <w:tcW w:w="698" w:type="pct"/>
                  <w:shd w:val="clear" w:color="auto" w:fill="auto"/>
                  <w:vAlign w:val="center"/>
                </w:tcPr>
                <w:p w14:paraId="62F15523">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cs="Times New Roman"/>
                      <w:bCs/>
                      <w:color w:val="auto"/>
                      <w:kern w:val="21"/>
                      <w:sz w:val="21"/>
                      <w:szCs w:val="21"/>
                      <w:lang w:val="en-US" w:eastAsia="zh-CN"/>
                    </w:rPr>
                    <w:t>一般固废</w:t>
                  </w:r>
                </w:p>
              </w:tc>
              <w:tc>
                <w:tcPr>
                  <w:tcW w:w="1637" w:type="pct"/>
                  <w:vMerge w:val="continue"/>
                  <w:shd w:val="clear" w:color="auto" w:fill="auto"/>
                  <w:vAlign w:val="center"/>
                </w:tcPr>
                <w:p w14:paraId="5466E680">
                  <w:pPr>
                    <w:adjustRightInd w:val="0"/>
                    <w:snapToGrid w:val="0"/>
                    <w:jc w:val="center"/>
                    <w:rPr>
                      <w:rFonts w:hint="default" w:ascii="Times New Roman" w:hAnsi="Times New Roman" w:eastAsia="宋体" w:cs="Times New Roman"/>
                      <w:color w:val="auto"/>
                      <w:sz w:val="21"/>
                      <w:szCs w:val="21"/>
                    </w:rPr>
                  </w:pPr>
                </w:p>
              </w:tc>
            </w:tr>
            <w:tr w14:paraId="7F1973A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7" w:hRule="atLeast"/>
                <w:jc w:val="center"/>
              </w:trPr>
              <w:tc>
                <w:tcPr>
                  <w:tcW w:w="371" w:type="pct"/>
                  <w:shd w:val="clear" w:color="auto" w:fill="auto"/>
                  <w:vAlign w:val="center"/>
                </w:tcPr>
                <w:p w14:paraId="5B04654E">
                  <w:pPr>
                    <w:adjustRightInd w:val="0"/>
                    <w:snapToGrid w:val="0"/>
                    <w:jc w:val="center"/>
                    <w:rPr>
                      <w:rFonts w:hint="default" w:ascii="Times New Roman" w:hAnsi="Times New Roman" w:eastAsia="宋体" w:cs="Times New Roman"/>
                      <w:bCs/>
                      <w:color w:val="auto"/>
                      <w:kern w:val="21"/>
                      <w:sz w:val="21"/>
                      <w:szCs w:val="21"/>
                    </w:rPr>
                  </w:pPr>
                  <w:r>
                    <w:rPr>
                      <w:rFonts w:hint="default" w:ascii="Times New Roman" w:hAnsi="Times New Roman" w:eastAsia="宋体" w:cs="Times New Roman"/>
                      <w:bCs/>
                      <w:color w:val="auto"/>
                      <w:kern w:val="21"/>
                      <w:sz w:val="21"/>
                      <w:szCs w:val="21"/>
                    </w:rPr>
                    <w:t>3</w:t>
                  </w:r>
                </w:p>
              </w:tc>
              <w:tc>
                <w:tcPr>
                  <w:tcW w:w="736" w:type="pct"/>
                  <w:shd w:val="clear" w:color="auto" w:fill="auto"/>
                  <w:vAlign w:val="center"/>
                </w:tcPr>
                <w:p w14:paraId="68AF20B3">
                  <w:pPr>
                    <w:wordWrap w:val="0"/>
                    <w:ind w:left="-105" w:leftChars="-50" w:right="-105" w:rightChars="-50"/>
                    <w:jc w:val="center"/>
                    <w:rPr>
                      <w:rFonts w:hint="default" w:ascii="Times New Roman" w:hAnsi="Times New Roman" w:eastAsia="宋体" w:cs="Times New Roman"/>
                      <w:bCs/>
                      <w:color w:val="auto"/>
                      <w:kern w:val="21"/>
                      <w:sz w:val="21"/>
                      <w:szCs w:val="21"/>
                    </w:rPr>
                  </w:pPr>
                  <w:r>
                    <w:rPr>
                      <w:rFonts w:hint="default" w:ascii="Times New Roman" w:hAnsi="Times New Roman" w:cs="Times New Roman"/>
                      <w:color w:val="auto"/>
                      <w:sz w:val="21"/>
                      <w:szCs w:val="21"/>
                    </w:rPr>
                    <w:t>残次品</w:t>
                  </w:r>
                </w:p>
              </w:tc>
              <w:tc>
                <w:tcPr>
                  <w:tcW w:w="619" w:type="pct"/>
                  <w:shd w:val="clear" w:color="auto" w:fill="auto"/>
                  <w:vAlign w:val="center"/>
                </w:tcPr>
                <w:p w14:paraId="473AC74C">
                  <w:pPr>
                    <w:adjustRightInd w:val="0"/>
                    <w:snapToGrid w:val="0"/>
                    <w:jc w:val="center"/>
                    <w:rPr>
                      <w:rFonts w:hint="default" w:ascii="Times New Roman" w:hAnsi="Times New Roman" w:eastAsia="宋体" w:cs="Times New Roman"/>
                      <w:bCs/>
                      <w:color w:val="auto"/>
                      <w:kern w:val="21"/>
                      <w:sz w:val="21"/>
                      <w:szCs w:val="21"/>
                      <w:lang w:val="en-US" w:eastAsia="zh-CN"/>
                    </w:rPr>
                  </w:pPr>
                  <w:r>
                    <w:rPr>
                      <w:rFonts w:hint="eastAsia" w:ascii="Times New Roman" w:hAnsi="Times New Roman" w:cs="Times New Roman"/>
                      <w:bCs/>
                      <w:color w:val="auto"/>
                      <w:kern w:val="21"/>
                      <w:sz w:val="21"/>
                      <w:szCs w:val="21"/>
                      <w:lang w:val="en-US" w:eastAsia="zh-CN"/>
                    </w:rPr>
                    <w:t>1.0</w:t>
                  </w:r>
                </w:p>
              </w:tc>
              <w:tc>
                <w:tcPr>
                  <w:tcW w:w="935" w:type="pct"/>
                  <w:shd w:val="clear" w:color="auto" w:fill="auto"/>
                  <w:vAlign w:val="center"/>
                </w:tcPr>
                <w:p w14:paraId="557CBE5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工业</w:t>
                  </w:r>
                  <w:r>
                    <w:rPr>
                      <w:rFonts w:hint="default" w:ascii="Times New Roman" w:hAnsi="Times New Roman" w:eastAsia="宋体" w:cs="Times New Roman"/>
                      <w:color w:val="auto"/>
                      <w:sz w:val="21"/>
                      <w:szCs w:val="21"/>
                    </w:rPr>
                    <w:t>固体废物</w:t>
                  </w:r>
                </w:p>
                <w:p w14:paraId="4884BAD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900-005-S17</w:t>
                  </w:r>
                </w:p>
              </w:tc>
              <w:tc>
                <w:tcPr>
                  <w:tcW w:w="698" w:type="pct"/>
                  <w:shd w:val="clear" w:color="auto" w:fill="auto"/>
                  <w:vAlign w:val="center"/>
                </w:tcPr>
                <w:p w14:paraId="4890A651">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cs="Times New Roman"/>
                      <w:bCs/>
                      <w:color w:val="auto"/>
                      <w:kern w:val="21"/>
                      <w:sz w:val="21"/>
                      <w:szCs w:val="21"/>
                      <w:lang w:val="en-US" w:eastAsia="zh-CN"/>
                    </w:rPr>
                    <w:t>一般固废</w:t>
                  </w:r>
                </w:p>
              </w:tc>
              <w:tc>
                <w:tcPr>
                  <w:tcW w:w="1637" w:type="pct"/>
                  <w:vMerge w:val="continue"/>
                  <w:shd w:val="clear" w:color="auto" w:fill="auto"/>
                  <w:vAlign w:val="center"/>
                </w:tcPr>
                <w:p w14:paraId="29994F57">
                  <w:pPr>
                    <w:adjustRightInd w:val="0"/>
                    <w:snapToGrid w:val="0"/>
                    <w:jc w:val="center"/>
                    <w:rPr>
                      <w:rFonts w:hint="default" w:ascii="Times New Roman" w:hAnsi="Times New Roman" w:eastAsia="宋体" w:cs="Times New Roman"/>
                      <w:color w:val="auto"/>
                      <w:sz w:val="21"/>
                      <w:szCs w:val="21"/>
                    </w:rPr>
                  </w:pPr>
                </w:p>
              </w:tc>
            </w:tr>
            <w:tr w14:paraId="033B2C3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7" w:hRule="atLeast"/>
                <w:jc w:val="center"/>
              </w:trPr>
              <w:tc>
                <w:tcPr>
                  <w:tcW w:w="371" w:type="pct"/>
                  <w:shd w:val="clear" w:color="auto" w:fill="auto"/>
                  <w:vAlign w:val="center"/>
                </w:tcPr>
                <w:p w14:paraId="2B8EA7AD">
                  <w:pPr>
                    <w:adjustRightInd w:val="0"/>
                    <w:snapToGrid w:val="0"/>
                    <w:jc w:val="center"/>
                    <w:rPr>
                      <w:rFonts w:hint="default" w:ascii="Times New Roman" w:hAnsi="Times New Roman" w:eastAsia="宋体" w:cs="Times New Roman"/>
                      <w:bCs/>
                      <w:color w:val="auto"/>
                      <w:kern w:val="21"/>
                      <w:sz w:val="21"/>
                      <w:szCs w:val="21"/>
                    </w:rPr>
                  </w:pPr>
                  <w:r>
                    <w:rPr>
                      <w:rFonts w:hint="default" w:ascii="Times New Roman" w:hAnsi="Times New Roman" w:eastAsia="宋体" w:cs="Times New Roman"/>
                      <w:bCs/>
                      <w:color w:val="auto"/>
                      <w:kern w:val="21"/>
                      <w:sz w:val="21"/>
                      <w:szCs w:val="21"/>
                    </w:rPr>
                    <w:t>4</w:t>
                  </w:r>
                </w:p>
              </w:tc>
              <w:tc>
                <w:tcPr>
                  <w:tcW w:w="736" w:type="pct"/>
                  <w:shd w:val="clear" w:color="auto" w:fill="auto"/>
                  <w:vAlign w:val="center"/>
                </w:tcPr>
                <w:p w14:paraId="69E0C2CE">
                  <w:pPr>
                    <w:wordWrap w:val="0"/>
                    <w:ind w:left="-105" w:leftChars="-50" w:right="-105" w:rightChars="-50"/>
                    <w:jc w:val="center"/>
                    <w:rPr>
                      <w:rFonts w:hint="default" w:ascii="Times New Roman" w:hAnsi="Times New Roman" w:eastAsia="宋体" w:cs="Times New Roman"/>
                      <w:bCs/>
                      <w:color w:val="auto"/>
                      <w:kern w:val="21"/>
                      <w:sz w:val="21"/>
                      <w:szCs w:val="21"/>
                    </w:rPr>
                  </w:pPr>
                  <w:r>
                    <w:rPr>
                      <w:rFonts w:hint="default" w:ascii="Times New Roman" w:hAnsi="Times New Roman" w:cs="Times New Roman"/>
                      <w:color w:val="auto"/>
                      <w:sz w:val="21"/>
                      <w:szCs w:val="21"/>
                    </w:rPr>
                    <w:t>废包装材料</w:t>
                  </w:r>
                </w:p>
              </w:tc>
              <w:tc>
                <w:tcPr>
                  <w:tcW w:w="619" w:type="pct"/>
                  <w:shd w:val="clear" w:color="auto" w:fill="auto"/>
                  <w:vAlign w:val="center"/>
                </w:tcPr>
                <w:p w14:paraId="4155A0C8">
                  <w:pPr>
                    <w:adjustRightInd w:val="0"/>
                    <w:snapToGrid w:val="0"/>
                    <w:jc w:val="center"/>
                    <w:rPr>
                      <w:rFonts w:hint="default" w:ascii="Times New Roman" w:hAnsi="Times New Roman" w:eastAsia="宋体" w:cs="Times New Roman"/>
                      <w:bCs/>
                      <w:color w:val="auto"/>
                      <w:kern w:val="21"/>
                      <w:sz w:val="21"/>
                      <w:szCs w:val="21"/>
                      <w:lang w:val="en-US" w:eastAsia="zh-CN"/>
                    </w:rPr>
                  </w:pPr>
                  <w:r>
                    <w:rPr>
                      <w:rFonts w:hint="eastAsia" w:ascii="Times New Roman" w:hAnsi="Times New Roman" w:cs="Times New Roman"/>
                      <w:bCs/>
                      <w:color w:val="auto"/>
                      <w:kern w:val="21"/>
                      <w:sz w:val="21"/>
                      <w:szCs w:val="21"/>
                      <w:lang w:val="en-US" w:eastAsia="zh-CN"/>
                    </w:rPr>
                    <w:t>1.0</w:t>
                  </w:r>
                </w:p>
              </w:tc>
              <w:tc>
                <w:tcPr>
                  <w:tcW w:w="935" w:type="pct"/>
                  <w:shd w:val="clear" w:color="auto" w:fill="auto"/>
                  <w:vAlign w:val="center"/>
                </w:tcPr>
                <w:p w14:paraId="47213188">
                  <w:pPr>
                    <w:wordWrap w:val="0"/>
                    <w:ind w:left="-105" w:leftChars="-50" w:right="-105" w:right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工业</w:t>
                  </w:r>
                  <w:r>
                    <w:rPr>
                      <w:rFonts w:hint="default" w:ascii="Times New Roman" w:hAnsi="Times New Roman" w:cs="Times New Roman"/>
                      <w:color w:val="auto"/>
                      <w:sz w:val="21"/>
                      <w:szCs w:val="21"/>
                    </w:rPr>
                    <w:t>固体废物</w:t>
                  </w:r>
                </w:p>
                <w:p w14:paraId="5C6BCCAE">
                  <w:pPr>
                    <w:wordWrap w:val="0"/>
                    <w:ind w:left="-105" w:leftChars="-50" w:right="-105" w:rightChars="-5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rPr>
                    <w:t>900-003-S17</w:t>
                  </w:r>
                </w:p>
              </w:tc>
              <w:tc>
                <w:tcPr>
                  <w:tcW w:w="698" w:type="pct"/>
                  <w:shd w:val="clear" w:color="auto" w:fill="auto"/>
                  <w:vAlign w:val="center"/>
                </w:tcPr>
                <w:p w14:paraId="277D2E4C">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cs="Times New Roman"/>
                      <w:bCs/>
                      <w:color w:val="auto"/>
                      <w:kern w:val="21"/>
                      <w:sz w:val="21"/>
                      <w:szCs w:val="21"/>
                      <w:lang w:val="en-US" w:eastAsia="zh-CN"/>
                    </w:rPr>
                    <w:t>一般固废</w:t>
                  </w:r>
                </w:p>
              </w:tc>
              <w:tc>
                <w:tcPr>
                  <w:tcW w:w="1637" w:type="pct"/>
                  <w:vMerge w:val="continue"/>
                  <w:shd w:val="clear" w:color="auto" w:fill="auto"/>
                  <w:vAlign w:val="center"/>
                </w:tcPr>
                <w:p w14:paraId="240CD9E3">
                  <w:pPr>
                    <w:adjustRightInd w:val="0"/>
                    <w:snapToGrid w:val="0"/>
                    <w:jc w:val="center"/>
                    <w:rPr>
                      <w:rFonts w:hint="default" w:ascii="Times New Roman" w:hAnsi="Times New Roman" w:eastAsia="宋体" w:cs="Times New Roman"/>
                      <w:color w:val="auto"/>
                      <w:sz w:val="21"/>
                      <w:szCs w:val="21"/>
                    </w:rPr>
                  </w:pPr>
                </w:p>
              </w:tc>
            </w:tr>
            <w:tr w14:paraId="3F8B7D0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48" w:hRule="atLeast"/>
                <w:jc w:val="center"/>
              </w:trPr>
              <w:tc>
                <w:tcPr>
                  <w:tcW w:w="371" w:type="pct"/>
                  <w:shd w:val="clear" w:color="auto" w:fill="auto"/>
                  <w:vAlign w:val="center"/>
                </w:tcPr>
                <w:p w14:paraId="30B2072D">
                  <w:pPr>
                    <w:adjustRightInd w:val="0"/>
                    <w:snapToGrid w:val="0"/>
                    <w:jc w:val="center"/>
                    <w:rPr>
                      <w:rFonts w:hint="eastAsia" w:ascii="Times New Roman" w:hAnsi="Times New Roman" w:eastAsia="宋体" w:cs="Times New Roman"/>
                      <w:bCs/>
                      <w:color w:val="auto"/>
                      <w:kern w:val="21"/>
                      <w:sz w:val="21"/>
                      <w:szCs w:val="21"/>
                      <w:lang w:val="en-US" w:eastAsia="zh-CN"/>
                    </w:rPr>
                  </w:pPr>
                  <w:r>
                    <w:rPr>
                      <w:rFonts w:hint="eastAsia" w:ascii="Times New Roman" w:hAnsi="Times New Roman" w:cs="Times New Roman"/>
                      <w:bCs/>
                      <w:color w:val="auto"/>
                      <w:kern w:val="21"/>
                      <w:sz w:val="21"/>
                      <w:szCs w:val="21"/>
                      <w:lang w:val="en-US" w:eastAsia="zh-CN"/>
                    </w:rPr>
                    <w:t>5</w:t>
                  </w:r>
                </w:p>
              </w:tc>
              <w:tc>
                <w:tcPr>
                  <w:tcW w:w="736" w:type="pct"/>
                  <w:shd w:val="clear" w:color="auto" w:fill="auto"/>
                  <w:vAlign w:val="center"/>
                </w:tcPr>
                <w:p w14:paraId="06A0C4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生活垃圾</w:t>
                  </w:r>
                </w:p>
              </w:tc>
              <w:tc>
                <w:tcPr>
                  <w:tcW w:w="619" w:type="pct"/>
                  <w:shd w:val="clear" w:color="auto" w:fill="auto"/>
                  <w:vAlign w:val="center"/>
                </w:tcPr>
                <w:p w14:paraId="462FD496">
                  <w:pPr>
                    <w:adjustRightInd w:val="0"/>
                    <w:snapToGrid w:val="0"/>
                    <w:jc w:val="center"/>
                    <w:rPr>
                      <w:rFonts w:hint="default" w:ascii="Times New Roman" w:hAnsi="Times New Roman" w:eastAsia="宋体" w:cs="Times New Roman"/>
                      <w:bCs/>
                      <w:color w:val="auto"/>
                      <w:kern w:val="21"/>
                      <w:sz w:val="21"/>
                      <w:szCs w:val="21"/>
                      <w:lang w:val="en-US" w:eastAsia="zh-CN"/>
                    </w:rPr>
                  </w:pPr>
                  <w:r>
                    <w:rPr>
                      <w:rFonts w:hint="eastAsia" w:ascii="Times New Roman" w:hAnsi="Times New Roman" w:cs="Times New Roman"/>
                      <w:bCs/>
                      <w:color w:val="auto"/>
                      <w:kern w:val="21"/>
                      <w:sz w:val="21"/>
                      <w:szCs w:val="21"/>
                      <w:lang w:val="en-US" w:eastAsia="zh-CN"/>
                    </w:rPr>
                    <w:t>18.75</w:t>
                  </w:r>
                </w:p>
              </w:tc>
              <w:tc>
                <w:tcPr>
                  <w:tcW w:w="935" w:type="pct"/>
                  <w:shd w:val="clear" w:color="auto" w:fill="auto"/>
                  <w:vAlign w:val="center"/>
                </w:tcPr>
                <w:p w14:paraId="37F385D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工业</w:t>
                  </w:r>
                  <w:r>
                    <w:rPr>
                      <w:rFonts w:hint="default" w:ascii="Times New Roman" w:hAnsi="Times New Roman" w:eastAsia="宋体" w:cs="Times New Roman"/>
                      <w:color w:val="auto"/>
                      <w:sz w:val="21"/>
                      <w:szCs w:val="21"/>
                    </w:rPr>
                    <w:t>固体废物</w:t>
                  </w:r>
                </w:p>
                <w:p w14:paraId="0BE26C7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900-001-S60</w:t>
                  </w:r>
                </w:p>
              </w:tc>
              <w:tc>
                <w:tcPr>
                  <w:tcW w:w="698" w:type="pct"/>
                  <w:shd w:val="clear" w:color="auto" w:fill="auto"/>
                  <w:vAlign w:val="center"/>
                </w:tcPr>
                <w:p w14:paraId="7FFB4459">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bCs/>
                      <w:color w:val="auto"/>
                      <w:kern w:val="21"/>
                      <w:sz w:val="21"/>
                      <w:szCs w:val="21"/>
                      <w:lang w:val="en-US" w:eastAsia="zh-CN"/>
                    </w:rPr>
                    <w:t>一般固废</w:t>
                  </w:r>
                </w:p>
              </w:tc>
              <w:tc>
                <w:tcPr>
                  <w:tcW w:w="1637" w:type="pct"/>
                  <w:shd w:val="clear" w:color="auto" w:fill="auto"/>
                  <w:vAlign w:val="center"/>
                </w:tcPr>
                <w:p w14:paraId="2C0D0F11">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交由环卫部门定期清运处理</w:t>
                  </w:r>
                </w:p>
              </w:tc>
            </w:tr>
            <w:tr w14:paraId="3851341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7" w:hRule="atLeast"/>
                <w:jc w:val="center"/>
              </w:trPr>
              <w:tc>
                <w:tcPr>
                  <w:tcW w:w="371" w:type="pct"/>
                  <w:shd w:val="clear" w:color="auto" w:fill="auto"/>
                  <w:vAlign w:val="center"/>
                </w:tcPr>
                <w:p w14:paraId="5A4D8807">
                  <w:pPr>
                    <w:adjustRightInd w:val="0"/>
                    <w:snapToGrid w:val="0"/>
                    <w:jc w:val="center"/>
                    <w:rPr>
                      <w:rFonts w:hint="eastAsia" w:ascii="Times New Roman" w:hAnsi="Times New Roman" w:eastAsia="宋体" w:cs="Times New Roman"/>
                      <w:bCs/>
                      <w:color w:val="auto"/>
                      <w:kern w:val="21"/>
                      <w:sz w:val="21"/>
                      <w:szCs w:val="21"/>
                      <w:lang w:val="en-US" w:eastAsia="zh-CN"/>
                    </w:rPr>
                  </w:pPr>
                  <w:r>
                    <w:rPr>
                      <w:rFonts w:hint="eastAsia" w:ascii="Times New Roman" w:hAnsi="Times New Roman" w:cs="Times New Roman"/>
                      <w:bCs/>
                      <w:color w:val="auto"/>
                      <w:kern w:val="21"/>
                      <w:sz w:val="21"/>
                      <w:szCs w:val="21"/>
                      <w:lang w:val="en-US" w:eastAsia="zh-CN"/>
                    </w:rPr>
                    <w:t>6</w:t>
                  </w:r>
                </w:p>
              </w:tc>
              <w:tc>
                <w:tcPr>
                  <w:tcW w:w="736" w:type="pct"/>
                  <w:shd w:val="clear" w:color="auto" w:fill="auto"/>
                  <w:vAlign w:val="center"/>
                </w:tcPr>
                <w:p w14:paraId="3A532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auto"/>
                      <w:sz w:val="21"/>
                      <w:szCs w:val="21"/>
                    </w:rPr>
                    <w:t>餐厨垃圾</w:t>
                  </w:r>
                </w:p>
              </w:tc>
              <w:tc>
                <w:tcPr>
                  <w:tcW w:w="619" w:type="pct"/>
                  <w:shd w:val="clear" w:color="auto" w:fill="auto"/>
                  <w:vAlign w:val="center"/>
                </w:tcPr>
                <w:p w14:paraId="4796A03A">
                  <w:pPr>
                    <w:adjustRightInd w:val="0"/>
                    <w:snapToGrid w:val="0"/>
                    <w:jc w:val="center"/>
                    <w:rPr>
                      <w:rFonts w:hint="default" w:ascii="Times New Roman" w:hAnsi="Times New Roman" w:eastAsia="宋体" w:cs="Times New Roman"/>
                      <w:bCs/>
                      <w:color w:val="auto"/>
                      <w:kern w:val="21"/>
                      <w:sz w:val="21"/>
                      <w:szCs w:val="21"/>
                      <w:lang w:val="en-US" w:eastAsia="zh-CN"/>
                    </w:rPr>
                  </w:pPr>
                  <w:r>
                    <w:rPr>
                      <w:rFonts w:hint="eastAsia" w:ascii="Times New Roman" w:hAnsi="Times New Roman" w:cs="Times New Roman"/>
                      <w:bCs/>
                      <w:color w:val="auto"/>
                      <w:kern w:val="21"/>
                      <w:sz w:val="21"/>
                      <w:szCs w:val="21"/>
                      <w:lang w:val="en-US" w:eastAsia="zh-CN"/>
                    </w:rPr>
                    <w:t>7.2</w:t>
                  </w:r>
                </w:p>
              </w:tc>
              <w:tc>
                <w:tcPr>
                  <w:tcW w:w="935" w:type="pct"/>
                  <w:shd w:val="clear" w:color="auto" w:fill="auto"/>
                  <w:vAlign w:val="center"/>
                </w:tcPr>
                <w:p w14:paraId="69B1F89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工业固体废物</w:t>
                  </w:r>
                </w:p>
                <w:p w14:paraId="1897EA97">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900-002-S61</w:t>
                  </w:r>
                </w:p>
              </w:tc>
              <w:tc>
                <w:tcPr>
                  <w:tcW w:w="698" w:type="pct"/>
                  <w:shd w:val="clear" w:color="auto" w:fill="auto"/>
                  <w:vAlign w:val="center"/>
                </w:tcPr>
                <w:p w14:paraId="7848741B">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cs="Times New Roman"/>
                      <w:bCs/>
                      <w:color w:val="auto"/>
                      <w:kern w:val="21"/>
                      <w:sz w:val="21"/>
                      <w:szCs w:val="21"/>
                      <w:lang w:val="en-US" w:eastAsia="zh-CN"/>
                    </w:rPr>
                    <w:t>一般固废</w:t>
                  </w:r>
                </w:p>
              </w:tc>
              <w:tc>
                <w:tcPr>
                  <w:tcW w:w="1637" w:type="pct"/>
                  <w:shd w:val="clear" w:color="auto" w:fill="auto"/>
                  <w:vAlign w:val="center"/>
                </w:tcPr>
                <w:p w14:paraId="7DFA9404">
                  <w:pPr>
                    <w:adjustRightInd w:val="0"/>
                    <w:snapToGrid w:val="0"/>
                    <w:jc w:val="center"/>
                    <w:rPr>
                      <w:rFonts w:hint="default" w:ascii="Times New Roman" w:hAnsi="Times New Roman" w:eastAsia="宋体" w:cs="Times New Roman"/>
                      <w:color w:val="auto"/>
                      <w:sz w:val="21"/>
                      <w:szCs w:val="21"/>
                      <w:lang w:eastAsia="zh-CN"/>
                    </w:rPr>
                  </w:pPr>
                  <w:r>
                    <w:rPr>
                      <w:rFonts w:hint="eastAsia"/>
                      <w:color w:val="auto"/>
                      <w:szCs w:val="21"/>
                    </w:rPr>
                    <w:t>交有餐厨垃圾处理资质的单位处置</w:t>
                  </w:r>
                </w:p>
              </w:tc>
            </w:tr>
            <w:tr w14:paraId="20C3395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7" w:hRule="atLeast"/>
                <w:jc w:val="center"/>
              </w:trPr>
              <w:tc>
                <w:tcPr>
                  <w:tcW w:w="371" w:type="pct"/>
                  <w:shd w:val="clear" w:color="auto" w:fill="auto"/>
                  <w:vAlign w:val="center"/>
                </w:tcPr>
                <w:p w14:paraId="0BF25BE3">
                  <w:pPr>
                    <w:adjustRightInd w:val="0"/>
                    <w:snapToGrid w:val="0"/>
                    <w:jc w:val="center"/>
                    <w:rPr>
                      <w:rFonts w:hint="eastAsia" w:ascii="Times New Roman" w:hAnsi="Times New Roman" w:eastAsia="宋体" w:cs="Times New Roman"/>
                      <w:bCs/>
                      <w:color w:val="auto"/>
                      <w:kern w:val="21"/>
                      <w:sz w:val="21"/>
                      <w:szCs w:val="21"/>
                      <w:lang w:val="en-US" w:eastAsia="zh-CN"/>
                    </w:rPr>
                  </w:pPr>
                  <w:r>
                    <w:rPr>
                      <w:rFonts w:hint="eastAsia" w:ascii="Times New Roman" w:hAnsi="Times New Roman" w:cs="Times New Roman"/>
                      <w:bCs/>
                      <w:color w:val="auto"/>
                      <w:kern w:val="21"/>
                      <w:sz w:val="21"/>
                      <w:szCs w:val="21"/>
                      <w:lang w:val="en-US" w:eastAsia="zh-CN"/>
                    </w:rPr>
                    <w:t>7</w:t>
                  </w:r>
                </w:p>
              </w:tc>
              <w:tc>
                <w:tcPr>
                  <w:tcW w:w="736" w:type="pct"/>
                  <w:shd w:val="clear" w:color="auto" w:fill="auto"/>
                  <w:vAlign w:val="center"/>
                </w:tcPr>
                <w:p w14:paraId="1B66A4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油水分离器废油脂</w:t>
                  </w:r>
                </w:p>
              </w:tc>
              <w:tc>
                <w:tcPr>
                  <w:tcW w:w="619" w:type="pct"/>
                  <w:shd w:val="clear" w:color="auto" w:fill="auto"/>
                  <w:vAlign w:val="center"/>
                </w:tcPr>
                <w:p w14:paraId="075A1596">
                  <w:pPr>
                    <w:adjustRightInd w:val="0"/>
                    <w:snapToGrid w:val="0"/>
                    <w:jc w:val="center"/>
                    <w:rPr>
                      <w:rFonts w:hint="default" w:ascii="Times New Roman" w:hAnsi="Times New Roman" w:eastAsia="宋体" w:cs="Times New Roman"/>
                      <w:bCs/>
                      <w:color w:val="auto"/>
                      <w:kern w:val="21"/>
                      <w:sz w:val="21"/>
                      <w:szCs w:val="21"/>
                      <w:lang w:val="en-US" w:eastAsia="zh-CN"/>
                    </w:rPr>
                  </w:pPr>
                  <w:r>
                    <w:rPr>
                      <w:rFonts w:hint="eastAsia" w:ascii="Times New Roman" w:hAnsi="Times New Roman" w:cs="Times New Roman"/>
                      <w:bCs/>
                      <w:color w:val="auto"/>
                      <w:kern w:val="21"/>
                      <w:sz w:val="21"/>
                      <w:szCs w:val="21"/>
                      <w:lang w:val="en-US" w:eastAsia="zh-CN"/>
                    </w:rPr>
                    <w:t>0.1</w:t>
                  </w:r>
                </w:p>
              </w:tc>
              <w:tc>
                <w:tcPr>
                  <w:tcW w:w="935" w:type="pct"/>
                  <w:shd w:val="clear" w:color="auto" w:fill="auto"/>
                  <w:vAlign w:val="center"/>
                </w:tcPr>
                <w:p w14:paraId="5E57F31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工业固体废物</w:t>
                  </w:r>
                </w:p>
                <w:p w14:paraId="533718B6">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900-002-S61</w:t>
                  </w:r>
                </w:p>
              </w:tc>
              <w:tc>
                <w:tcPr>
                  <w:tcW w:w="698" w:type="pct"/>
                  <w:shd w:val="clear" w:color="auto" w:fill="auto"/>
                  <w:vAlign w:val="center"/>
                </w:tcPr>
                <w:p w14:paraId="1C150AD0">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cs="Times New Roman"/>
                      <w:bCs/>
                      <w:color w:val="auto"/>
                      <w:kern w:val="21"/>
                      <w:sz w:val="21"/>
                      <w:szCs w:val="21"/>
                      <w:lang w:val="en-US" w:eastAsia="zh-CN"/>
                    </w:rPr>
                    <w:t>一般固废</w:t>
                  </w:r>
                </w:p>
              </w:tc>
              <w:tc>
                <w:tcPr>
                  <w:tcW w:w="1637" w:type="pct"/>
                  <w:shd w:val="clear" w:color="auto" w:fill="auto"/>
                  <w:vAlign w:val="center"/>
                </w:tcPr>
                <w:p w14:paraId="14613106">
                  <w:pPr>
                    <w:adjustRightInd w:val="0"/>
                    <w:snapToGrid w:val="0"/>
                    <w:jc w:val="center"/>
                    <w:rPr>
                      <w:rFonts w:hint="default" w:ascii="Times New Roman" w:hAnsi="Times New Roman" w:eastAsia="宋体" w:cs="Times New Roman"/>
                      <w:color w:val="auto"/>
                      <w:sz w:val="21"/>
                      <w:szCs w:val="21"/>
                      <w:lang w:eastAsia="zh-CN"/>
                    </w:rPr>
                  </w:pPr>
                  <w:r>
                    <w:rPr>
                      <w:rFonts w:hint="eastAsia"/>
                      <w:color w:val="auto"/>
                      <w:szCs w:val="21"/>
                    </w:rPr>
                    <w:t>交有餐厨垃圾处理资质的单位处置</w:t>
                  </w:r>
                </w:p>
              </w:tc>
            </w:tr>
          </w:tbl>
          <w:p w14:paraId="35572A80">
            <w:pPr>
              <w:spacing w:line="360" w:lineRule="auto"/>
              <w:ind w:firstLine="482" w:firstLineChars="200"/>
              <w:rPr>
                <w:b/>
                <w:color w:val="auto"/>
                <w:sz w:val="24"/>
              </w:rPr>
            </w:pPr>
            <w:r>
              <w:rPr>
                <w:rFonts w:hint="eastAsia"/>
                <w:b/>
                <w:color w:val="auto"/>
                <w:sz w:val="24"/>
              </w:rPr>
              <w:t>4</w:t>
            </w:r>
            <w:r>
              <w:rPr>
                <w:b/>
                <w:color w:val="auto"/>
                <w:sz w:val="24"/>
              </w:rPr>
              <w:t>.2危险废物</w:t>
            </w:r>
          </w:p>
          <w:p w14:paraId="69ED8713">
            <w:pPr>
              <w:spacing w:line="360" w:lineRule="auto"/>
              <w:ind w:firstLine="482" w:firstLineChars="200"/>
              <w:rPr>
                <w:b/>
                <w:color w:val="auto"/>
                <w:sz w:val="24"/>
                <w:u w:val="single"/>
              </w:rPr>
            </w:pPr>
            <w:r>
              <w:rPr>
                <w:b/>
                <w:color w:val="auto"/>
                <w:sz w:val="24"/>
                <w:u w:val="single"/>
              </w:rPr>
              <w:t>产生情况</w:t>
            </w:r>
            <w:r>
              <w:rPr>
                <w:rFonts w:hint="eastAsia"/>
                <w:b/>
                <w:color w:val="auto"/>
                <w:sz w:val="24"/>
                <w:u w:val="single"/>
              </w:rPr>
              <w:t>：</w:t>
            </w:r>
          </w:p>
          <w:p w14:paraId="0C9559EE">
            <w:pPr>
              <w:adjustRightInd w:val="0"/>
              <w:spacing w:line="360" w:lineRule="auto"/>
              <w:ind w:firstLine="482" w:firstLineChars="200"/>
              <w:rPr>
                <w:color w:val="auto"/>
                <w:sz w:val="24"/>
              </w:rPr>
            </w:pPr>
            <w:r>
              <w:rPr>
                <w:rFonts w:hint="eastAsia"/>
                <w:b/>
                <w:bCs/>
                <w:color w:val="auto"/>
                <w:sz w:val="24"/>
              </w:rPr>
              <w:t>①废包装桶</w:t>
            </w:r>
            <w:r>
              <w:rPr>
                <w:rFonts w:hint="eastAsia"/>
                <w:color w:val="auto"/>
                <w:sz w:val="24"/>
              </w:rPr>
              <w:t>：沾染危险特性物质的包装桶，</w:t>
            </w:r>
            <w:r>
              <w:rPr>
                <w:color w:val="auto"/>
                <w:sz w:val="24"/>
              </w:rPr>
              <w:t>本项目</w:t>
            </w:r>
            <w:r>
              <w:rPr>
                <w:rFonts w:hint="eastAsia"/>
                <w:color w:val="auto"/>
                <w:sz w:val="24"/>
              </w:rPr>
              <w:t>生产过程中UV油墨、</w:t>
            </w:r>
            <w:r>
              <w:rPr>
                <w:rFonts w:hint="eastAsia"/>
                <w:color w:val="auto"/>
                <w:sz w:val="24"/>
                <w:lang w:val="en-US" w:eastAsia="zh-CN"/>
              </w:rPr>
              <w:t>水性喷墨</w:t>
            </w:r>
            <w:r>
              <w:rPr>
                <w:rFonts w:hint="eastAsia"/>
                <w:color w:val="auto"/>
                <w:sz w:val="24"/>
              </w:rPr>
              <w:t>、水性粘合剂、覆膜胶、</w:t>
            </w:r>
            <w:r>
              <w:rPr>
                <w:rFonts w:hint="eastAsia"/>
                <w:color w:val="auto"/>
                <w:sz w:val="24"/>
                <w:lang w:val="en-US" w:eastAsia="zh-CN"/>
              </w:rPr>
              <w:t>显影液、</w:t>
            </w:r>
            <w:r>
              <w:rPr>
                <w:rFonts w:hint="eastAsia"/>
                <w:color w:val="auto"/>
                <w:sz w:val="24"/>
              </w:rPr>
              <w:t>润版液、</w:t>
            </w:r>
            <w:r>
              <w:rPr>
                <w:rFonts w:hint="eastAsia"/>
                <w:color w:val="auto"/>
                <w:sz w:val="24"/>
                <w:lang w:val="en-US" w:eastAsia="zh-CN"/>
              </w:rPr>
              <w:t>润滑油</w:t>
            </w:r>
            <w:r>
              <w:rPr>
                <w:rFonts w:hint="eastAsia"/>
                <w:color w:val="auto"/>
                <w:sz w:val="24"/>
              </w:rPr>
              <w:t>等原料包装桶，根据上述物料用量估算，废包装桶的产</w:t>
            </w:r>
            <w:r>
              <w:rPr>
                <w:color w:val="auto"/>
                <w:sz w:val="24"/>
              </w:rPr>
              <w:t>生量0</w:t>
            </w:r>
            <w:r>
              <w:rPr>
                <w:rFonts w:hint="eastAsia"/>
                <w:color w:val="auto"/>
                <w:sz w:val="24"/>
                <w:lang w:val="en-US" w:eastAsia="zh-CN"/>
              </w:rPr>
              <w:t>.</w:t>
            </w:r>
            <w:r>
              <w:rPr>
                <w:rFonts w:hint="eastAsia"/>
                <w:color w:val="auto"/>
                <w:sz w:val="24"/>
              </w:rPr>
              <w:t>5</w:t>
            </w:r>
            <w:r>
              <w:rPr>
                <w:color w:val="auto"/>
                <w:sz w:val="24"/>
              </w:rPr>
              <w:t>t/a</w:t>
            </w:r>
            <w:r>
              <w:rPr>
                <w:rFonts w:hint="eastAsia"/>
                <w:color w:val="auto"/>
                <w:sz w:val="24"/>
              </w:rPr>
              <w:t>。</w:t>
            </w:r>
            <w:bookmarkStart w:id="63" w:name="OLE_LINK43"/>
            <w:bookmarkStart w:id="64" w:name="OLE_LINK46"/>
            <w:r>
              <w:rPr>
                <w:color w:val="auto"/>
                <w:sz w:val="24"/>
              </w:rPr>
              <w:t>属于《国家危险废物名录（202</w:t>
            </w:r>
            <w:r>
              <w:rPr>
                <w:rFonts w:hint="eastAsia"/>
                <w:color w:val="auto"/>
                <w:sz w:val="24"/>
              </w:rPr>
              <w:t>5</w:t>
            </w:r>
            <w:r>
              <w:rPr>
                <w:color w:val="auto"/>
                <w:sz w:val="24"/>
              </w:rPr>
              <w:t>版）》中“HW49其他废物—非特定行业900-041-49—含有或沾染毒性、感染性危险废物的废弃包装物、容器、过滤吸附介质”范畴。</w:t>
            </w:r>
            <w:bookmarkEnd w:id="63"/>
          </w:p>
          <w:bookmarkEnd w:id="64"/>
          <w:p w14:paraId="24C37F2D">
            <w:pPr>
              <w:adjustRightInd w:val="0"/>
              <w:spacing w:line="360" w:lineRule="auto"/>
              <w:ind w:firstLine="482" w:firstLineChars="200"/>
              <w:rPr>
                <w:color w:val="auto"/>
                <w:sz w:val="24"/>
              </w:rPr>
            </w:pPr>
            <w:r>
              <w:rPr>
                <w:rFonts w:hint="eastAsia"/>
                <w:b/>
                <w:bCs/>
                <w:color w:val="auto"/>
                <w:sz w:val="24"/>
                <w:lang w:val="en-US" w:eastAsia="zh-CN"/>
              </w:rPr>
              <w:t>②</w:t>
            </w:r>
            <w:r>
              <w:rPr>
                <w:rFonts w:hint="eastAsia"/>
                <w:b/>
                <w:bCs/>
                <w:color w:val="auto"/>
                <w:sz w:val="24"/>
              </w:rPr>
              <w:t>废显影液</w:t>
            </w:r>
            <w:r>
              <w:rPr>
                <w:rFonts w:hint="eastAsia"/>
                <w:color w:val="auto"/>
                <w:sz w:val="24"/>
              </w:rPr>
              <w:t>：本项目运营期印版制作新增废显影液产生量约为</w:t>
            </w:r>
            <w:r>
              <w:rPr>
                <w:rFonts w:hint="eastAsia"/>
                <w:color w:val="auto"/>
                <w:sz w:val="24"/>
                <w:lang w:val="en-US" w:eastAsia="zh-CN"/>
              </w:rPr>
              <w:t>0.4</w:t>
            </w:r>
            <w:r>
              <w:rPr>
                <w:rFonts w:hint="eastAsia"/>
                <w:color w:val="auto"/>
                <w:sz w:val="24"/>
              </w:rPr>
              <w:t>t/a，</w:t>
            </w:r>
            <w:r>
              <w:rPr>
                <w:color w:val="auto"/>
                <w:sz w:val="24"/>
              </w:rPr>
              <w:t>属于《国家危险废物名录（202</w:t>
            </w:r>
            <w:r>
              <w:rPr>
                <w:rFonts w:hint="eastAsia"/>
                <w:color w:val="auto"/>
                <w:sz w:val="24"/>
              </w:rPr>
              <w:t>5</w:t>
            </w:r>
            <w:r>
              <w:rPr>
                <w:color w:val="auto"/>
                <w:sz w:val="24"/>
              </w:rPr>
              <w:t>版）》中“HW</w:t>
            </w:r>
            <w:r>
              <w:rPr>
                <w:rFonts w:hint="eastAsia"/>
                <w:color w:val="auto"/>
                <w:sz w:val="24"/>
              </w:rPr>
              <w:t>16感光材料废物</w:t>
            </w:r>
            <w:r>
              <w:rPr>
                <w:color w:val="auto"/>
                <w:sz w:val="24"/>
              </w:rPr>
              <w:t>—</w:t>
            </w:r>
            <w:r>
              <w:rPr>
                <w:rFonts w:hint="eastAsia"/>
                <w:color w:val="auto"/>
                <w:sz w:val="24"/>
              </w:rPr>
              <w:t>印刷231-002-16</w:t>
            </w:r>
            <w:r>
              <w:rPr>
                <w:color w:val="auto"/>
                <w:sz w:val="24"/>
              </w:rPr>
              <w:t>—</w:t>
            </w:r>
            <w:r>
              <w:rPr>
                <w:rFonts w:hint="eastAsia"/>
                <w:color w:val="auto"/>
                <w:sz w:val="24"/>
              </w:rPr>
              <w:t>使用显影剂进行印刷显影、抗蚀图形显影，以及凸版印刷产生的废显（定）影剂、胶片和废像纸</w:t>
            </w:r>
            <w:r>
              <w:rPr>
                <w:color w:val="auto"/>
                <w:sz w:val="24"/>
              </w:rPr>
              <w:t>”范畴。</w:t>
            </w:r>
          </w:p>
          <w:p w14:paraId="39A42223">
            <w:pPr>
              <w:adjustRightInd w:val="0"/>
              <w:spacing w:line="360" w:lineRule="auto"/>
              <w:ind w:firstLine="482" w:firstLineChars="200"/>
              <w:rPr>
                <w:color w:val="auto"/>
                <w:sz w:val="24"/>
              </w:rPr>
            </w:pPr>
            <w:r>
              <w:rPr>
                <w:rFonts w:hint="eastAsia" w:ascii="宋体" w:hAnsi="宋体"/>
                <w:b/>
                <w:bCs/>
                <w:color w:val="auto"/>
                <w:sz w:val="24"/>
                <w:lang w:val="en-US" w:eastAsia="zh-CN"/>
              </w:rPr>
              <w:t>③</w:t>
            </w:r>
            <w:r>
              <w:rPr>
                <w:rFonts w:hint="eastAsia" w:ascii="宋体" w:hAnsi="宋体"/>
                <w:b/>
                <w:bCs/>
                <w:color w:val="auto"/>
                <w:sz w:val="24"/>
              </w:rPr>
              <w:t>洗版废液：</w:t>
            </w:r>
            <w:r>
              <w:rPr>
                <w:rFonts w:hint="eastAsia" w:ascii="宋体" w:hAnsi="宋体"/>
                <w:color w:val="auto"/>
                <w:sz w:val="24"/>
              </w:rPr>
              <w:t>根据水平衡计算，本项目新增洗版废液产生</w:t>
            </w:r>
            <w:r>
              <w:rPr>
                <w:color w:val="auto"/>
                <w:sz w:val="24"/>
              </w:rPr>
              <w:t>量为</w:t>
            </w:r>
            <w:r>
              <w:rPr>
                <w:rFonts w:hint="eastAsia"/>
                <w:color w:val="auto"/>
                <w:sz w:val="24"/>
                <w:lang w:val="en-US" w:eastAsia="zh-CN"/>
              </w:rPr>
              <w:t>1.2</w:t>
            </w:r>
            <w:r>
              <w:rPr>
                <w:color w:val="auto"/>
                <w:sz w:val="24"/>
              </w:rPr>
              <w:t>t/a，属于《国家危险废物名录（202</w:t>
            </w:r>
            <w:r>
              <w:rPr>
                <w:rFonts w:hint="eastAsia"/>
                <w:color w:val="auto"/>
                <w:sz w:val="24"/>
              </w:rPr>
              <w:t>5</w:t>
            </w:r>
            <w:r>
              <w:rPr>
                <w:color w:val="auto"/>
                <w:sz w:val="24"/>
              </w:rPr>
              <w:t>版）》中“HW</w:t>
            </w:r>
            <w:r>
              <w:rPr>
                <w:rFonts w:hint="eastAsia"/>
                <w:color w:val="auto"/>
                <w:sz w:val="24"/>
              </w:rPr>
              <w:t>16感光材料废物</w:t>
            </w:r>
            <w:r>
              <w:rPr>
                <w:color w:val="auto"/>
                <w:sz w:val="24"/>
              </w:rPr>
              <w:t>—</w:t>
            </w:r>
            <w:r>
              <w:rPr>
                <w:rFonts w:hint="eastAsia"/>
                <w:color w:val="auto"/>
                <w:sz w:val="24"/>
              </w:rPr>
              <w:t>印刷231-002-16</w:t>
            </w:r>
            <w:r>
              <w:rPr>
                <w:color w:val="auto"/>
                <w:sz w:val="24"/>
              </w:rPr>
              <w:t>—</w:t>
            </w:r>
            <w:r>
              <w:rPr>
                <w:rFonts w:hint="eastAsia"/>
                <w:color w:val="auto"/>
                <w:sz w:val="24"/>
              </w:rPr>
              <w:t>使用显影剂进行印刷显影、抗蚀图形显影，以及凸版印刷产生的废显（定）影剂、胶片和废像纸</w:t>
            </w:r>
            <w:r>
              <w:rPr>
                <w:color w:val="auto"/>
                <w:sz w:val="24"/>
              </w:rPr>
              <w:t>”范畴。</w:t>
            </w:r>
          </w:p>
          <w:p w14:paraId="267C6474">
            <w:pPr>
              <w:adjustRightInd w:val="0"/>
              <w:spacing w:line="360" w:lineRule="auto"/>
              <w:ind w:firstLine="482" w:firstLineChars="200"/>
              <w:rPr>
                <w:color w:val="auto"/>
                <w:sz w:val="24"/>
              </w:rPr>
            </w:pPr>
            <w:r>
              <w:rPr>
                <w:rFonts w:hint="eastAsia"/>
                <w:b/>
                <w:bCs/>
                <w:color w:val="auto"/>
                <w:sz w:val="24"/>
                <w:lang w:val="en-US" w:eastAsia="zh-CN"/>
              </w:rPr>
              <w:t>④</w:t>
            </w:r>
            <w:r>
              <w:rPr>
                <w:rFonts w:hint="eastAsia" w:ascii="Times New Roman" w:hAnsi="Times New Roman" w:eastAsia="宋体" w:cs="Times New Roman"/>
                <w:b/>
                <w:bCs/>
                <w:color w:val="auto"/>
                <w:kern w:val="2"/>
                <w:sz w:val="24"/>
                <w:szCs w:val="24"/>
                <w:lang w:val="en-US" w:eastAsia="zh-CN" w:bidi="ar-SA"/>
              </w:rPr>
              <w:t>废滤材滤渣：</w:t>
            </w:r>
            <w:r>
              <w:rPr>
                <w:rFonts w:hint="eastAsia" w:ascii="Times New Roman" w:hAnsi="Times New Roman" w:eastAsia="宋体" w:cs="Times New Roman"/>
                <w:color w:val="auto"/>
                <w:kern w:val="2"/>
                <w:sz w:val="24"/>
                <w:szCs w:val="24"/>
                <w:lang w:val="en-US" w:eastAsia="zh-CN" w:bidi="ar-SA"/>
              </w:rPr>
              <w:t>本项目洗版水循环过滤系统平均每10天对洗版循环水及滤材更换一次，废滤材滤渣产生量约为0.3t/a，废滤材吸附有大量的药剂、悬浮颗粒物等，</w:t>
            </w:r>
            <w:r>
              <w:rPr>
                <w:color w:val="auto"/>
                <w:sz w:val="24"/>
              </w:rPr>
              <w:t>属于《国家危险废物名录（202</w:t>
            </w:r>
            <w:r>
              <w:rPr>
                <w:rFonts w:hint="eastAsia"/>
                <w:color w:val="auto"/>
                <w:sz w:val="24"/>
              </w:rPr>
              <w:t>5</w:t>
            </w:r>
            <w:r>
              <w:rPr>
                <w:color w:val="auto"/>
                <w:sz w:val="24"/>
              </w:rPr>
              <w:t>版）》中“HW49其他废物—非特定行业900-041-49—含有或沾染毒性、感染性危险废物的废弃包装物、容器、过滤吸附介质”范畴。</w:t>
            </w:r>
          </w:p>
          <w:p w14:paraId="35B0858A">
            <w:pPr>
              <w:adjustRightInd w:val="0"/>
              <w:spacing w:line="360" w:lineRule="auto"/>
              <w:ind w:firstLine="482" w:firstLineChars="200"/>
              <w:rPr>
                <w:color w:val="auto"/>
                <w:sz w:val="24"/>
              </w:rPr>
            </w:pPr>
            <w:r>
              <w:rPr>
                <w:rFonts w:hint="eastAsia"/>
                <w:b/>
                <w:bCs/>
                <w:color w:val="auto"/>
                <w:sz w:val="24"/>
                <w:lang w:val="en-US" w:eastAsia="zh-CN"/>
              </w:rPr>
              <w:t>⑤</w:t>
            </w:r>
            <w:r>
              <w:rPr>
                <w:rFonts w:hint="eastAsia"/>
                <w:b/>
                <w:bCs/>
                <w:color w:val="auto"/>
                <w:sz w:val="24"/>
              </w:rPr>
              <w:t>清洁丝网版棉布手套</w:t>
            </w:r>
            <w:r>
              <w:rPr>
                <w:rFonts w:hint="eastAsia"/>
                <w:color w:val="auto"/>
                <w:sz w:val="24"/>
              </w:rPr>
              <w:t>：本项目丝网版清洁过程中使用棉布蘸取酒精擦拭丝网版上的油墨及杂质，</w:t>
            </w:r>
            <w:r>
              <w:rPr>
                <w:color w:val="auto"/>
                <w:sz w:val="24"/>
              </w:rPr>
              <w:t>产生量约0</w:t>
            </w:r>
            <w:r>
              <w:rPr>
                <w:rFonts w:hint="eastAsia"/>
                <w:color w:val="auto"/>
                <w:sz w:val="24"/>
              </w:rPr>
              <w:t>.05</w:t>
            </w:r>
            <w:r>
              <w:rPr>
                <w:color w:val="auto"/>
                <w:sz w:val="24"/>
              </w:rPr>
              <w:t>t/a。属于《国家危险废物名录（202</w:t>
            </w:r>
            <w:r>
              <w:rPr>
                <w:rFonts w:hint="eastAsia"/>
                <w:color w:val="auto"/>
                <w:sz w:val="24"/>
              </w:rPr>
              <w:t>5</w:t>
            </w:r>
            <w:r>
              <w:rPr>
                <w:color w:val="auto"/>
                <w:sz w:val="24"/>
              </w:rPr>
              <w:t>版）》中“HW49其他废物—非特定行业900-041-49—含有或沾染毒性、感染性危险废物的废弃包装物、容器、过滤吸附介质”范畴。</w:t>
            </w:r>
          </w:p>
          <w:p w14:paraId="6F9628BC">
            <w:pPr>
              <w:spacing w:line="360" w:lineRule="auto"/>
              <w:ind w:firstLine="482" w:firstLineChars="200"/>
              <w:jc w:val="left"/>
              <w:rPr>
                <w:color w:val="auto"/>
                <w:sz w:val="24"/>
              </w:rPr>
            </w:pPr>
            <w:r>
              <w:rPr>
                <w:rFonts w:hint="eastAsia"/>
                <w:b/>
                <w:bCs/>
                <w:color w:val="auto"/>
                <w:sz w:val="24"/>
                <w:highlight w:val="none"/>
                <w:lang w:val="en-US" w:eastAsia="zh-CN"/>
              </w:rPr>
              <w:t>⑥</w:t>
            </w:r>
            <w:r>
              <w:rPr>
                <w:rFonts w:hint="eastAsia"/>
                <w:b/>
                <w:bCs/>
                <w:color w:val="auto"/>
                <w:sz w:val="24"/>
                <w:lang w:val="en-US" w:eastAsia="zh-CN"/>
              </w:rPr>
              <w:t>废</w:t>
            </w:r>
            <w:r>
              <w:rPr>
                <w:rFonts w:hint="eastAsia"/>
                <w:b/>
                <w:bCs/>
                <w:color w:val="auto"/>
                <w:sz w:val="24"/>
              </w:rPr>
              <w:t>丝网版</w:t>
            </w:r>
            <w:r>
              <w:rPr>
                <w:rFonts w:hint="eastAsia"/>
                <w:color w:val="auto"/>
                <w:sz w:val="24"/>
              </w:rPr>
              <w:t>：本项目废丝网版</w:t>
            </w:r>
            <w:r>
              <w:rPr>
                <w:color w:val="auto"/>
                <w:sz w:val="24"/>
              </w:rPr>
              <w:t>产生量约0</w:t>
            </w:r>
            <w:r>
              <w:rPr>
                <w:rFonts w:hint="eastAsia"/>
                <w:color w:val="auto"/>
                <w:sz w:val="24"/>
              </w:rPr>
              <w:t>.01</w:t>
            </w:r>
            <w:r>
              <w:rPr>
                <w:color w:val="auto"/>
                <w:sz w:val="24"/>
              </w:rPr>
              <w:t>t/a。属于《国家危险废物名录（202</w:t>
            </w:r>
            <w:r>
              <w:rPr>
                <w:rFonts w:hint="eastAsia"/>
                <w:color w:val="auto"/>
                <w:sz w:val="24"/>
              </w:rPr>
              <w:t>5</w:t>
            </w:r>
            <w:r>
              <w:rPr>
                <w:color w:val="auto"/>
                <w:sz w:val="24"/>
              </w:rPr>
              <w:t>版）》中“HW</w:t>
            </w:r>
            <w:r>
              <w:rPr>
                <w:rFonts w:hint="eastAsia"/>
                <w:color w:val="auto"/>
                <w:sz w:val="24"/>
              </w:rPr>
              <w:t>16感光材料废物</w:t>
            </w:r>
            <w:r>
              <w:rPr>
                <w:color w:val="auto"/>
                <w:sz w:val="24"/>
              </w:rPr>
              <w:t>—</w:t>
            </w:r>
            <w:r>
              <w:rPr>
                <w:rFonts w:hint="eastAsia"/>
                <w:color w:val="auto"/>
                <w:sz w:val="24"/>
              </w:rPr>
              <w:t>印刷231-002-16</w:t>
            </w:r>
            <w:r>
              <w:rPr>
                <w:color w:val="auto"/>
                <w:sz w:val="24"/>
              </w:rPr>
              <w:t>—</w:t>
            </w:r>
            <w:r>
              <w:rPr>
                <w:rFonts w:hint="eastAsia"/>
                <w:color w:val="auto"/>
                <w:sz w:val="24"/>
              </w:rPr>
              <w:t>使用显影剂进行印刷显影、抗蚀图形显影，以及凸版印刷产生的废显（定）影剂、胶片和废像纸</w:t>
            </w:r>
            <w:r>
              <w:rPr>
                <w:color w:val="auto"/>
                <w:sz w:val="24"/>
              </w:rPr>
              <w:t>”范畴。</w:t>
            </w:r>
          </w:p>
          <w:p w14:paraId="093B9248">
            <w:pPr>
              <w:spacing w:line="360" w:lineRule="auto"/>
              <w:ind w:firstLine="482" w:firstLineChars="200"/>
              <w:jc w:val="left"/>
              <w:rPr>
                <w:color w:val="auto"/>
                <w:sz w:val="24"/>
              </w:rPr>
            </w:pPr>
            <w:r>
              <w:rPr>
                <w:rFonts w:hint="eastAsia"/>
                <w:b/>
                <w:bCs/>
                <w:color w:val="auto"/>
                <w:sz w:val="24"/>
                <w:highlight w:val="none"/>
                <w:lang w:val="en-US" w:eastAsia="zh-CN"/>
              </w:rPr>
              <w:t>⑦</w:t>
            </w:r>
            <w:r>
              <w:rPr>
                <w:rFonts w:hint="eastAsia"/>
                <w:b/>
                <w:bCs/>
                <w:color w:val="auto"/>
                <w:sz w:val="24"/>
                <w:highlight w:val="none"/>
                <w:lang w:eastAsia="zh-CN"/>
              </w:rPr>
              <w:t>废CTP版：</w:t>
            </w:r>
            <w:r>
              <w:rPr>
                <w:rFonts w:hint="eastAsia"/>
                <w:color w:val="auto"/>
                <w:sz w:val="24"/>
                <w:highlight w:val="none"/>
                <w:lang w:eastAsia="zh-CN"/>
              </w:rPr>
              <w:t>根据原辅料用量核算，本项目新增废CTP版产生量</w:t>
            </w:r>
            <w:r>
              <w:rPr>
                <w:rFonts w:hint="eastAsia"/>
                <w:color w:val="auto"/>
                <w:sz w:val="24"/>
                <w:highlight w:val="none"/>
                <w:lang w:val="en-US" w:eastAsia="zh-CN"/>
              </w:rPr>
              <w:t>0.3</w:t>
            </w:r>
            <w:r>
              <w:rPr>
                <w:rFonts w:hint="eastAsia"/>
                <w:color w:val="auto"/>
                <w:sz w:val="24"/>
                <w:highlight w:val="none"/>
                <w:lang w:eastAsia="zh-CN"/>
              </w:rPr>
              <w:t>t/a。</w:t>
            </w:r>
            <w:r>
              <w:rPr>
                <w:color w:val="auto"/>
                <w:sz w:val="24"/>
              </w:rPr>
              <w:t>属于《国家危险废物名录（202</w:t>
            </w:r>
            <w:r>
              <w:rPr>
                <w:rFonts w:hint="eastAsia"/>
                <w:color w:val="auto"/>
                <w:sz w:val="24"/>
              </w:rPr>
              <w:t>5</w:t>
            </w:r>
            <w:r>
              <w:rPr>
                <w:color w:val="auto"/>
                <w:sz w:val="24"/>
              </w:rPr>
              <w:t>版）》中“HW</w:t>
            </w:r>
            <w:r>
              <w:rPr>
                <w:rFonts w:hint="eastAsia"/>
                <w:color w:val="auto"/>
                <w:sz w:val="24"/>
              </w:rPr>
              <w:t>16感光材料废物</w:t>
            </w:r>
            <w:r>
              <w:rPr>
                <w:color w:val="auto"/>
                <w:sz w:val="24"/>
              </w:rPr>
              <w:t>—</w:t>
            </w:r>
            <w:r>
              <w:rPr>
                <w:rFonts w:hint="eastAsia"/>
                <w:color w:val="auto"/>
                <w:sz w:val="24"/>
              </w:rPr>
              <w:t>印刷231-002-16</w:t>
            </w:r>
            <w:r>
              <w:rPr>
                <w:color w:val="auto"/>
                <w:sz w:val="24"/>
              </w:rPr>
              <w:t>—</w:t>
            </w:r>
            <w:r>
              <w:rPr>
                <w:rFonts w:hint="eastAsia"/>
                <w:color w:val="auto"/>
                <w:sz w:val="24"/>
              </w:rPr>
              <w:t>使用显影剂进行印刷显影、抗蚀图形显影，以及凸版印刷产生的废显（定）影剂、胶片和废像纸</w:t>
            </w:r>
            <w:r>
              <w:rPr>
                <w:color w:val="auto"/>
                <w:sz w:val="24"/>
              </w:rPr>
              <w:t>”范畴。</w:t>
            </w:r>
          </w:p>
          <w:p w14:paraId="634FACD8">
            <w:pPr>
              <w:adjustRightInd w:val="0"/>
              <w:spacing w:line="360" w:lineRule="auto"/>
              <w:ind w:firstLine="482" w:firstLineChars="200"/>
              <w:rPr>
                <w:color w:val="auto"/>
                <w:sz w:val="24"/>
              </w:rPr>
            </w:pPr>
            <w:r>
              <w:rPr>
                <w:rFonts w:hint="eastAsia"/>
                <w:b/>
                <w:bCs/>
                <w:color w:val="auto"/>
                <w:sz w:val="24"/>
                <w:highlight w:val="none"/>
                <w:lang w:val="en-US" w:eastAsia="zh-CN"/>
              </w:rPr>
              <w:t>⑧废UV灯管：</w:t>
            </w:r>
            <w:r>
              <w:rPr>
                <w:rFonts w:hint="eastAsia"/>
                <w:color w:val="auto"/>
                <w:sz w:val="24"/>
              </w:rPr>
              <w:t>UV固化灯管在故障时需要更换，</w:t>
            </w:r>
            <w:r>
              <w:rPr>
                <w:color w:val="auto"/>
                <w:sz w:val="24"/>
              </w:rPr>
              <w:t>产生量约0</w:t>
            </w:r>
            <w:r>
              <w:rPr>
                <w:rFonts w:hint="eastAsia"/>
                <w:color w:val="auto"/>
                <w:sz w:val="24"/>
              </w:rPr>
              <w:t>.01</w:t>
            </w:r>
            <w:r>
              <w:rPr>
                <w:color w:val="auto"/>
                <w:sz w:val="24"/>
              </w:rPr>
              <w:t>t/a。属于《国家危险废物名录（202</w:t>
            </w:r>
            <w:r>
              <w:rPr>
                <w:rFonts w:hint="eastAsia"/>
                <w:color w:val="auto"/>
                <w:sz w:val="24"/>
              </w:rPr>
              <w:t>5</w:t>
            </w:r>
            <w:r>
              <w:rPr>
                <w:color w:val="auto"/>
                <w:sz w:val="24"/>
              </w:rPr>
              <w:t>版）》中“HW</w:t>
            </w:r>
            <w:r>
              <w:rPr>
                <w:rFonts w:hint="eastAsia"/>
                <w:color w:val="auto"/>
                <w:sz w:val="24"/>
              </w:rPr>
              <w:t>29含汞废物</w:t>
            </w:r>
            <w:r>
              <w:rPr>
                <w:color w:val="auto"/>
                <w:sz w:val="24"/>
              </w:rPr>
              <w:t>—</w:t>
            </w:r>
            <w:r>
              <w:rPr>
                <w:rFonts w:hint="eastAsia"/>
                <w:color w:val="auto"/>
                <w:sz w:val="24"/>
              </w:rPr>
              <w:t>非特定行业900-023-29</w:t>
            </w:r>
            <w:r>
              <w:rPr>
                <w:color w:val="auto"/>
                <w:sz w:val="24"/>
              </w:rPr>
              <w:t>—</w:t>
            </w:r>
            <w:r>
              <w:rPr>
                <w:rFonts w:hint="eastAsia"/>
                <w:color w:val="auto"/>
                <w:sz w:val="24"/>
              </w:rPr>
              <w:t>生产、销售及使用过程中产生的废含汞荧光灯管及其他废含汞电光源，及废弃含汞电光源处理处置过程中产生的废荧光粉、废活性炭和废水处理污泥</w:t>
            </w:r>
            <w:r>
              <w:rPr>
                <w:color w:val="auto"/>
                <w:sz w:val="24"/>
              </w:rPr>
              <w:t>”范畴。</w:t>
            </w:r>
          </w:p>
          <w:p w14:paraId="59D6EF3E">
            <w:pPr>
              <w:adjustRightInd w:val="0"/>
              <w:spacing w:line="360" w:lineRule="auto"/>
              <w:ind w:firstLine="482" w:firstLineChars="200"/>
              <w:rPr>
                <w:color w:val="auto"/>
                <w:sz w:val="24"/>
              </w:rPr>
            </w:pPr>
            <w:r>
              <w:rPr>
                <w:rFonts w:hint="eastAsia"/>
                <w:b/>
                <w:bCs/>
                <w:color w:val="auto"/>
                <w:sz w:val="24"/>
                <w:highlight w:val="none"/>
                <w:lang w:val="en-US" w:eastAsia="zh-CN"/>
              </w:rPr>
              <w:t>⑨</w:t>
            </w:r>
            <w:r>
              <w:rPr>
                <w:rFonts w:hint="eastAsia"/>
                <w:b/>
                <w:bCs/>
                <w:color w:val="auto"/>
                <w:sz w:val="24"/>
                <w:highlight w:val="none"/>
              </w:rPr>
              <w:t>废</w:t>
            </w:r>
            <w:r>
              <w:rPr>
                <w:rFonts w:hint="eastAsia"/>
                <w:b/>
                <w:bCs/>
                <w:color w:val="auto"/>
                <w:sz w:val="24"/>
                <w:highlight w:val="none"/>
                <w:lang w:val="en-US" w:eastAsia="zh-CN"/>
              </w:rPr>
              <w:t>润滑油：</w:t>
            </w:r>
            <w:r>
              <w:rPr>
                <w:rFonts w:hint="eastAsia" w:hAnsi="宋体"/>
                <w:bCs/>
                <w:color w:val="auto"/>
                <w:sz w:val="24"/>
              </w:rPr>
              <w:t>项目设备维护会使用机油，定期更换产生废机油，</w:t>
            </w:r>
            <w:r>
              <w:rPr>
                <w:rFonts w:hint="eastAsia" w:hAnsi="宋体"/>
                <w:bCs/>
                <w:color w:val="auto"/>
                <w:sz w:val="24"/>
                <w:lang w:val="en-US" w:eastAsia="zh-CN"/>
              </w:rPr>
              <w:t>本项目</w:t>
            </w:r>
            <w:r>
              <w:rPr>
                <w:rFonts w:hint="eastAsia" w:hAnsi="宋体"/>
                <w:bCs/>
                <w:color w:val="auto"/>
                <w:sz w:val="24"/>
              </w:rPr>
              <w:t>产生量约为0.</w:t>
            </w:r>
            <w:r>
              <w:rPr>
                <w:rFonts w:hint="eastAsia" w:hAnsi="宋体"/>
                <w:bCs/>
                <w:color w:val="auto"/>
                <w:sz w:val="24"/>
                <w:lang w:val="en-US" w:eastAsia="zh-CN"/>
              </w:rPr>
              <w:t>1</w:t>
            </w:r>
            <w:r>
              <w:rPr>
                <w:rFonts w:hint="eastAsia" w:hAnsi="宋体"/>
                <w:bCs/>
                <w:color w:val="auto"/>
                <w:sz w:val="24"/>
              </w:rPr>
              <w:t>t/a，属于</w:t>
            </w:r>
            <w:r>
              <w:rPr>
                <w:color w:val="auto"/>
                <w:sz w:val="24"/>
              </w:rPr>
              <w:t>《国家危险废物名录（20</w:t>
            </w:r>
            <w:r>
              <w:rPr>
                <w:rFonts w:hint="eastAsia"/>
                <w:color w:val="auto"/>
                <w:sz w:val="24"/>
              </w:rPr>
              <w:t>25</w:t>
            </w:r>
            <w:r>
              <w:rPr>
                <w:color w:val="auto"/>
                <w:sz w:val="24"/>
              </w:rPr>
              <w:t>版）》</w:t>
            </w:r>
            <w:r>
              <w:rPr>
                <w:rFonts w:hint="eastAsia" w:hAnsi="宋体"/>
                <w:bCs/>
                <w:color w:val="auto"/>
                <w:sz w:val="24"/>
              </w:rPr>
              <w:t>中“</w:t>
            </w:r>
            <w:r>
              <w:rPr>
                <w:rFonts w:hint="eastAsia"/>
                <w:color w:val="auto"/>
                <w:sz w:val="24"/>
              </w:rPr>
              <w:t>HW08废矿物油与含矿物油废物-非特定行业-900-249-08其他生产、销售、使用过程中产生的废矿物油及沾染矿物油的废弃包装物”范畴</w:t>
            </w:r>
            <w:r>
              <w:rPr>
                <w:rFonts w:hint="eastAsia" w:hAnsi="宋体"/>
                <w:bCs/>
                <w:color w:val="auto"/>
                <w:sz w:val="24"/>
              </w:rPr>
              <w:t>。</w:t>
            </w:r>
          </w:p>
          <w:p w14:paraId="20AE3275">
            <w:pPr>
              <w:adjustRightInd w:val="0"/>
              <w:spacing w:line="360" w:lineRule="auto"/>
              <w:ind w:firstLine="482" w:firstLineChars="200"/>
              <w:rPr>
                <w:color w:val="auto"/>
                <w:sz w:val="24"/>
              </w:rPr>
            </w:pPr>
            <w:r>
              <w:rPr>
                <w:rFonts w:hint="eastAsia"/>
                <w:b/>
                <w:bCs/>
                <w:color w:val="auto"/>
                <w:sz w:val="24"/>
                <w:highlight w:val="none"/>
                <w:lang w:val="en-US" w:eastAsia="zh-CN"/>
              </w:rPr>
              <w:t>⑩</w:t>
            </w:r>
            <w:r>
              <w:rPr>
                <w:rFonts w:hint="eastAsia"/>
                <w:b/>
                <w:bCs/>
                <w:color w:val="auto"/>
                <w:sz w:val="24"/>
                <w:highlight w:val="none"/>
              </w:rPr>
              <w:t>废棉纱手套</w:t>
            </w:r>
            <w:r>
              <w:rPr>
                <w:rFonts w:hint="eastAsia"/>
                <w:b/>
                <w:bCs/>
                <w:color w:val="auto"/>
                <w:sz w:val="24"/>
                <w:highlight w:val="none"/>
                <w:lang w:eastAsia="zh-CN"/>
              </w:rPr>
              <w:t>：</w:t>
            </w:r>
            <w:r>
              <w:rPr>
                <w:color w:val="auto"/>
                <w:sz w:val="24"/>
              </w:rPr>
              <w:t>本项目</w:t>
            </w:r>
            <w:r>
              <w:rPr>
                <w:rFonts w:hint="eastAsia"/>
                <w:color w:val="auto"/>
                <w:sz w:val="24"/>
              </w:rPr>
              <w:t>沾染</w:t>
            </w:r>
            <w:r>
              <w:rPr>
                <w:rFonts w:hint="eastAsia"/>
                <w:color w:val="auto"/>
                <w:sz w:val="24"/>
                <w:lang w:val="en-US" w:eastAsia="zh-CN"/>
              </w:rPr>
              <w:t>润滑、油</w:t>
            </w:r>
            <w:r>
              <w:rPr>
                <w:rFonts w:hint="eastAsia"/>
                <w:color w:val="auto"/>
                <w:sz w:val="24"/>
              </w:rPr>
              <w:t>胶粘剂等化学品废棉纱、手套产生量约为0.05t/a</w:t>
            </w:r>
            <w:r>
              <w:rPr>
                <w:color w:val="auto"/>
                <w:sz w:val="24"/>
              </w:rPr>
              <w:t>。属于《国家危险废物名录（202</w:t>
            </w:r>
            <w:r>
              <w:rPr>
                <w:rFonts w:hint="eastAsia"/>
                <w:color w:val="auto"/>
                <w:sz w:val="24"/>
              </w:rPr>
              <w:t>5</w:t>
            </w:r>
            <w:r>
              <w:rPr>
                <w:color w:val="auto"/>
                <w:sz w:val="24"/>
              </w:rPr>
              <w:t>版）》中“HW49其他废物—非特定行业900-041-49—含有或沾染毒性、感染性危险废物的废弃包装物、容器、过滤吸附介质”范畴</w:t>
            </w:r>
            <w:r>
              <w:rPr>
                <w:rFonts w:hint="eastAsia"/>
                <w:color w:val="auto"/>
                <w:sz w:val="24"/>
              </w:rPr>
              <w:t>。</w:t>
            </w:r>
          </w:p>
          <w:p w14:paraId="507859A3">
            <w:pPr>
              <w:spacing w:line="360" w:lineRule="auto"/>
              <w:ind w:firstLine="480" w:firstLineChars="200"/>
              <w:jc w:val="left"/>
              <w:rPr>
                <w:rFonts w:hint="eastAsia"/>
                <w:b/>
                <w:bCs/>
                <w:color w:val="auto"/>
                <w:sz w:val="24"/>
                <w:highlight w:val="none"/>
                <w:lang w:eastAsia="zh-CN"/>
              </w:rPr>
            </w:pPr>
            <w:r>
              <w:rPr>
                <w:rFonts w:hint="eastAsia" w:ascii="微软雅黑" w:hAnsi="微软雅黑" w:eastAsia="微软雅黑" w:cs="微软雅黑"/>
                <w:b/>
                <w:bCs/>
                <w:color w:val="auto"/>
                <w:sz w:val="24"/>
                <w:highlight w:val="none"/>
              </w:rPr>
              <w:t>⑪</w:t>
            </w:r>
            <w:r>
              <w:rPr>
                <w:rFonts w:hint="eastAsia"/>
                <w:b/>
                <w:bCs/>
                <w:color w:val="auto"/>
                <w:sz w:val="24"/>
                <w:highlight w:val="none"/>
              </w:rPr>
              <w:t>废活性炭</w:t>
            </w:r>
            <w:r>
              <w:rPr>
                <w:rFonts w:hint="eastAsia"/>
                <w:b/>
                <w:bCs/>
                <w:color w:val="auto"/>
                <w:sz w:val="24"/>
                <w:highlight w:val="none"/>
                <w:lang w:eastAsia="zh-CN"/>
              </w:rPr>
              <w:t>：</w:t>
            </w:r>
            <w:r>
              <w:rPr>
                <w:rFonts w:hint="eastAsia"/>
                <w:color w:val="auto"/>
                <w:sz w:val="24"/>
                <w:highlight w:val="none"/>
              </w:rPr>
              <w:t>本项目废气处理装置将产生废弃活性炭，吸附有有机废气的废活性炭的产生量为</w:t>
            </w:r>
            <w:r>
              <w:rPr>
                <w:rFonts w:hint="eastAsia"/>
                <w:bCs/>
                <w:color w:val="auto"/>
                <w:sz w:val="24"/>
                <w:highlight w:val="none"/>
                <w:lang w:val="en-US" w:eastAsia="zh-CN"/>
              </w:rPr>
              <w:t>52.17</w:t>
            </w:r>
            <w:r>
              <w:rPr>
                <w:rFonts w:hint="eastAsia"/>
                <w:color w:val="auto"/>
                <w:sz w:val="24"/>
                <w:highlight w:val="none"/>
              </w:rPr>
              <w:t>t/a，</w:t>
            </w:r>
            <w:r>
              <w:rPr>
                <w:color w:val="auto"/>
                <w:sz w:val="24"/>
              </w:rPr>
              <w:t>属于《国家危险废物名录（202</w:t>
            </w:r>
            <w:r>
              <w:rPr>
                <w:rFonts w:hint="eastAsia"/>
                <w:color w:val="auto"/>
                <w:sz w:val="24"/>
              </w:rPr>
              <w:t>5</w:t>
            </w:r>
            <w:r>
              <w:rPr>
                <w:color w:val="auto"/>
                <w:sz w:val="24"/>
              </w:rPr>
              <w:t>版）》中</w:t>
            </w:r>
            <w:r>
              <w:rPr>
                <w:rFonts w:hint="eastAsia"/>
                <w:color w:val="auto"/>
                <w:sz w:val="24"/>
              </w:rPr>
              <w:t>“</w:t>
            </w:r>
            <w:r>
              <w:rPr>
                <w:color w:val="auto"/>
                <w:sz w:val="24"/>
              </w:rPr>
              <w:t>HW49其他废物—非特定行业900-041-49—含有或沾染毒性、感染性危险废物的废弃包装物、容器、过滤吸附介质</w:t>
            </w:r>
            <w:r>
              <w:rPr>
                <w:rFonts w:hint="eastAsia"/>
                <w:color w:val="auto"/>
                <w:sz w:val="24"/>
              </w:rPr>
              <w:t>”</w:t>
            </w:r>
            <w:r>
              <w:rPr>
                <w:color w:val="auto"/>
                <w:sz w:val="24"/>
              </w:rPr>
              <w:t>范畴。</w:t>
            </w:r>
          </w:p>
          <w:p w14:paraId="1ED4EAF3">
            <w:pPr>
              <w:spacing w:line="360" w:lineRule="auto"/>
              <w:ind w:firstLine="480" w:firstLineChars="200"/>
              <w:jc w:val="left"/>
              <w:rPr>
                <w:color w:val="auto"/>
                <w:sz w:val="24"/>
              </w:rPr>
            </w:pPr>
            <w:r>
              <w:rPr>
                <w:color w:val="auto"/>
                <w:sz w:val="24"/>
              </w:rPr>
              <w:t>建设项目运营期产生的固体废物的名称、类别、属性和数量等情况见下表，危险特性鉴别依据《国家危险废物名录》（202</w:t>
            </w:r>
            <w:r>
              <w:rPr>
                <w:rFonts w:hint="eastAsia"/>
                <w:color w:val="auto"/>
                <w:sz w:val="24"/>
                <w:lang w:val="en-US" w:eastAsia="zh-CN"/>
              </w:rPr>
              <w:t>5</w:t>
            </w:r>
            <w:r>
              <w:rPr>
                <w:color w:val="auto"/>
                <w:sz w:val="24"/>
              </w:rPr>
              <w:t>年）：</w:t>
            </w:r>
          </w:p>
          <w:p w14:paraId="4551F109">
            <w:pPr>
              <w:jc w:val="center"/>
              <w:rPr>
                <w:b/>
                <w:color w:val="auto"/>
                <w:szCs w:val="21"/>
              </w:rPr>
            </w:pPr>
            <w:r>
              <w:rPr>
                <w:b/>
                <w:color w:val="auto"/>
                <w:szCs w:val="18"/>
              </w:rPr>
              <w:t>表4-</w:t>
            </w:r>
            <w:r>
              <w:rPr>
                <w:rFonts w:hint="eastAsia"/>
                <w:b/>
                <w:color w:val="auto"/>
                <w:szCs w:val="18"/>
                <w:lang w:val="en-US" w:eastAsia="zh-CN"/>
              </w:rPr>
              <w:t>26</w:t>
            </w:r>
            <w:r>
              <w:rPr>
                <w:b/>
                <w:color w:val="auto"/>
                <w:szCs w:val="18"/>
              </w:rPr>
              <w:t xml:space="preserve">  </w:t>
            </w:r>
            <w:r>
              <w:rPr>
                <w:b/>
                <w:color w:val="auto"/>
                <w:szCs w:val="21"/>
              </w:rPr>
              <w:t>运营期</w:t>
            </w:r>
            <w:r>
              <w:rPr>
                <w:rFonts w:hint="eastAsia"/>
                <w:b/>
                <w:color w:val="auto"/>
                <w:szCs w:val="21"/>
                <w:lang w:val="en-US" w:eastAsia="zh-CN"/>
              </w:rPr>
              <w:t>危险废物</w:t>
            </w:r>
            <w:r>
              <w:rPr>
                <w:b/>
                <w:color w:val="auto"/>
                <w:szCs w:val="21"/>
              </w:rPr>
              <w:t>分析结果汇总表</w:t>
            </w:r>
          </w:p>
          <w:tbl>
            <w:tblPr>
              <w:tblStyle w:val="25"/>
              <w:tblW w:w="8727"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793"/>
              <w:gridCol w:w="1196"/>
              <w:gridCol w:w="753"/>
              <w:gridCol w:w="743"/>
              <w:gridCol w:w="637"/>
              <w:gridCol w:w="863"/>
              <w:gridCol w:w="881"/>
              <w:gridCol w:w="877"/>
              <w:gridCol w:w="901"/>
            </w:tblGrid>
            <w:tr w14:paraId="37CB49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083" w:type="dxa"/>
                  <w:noWrap w:val="0"/>
                  <w:vAlign w:val="center"/>
                </w:tcPr>
                <w:p w14:paraId="2295563B">
                  <w:pPr>
                    <w:ind w:left="-105" w:leftChars="-50" w:right="-105" w:rightChars="-50"/>
                    <w:jc w:val="center"/>
                    <w:rPr>
                      <w:color w:val="auto"/>
                      <w:sz w:val="21"/>
                      <w:szCs w:val="21"/>
                    </w:rPr>
                  </w:pPr>
                  <w:bookmarkStart w:id="65" w:name="_Hlk179582405"/>
                  <w:r>
                    <w:rPr>
                      <w:rFonts w:hint="eastAsia"/>
                      <w:color w:val="auto"/>
                      <w:sz w:val="21"/>
                      <w:szCs w:val="21"/>
                    </w:rPr>
                    <w:t>危险废物名称</w:t>
                  </w:r>
                </w:p>
              </w:tc>
              <w:tc>
                <w:tcPr>
                  <w:tcW w:w="793" w:type="dxa"/>
                  <w:noWrap w:val="0"/>
                  <w:vAlign w:val="center"/>
                </w:tcPr>
                <w:p w14:paraId="0EB9AD7C">
                  <w:pPr>
                    <w:ind w:left="-105" w:leftChars="-50" w:right="-105" w:rightChars="-50"/>
                    <w:jc w:val="center"/>
                    <w:rPr>
                      <w:color w:val="auto"/>
                      <w:sz w:val="21"/>
                      <w:szCs w:val="21"/>
                    </w:rPr>
                  </w:pPr>
                  <w:r>
                    <w:rPr>
                      <w:rFonts w:hint="eastAsia"/>
                      <w:color w:val="auto"/>
                      <w:sz w:val="21"/>
                      <w:szCs w:val="21"/>
                    </w:rPr>
                    <w:t>危险废物类别</w:t>
                  </w:r>
                </w:p>
              </w:tc>
              <w:tc>
                <w:tcPr>
                  <w:tcW w:w="1196" w:type="dxa"/>
                  <w:noWrap w:val="0"/>
                  <w:vAlign w:val="center"/>
                </w:tcPr>
                <w:p w14:paraId="4F095345">
                  <w:pPr>
                    <w:ind w:left="-105" w:leftChars="-50" w:right="-105" w:rightChars="-50"/>
                    <w:jc w:val="center"/>
                    <w:rPr>
                      <w:color w:val="auto"/>
                      <w:sz w:val="21"/>
                      <w:szCs w:val="21"/>
                    </w:rPr>
                  </w:pPr>
                  <w:r>
                    <w:rPr>
                      <w:rFonts w:hint="eastAsia"/>
                      <w:color w:val="auto"/>
                      <w:sz w:val="21"/>
                      <w:szCs w:val="21"/>
                    </w:rPr>
                    <w:t>危险废物代码</w:t>
                  </w:r>
                </w:p>
              </w:tc>
              <w:tc>
                <w:tcPr>
                  <w:tcW w:w="753" w:type="dxa"/>
                  <w:noWrap w:val="0"/>
                  <w:vAlign w:val="center"/>
                </w:tcPr>
                <w:p w14:paraId="7243CA0E">
                  <w:pPr>
                    <w:ind w:left="-105" w:leftChars="-50" w:right="-105" w:rightChars="-50"/>
                    <w:jc w:val="center"/>
                    <w:rPr>
                      <w:color w:val="auto"/>
                      <w:sz w:val="21"/>
                      <w:szCs w:val="21"/>
                    </w:rPr>
                  </w:pPr>
                  <w:r>
                    <w:rPr>
                      <w:rFonts w:hint="eastAsia"/>
                      <w:color w:val="auto"/>
                      <w:sz w:val="21"/>
                      <w:szCs w:val="21"/>
                    </w:rPr>
                    <w:t>产生量（t/a）</w:t>
                  </w:r>
                </w:p>
              </w:tc>
              <w:tc>
                <w:tcPr>
                  <w:tcW w:w="743" w:type="dxa"/>
                  <w:noWrap w:val="0"/>
                  <w:vAlign w:val="center"/>
                </w:tcPr>
                <w:p w14:paraId="1A6078FE">
                  <w:pPr>
                    <w:ind w:left="-105" w:leftChars="-50" w:right="-105" w:rightChars="-50"/>
                    <w:jc w:val="center"/>
                    <w:rPr>
                      <w:color w:val="auto"/>
                      <w:sz w:val="21"/>
                      <w:szCs w:val="21"/>
                    </w:rPr>
                  </w:pPr>
                  <w:r>
                    <w:rPr>
                      <w:rFonts w:hint="eastAsia"/>
                      <w:color w:val="auto"/>
                      <w:sz w:val="21"/>
                      <w:szCs w:val="21"/>
                    </w:rPr>
                    <w:t>产生环节</w:t>
                  </w:r>
                </w:p>
              </w:tc>
              <w:tc>
                <w:tcPr>
                  <w:tcW w:w="637" w:type="dxa"/>
                  <w:noWrap w:val="0"/>
                  <w:vAlign w:val="center"/>
                </w:tcPr>
                <w:p w14:paraId="21932796">
                  <w:pPr>
                    <w:ind w:left="-105" w:leftChars="-50" w:right="-105" w:rightChars="-50"/>
                    <w:jc w:val="center"/>
                    <w:rPr>
                      <w:color w:val="auto"/>
                      <w:sz w:val="21"/>
                      <w:szCs w:val="21"/>
                    </w:rPr>
                  </w:pPr>
                  <w:r>
                    <w:rPr>
                      <w:rFonts w:hint="eastAsia"/>
                      <w:color w:val="auto"/>
                      <w:sz w:val="21"/>
                      <w:szCs w:val="21"/>
                    </w:rPr>
                    <w:t>形态</w:t>
                  </w:r>
                </w:p>
              </w:tc>
              <w:tc>
                <w:tcPr>
                  <w:tcW w:w="863" w:type="dxa"/>
                  <w:noWrap w:val="0"/>
                  <w:vAlign w:val="center"/>
                </w:tcPr>
                <w:p w14:paraId="4E2C34CE">
                  <w:pPr>
                    <w:ind w:left="-105" w:leftChars="-50" w:right="-105" w:rightChars="-50"/>
                    <w:jc w:val="center"/>
                    <w:rPr>
                      <w:color w:val="auto"/>
                      <w:sz w:val="21"/>
                      <w:szCs w:val="21"/>
                    </w:rPr>
                  </w:pPr>
                  <w:r>
                    <w:rPr>
                      <w:rFonts w:hint="eastAsia"/>
                      <w:color w:val="auto"/>
                      <w:sz w:val="21"/>
                      <w:szCs w:val="21"/>
                    </w:rPr>
                    <w:t>有害成分</w:t>
                  </w:r>
                </w:p>
              </w:tc>
              <w:tc>
                <w:tcPr>
                  <w:tcW w:w="881" w:type="dxa"/>
                  <w:noWrap w:val="0"/>
                  <w:vAlign w:val="center"/>
                </w:tcPr>
                <w:p w14:paraId="092DE0DE">
                  <w:pPr>
                    <w:ind w:left="-105" w:leftChars="-50" w:right="-105" w:rightChars="-50"/>
                    <w:jc w:val="center"/>
                    <w:rPr>
                      <w:color w:val="auto"/>
                      <w:sz w:val="21"/>
                      <w:szCs w:val="21"/>
                    </w:rPr>
                  </w:pPr>
                  <w:r>
                    <w:rPr>
                      <w:rFonts w:hint="eastAsia"/>
                      <w:color w:val="auto"/>
                      <w:sz w:val="21"/>
                      <w:szCs w:val="21"/>
                    </w:rPr>
                    <w:t>产废周期</w:t>
                  </w:r>
                </w:p>
              </w:tc>
              <w:tc>
                <w:tcPr>
                  <w:tcW w:w="877" w:type="dxa"/>
                  <w:noWrap w:val="0"/>
                  <w:vAlign w:val="center"/>
                </w:tcPr>
                <w:p w14:paraId="42194544">
                  <w:pPr>
                    <w:ind w:left="-105" w:leftChars="-50" w:right="-105" w:rightChars="-50"/>
                    <w:jc w:val="center"/>
                    <w:rPr>
                      <w:color w:val="auto"/>
                      <w:sz w:val="21"/>
                      <w:szCs w:val="21"/>
                    </w:rPr>
                  </w:pPr>
                  <w:r>
                    <w:rPr>
                      <w:rFonts w:hint="eastAsia"/>
                      <w:color w:val="auto"/>
                      <w:sz w:val="21"/>
                      <w:szCs w:val="21"/>
                    </w:rPr>
                    <w:t>危险特性</w:t>
                  </w:r>
                </w:p>
              </w:tc>
              <w:tc>
                <w:tcPr>
                  <w:tcW w:w="901" w:type="dxa"/>
                  <w:noWrap w:val="0"/>
                  <w:vAlign w:val="center"/>
                </w:tcPr>
                <w:p w14:paraId="58C022DF">
                  <w:pPr>
                    <w:ind w:left="-50" w:right="-50"/>
                    <w:jc w:val="center"/>
                    <w:rPr>
                      <w:color w:val="auto"/>
                      <w:sz w:val="21"/>
                      <w:szCs w:val="21"/>
                    </w:rPr>
                  </w:pPr>
                  <w:r>
                    <w:rPr>
                      <w:rFonts w:hint="eastAsia"/>
                      <w:color w:val="auto"/>
                      <w:sz w:val="21"/>
                      <w:szCs w:val="21"/>
                    </w:rPr>
                    <w:t>污染防治措施</w:t>
                  </w:r>
                </w:p>
              </w:tc>
            </w:tr>
            <w:tr w14:paraId="45D8D0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083" w:type="dxa"/>
                  <w:noWrap w:val="0"/>
                  <w:vAlign w:val="center"/>
                </w:tcPr>
                <w:p w14:paraId="54636078">
                  <w:pPr>
                    <w:ind w:left="-105" w:leftChars="-50" w:right="-105" w:rightChars="-50"/>
                    <w:jc w:val="center"/>
                    <w:rPr>
                      <w:rFonts w:hint="default" w:eastAsia="宋体"/>
                      <w:color w:val="auto"/>
                      <w:sz w:val="21"/>
                      <w:szCs w:val="21"/>
                      <w:lang w:val="en-US" w:eastAsia="zh-CN"/>
                    </w:rPr>
                  </w:pPr>
                  <w:r>
                    <w:rPr>
                      <w:rFonts w:hint="eastAsia"/>
                      <w:color w:val="auto"/>
                      <w:sz w:val="21"/>
                      <w:szCs w:val="21"/>
                      <w:lang w:val="en-US" w:eastAsia="zh-CN"/>
                    </w:rPr>
                    <w:t>废包装桶</w:t>
                  </w:r>
                </w:p>
              </w:tc>
              <w:tc>
                <w:tcPr>
                  <w:tcW w:w="793" w:type="dxa"/>
                  <w:noWrap w:val="0"/>
                  <w:vAlign w:val="center"/>
                </w:tcPr>
                <w:p w14:paraId="0A1264CB">
                  <w:pPr>
                    <w:ind w:left="-105" w:leftChars="-50" w:right="-105" w:rightChars="-50"/>
                    <w:jc w:val="center"/>
                    <w:rPr>
                      <w:color w:val="auto"/>
                      <w:sz w:val="21"/>
                      <w:szCs w:val="21"/>
                    </w:rPr>
                  </w:pPr>
                  <w:r>
                    <w:rPr>
                      <w:rFonts w:hint="eastAsia"/>
                      <w:color w:val="auto"/>
                      <w:sz w:val="21"/>
                      <w:szCs w:val="21"/>
                    </w:rPr>
                    <w:t>HW49</w:t>
                  </w:r>
                </w:p>
              </w:tc>
              <w:tc>
                <w:tcPr>
                  <w:tcW w:w="1196" w:type="dxa"/>
                  <w:noWrap w:val="0"/>
                  <w:vAlign w:val="center"/>
                </w:tcPr>
                <w:p w14:paraId="3CB6EB0D">
                  <w:pPr>
                    <w:ind w:left="-105" w:leftChars="-50" w:right="-105" w:rightChars="-50"/>
                    <w:jc w:val="center"/>
                    <w:rPr>
                      <w:color w:val="auto"/>
                      <w:sz w:val="21"/>
                      <w:szCs w:val="21"/>
                    </w:rPr>
                  </w:pPr>
                  <w:r>
                    <w:rPr>
                      <w:color w:val="auto"/>
                      <w:sz w:val="21"/>
                      <w:szCs w:val="21"/>
                    </w:rPr>
                    <w:t>900-041-49</w:t>
                  </w:r>
                </w:p>
              </w:tc>
              <w:tc>
                <w:tcPr>
                  <w:tcW w:w="753" w:type="dxa"/>
                  <w:noWrap w:val="0"/>
                  <w:vAlign w:val="center"/>
                </w:tcPr>
                <w:p w14:paraId="415B1DBF">
                  <w:pPr>
                    <w:ind w:left="-105" w:leftChars="-50" w:right="-105" w:rightChars="-50"/>
                    <w:jc w:val="center"/>
                    <w:rPr>
                      <w:rFonts w:hint="default" w:eastAsia="宋体"/>
                      <w:color w:val="auto"/>
                      <w:sz w:val="21"/>
                      <w:szCs w:val="21"/>
                      <w:lang w:val="en-US" w:eastAsia="zh-CN"/>
                    </w:rPr>
                  </w:pPr>
                  <w:r>
                    <w:rPr>
                      <w:rFonts w:hint="eastAsia"/>
                      <w:color w:val="auto"/>
                      <w:sz w:val="21"/>
                      <w:szCs w:val="21"/>
                      <w:lang w:val="en-US" w:eastAsia="zh-CN"/>
                    </w:rPr>
                    <w:t>0.5</w:t>
                  </w:r>
                </w:p>
              </w:tc>
              <w:tc>
                <w:tcPr>
                  <w:tcW w:w="743" w:type="dxa"/>
                  <w:noWrap w:val="0"/>
                  <w:vAlign w:val="center"/>
                </w:tcPr>
                <w:p w14:paraId="40F79EC7">
                  <w:pPr>
                    <w:ind w:left="-105" w:leftChars="-50" w:right="-105" w:rightChars="-50"/>
                    <w:jc w:val="center"/>
                    <w:rPr>
                      <w:rFonts w:hint="eastAsia"/>
                      <w:color w:val="auto"/>
                      <w:sz w:val="21"/>
                      <w:szCs w:val="21"/>
                    </w:rPr>
                  </w:pPr>
                  <w:r>
                    <w:rPr>
                      <w:rFonts w:hint="eastAsia"/>
                      <w:color w:val="auto"/>
                      <w:sz w:val="21"/>
                      <w:szCs w:val="21"/>
                    </w:rPr>
                    <w:t>原料使用</w:t>
                  </w:r>
                </w:p>
              </w:tc>
              <w:tc>
                <w:tcPr>
                  <w:tcW w:w="637" w:type="dxa"/>
                  <w:noWrap w:val="0"/>
                  <w:vAlign w:val="center"/>
                </w:tcPr>
                <w:p w14:paraId="288FDC0E">
                  <w:pPr>
                    <w:ind w:left="-105" w:leftChars="-50" w:right="-105" w:rightChars="-50"/>
                    <w:jc w:val="center"/>
                    <w:rPr>
                      <w:rFonts w:hint="eastAsia"/>
                      <w:color w:val="auto"/>
                      <w:sz w:val="21"/>
                      <w:szCs w:val="21"/>
                    </w:rPr>
                  </w:pPr>
                  <w:r>
                    <w:rPr>
                      <w:rFonts w:hint="eastAsia"/>
                      <w:color w:val="auto"/>
                      <w:sz w:val="21"/>
                      <w:szCs w:val="21"/>
                    </w:rPr>
                    <w:t>固态</w:t>
                  </w:r>
                </w:p>
              </w:tc>
              <w:tc>
                <w:tcPr>
                  <w:tcW w:w="863" w:type="dxa"/>
                  <w:noWrap w:val="0"/>
                  <w:vAlign w:val="center"/>
                </w:tcPr>
                <w:p w14:paraId="428766B7">
                  <w:pPr>
                    <w:ind w:left="-105" w:leftChars="-50" w:right="-105" w:rightChars="-50"/>
                    <w:jc w:val="center"/>
                    <w:rPr>
                      <w:color w:val="auto"/>
                      <w:sz w:val="21"/>
                      <w:szCs w:val="21"/>
                    </w:rPr>
                  </w:pPr>
                  <w:r>
                    <w:rPr>
                      <w:rFonts w:hint="eastAsia"/>
                      <w:color w:val="auto"/>
                      <w:sz w:val="21"/>
                      <w:szCs w:val="21"/>
                    </w:rPr>
                    <w:t>有机物</w:t>
                  </w:r>
                </w:p>
              </w:tc>
              <w:tc>
                <w:tcPr>
                  <w:tcW w:w="881" w:type="dxa"/>
                  <w:noWrap w:val="0"/>
                  <w:vAlign w:val="center"/>
                </w:tcPr>
                <w:p w14:paraId="4F100BE9">
                  <w:pPr>
                    <w:ind w:left="-105" w:leftChars="-50" w:right="-105" w:rightChars="-50"/>
                    <w:jc w:val="center"/>
                    <w:rPr>
                      <w:rFonts w:hint="eastAsia" w:eastAsia="宋体"/>
                      <w:color w:val="auto"/>
                      <w:sz w:val="21"/>
                      <w:szCs w:val="21"/>
                      <w:lang w:val="en-US" w:eastAsia="zh-CN"/>
                    </w:rPr>
                  </w:pPr>
                  <w:r>
                    <w:rPr>
                      <w:rFonts w:hint="eastAsia"/>
                      <w:color w:val="auto"/>
                      <w:sz w:val="21"/>
                      <w:szCs w:val="21"/>
                    </w:rPr>
                    <w:t>每</w:t>
                  </w:r>
                  <w:r>
                    <w:rPr>
                      <w:rFonts w:hint="eastAsia"/>
                      <w:color w:val="auto"/>
                      <w:sz w:val="21"/>
                      <w:szCs w:val="21"/>
                      <w:lang w:val="en-US" w:eastAsia="zh-CN"/>
                    </w:rPr>
                    <w:t>日</w:t>
                  </w:r>
                </w:p>
              </w:tc>
              <w:tc>
                <w:tcPr>
                  <w:tcW w:w="877" w:type="dxa"/>
                  <w:noWrap w:val="0"/>
                  <w:vAlign w:val="center"/>
                </w:tcPr>
                <w:p w14:paraId="46165128">
                  <w:pPr>
                    <w:ind w:left="-105" w:leftChars="-50" w:right="-105" w:rightChars="-50"/>
                    <w:jc w:val="center"/>
                    <w:rPr>
                      <w:color w:val="auto"/>
                      <w:sz w:val="21"/>
                      <w:szCs w:val="21"/>
                    </w:rPr>
                  </w:pPr>
                  <w:r>
                    <w:rPr>
                      <w:color w:val="auto"/>
                      <w:sz w:val="21"/>
                      <w:szCs w:val="21"/>
                    </w:rPr>
                    <w:t>T/In</w:t>
                  </w:r>
                </w:p>
              </w:tc>
              <w:tc>
                <w:tcPr>
                  <w:tcW w:w="901" w:type="dxa"/>
                  <w:vMerge w:val="restart"/>
                  <w:noWrap w:val="0"/>
                  <w:vAlign w:val="center"/>
                </w:tcPr>
                <w:p w14:paraId="7BCE8235">
                  <w:pPr>
                    <w:ind w:left="-105" w:leftChars="-50" w:right="-105" w:rightChars="-50"/>
                    <w:jc w:val="center"/>
                    <w:rPr>
                      <w:rFonts w:hint="eastAsia"/>
                      <w:color w:val="auto"/>
                      <w:sz w:val="21"/>
                      <w:szCs w:val="21"/>
                    </w:rPr>
                  </w:pPr>
                  <w:r>
                    <w:rPr>
                      <w:rFonts w:hint="eastAsia"/>
                      <w:color w:val="auto"/>
                      <w:sz w:val="21"/>
                      <w:szCs w:val="21"/>
                    </w:rPr>
                    <w:t>设置危废暂存间，定期委托有资质的单位外运处置</w:t>
                  </w:r>
                </w:p>
              </w:tc>
            </w:tr>
            <w:tr w14:paraId="6CD1EB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83" w:type="dxa"/>
                  <w:noWrap w:val="0"/>
                  <w:vAlign w:val="center"/>
                </w:tcPr>
                <w:p w14:paraId="4A4B2C1E">
                  <w:pPr>
                    <w:ind w:left="-105" w:leftChars="-50" w:right="-105" w:rightChars="-50"/>
                    <w:jc w:val="center"/>
                    <w:rPr>
                      <w:rFonts w:hint="eastAsia"/>
                      <w:color w:val="auto"/>
                      <w:sz w:val="21"/>
                      <w:szCs w:val="21"/>
                    </w:rPr>
                  </w:pPr>
                  <w:r>
                    <w:rPr>
                      <w:rFonts w:hint="eastAsia"/>
                      <w:color w:val="auto"/>
                      <w:sz w:val="21"/>
                      <w:szCs w:val="21"/>
                    </w:rPr>
                    <w:t>废显影液</w:t>
                  </w:r>
                </w:p>
              </w:tc>
              <w:tc>
                <w:tcPr>
                  <w:tcW w:w="793" w:type="dxa"/>
                  <w:noWrap w:val="0"/>
                  <w:vAlign w:val="center"/>
                </w:tcPr>
                <w:p w14:paraId="22CF839A">
                  <w:pPr>
                    <w:ind w:left="-105" w:leftChars="-50" w:right="-105" w:rightChars="-50"/>
                    <w:jc w:val="center"/>
                    <w:rPr>
                      <w:rFonts w:hint="eastAsia"/>
                      <w:color w:val="auto"/>
                      <w:sz w:val="21"/>
                      <w:szCs w:val="21"/>
                    </w:rPr>
                  </w:pPr>
                  <w:r>
                    <w:rPr>
                      <w:rFonts w:hint="eastAsia"/>
                      <w:color w:val="auto"/>
                      <w:sz w:val="21"/>
                      <w:szCs w:val="21"/>
                    </w:rPr>
                    <w:t>HW16</w:t>
                  </w:r>
                </w:p>
              </w:tc>
              <w:tc>
                <w:tcPr>
                  <w:tcW w:w="1196" w:type="dxa"/>
                  <w:noWrap w:val="0"/>
                  <w:vAlign w:val="center"/>
                </w:tcPr>
                <w:p w14:paraId="2AE6845C">
                  <w:pPr>
                    <w:ind w:left="-105" w:leftChars="-50" w:right="-105" w:rightChars="-50"/>
                    <w:jc w:val="center"/>
                    <w:rPr>
                      <w:color w:val="auto"/>
                      <w:sz w:val="21"/>
                      <w:szCs w:val="21"/>
                    </w:rPr>
                  </w:pPr>
                  <w:r>
                    <w:rPr>
                      <w:rFonts w:hint="eastAsia"/>
                      <w:color w:val="auto"/>
                      <w:sz w:val="21"/>
                      <w:szCs w:val="21"/>
                    </w:rPr>
                    <w:t>231-002-16</w:t>
                  </w:r>
                </w:p>
              </w:tc>
              <w:tc>
                <w:tcPr>
                  <w:tcW w:w="753" w:type="dxa"/>
                  <w:noWrap w:val="0"/>
                  <w:vAlign w:val="center"/>
                </w:tcPr>
                <w:p w14:paraId="6B59FC05">
                  <w:pPr>
                    <w:ind w:left="-105" w:leftChars="-50" w:right="-105" w:rightChars="-50"/>
                    <w:jc w:val="center"/>
                    <w:rPr>
                      <w:rFonts w:hint="default" w:eastAsia="宋体"/>
                      <w:color w:val="auto"/>
                      <w:sz w:val="21"/>
                      <w:szCs w:val="21"/>
                      <w:lang w:val="en-US" w:eastAsia="zh-CN"/>
                    </w:rPr>
                  </w:pPr>
                  <w:r>
                    <w:rPr>
                      <w:rFonts w:hint="eastAsia"/>
                      <w:color w:val="auto"/>
                      <w:sz w:val="21"/>
                      <w:szCs w:val="21"/>
                      <w:lang w:val="en-US" w:eastAsia="zh-CN"/>
                    </w:rPr>
                    <w:t>0.4</w:t>
                  </w:r>
                </w:p>
              </w:tc>
              <w:tc>
                <w:tcPr>
                  <w:tcW w:w="743" w:type="dxa"/>
                  <w:noWrap w:val="0"/>
                  <w:vAlign w:val="center"/>
                </w:tcPr>
                <w:p w14:paraId="04F4B9FF">
                  <w:pPr>
                    <w:ind w:left="-105" w:leftChars="-50" w:right="-105" w:rightChars="-50"/>
                    <w:jc w:val="center"/>
                    <w:rPr>
                      <w:rFonts w:hint="eastAsia"/>
                      <w:color w:val="auto"/>
                      <w:sz w:val="21"/>
                      <w:szCs w:val="21"/>
                    </w:rPr>
                  </w:pPr>
                  <w:r>
                    <w:rPr>
                      <w:rFonts w:hint="eastAsia"/>
                      <w:color w:val="auto"/>
                      <w:sz w:val="21"/>
                      <w:szCs w:val="21"/>
                    </w:rPr>
                    <w:t>制版</w:t>
                  </w:r>
                </w:p>
              </w:tc>
              <w:tc>
                <w:tcPr>
                  <w:tcW w:w="637" w:type="dxa"/>
                  <w:noWrap w:val="0"/>
                  <w:vAlign w:val="center"/>
                </w:tcPr>
                <w:p w14:paraId="3A836503">
                  <w:pPr>
                    <w:ind w:left="-105" w:leftChars="-50" w:right="-105" w:rightChars="-50"/>
                    <w:jc w:val="center"/>
                    <w:rPr>
                      <w:rFonts w:hint="eastAsia" w:eastAsia="宋体"/>
                      <w:color w:val="auto"/>
                      <w:sz w:val="21"/>
                      <w:szCs w:val="21"/>
                      <w:lang w:val="en-US" w:eastAsia="zh-CN"/>
                    </w:rPr>
                  </w:pPr>
                  <w:r>
                    <w:rPr>
                      <w:rFonts w:hint="eastAsia"/>
                      <w:color w:val="auto"/>
                      <w:sz w:val="21"/>
                      <w:szCs w:val="21"/>
                      <w:lang w:val="en-US" w:eastAsia="zh-CN"/>
                    </w:rPr>
                    <w:t>液态</w:t>
                  </w:r>
                </w:p>
              </w:tc>
              <w:tc>
                <w:tcPr>
                  <w:tcW w:w="863" w:type="dxa"/>
                  <w:noWrap w:val="0"/>
                  <w:vAlign w:val="center"/>
                </w:tcPr>
                <w:p w14:paraId="541095D4">
                  <w:pPr>
                    <w:ind w:left="-105" w:leftChars="-50" w:right="-105" w:rightChars="-50"/>
                    <w:jc w:val="both"/>
                    <w:rPr>
                      <w:rFonts w:hint="eastAsia"/>
                      <w:color w:val="auto"/>
                      <w:sz w:val="21"/>
                      <w:szCs w:val="21"/>
                    </w:rPr>
                  </w:pPr>
                  <w:r>
                    <w:rPr>
                      <w:rFonts w:hint="eastAsia"/>
                      <w:color w:val="auto"/>
                      <w:sz w:val="21"/>
                      <w:szCs w:val="21"/>
                    </w:rPr>
                    <w:t>有机物</w:t>
                  </w:r>
                </w:p>
              </w:tc>
              <w:tc>
                <w:tcPr>
                  <w:tcW w:w="881" w:type="dxa"/>
                  <w:noWrap w:val="0"/>
                  <w:vAlign w:val="center"/>
                </w:tcPr>
                <w:p w14:paraId="6F81C858">
                  <w:pPr>
                    <w:ind w:left="-105" w:leftChars="-50" w:right="-105" w:rightChars="-50"/>
                    <w:jc w:val="center"/>
                    <w:rPr>
                      <w:rFonts w:hint="default" w:eastAsia="宋体"/>
                      <w:color w:val="auto"/>
                      <w:sz w:val="21"/>
                      <w:szCs w:val="21"/>
                      <w:lang w:val="en-US" w:eastAsia="zh-CN"/>
                    </w:rPr>
                  </w:pPr>
                  <w:r>
                    <w:rPr>
                      <w:rFonts w:hint="eastAsia"/>
                      <w:color w:val="auto"/>
                      <w:sz w:val="21"/>
                      <w:szCs w:val="21"/>
                      <w:lang w:val="en-US" w:eastAsia="zh-CN"/>
                    </w:rPr>
                    <w:t>每10天</w:t>
                  </w:r>
                </w:p>
              </w:tc>
              <w:tc>
                <w:tcPr>
                  <w:tcW w:w="877" w:type="dxa"/>
                  <w:noWrap w:val="0"/>
                  <w:vAlign w:val="center"/>
                </w:tcPr>
                <w:p w14:paraId="1FF6EBF3">
                  <w:pPr>
                    <w:ind w:left="-105" w:leftChars="-50" w:right="-105" w:rightChars="-50"/>
                    <w:jc w:val="center"/>
                    <w:rPr>
                      <w:color w:val="auto"/>
                      <w:sz w:val="21"/>
                      <w:szCs w:val="21"/>
                    </w:rPr>
                  </w:pPr>
                  <w:r>
                    <w:rPr>
                      <w:color w:val="auto"/>
                      <w:sz w:val="21"/>
                      <w:szCs w:val="21"/>
                    </w:rPr>
                    <w:t>T</w:t>
                  </w:r>
                </w:p>
              </w:tc>
              <w:tc>
                <w:tcPr>
                  <w:tcW w:w="901" w:type="dxa"/>
                  <w:vMerge w:val="continue"/>
                  <w:noWrap w:val="0"/>
                  <w:vAlign w:val="center"/>
                </w:tcPr>
                <w:p w14:paraId="4DB1A46B">
                  <w:pPr>
                    <w:ind w:left="-105" w:leftChars="-50" w:right="-105" w:rightChars="-50"/>
                    <w:jc w:val="center"/>
                    <w:rPr>
                      <w:rFonts w:hint="eastAsia"/>
                      <w:color w:val="auto"/>
                      <w:sz w:val="21"/>
                      <w:szCs w:val="21"/>
                    </w:rPr>
                  </w:pPr>
                </w:p>
              </w:tc>
            </w:tr>
            <w:tr w14:paraId="73A538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83" w:type="dxa"/>
                  <w:noWrap w:val="0"/>
                  <w:vAlign w:val="center"/>
                </w:tcPr>
                <w:p w14:paraId="46F3A6D1">
                  <w:pPr>
                    <w:ind w:left="-105" w:leftChars="-50" w:right="-105" w:rightChars="-50"/>
                    <w:jc w:val="center"/>
                    <w:rPr>
                      <w:color w:val="auto"/>
                      <w:sz w:val="21"/>
                      <w:szCs w:val="21"/>
                    </w:rPr>
                  </w:pPr>
                  <w:r>
                    <w:rPr>
                      <w:rFonts w:hint="eastAsia"/>
                      <w:color w:val="auto"/>
                      <w:sz w:val="21"/>
                      <w:szCs w:val="21"/>
                    </w:rPr>
                    <w:t>洗版废液</w:t>
                  </w:r>
                </w:p>
              </w:tc>
              <w:tc>
                <w:tcPr>
                  <w:tcW w:w="793" w:type="dxa"/>
                  <w:noWrap w:val="0"/>
                  <w:vAlign w:val="center"/>
                </w:tcPr>
                <w:p w14:paraId="769E3FA0">
                  <w:pPr>
                    <w:ind w:left="-105" w:leftChars="-50" w:right="-105" w:rightChars="-50"/>
                    <w:jc w:val="center"/>
                    <w:rPr>
                      <w:color w:val="auto"/>
                      <w:sz w:val="21"/>
                      <w:szCs w:val="21"/>
                    </w:rPr>
                  </w:pPr>
                  <w:r>
                    <w:rPr>
                      <w:color w:val="auto"/>
                      <w:sz w:val="21"/>
                      <w:szCs w:val="21"/>
                    </w:rPr>
                    <w:t>HW16</w:t>
                  </w:r>
                </w:p>
              </w:tc>
              <w:tc>
                <w:tcPr>
                  <w:tcW w:w="1196" w:type="dxa"/>
                  <w:noWrap w:val="0"/>
                  <w:vAlign w:val="center"/>
                </w:tcPr>
                <w:p w14:paraId="779B181C">
                  <w:pPr>
                    <w:ind w:left="-105" w:leftChars="-50" w:right="-105" w:rightChars="-50"/>
                    <w:jc w:val="center"/>
                    <w:rPr>
                      <w:color w:val="auto"/>
                      <w:sz w:val="21"/>
                      <w:szCs w:val="21"/>
                    </w:rPr>
                  </w:pPr>
                  <w:r>
                    <w:rPr>
                      <w:rFonts w:hint="eastAsia"/>
                      <w:color w:val="auto"/>
                      <w:sz w:val="21"/>
                      <w:szCs w:val="21"/>
                    </w:rPr>
                    <w:t>231-002-16</w:t>
                  </w:r>
                </w:p>
              </w:tc>
              <w:tc>
                <w:tcPr>
                  <w:tcW w:w="753" w:type="dxa"/>
                  <w:noWrap w:val="0"/>
                  <w:vAlign w:val="center"/>
                </w:tcPr>
                <w:p w14:paraId="08CD1BA7">
                  <w:pPr>
                    <w:ind w:left="-105" w:leftChars="-50" w:right="-105" w:rightChars="-50"/>
                    <w:jc w:val="center"/>
                    <w:rPr>
                      <w:rFonts w:hint="default" w:eastAsia="宋体"/>
                      <w:color w:val="auto"/>
                      <w:sz w:val="21"/>
                      <w:szCs w:val="21"/>
                      <w:lang w:val="en-US" w:eastAsia="zh-CN"/>
                    </w:rPr>
                  </w:pPr>
                  <w:r>
                    <w:rPr>
                      <w:rFonts w:hint="eastAsia"/>
                      <w:color w:val="auto"/>
                      <w:sz w:val="21"/>
                      <w:szCs w:val="21"/>
                      <w:lang w:val="en-US" w:eastAsia="zh-CN"/>
                    </w:rPr>
                    <w:t>1.2</w:t>
                  </w:r>
                </w:p>
              </w:tc>
              <w:tc>
                <w:tcPr>
                  <w:tcW w:w="743" w:type="dxa"/>
                  <w:noWrap w:val="0"/>
                  <w:vAlign w:val="center"/>
                </w:tcPr>
                <w:p w14:paraId="2AE01311">
                  <w:pPr>
                    <w:ind w:left="-105" w:leftChars="-50" w:right="-105" w:rightChars="-50"/>
                    <w:jc w:val="center"/>
                    <w:rPr>
                      <w:color w:val="auto"/>
                      <w:sz w:val="21"/>
                      <w:szCs w:val="21"/>
                    </w:rPr>
                  </w:pPr>
                  <w:r>
                    <w:rPr>
                      <w:rFonts w:hint="eastAsia"/>
                      <w:color w:val="auto"/>
                      <w:sz w:val="21"/>
                      <w:szCs w:val="21"/>
                    </w:rPr>
                    <w:t>制版</w:t>
                  </w:r>
                </w:p>
              </w:tc>
              <w:tc>
                <w:tcPr>
                  <w:tcW w:w="637" w:type="dxa"/>
                  <w:noWrap w:val="0"/>
                  <w:vAlign w:val="center"/>
                </w:tcPr>
                <w:p w14:paraId="34DB78E3">
                  <w:pPr>
                    <w:ind w:left="-105" w:leftChars="-50" w:right="-105" w:rightChars="-50"/>
                    <w:jc w:val="center"/>
                    <w:rPr>
                      <w:color w:val="auto"/>
                      <w:sz w:val="21"/>
                      <w:szCs w:val="21"/>
                    </w:rPr>
                  </w:pPr>
                  <w:r>
                    <w:rPr>
                      <w:rFonts w:hint="eastAsia"/>
                      <w:color w:val="auto"/>
                      <w:sz w:val="21"/>
                      <w:szCs w:val="21"/>
                      <w:lang w:val="en-US" w:eastAsia="zh-CN"/>
                    </w:rPr>
                    <w:t>液态</w:t>
                  </w:r>
                </w:p>
              </w:tc>
              <w:tc>
                <w:tcPr>
                  <w:tcW w:w="863" w:type="dxa"/>
                  <w:noWrap w:val="0"/>
                  <w:vAlign w:val="center"/>
                </w:tcPr>
                <w:p w14:paraId="676C8A44">
                  <w:pPr>
                    <w:ind w:left="-105" w:leftChars="-50" w:right="-105" w:rightChars="-50"/>
                    <w:jc w:val="center"/>
                    <w:rPr>
                      <w:color w:val="auto"/>
                      <w:sz w:val="21"/>
                      <w:szCs w:val="21"/>
                    </w:rPr>
                  </w:pPr>
                  <w:r>
                    <w:rPr>
                      <w:rFonts w:hint="eastAsia"/>
                      <w:color w:val="auto"/>
                      <w:sz w:val="21"/>
                      <w:szCs w:val="21"/>
                    </w:rPr>
                    <w:t>有机物</w:t>
                  </w:r>
                </w:p>
              </w:tc>
              <w:tc>
                <w:tcPr>
                  <w:tcW w:w="881" w:type="dxa"/>
                  <w:noWrap w:val="0"/>
                  <w:vAlign w:val="center"/>
                </w:tcPr>
                <w:p w14:paraId="52D4AD9E">
                  <w:pPr>
                    <w:ind w:left="-105" w:leftChars="-50" w:right="-105" w:rightChars="-50"/>
                    <w:jc w:val="center"/>
                    <w:rPr>
                      <w:color w:val="auto"/>
                      <w:sz w:val="21"/>
                      <w:szCs w:val="21"/>
                    </w:rPr>
                  </w:pPr>
                  <w:r>
                    <w:rPr>
                      <w:rFonts w:hint="eastAsia"/>
                      <w:color w:val="auto"/>
                      <w:sz w:val="21"/>
                      <w:szCs w:val="21"/>
                      <w:lang w:val="en-US" w:eastAsia="zh-CN"/>
                    </w:rPr>
                    <w:t>每10天</w:t>
                  </w:r>
                </w:p>
              </w:tc>
              <w:tc>
                <w:tcPr>
                  <w:tcW w:w="877" w:type="dxa"/>
                  <w:noWrap w:val="0"/>
                  <w:vAlign w:val="center"/>
                </w:tcPr>
                <w:p w14:paraId="0CF8B5B3">
                  <w:pPr>
                    <w:ind w:left="-105" w:leftChars="-50" w:right="-105" w:rightChars="-50"/>
                    <w:jc w:val="center"/>
                    <w:rPr>
                      <w:color w:val="auto"/>
                      <w:sz w:val="21"/>
                      <w:szCs w:val="21"/>
                    </w:rPr>
                  </w:pPr>
                  <w:r>
                    <w:rPr>
                      <w:color w:val="auto"/>
                      <w:sz w:val="21"/>
                      <w:szCs w:val="21"/>
                    </w:rPr>
                    <w:t>T</w:t>
                  </w:r>
                </w:p>
              </w:tc>
              <w:tc>
                <w:tcPr>
                  <w:tcW w:w="901" w:type="dxa"/>
                  <w:vMerge w:val="continue"/>
                  <w:noWrap w:val="0"/>
                  <w:vAlign w:val="center"/>
                </w:tcPr>
                <w:p w14:paraId="0CF0BF90">
                  <w:pPr>
                    <w:jc w:val="center"/>
                    <w:rPr>
                      <w:rFonts w:hint="eastAsia"/>
                      <w:color w:val="auto"/>
                      <w:sz w:val="21"/>
                      <w:szCs w:val="21"/>
                    </w:rPr>
                  </w:pPr>
                </w:p>
              </w:tc>
            </w:tr>
            <w:tr w14:paraId="232FBD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83" w:type="dxa"/>
                  <w:noWrap w:val="0"/>
                  <w:vAlign w:val="center"/>
                </w:tcPr>
                <w:p w14:paraId="0B5836D2">
                  <w:pPr>
                    <w:ind w:left="-105" w:leftChars="-50" w:right="-105" w:rightChars="-50"/>
                    <w:jc w:val="center"/>
                    <w:rPr>
                      <w:color w:val="auto"/>
                      <w:sz w:val="21"/>
                      <w:szCs w:val="21"/>
                    </w:rPr>
                  </w:pPr>
                  <w:r>
                    <w:rPr>
                      <w:rFonts w:hint="eastAsia"/>
                      <w:color w:val="auto"/>
                      <w:kern w:val="0"/>
                      <w:sz w:val="21"/>
                      <w:szCs w:val="21"/>
                    </w:rPr>
                    <w:t>废滤材滤渣</w:t>
                  </w:r>
                </w:p>
              </w:tc>
              <w:tc>
                <w:tcPr>
                  <w:tcW w:w="793" w:type="dxa"/>
                  <w:noWrap w:val="0"/>
                  <w:vAlign w:val="center"/>
                </w:tcPr>
                <w:p w14:paraId="62163950">
                  <w:pPr>
                    <w:ind w:left="-105" w:leftChars="-50" w:right="-105" w:rightChars="-50"/>
                    <w:jc w:val="center"/>
                    <w:rPr>
                      <w:color w:val="auto"/>
                      <w:sz w:val="21"/>
                      <w:szCs w:val="21"/>
                    </w:rPr>
                  </w:pPr>
                  <w:r>
                    <w:rPr>
                      <w:rFonts w:hint="eastAsia"/>
                      <w:color w:val="auto"/>
                      <w:sz w:val="21"/>
                      <w:szCs w:val="21"/>
                    </w:rPr>
                    <w:t>HW49</w:t>
                  </w:r>
                </w:p>
              </w:tc>
              <w:tc>
                <w:tcPr>
                  <w:tcW w:w="1196" w:type="dxa"/>
                  <w:noWrap w:val="0"/>
                  <w:vAlign w:val="center"/>
                </w:tcPr>
                <w:p w14:paraId="1DB45585">
                  <w:pPr>
                    <w:ind w:left="-105" w:leftChars="-50" w:right="-105" w:rightChars="-50"/>
                    <w:jc w:val="center"/>
                    <w:rPr>
                      <w:color w:val="auto"/>
                      <w:sz w:val="21"/>
                      <w:szCs w:val="21"/>
                    </w:rPr>
                  </w:pPr>
                  <w:r>
                    <w:rPr>
                      <w:color w:val="auto"/>
                      <w:sz w:val="21"/>
                      <w:szCs w:val="21"/>
                    </w:rPr>
                    <w:t>900-041-49</w:t>
                  </w:r>
                </w:p>
              </w:tc>
              <w:tc>
                <w:tcPr>
                  <w:tcW w:w="753" w:type="dxa"/>
                  <w:noWrap w:val="0"/>
                  <w:vAlign w:val="center"/>
                </w:tcPr>
                <w:p w14:paraId="1538F31A">
                  <w:pPr>
                    <w:ind w:left="-105" w:leftChars="-50" w:right="-105" w:rightChars="-50"/>
                    <w:jc w:val="center"/>
                    <w:rPr>
                      <w:rFonts w:hint="default" w:eastAsia="宋体"/>
                      <w:color w:val="auto"/>
                      <w:sz w:val="21"/>
                      <w:szCs w:val="21"/>
                      <w:lang w:val="en-US" w:eastAsia="zh-CN"/>
                    </w:rPr>
                  </w:pPr>
                  <w:r>
                    <w:rPr>
                      <w:rFonts w:hint="eastAsia"/>
                      <w:color w:val="auto"/>
                      <w:sz w:val="21"/>
                      <w:szCs w:val="21"/>
                      <w:lang w:val="en-US" w:eastAsia="zh-CN"/>
                    </w:rPr>
                    <w:t>0.3</w:t>
                  </w:r>
                </w:p>
              </w:tc>
              <w:tc>
                <w:tcPr>
                  <w:tcW w:w="743" w:type="dxa"/>
                  <w:noWrap w:val="0"/>
                  <w:vAlign w:val="center"/>
                </w:tcPr>
                <w:p w14:paraId="764C69BF">
                  <w:pPr>
                    <w:ind w:left="-105" w:leftChars="-50" w:right="-105" w:rightChars="-50"/>
                    <w:jc w:val="center"/>
                    <w:rPr>
                      <w:color w:val="auto"/>
                      <w:sz w:val="21"/>
                      <w:szCs w:val="21"/>
                    </w:rPr>
                  </w:pPr>
                  <w:r>
                    <w:rPr>
                      <w:rFonts w:hint="eastAsia"/>
                      <w:color w:val="auto"/>
                      <w:sz w:val="21"/>
                      <w:szCs w:val="21"/>
                    </w:rPr>
                    <w:t>洗版</w:t>
                  </w:r>
                </w:p>
              </w:tc>
              <w:tc>
                <w:tcPr>
                  <w:tcW w:w="637" w:type="dxa"/>
                  <w:noWrap w:val="0"/>
                  <w:vAlign w:val="center"/>
                </w:tcPr>
                <w:p w14:paraId="69815E4C">
                  <w:pPr>
                    <w:ind w:left="-105" w:leftChars="-50" w:right="-105" w:rightChars="-50"/>
                    <w:jc w:val="center"/>
                    <w:rPr>
                      <w:color w:val="auto"/>
                      <w:sz w:val="21"/>
                      <w:szCs w:val="21"/>
                    </w:rPr>
                  </w:pPr>
                  <w:r>
                    <w:rPr>
                      <w:rFonts w:hint="eastAsia"/>
                      <w:color w:val="auto"/>
                      <w:sz w:val="21"/>
                      <w:szCs w:val="21"/>
                    </w:rPr>
                    <w:t>固态</w:t>
                  </w:r>
                </w:p>
              </w:tc>
              <w:tc>
                <w:tcPr>
                  <w:tcW w:w="863" w:type="dxa"/>
                  <w:noWrap w:val="0"/>
                  <w:vAlign w:val="center"/>
                </w:tcPr>
                <w:p w14:paraId="7180146B">
                  <w:pPr>
                    <w:ind w:left="-105" w:leftChars="-50" w:right="-105" w:rightChars="-50"/>
                    <w:jc w:val="center"/>
                    <w:rPr>
                      <w:rFonts w:hint="eastAsia"/>
                      <w:color w:val="auto"/>
                      <w:sz w:val="21"/>
                      <w:szCs w:val="21"/>
                    </w:rPr>
                  </w:pPr>
                  <w:r>
                    <w:rPr>
                      <w:rFonts w:hint="eastAsia"/>
                      <w:color w:val="auto"/>
                      <w:sz w:val="21"/>
                      <w:szCs w:val="21"/>
                    </w:rPr>
                    <w:t>有机物</w:t>
                  </w:r>
                </w:p>
              </w:tc>
              <w:tc>
                <w:tcPr>
                  <w:tcW w:w="881" w:type="dxa"/>
                  <w:noWrap w:val="0"/>
                  <w:vAlign w:val="center"/>
                </w:tcPr>
                <w:p w14:paraId="4EF83932">
                  <w:pPr>
                    <w:ind w:left="-105" w:leftChars="-50" w:right="-105" w:rightChars="-50"/>
                    <w:jc w:val="center"/>
                    <w:rPr>
                      <w:rFonts w:hint="eastAsia"/>
                      <w:color w:val="auto"/>
                      <w:sz w:val="21"/>
                      <w:szCs w:val="21"/>
                    </w:rPr>
                  </w:pPr>
                  <w:r>
                    <w:rPr>
                      <w:rFonts w:hint="eastAsia"/>
                      <w:color w:val="auto"/>
                      <w:sz w:val="21"/>
                      <w:szCs w:val="21"/>
                      <w:lang w:val="en-US" w:eastAsia="zh-CN"/>
                    </w:rPr>
                    <w:t>每10天</w:t>
                  </w:r>
                </w:p>
              </w:tc>
              <w:tc>
                <w:tcPr>
                  <w:tcW w:w="877" w:type="dxa"/>
                  <w:noWrap w:val="0"/>
                  <w:vAlign w:val="center"/>
                </w:tcPr>
                <w:p w14:paraId="2E10B977">
                  <w:pPr>
                    <w:ind w:left="-105" w:leftChars="-50" w:right="-105" w:rightChars="-50"/>
                    <w:jc w:val="center"/>
                    <w:rPr>
                      <w:color w:val="auto"/>
                      <w:sz w:val="21"/>
                      <w:szCs w:val="21"/>
                    </w:rPr>
                  </w:pPr>
                  <w:r>
                    <w:rPr>
                      <w:color w:val="auto"/>
                      <w:sz w:val="21"/>
                      <w:szCs w:val="21"/>
                    </w:rPr>
                    <w:t>T/In</w:t>
                  </w:r>
                </w:p>
              </w:tc>
              <w:tc>
                <w:tcPr>
                  <w:tcW w:w="901" w:type="dxa"/>
                  <w:vMerge w:val="continue"/>
                  <w:noWrap w:val="0"/>
                  <w:vAlign w:val="center"/>
                </w:tcPr>
                <w:p w14:paraId="08DA07D5">
                  <w:pPr>
                    <w:jc w:val="center"/>
                    <w:rPr>
                      <w:rFonts w:hint="eastAsia"/>
                      <w:color w:val="auto"/>
                      <w:sz w:val="21"/>
                      <w:szCs w:val="21"/>
                    </w:rPr>
                  </w:pPr>
                </w:p>
              </w:tc>
            </w:tr>
            <w:tr w14:paraId="7AA6272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83" w:type="dxa"/>
                  <w:noWrap w:val="0"/>
                  <w:vAlign w:val="center"/>
                </w:tcPr>
                <w:p w14:paraId="02ACC0FE">
                  <w:pPr>
                    <w:ind w:left="-105" w:leftChars="-50" w:right="-105" w:rightChars="-50"/>
                    <w:jc w:val="center"/>
                    <w:rPr>
                      <w:color w:val="auto"/>
                      <w:sz w:val="21"/>
                      <w:szCs w:val="21"/>
                    </w:rPr>
                  </w:pPr>
                  <w:r>
                    <w:rPr>
                      <w:rFonts w:hint="eastAsia"/>
                      <w:color w:val="auto"/>
                      <w:sz w:val="21"/>
                      <w:szCs w:val="21"/>
                      <w:lang w:val="en-US" w:eastAsia="zh-CN"/>
                    </w:rPr>
                    <w:t>废</w:t>
                  </w:r>
                  <w:r>
                    <w:rPr>
                      <w:rFonts w:hint="eastAsia"/>
                      <w:color w:val="auto"/>
                      <w:sz w:val="21"/>
                      <w:szCs w:val="21"/>
                    </w:rPr>
                    <w:t>丝网版</w:t>
                  </w:r>
                </w:p>
              </w:tc>
              <w:tc>
                <w:tcPr>
                  <w:tcW w:w="793" w:type="dxa"/>
                  <w:noWrap w:val="0"/>
                  <w:vAlign w:val="center"/>
                </w:tcPr>
                <w:p w14:paraId="2785CD0B">
                  <w:pPr>
                    <w:ind w:left="-105" w:leftChars="-50" w:right="-105" w:rightChars="-50"/>
                    <w:jc w:val="center"/>
                    <w:rPr>
                      <w:color w:val="auto"/>
                      <w:sz w:val="21"/>
                      <w:szCs w:val="21"/>
                    </w:rPr>
                  </w:pPr>
                  <w:r>
                    <w:rPr>
                      <w:color w:val="auto"/>
                      <w:sz w:val="21"/>
                      <w:szCs w:val="21"/>
                    </w:rPr>
                    <w:t>HW16</w:t>
                  </w:r>
                </w:p>
              </w:tc>
              <w:tc>
                <w:tcPr>
                  <w:tcW w:w="1196" w:type="dxa"/>
                  <w:noWrap w:val="0"/>
                  <w:vAlign w:val="center"/>
                </w:tcPr>
                <w:p w14:paraId="2582FC78">
                  <w:pPr>
                    <w:ind w:left="-105" w:leftChars="-50" w:right="-105" w:rightChars="-50"/>
                    <w:jc w:val="center"/>
                    <w:rPr>
                      <w:color w:val="auto"/>
                      <w:sz w:val="21"/>
                      <w:szCs w:val="21"/>
                    </w:rPr>
                  </w:pPr>
                  <w:r>
                    <w:rPr>
                      <w:rFonts w:hint="eastAsia"/>
                      <w:color w:val="auto"/>
                      <w:sz w:val="21"/>
                      <w:szCs w:val="21"/>
                    </w:rPr>
                    <w:t>231-002-16</w:t>
                  </w:r>
                </w:p>
              </w:tc>
              <w:tc>
                <w:tcPr>
                  <w:tcW w:w="753" w:type="dxa"/>
                  <w:noWrap w:val="0"/>
                  <w:vAlign w:val="center"/>
                </w:tcPr>
                <w:p w14:paraId="43205767">
                  <w:pPr>
                    <w:ind w:left="-105" w:leftChars="-50" w:right="-105" w:rightChars="-50"/>
                    <w:jc w:val="center"/>
                    <w:rPr>
                      <w:rFonts w:hint="default" w:eastAsia="宋体"/>
                      <w:color w:val="auto"/>
                      <w:sz w:val="21"/>
                      <w:szCs w:val="21"/>
                      <w:lang w:val="en-US" w:eastAsia="zh-CN"/>
                    </w:rPr>
                  </w:pPr>
                  <w:r>
                    <w:rPr>
                      <w:rFonts w:hint="eastAsia"/>
                      <w:color w:val="auto"/>
                      <w:sz w:val="21"/>
                      <w:szCs w:val="21"/>
                      <w:lang w:val="en-US" w:eastAsia="zh-CN"/>
                    </w:rPr>
                    <w:t>0.01</w:t>
                  </w:r>
                </w:p>
              </w:tc>
              <w:tc>
                <w:tcPr>
                  <w:tcW w:w="743" w:type="dxa"/>
                  <w:noWrap w:val="0"/>
                  <w:vAlign w:val="center"/>
                </w:tcPr>
                <w:p w14:paraId="1C728D5D">
                  <w:pPr>
                    <w:ind w:left="-105" w:leftChars="-50" w:right="-105" w:rightChars="-50"/>
                    <w:jc w:val="center"/>
                    <w:rPr>
                      <w:color w:val="auto"/>
                      <w:sz w:val="21"/>
                      <w:szCs w:val="21"/>
                    </w:rPr>
                  </w:pPr>
                  <w:r>
                    <w:rPr>
                      <w:rFonts w:hint="eastAsia"/>
                      <w:color w:val="auto"/>
                      <w:sz w:val="21"/>
                      <w:szCs w:val="21"/>
                    </w:rPr>
                    <w:t>原料使用</w:t>
                  </w:r>
                </w:p>
              </w:tc>
              <w:tc>
                <w:tcPr>
                  <w:tcW w:w="637" w:type="dxa"/>
                  <w:noWrap w:val="0"/>
                  <w:vAlign w:val="center"/>
                </w:tcPr>
                <w:p w14:paraId="1239D9A6">
                  <w:pPr>
                    <w:ind w:left="-105" w:leftChars="-50" w:right="-105" w:rightChars="-50"/>
                    <w:jc w:val="center"/>
                    <w:rPr>
                      <w:color w:val="auto"/>
                      <w:sz w:val="21"/>
                      <w:szCs w:val="21"/>
                    </w:rPr>
                  </w:pPr>
                  <w:r>
                    <w:rPr>
                      <w:rFonts w:hint="eastAsia"/>
                      <w:color w:val="auto"/>
                      <w:sz w:val="21"/>
                      <w:szCs w:val="21"/>
                    </w:rPr>
                    <w:t>固态</w:t>
                  </w:r>
                </w:p>
              </w:tc>
              <w:tc>
                <w:tcPr>
                  <w:tcW w:w="863" w:type="dxa"/>
                  <w:noWrap w:val="0"/>
                  <w:vAlign w:val="center"/>
                </w:tcPr>
                <w:p w14:paraId="0B7DF818">
                  <w:pPr>
                    <w:ind w:left="-105" w:leftChars="-50" w:right="-105" w:rightChars="-50"/>
                    <w:jc w:val="center"/>
                    <w:rPr>
                      <w:color w:val="auto"/>
                      <w:sz w:val="21"/>
                      <w:szCs w:val="21"/>
                    </w:rPr>
                  </w:pPr>
                  <w:r>
                    <w:rPr>
                      <w:rFonts w:hint="eastAsia"/>
                      <w:color w:val="auto"/>
                      <w:sz w:val="21"/>
                      <w:szCs w:val="21"/>
                    </w:rPr>
                    <w:t>有机物</w:t>
                  </w:r>
                </w:p>
              </w:tc>
              <w:tc>
                <w:tcPr>
                  <w:tcW w:w="881" w:type="dxa"/>
                  <w:noWrap w:val="0"/>
                  <w:vAlign w:val="center"/>
                </w:tcPr>
                <w:p w14:paraId="6EBBC0C6">
                  <w:pPr>
                    <w:ind w:left="-105" w:leftChars="-50" w:right="-105" w:rightChars="-50"/>
                    <w:jc w:val="center"/>
                    <w:rPr>
                      <w:rFonts w:hint="default" w:eastAsia="宋体"/>
                      <w:color w:val="auto"/>
                      <w:sz w:val="21"/>
                      <w:szCs w:val="21"/>
                      <w:lang w:val="en-US" w:eastAsia="zh-CN"/>
                    </w:rPr>
                  </w:pPr>
                  <w:r>
                    <w:rPr>
                      <w:rFonts w:hint="eastAsia"/>
                      <w:color w:val="auto"/>
                      <w:sz w:val="21"/>
                      <w:szCs w:val="21"/>
                      <w:lang w:val="en-US" w:eastAsia="zh-CN"/>
                    </w:rPr>
                    <w:t>每月</w:t>
                  </w:r>
                </w:p>
              </w:tc>
              <w:tc>
                <w:tcPr>
                  <w:tcW w:w="877" w:type="dxa"/>
                  <w:noWrap w:val="0"/>
                  <w:vAlign w:val="center"/>
                </w:tcPr>
                <w:p w14:paraId="049A2B7C">
                  <w:pPr>
                    <w:ind w:left="-105" w:leftChars="-50" w:right="-105" w:rightChars="-50"/>
                    <w:jc w:val="center"/>
                    <w:rPr>
                      <w:color w:val="auto"/>
                      <w:sz w:val="21"/>
                      <w:szCs w:val="21"/>
                    </w:rPr>
                  </w:pPr>
                  <w:r>
                    <w:rPr>
                      <w:color w:val="auto"/>
                      <w:sz w:val="21"/>
                      <w:szCs w:val="21"/>
                    </w:rPr>
                    <w:t>T</w:t>
                  </w:r>
                </w:p>
              </w:tc>
              <w:tc>
                <w:tcPr>
                  <w:tcW w:w="901" w:type="dxa"/>
                  <w:vMerge w:val="continue"/>
                  <w:noWrap w:val="0"/>
                  <w:vAlign w:val="center"/>
                </w:tcPr>
                <w:p w14:paraId="2DA37A4B">
                  <w:pPr>
                    <w:jc w:val="center"/>
                    <w:rPr>
                      <w:color w:val="auto"/>
                      <w:sz w:val="21"/>
                      <w:szCs w:val="21"/>
                    </w:rPr>
                  </w:pPr>
                </w:p>
              </w:tc>
            </w:tr>
            <w:tr w14:paraId="5C19D9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083" w:type="dxa"/>
                  <w:noWrap w:val="0"/>
                  <w:vAlign w:val="center"/>
                </w:tcPr>
                <w:p w14:paraId="2382CBB1">
                  <w:pPr>
                    <w:ind w:left="-105" w:leftChars="-50" w:right="-105" w:rightChars="-50"/>
                    <w:jc w:val="center"/>
                    <w:rPr>
                      <w:rFonts w:hint="eastAsia"/>
                      <w:color w:val="auto"/>
                      <w:sz w:val="21"/>
                      <w:szCs w:val="21"/>
                      <w:lang w:val="en-US" w:eastAsia="zh-CN"/>
                    </w:rPr>
                  </w:pPr>
                  <w:r>
                    <w:rPr>
                      <w:rFonts w:hint="eastAsia"/>
                      <w:color w:val="auto"/>
                      <w:sz w:val="21"/>
                      <w:szCs w:val="21"/>
                      <w:lang w:val="en-US" w:eastAsia="zh-CN"/>
                    </w:rPr>
                    <w:t>清洁丝网版棉布手套</w:t>
                  </w:r>
                </w:p>
              </w:tc>
              <w:tc>
                <w:tcPr>
                  <w:tcW w:w="793" w:type="dxa"/>
                  <w:noWrap w:val="0"/>
                  <w:vAlign w:val="center"/>
                </w:tcPr>
                <w:p w14:paraId="2119EB25">
                  <w:pPr>
                    <w:ind w:left="-105" w:leftChars="-50" w:right="-105" w:rightChars="-50"/>
                    <w:jc w:val="center"/>
                    <w:rPr>
                      <w:color w:val="auto"/>
                      <w:sz w:val="21"/>
                      <w:szCs w:val="21"/>
                    </w:rPr>
                  </w:pPr>
                  <w:r>
                    <w:rPr>
                      <w:rFonts w:hint="eastAsia"/>
                      <w:color w:val="auto"/>
                      <w:sz w:val="21"/>
                      <w:szCs w:val="21"/>
                    </w:rPr>
                    <w:t>HW49</w:t>
                  </w:r>
                </w:p>
              </w:tc>
              <w:tc>
                <w:tcPr>
                  <w:tcW w:w="1196" w:type="dxa"/>
                  <w:noWrap w:val="0"/>
                  <w:vAlign w:val="center"/>
                </w:tcPr>
                <w:p w14:paraId="5345B886">
                  <w:pPr>
                    <w:ind w:left="-105" w:leftChars="-50" w:right="-105" w:rightChars="-50"/>
                    <w:jc w:val="center"/>
                    <w:rPr>
                      <w:rFonts w:hint="eastAsia"/>
                      <w:color w:val="auto"/>
                      <w:sz w:val="21"/>
                      <w:szCs w:val="21"/>
                    </w:rPr>
                  </w:pPr>
                  <w:r>
                    <w:rPr>
                      <w:color w:val="auto"/>
                      <w:sz w:val="21"/>
                      <w:szCs w:val="21"/>
                    </w:rPr>
                    <w:t>900-041-49</w:t>
                  </w:r>
                </w:p>
              </w:tc>
              <w:tc>
                <w:tcPr>
                  <w:tcW w:w="753" w:type="dxa"/>
                  <w:noWrap w:val="0"/>
                  <w:vAlign w:val="center"/>
                </w:tcPr>
                <w:p w14:paraId="73EA25AE">
                  <w:pPr>
                    <w:ind w:left="-105" w:leftChars="-50" w:right="-105" w:rightChars="-50"/>
                    <w:jc w:val="center"/>
                    <w:rPr>
                      <w:rFonts w:hint="default"/>
                      <w:color w:val="auto"/>
                      <w:sz w:val="21"/>
                      <w:szCs w:val="21"/>
                      <w:lang w:val="en-US" w:eastAsia="zh-CN"/>
                    </w:rPr>
                  </w:pPr>
                  <w:r>
                    <w:rPr>
                      <w:rFonts w:hint="eastAsia"/>
                      <w:color w:val="auto"/>
                      <w:sz w:val="21"/>
                      <w:szCs w:val="21"/>
                      <w:lang w:val="en-US" w:eastAsia="zh-CN"/>
                    </w:rPr>
                    <w:t>0.05</w:t>
                  </w:r>
                </w:p>
              </w:tc>
              <w:tc>
                <w:tcPr>
                  <w:tcW w:w="743" w:type="dxa"/>
                  <w:noWrap w:val="0"/>
                  <w:vAlign w:val="center"/>
                </w:tcPr>
                <w:p w14:paraId="5931D08C">
                  <w:pPr>
                    <w:ind w:left="-105" w:leftChars="-50" w:right="-105" w:rightChars="-50"/>
                    <w:jc w:val="center"/>
                    <w:rPr>
                      <w:rFonts w:hint="eastAsia" w:eastAsia="宋体"/>
                      <w:color w:val="auto"/>
                      <w:sz w:val="21"/>
                      <w:szCs w:val="21"/>
                      <w:lang w:val="en-US" w:eastAsia="zh-CN"/>
                    </w:rPr>
                  </w:pPr>
                  <w:r>
                    <w:rPr>
                      <w:rFonts w:hint="eastAsia"/>
                      <w:color w:val="auto"/>
                      <w:sz w:val="21"/>
                      <w:szCs w:val="21"/>
                      <w:lang w:val="en-US" w:eastAsia="zh-CN"/>
                    </w:rPr>
                    <w:t>清洁</w:t>
                  </w:r>
                </w:p>
              </w:tc>
              <w:tc>
                <w:tcPr>
                  <w:tcW w:w="637" w:type="dxa"/>
                  <w:noWrap w:val="0"/>
                  <w:vAlign w:val="center"/>
                </w:tcPr>
                <w:p w14:paraId="1045DA97">
                  <w:pPr>
                    <w:ind w:left="-105" w:leftChars="-50" w:right="-105" w:rightChars="-50"/>
                    <w:jc w:val="center"/>
                    <w:rPr>
                      <w:rFonts w:hint="eastAsia"/>
                      <w:color w:val="auto"/>
                      <w:sz w:val="21"/>
                      <w:szCs w:val="21"/>
                    </w:rPr>
                  </w:pPr>
                  <w:r>
                    <w:rPr>
                      <w:rFonts w:hint="eastAsia"/>
                      <w:color w:val="auto"/>
                      <w:sz w:val="21"/>
                      <w:szCs w:val="21"/>
                    </w:rPr>
                    <w:t>固态</w:t>
                  </w:r>
                </w:p>
              </w:tc>
              <w:tc>
                <w:tcPr>
                  <w:tcW w:w="863" w:type="dxa"/>
                  <w:noWrap w:val="0"/>
                  <w:vAlign w:val="center"/>
                </w:tcPr>
                <w:p w14:paraId="63586CD4">
                  <w:pPr>
                    <w:ind w:left="-105" w:leftChars="-50" w:right="-105" w:rightChars="-50"/>
                    <w:jc w:val="center"/>
                    <w:rPr>
                      <w:rFonts w:hint="eastAsia"/>
                      <w:color w:val="auto"/>
                      <w:sz w:val="21"/>
                      <w:szCs w:val="21"/>
                    </w:rPr>
                  </w:pPr>
                  <w:r>
                    <w:rPr>
                      <w:rFonts w:hint="eastAsia"/>
                      <w:color w:val="auto"/>
                      <w:sz w:val="21"/>
                      <w:szCs w:val="21"/>
                    </w:rPr>
                    <w:t>有机物</w:t>
                  </w:r>
                </w:p>
              </w:tc>
              <w:tc>
                <w:tcPr>
                  <w:tcW w:w="881" w:type="dxa"/>
                  <w:noWrap w:val="0"/>
                  <w:vAlign w:val="center"/>
                </w:tcPr>
                <w:p w14:paraId="5453302B">
                  <w:pPr>
                    <w:ind w:left="-105" w:leftChars="-50" w:right="-105" w:rightChars="-50"/>
                    <w:jc w:val="center"/>
                    <w:rPr>
                      <w:rFonts w:hint="eastAsia" w:eastAsia="宋体"/>
                      <w:color w:val="auto"/>
                      <w:sz w:val="21"/>
                      <w:szCs w:val="21"/>
                      <w:lang w:val="en-US" w:eastAsia="zh-CN"/>
                    </w:rPr>
                  </w:pPr>
                  <w:r>
                    <w:rPr>
                      <w:rFonts w:hint="eastAsia"/>
                      <w:color w:val="auto"/>
                      <w:sz w:val="21"/>
                      <w:szCs w:val="21"/>
                      <w:lang w:val="en-US" w:eastAsia="zh-CN"/>
                    </w:rPr>
                    <w:t>每日</w:t>
                  </w:r>
                </w:p>
              </w:tc>
              <w:tc>
                <w:tcPr>
                  <w:tcW w:w="877" w:type="dxa"/>
                  <w:noWrap w:val="0"/>
                  <w:vAlign w:val="center"/>
                </w:tcPr>
                <w:p w14:paraId="6B3E9C05">
                  <w:pPr>
                    <w:ind w:left="-105" w:leftChars="-50" w:right="-105" w:rightChars="-50"/>
                    <w:jc w:val="center"/>
                    <w:rPr>
                      <w:color w:val="auto"/>
                      <w:sz w:val="21"/>
                      <w:szCs w:val="21"/>
                    </w:rPr>
                  </w:pPr>
                  <w:r>
                    <w:rPr>
                      <w:color w:val="auto"/>
                      <w:sz w:val="21"/>
                      <w:szCs w:val="21"/>
                    </w:rPr>
                    <w:t>T/In</w:t>
                  </w:r>
                </w:p>
              </w:tc>
              <w:tc>
                <w:tcPr>
                  <w:tcW w:w="901" w:type="dxa"/>
                  <w:vMerge w:val="continue"/>
                  <w:noWrap w:val="0"/>
                  <w:vAlign w:val="center"/>
                </w:tcPr>
                <w:p w14:paraId="42849BCF">
                  <w:pPr>
                    <w:jc w:val="center"/>
                    <w:rPr>
                      <w:color w:val="auto"/>
                      <w:sz w:val="21"/>
                      <w:szCs w:val="21"/>
                    </w:rPr>
                  </w:pPr>
                </w:p>
              </w:tc>
            </w:tr>
            <w:tr w14:paraId="19800B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83" w:type="dxa"/>
                  <w:noWrap w:val="0"/>
                  <w:vAlign w:val="center"/>
                </w:tcPr>
                <w:p w14:paraId="65CBF6F1">
                  <w:pPr>
                    <w:ind w:left="-105" w:leftChars="-50" w:right="-105" w:rightChars="-50"/>
                    <w:jc w:val="center"/>
                    <w:rPr>
                      <w:color w:val="auto"/>
                      <w:sz w:val="21"/>
                      <w:szCs w:val="21"/>
                    </w:rPr>
                  </w:pPr>
                  <w:r>
                    <w:rPr>
                      <w:rFonts w:hint="eastAsia"/>
                      <w:color w:val="auto"/>
                      <w:kern w:val="0"/>
                      <w:sz w:val="21"/>
                      <w:szCs w:val="21"/>
                    </w:rPr>
                    <w:t>废CTP版</w:t>
                  </w:r>
                </w:p>
              </w:tc>
              <w:tc>
                <w:tcPr>
                  <w:tcW w:w="793" w:type="dxa"/>
                  <w:noWrap w:val="0"/>
                  <w:vAlign w:val="center"/>
                </w:tcPr>
                <w:p w14:paraId="3BB677B9">
                  <w:pPr>
                    <w:ind w:left="-105" w:leftChars="-50" w:right="-105" w:rightChars="-5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HW16</w:t>
                  </w:r>
                </w:p>
              </w:tc>
              <w:tc>
                <w:tcPr>
                  <w:tcW w:w="1196" w:type="dxa"/>
                  <w:noWrap w:val="0"/>
                  <w:vAlign w:val="center"/>
                </w:tcPr>
                <w:p w14:paraId="3393E1C7">
                  <w:pPr>
                    <w:ind w:left="-105" w:leftChars="-50" w:right="-105" w:rightChars="-50"/>
                    <w:jc w:val="center"/>
                    <w:rPr>
                      <w:color w:val="auto"/>
                      <w:sz w:val="21"/>
                      <w:szCs w:val="21"/>
                    </w:rPr>
                  </w:pPr>
                  <w:r>
                    <w:rPr>
                      <w:color w:val="auto"/>
                      <w:sz w:val="21"/>
                      <w:szCs w:val="21"/>
                    </w:rPr>
                    <w:t>231-002-16</w:t>
                  </w:r>
                </w:p>
              </w:tc>
              <w:tc>
                <w:tcPr>
                  <w:tcW w:w="753" w:type="dxa"/>
                  <w:noWrap w:val="0"/>
                  <w:vAlign w:val="center"/>
                </w:tcPr>
                <w:p w14:paraId="6B791A05">
                  <w:pPr>
                    <w:ind w:left="-105" w:leftChars="-50" w:right="-105" w:rightChars="-50"/>
                    <w:jc w:val="center"/>
                    <w:rPr>
                      <w:rFonts w:hint="default" w:eastAsia="宋体"/>
                      <w:color w:val="auto"/>
                      <w:sz w:val="21"/>
                      <w:szCs w:val="21"/>
                      <w:lang w:val="en-US" w:eastAsia="zh-CN"/>
                    </w:rPr>
                  </w:pPr>
                  <w:r>
                    <w:rPr>
                      <w:rFonts w:hint="eastAsia"/>
                      <w:color w:val="auto"/>
                      <w:sz w:val="21"/>
                      <w:szCs w:val="21"/>
                      <w:lang w:val="en-US" w:eastAsia="zh-CN"/>
                    </w:rPr>
                    <w:t>0.3</w:t>
                  </w:r>
                </w:p>
              </w:tc>
              <w:tc>
                <w:tcPr>
                  <w:tcW w:w="743" w:type="dxa"/>
                  <w:noWrap w:val="0"/>
                  <w:vAlign w:val="center"/>
                </w:tcPr>
                <w:p w14:paraId="15C3D0EB">
                  <w:pPr>
                    <w:ind w:left="-105" w:leftChars="-50" w:right="-105" w:rightChars="-50"/>
                    <w:jc w:val="center"/>
                    <w:rPr>
                      <w:color w:val="auto"/>
                      <w:sz w:val="21"/>
                      <w:szCs w:val="21"/>
                    </w:rPr>
                  </w:pPr>
                  <w:r>
                    <w:rPr>
                      <w:rFonts w:hint="eastAsia"/>
                      <w:color w:val="auto"/>
                      <w:sz w:val="21"/>
                      <w:szCs w:val="21"/>
                    </w:rPr>
                    <w:t>印刷生产</w:t>
                  </w:r>
                </w:p>
              </w:tc>
              <w:tc>
                <w:tcPr>
                  <w:tcW w:w="637" w:type="dxa"/>
                  <w:noWrap w:val="0"/>
                  <w:vAlign w:val="center"/>
                </w:tcPr>
                <w:p w14:paraId="7D4DA987">
                  <w:pPr>
                    <w:ind w:left="-105" w:leftChars="-50" w:right="-105" w:rightChars="-50"/>
                    <w:jc w:val="center"/>
                    <w:rPr>
                      <w:color w:val="auto"/>
                      <w:sz w:val="21"/>
                      <w:szCs w:val="21"/>
                    </w:rPr>
                  </w:pPr>
                  <w:r>
                    <w:rPr>
                      <w:rFonts w:hint="eastAsia"/>
                      <w:color w:val="auto"/>
                      <w:sz w:val="21"/>
                      <w:szCs w:val="21"/>
                    </w:rPr>
                    <w:t>固态</w:t>
                  </w:r>
                </w:p>
              </w:tc>
              <w:tc>
                <w:tcPr>
                  <w:tcW w:w="863" w:type="dxa"/>
                  <w:noWrap w:val="0"/>
                  <w:vAlign w:val="center"/>
                </w:tcPr>
                <w:p w14:paraId="6EB69503">
                  <w:pPr>
                    <w:ind w:left="-105" w:leftChars="-50" w:right="-105" w:rightChars="-50"/>
                    <w:jc w:val="center"/>
                    <w:rPr>
                      <w:color w:val="auto"/>
                      <w:sz w:val="21"/>
                      <w:szCs w:val="21"/>
                    </w:rPr>
                  </w:pPr>
                  <w:r>
                    <w:rPr>
                      <w:rFonts w:hint="eastAsia"/>
                      <w:color w:val="auto"/>
                      <w:sz w:val="21"/>
                      <w:szCs w:val="21"/>
                    </w:rPr>
                    <w:t>有机物</w:t>
                  </w:r>
                </w:p>
              </w:tc>
              <w:tc>
                <w:tcPr>
                  <w:tcW w:w="881" w:type="dxa"/>
                  <w:noWrap w:val="0"/>
                  <w:vAlign w:val="center"/>
                </w:tcPr>
                <w:p w14:paraId="5B583570">
                  <w:pPr>
                    <w:ind w:left="-105" w:leftChars="-50" w:right="-105" w:rightChars="-50"/>
                    <w:jc w:val="center"/>
                    <w:rPr>
                      <w:rFonts w:hint="eastAsia" w:eastAsia="宋体"/>
                      <w:color w:val="auto"/>
                      <w:sz w:val="21"/>
                      <w:szCs w:val="21"/>
                      <w:lang w:eastAsia="zh-CN"/>
                    </w:rPr>
                  </w:pPr>
                  <w:r>
                    <w:rPr>
                      <w:rFonts w:hint="eastAsia"/>
                      <w:color w:val="auto"/>
                      <w:sz w:val="21"/>
                      <w:szCs w:val="21"/>
                    </w:rPr>
                    <w:t>每</w:t>
                  </w:r>
                  <w:r>
                    <w:rPr>
                      <w:rFonts w:hint="eastAsia"/>
                      <w:color w:val="auto"/>
                      <w:sz w:val="21"/>
                      <w:szCs w:val="21"/>
                      <w:lang w:val="en-US" w:eastAsia="zh-CN"/>
                    </w:rPr>
                    <w:t>日</w:t>
                  </w:r>
                </w:p>
              </w:tc>
              <w:tc>
                <w:tcPr>
                  <w:tcW w:w="877" w:type="dxa"/>
                  <w:noWrap w:val="0"/>
                  <w:vAlign w:val="center"/>
                </w:tcPr>
                <w:p w14:paraId="7A23C7E3">
                  <w:pPr>
                    <w:ind w:left="-105" w:leftChars="-50" w:right="-105" w:rightChars="-50"/>
                    <w:jc w:val="center"/>
                    <w:rPr>
                      <w:color w:val="auto"/>
                      <w:sz w:val="21"/>
                      <w:szCs w:val="21"/>
                    </w:rPr>
                  </w:pPr>
                  <w:r>
                    <w:rPr>
                      <w:color w:val="auto"/>
                      <w:sz w:val="21"/>
                      <w:szCs w:val="21"/>
                    </w:rPr>
                    <w:t>T</w:t>
                  </w:r>
                </w:p>
              </w:tc>
              <w:tc>
                <w:tcPr>
                  <w:tcW w:w="901" w:type="dxa"/>
                  <w:vMerge w:val="continue"/>
                  <w:noWrap w:val="0"/>
                  <w:vAlign w:val="center"/>
                </w:tcPr>
                <w:p w14:paraId="63DF6E5C">
                  <w:pPr>
                    <w:jc w:val="center"/>
                    <w:rPr>
                      <w:color w:val="auto"/>
                      <w:sz w:val="21"/>
                      <w:szCs w:val="21"/>
                    </w:rPr>
                  </w:pPr>
                </w:p>
              </w:tc>
            </w:tr>
            <w:tr w14:paraId="35EA2F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083" w:type="dxa"/>
                  <w:noWrap w:val="0"/>
                  <w:vAlign w:val="center"/>
                </w:tcPr>
                <w:p w14:paraId="46DCB7D0">
                  <w:pPr>
                    <w:ind w:left="-105" w:leftChars="-50" w:right="-105" w:rightChars="-50"/>
                    <w:jc w:val="center"/>
                    <w:rPr>
                      <w:rFonts w:hint="eastAsia"/>
                      <w:color w:val="auto"/>
                      <w:kern w:val="0"/>
                      <w:sz w:val="21"/>
                      <w:szCs w:val="21"/>
                    </w:rPr>
                  </w:pPr>
                  <w:r>
                    <w:rPr>
                      <w:rFonts w:hint="eastAsia"/>
                      <w:color w:val="auto"/>
                      <w:kern w:val="0"/>
                      <w:sz w:val="21"/>
                      <w:szCs w:val="21"/>
                      <w:lang w:val="en-US" w:eastAsia="zh-CN"/>
                    </w:rPr>
                    <w:t>废UV灯管</w:t>
                  </w:r>
                </w:p>
              </w:tc>
              <w:tc>
                <w:tcPr>
                  <w:tcW w:w="793" w:type="dxa"/>
                  <w:noWrap w:val="0"/>
                  <w:vAlign w:val="center"/>
                </w:tcPr>
                <w:p w14:paraId="3A766B8C">
                  <w:pPr>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HW29</w:t>
                  </w:r>
                </w:p>
              </w:tc>
              <w:tc>
                <w:tcPr>
                  <w:tcW w:w="1196" w:type="dxa"/>
                  <w:noWrap w:val="0"/>
                  <w:vAlign w:val="center"/>
                </w:tcPr>
                <w:p w14:paraId="21BB74CA">
                  <w:pPr>
                    <w:ind w:left="-105" w:leftChars="-50" w:right="-105" w:rightChars="-50"/>
                    <w:jc w:val="center"/>
                    <w:rPr>
                      <w:color w:val="auto"/>
                      <w:sz w:val="21"/>
                      <w:szCs w:val="21"/>
                    </w:rPr>
                  </w:pPr>
                  <w:r>
                    <w:rPr>
                      <w:rFonts w:hint="eastAsia"/>
                      <w:color w:val="auto"/>
                      <w:sz w:val="21"/>
                      <w:szCs w:val="21"/>
                    </w:rPr>
                    <w:t>900-023-29</w:t>
                  </w:r>
                </w:p>
              </w:tc>
              <w:tc>
                <w:tcPr>
                  <w:tcW w:w="753" w:type="dxa"/>
                  <w:noWrap w:val="0"/>
                  <w:vAlign w:val="center"/>
                </w:tcPr>
                <w:p w14:paraId="41AF1780">
                  <w:pPr>
                    <w:ind w:left="-105" w:leftChars="-50" w:right="-105" w:rightChars="-50"/>
                    <w:jc w:val="center"/>
                    <w:rPr>
                      <w:rFonts w:hint="default"/>
                      <w:color w:val="auto"/>
                      <w:sz w:val="21"/>
                      <w:szCs w:val="21"/>
                      <w:lang w:val="en-US" w:eastAsia="zh-CN"/>
                    </w:rPr>
                  </w:pPr>
                  <w:r>
                    <w:rPr>
                      <w:rFonts w:hint="eastAsia"/>
                      <w:color w:val="auto"/>
                      <w:sz w:val="21"/>
                      <w:szCs w:val="21"/>
                      <w:lang w:val="en-US" w:eastAsia="zh-CN"/>
                    </w:rPr>
                    <w:t>0.01</w:t>
                  </w:r>
                </w:p>
              </w:tc>
              <w:tc>
                <w:tcPr>
                  <w:tcW w:w="743" w:type="dxa"/>
                  <w:noWrap w:val="0"/>
                  <w:vAlign w:val="center"/>
                </w:tcPr>
                <w:p w14:paraId="71D18F42">
                  <w:pPr>
                    <w:ind w:left="-105" w:leftChars="-50" w:right="-105" w:rightChars="-50"/>
                    <w:jc w:val="center"/>
                    <w:rPr>
                      <w:rFonts w:hint="eastAsia"/>
                      <w:color w:val="auto"/>
                      <w:sz w:val="21"/>
                      <w:szCs w:val="21"/>
                    </w:rPr>
                  </w:pPr>
                  <w:r>
                    <w:rPr>
                      <w:rFonts w:hint="eastAsia"/>
                      <w:color w:val="auto"/>
                      <w:sz w:val="21"/>
                      <w:szCs w:val="21"/>
                    </w:rPr>
                    <w:t>印刷生产</w:t>
                  </w:r>
                </w:p>
              </w:tc>
              <w:tc>
                <w:tcPr>
                  <w:tcW w:w="637" w:type="dxa"/>
                  <w:noWrap w:val="0"/>
                  <w:vAlign w:val="center"/>
                </w:tcPr>
                <w:p w14:paraId="784E05C8">
                  <w:pPr>
                    <w:ind w:left="-105" w:leftChars="-50" w:right="-105" w:rightChars="-50"/>
                    <w:jc w:val="center"/>
                    <w:rPr>
                      <w:rFonts w:hint="eastAsia"/>
                      <w:color w:val="auto"/>
                      <w:sz w:val="21"/>
                      <w:szCs w:val="21"/>
                    </w:rPr>
                  </w:pPr>
                  <w:r>
                    <w:rPr>
                      <w:rFonts w:hint="eastAsia"/>
                      <w:color w:val="auto"/>
                      <w:sz w:val="21"/>
                      <w:szCs w:val="21"/>
                    </w:rPr>
                    <w:t>固态</w:t>
                  </w:r>
                </w:p>
              </w:tc>
              <w:tc>
                <w:tcPr>
                  <w:tcW w:w="863" w:type="dxa"/>
                  <w:noWrap w:val="0"/>
                  <w:vAlign w:val="center"/>
                </w:tcPr>
                <w:p w14:paraId="2831BB6E">
                  <w:pPr>
                    <w:ind w:left="-105" w:leftChars="-50" w:right="-105" w:rightChars="-50"/>
                    <w:jc w:val="center"/>
                    <w:rPr>
                      <w:rFonts w:hint="eastAsia" w:eastAsia="宋体"/>
                      <w:color w:val="auto"/>
                      <w:sz w:val="21"/>
                      <w:szCs w:val="21"/>
                      <w:lang w:eastAsia="zh-CN"/>
                    </w:rPr>
                  </w:pPr>
                  <w:r>
                    <w:rPr>
                      <w:rFonts w:hint="eastAsia"/>
                      <w:color w:val="auto"/>
                      <w:sz w:val="21"/>
                      <w:szCs w:val="21"/>
                      <w:lang w:val="en-US" w:eastAsia="zh-CN"/>
                    </w:rPr>
                    <w:t>汞</w:t>
                  </w:r>
                </w:p>
              </w:tc>
              <w:tc>
                <w:tcPr>
                  <w:tcW w:w="881" w:type="dxa"/>
                  <w:noWrap w:val="0"/>
                  <w:vAlign w:val="center"/>
                </w:tcPr>
                <w:p w14:paraId="517553EF">
                  <w:pPr>
                    <w:ind w:left="-105" w:leftChars="-50" w:right="-105" w:rightChars="-50"/>
                    <w:jc w:val="center"/>
                    <w:rPr>
                      <w:rFonts w:hint="eastAsia" w:eastAsia="宋体"/>
                      <w:color w:val="auto"/>
                      <w:sz w:val="21"/>
                      <w:szCs w:val="21"/>
                      <w:lang w:val="en-US" w:eastAsia="zh-CN"/>
                    </w:rPr>
                  </w:pPr>
                  <w:r>
                    <w:rPr>
                      <w:rFonts w:hint="eastAsia"/>
                      <w:color w:val="auto"/>
                      <w:sz w:val="21"/>
                      <w:szCs w:val="21"/>
                    </w:rPr>
                    <w:t>每</w:t>
                  </w:r>
                  <w:r>
                    <w:rPr>
                      <w:rFonts w:hint="eastAsia"/>
                      <w:color w:val="auto"/>
                      <w:sz w:val="21"/>
                      <w:szCs w:val="21"/>
                      <w:lang w:val="en-US" w:eastAsia="zh-CN"/>
                    </w:rPr>
                    <w:t>月</w:t>
                  </w:r>
                </w:p>
              </w:tc>
              <w:tc>
                <w:tcPr>
                  <w:tcW w:w="877" w:type="dxa"/>
                  <w:noWrap w:val="0"/>
                  <w:vAlign w:val="center"/>
                </w:tcPr>
                <w:p w14:paraId="2F293069">
                  <w:pPr>
                    <w:ind w:left="-105" w:leftChars="-50" w:right="-105" w:rightChars="-50"/>
                    <w:jc w:val="center"/>
                    <w:rPr>
                      <w:color w:val="auto"/>
                      <w:sz w:val="21"/>
                      <w:szCs w:val="21"/>
                    </w:rPr>
                  </w:pPr>
                  <w:r>
                    <w:rPr>
                      <w:color w:val="auto"/>
                      <w:szCs w:val="21"/>
                    </w:rPr>
                    <w:t>T/In</w:t>
                  </w:r>
                </w:p>
              </w:tc>
              <w:tc>
                <w:tcPr>
                  <w:tcW w:w="901" w:type="dxa"/>
                  <w:vMerge w:val="continue"/>
                  <w:noWrap w:val="0"/>
                  <w:vAlign w:val="center"/>
                </w:tcPr>
                <w:p w14:paraId="167A2237">
                  <w:pPr>
                    <w:jc w:val="center"/>
                    <w:rPr>
                      <w:color w:val="auto"/>
                      <w:sz w:val="21"/>
                      <w:szCs w:val="21"/>
                    </w:rPr>
                  </w:pPr>
                </w:p>
              </w:tc>
            </w:tr>
            <w:tr w14:paraId="2555D8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noWrap w:val="0"/>
                  <w:vAlign w:val="center"/>
                </w:tcPr>
                <w:p w14:paraId="658EE1FC">
                  <w:pPr>
                    <w:ind w:left="-105" w:leftChars="-50" w:right="-105" w:rightChars="-50"/>
                    <w:jc w:val="center"/>
                    <w:rPr>
                      <w:rFonts w:hint="default" w:eastAsia="宋体"/>
                      <w:color w:val="auto"/>
                      <w:sz w:val="21"/>
                      <w:szCs w:val="21"/>
                      <w:lang w:val="en-US" w:eastAsia="zh-CN"/>
                    </w:rPr>
                  </w:pPr>
                  <w:r>
                    <w:rPr>
                      <w:rFonts w:hint="eastAsia"/>
                      <w:color w:val="auto"/>
                      <w:sz w:val="21"/>
                      <w:szCs w:val="21"/>
                      <w:lang w:val="en-US" w:eastAsia="zh-CN"/>
                    </w:rPr>
                    <w:t>废润滑油</w:t>
                  </w:r>
                </w:p>
              </w:tc>
              <w:tc>
                <w:tcPr>
                  <w:tcW w:w="793" w:type="dxa"/>
                  <w:noWrap w:val="0"/>
                  <w:vAlign w:val="center"/>
                </w:tcPr>
                <w:p w14:paraId="56A3F89D">
                  <w:pPr>
                    <w:ind w:left="-105" w:leftChars="-50" w:right="-105" w:rightChars="-50"/>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tc>
              <w:tc>
                <w:tcPr>
                  <w:tcW w:w="1196" w:type="dxa"/>
                  <w:noWrap w:val="0"/>
                  <w:vAlign w:val="center"/>
                </w:tcPr>
                <w:p w14:paraId="12906217">
                  <w:pPr>
                    <w:spacing w:line="320" w:lineRule="exact"/>
                    <w:ind w:left="-105" w:leftChars="-50" w:right="-105" w:rightChars="-50"/>
                    <w:jc w:val="center"/>
                    <w:rPr>
                      <w:color w:val="auto"/>
                      <w:sz w:val="21"/>
                      <w:szCs w:val="21"/>
                    </w:rPr>
                  </w:pPr>
                  <w:r>
                    <w:rPr>
                      <w:rFonts w:hint="eastAsia"/>
                      <w:bCs/>
                      <w:color w:val="auto"/>
                      <w:sz w:val="21"/>
                      <w:szCs w:val="21"/>
                    </w:rPr>
                    <w:t>900-249-08</w:t>
                  </w:r>
                </w:p>
              </w:tc>
              <w:tc>
                <w:tcPr>
                  <w:tcW w:w="753" w:type="dxa"/>
                  <w:noWrap w:val="0"/>
                  <w:vAlign w:val="center"/>
                </w:tcPr>
                <w:p w14:paraId="4EE8A42A">
                  <w:pPr>
                    <w:spacing w:line="320" w:lineRule="exact"/>
                    <w:ind w:left="-105" w:leftChars="-50" w:right="-105" w:rightChars="-50"/>
                    <w:jc w:val="center"/>
                    <w:rPr>
                      <w:rFonts w:hint="default" w:eastAsia="宋体"/>
                      <w:color w:val="auto"/>
                      <w:sz w:val="21"/>
                      <w:szCs w:val="21"/>
                      <w:lang w:val="en-US" w:eastAsia="zh-CN"/>
                    </w:rPr>
                  </w:pPr>
                  <w:r>
                    <w:rPr>
                      <w:rFonts w:hint="eastAsia"/>
                      <w:bCs/>
                      <w:color w:val="auto"/>
                      <w:sz w:val="21"/>
                      <w:szCs w:val="21"/>
                      <w:lang w:val="en-US" w:eastAsia="zh-CN"/>
                    </w:rPr>
                    <w:t>0.1</w:t>
                  </w:r>
                </w:p>
              </w:tc>
              <w:tc>
                <w:tcPr>
                  <w:tcW w:w="743" w:type="dxa"/>
                  <w:noWrap w:val="0"/>
                  <w:vAlign w:val="center"/>
                </w:tcPr>
                <w:p w14:paraId="4225998E">
                  <w:pPr>
                    <w:spacing w:line="320" w:lineRule="exact"/>
                    <w:ind w:left="-105" w:leftChars="-50" w:right="-105" w:rightChars="-50"/>
                    <w:jc w:val="center"/>
                    <w:rPr>
                      <w:color w:val="auto"/>
                      <w:sz w:val="21"/>
                      <w:szCs w:val="21"/>
                    </w:rPr>
                  </w:pPr>
                  <w:r>
                    <w:rPr>
                      <w:color w:val="auto"/>
                      <w:sz w:val="21"/>
                      <w:szCs w:val="21"/>
                    </w:rPr>
                    <w:t>维修养护</w:t>
                  </w:r>
                </w:p>
              </w:tc>
              <w:tc>
                <w:tcPr>
                  <w:tcW w:w="637" w:type="dxa"/>
                  <w:noWrap w:val="0"/>
                  <w:vAlign w:val="center"/>
                </w:tcPr>
                <w:p w14:paraId="179E50D4">
                  <w:pPr>
                    <w:spacing w:line="320" w:lineRule="exact"/>
                    <w:ind w:left="-105" w:leftChars="-50" w:right="-105" w:rightChars="-50"/>
                    <w:jc w:val="center"/>
                    <w:rPr>
                      <w:rFonts w:hint="eastAsia" w:eastAsia="宋体"/>
                      <w:color w:val="auto"/>
                      <w:sz w:val="21"/>
                      <w:szCs w:val="21"/>
                      <w:lang w:val="en-US" w:eastAsia="zh-CN"/>
                    </w:rPr>
                  </w:pPr>
                  <w:r>
                    <w:rPr>
                      <w:rFonts w:hint="eastAsia"/>
                      <w:color w:val="auto"/>
                      <w:sz w:val="21"/>
                      <w:szCs w:val="21"/>
                      <w:lang w:val="en-US" w:eastAsia="zh-CN"/>
                    </w:rPr>
                    <w:t>液态</w:t>
                  </w:r>
                </w:p>
              </w:tc>
              <w:tc>
                <w:tcPr>
                  <w:tcW w:w="863" w:type="dxa"/>
                  <w:noWrap w:val="0"/>
                  <w:vAlign w:val="center"/>
                </w:tcPr>
                <w:p w14:paraId="1B68A2D3">
                  <w:pPr>
                    <w:spacing w:line="320" w:lineRule="exact"/>
                    <w:ind w:left="-105" w:leftChars="-50" w:right="-105" w:rightChars="-50"/>
                    <w:jc w:val="center"/>
                    <w:rPr>
                      <w:color w:val="auto"/>
                      <w:sz w:val="21"/>
                      <w:szCs w:val="21"/>
                    </w:rPr>
                  </w:pPr>
                  <w:r>
                    <w:rPr>
                      <w:color w:val="auto"/>
                      <w:sz w:val="21"/>
                      <w:szCs w:val="21"/>
                    </w:rPr>
                    <w:t>烃类</w:t>
                  </w:r>
                </w:p>
              </w:tc>
              <w:tc>
                <w:tcPr>
                  <w:tcW w:w="881" w:type="dxa"/>
                  <w:noWrap w:val="0"/>
                  <w:vAlign w:val="center"/>
                </w:tcPr>
                <w:p w14:paraId="686438A1">
                  <w:pPr>
                    <w:spacing w:line="320" w:lineRule="exact"/>
                    <w:ind w:left="-105" w:leftChars="-50" w:right="-105" w:rightChars="-50"/>
                    <w:jc w:val="center"/>
                    <w:rPr>
                      <w:rFonts w:hint="eastAsia"/>
                      <w:color w:val="auto"/>
                      <w:sz w:val="21"/>
                      <w:szCs w:val="21"/>
                    </w:rPr>
                  </w:pPr>
                  <w:r>
                    <w:rPr>
                      <w:rFonts w:hint="eastAsia"/>
                      <w:color w:val="auto"/>
                      <w:sz w:val="21"/>
                      <w:szCs w:val="21"/>
                      <w:lang w:val="en-US" w:eastAsia="zh-CN"/>
                    </w:rPr>
                    <w:t>每</w:t>
                  </w:r>
                  <w:r>
                    <w:rPr>
                      <w:color w:val="auto"/>
                      <w:sz w:val="21"/>
                      <w:szCs w:val="21"/>
                    </w:rPr>
                    <w:t>日</w:t>
                  </w:r>
                </w:p>
              </w:tc>
              <w:tc>
                <w:tcPr>
                  <w:tcW w:w="877" w:type="dxa"/>
                  <w:noWrap w:val="0"/>
                  <w:vAlign w:val="center"/>
                </w:tcPr>
                <w:p w14:paraId="5BAD8CA9">
                  <w:pPr>
                    <w:spacing w:line="320" w:lineRule="exact"/>
                    <w:ind w:left="-105" w:leftChars="-50" w:right="-105" w:rightChars="-50"/>
                    <w:jc w:val="center"/>
                    <w:rPr>
                      <w:color w:val="auto"/>
                      <w:sz w:val="21"/>
                      <w:szCs w:val="21"/>
                    </w:rPr>
                  </w:pPr>
                  <w:r>
                    <w:rPr>
                      <w:color w:val="auto"/>
                      <w:sz w:val="21"/>
                      <w:szCs w:val="21"/>
                    </w:rPr>
                    <w:t>T/In</w:t>
                  </w:r>
                </w:p>
              </w:tc>
              <w:tc>
                <w:tcPr>
                  <w:tcW w:w="901" w:type="dxa"/>
                  <w:vMerge w:val="continue"/>
                  <w:noWrap w:val="0"/>
                  <w:vAlign w:val="center"/>
                </w:tcPr>
                <w:p w14:paraId="17698EDD">
                  <w:pPr>
                    <w:jc w:val="center"/>
                    <w:rPr>
                      <w:color w:val="auto"/>
                      <w:sz w:val="21"/>
                      <w:szCs w:val="21"/>
                    </w:rPr>
                  </w:pPr>
                </w:p>
              </w:tc>
            </w:tr>
            <w:tr w14:paraId="42059D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noWrap w:val="0"/>
                  <w:vAlign w:val="center"/>
                </w:tcPr>
                <w:p w14:paraId="58A15A08">
                  <w:pPr>
                    <w:ind w:left="-105" w:leftChars="-50" w:right="-105" w:rightChars="-50"/>
                    <w:jc w:val="center"/>
                    <w:rPr>
                      <w:color w:val="auto"/>
                      <w:sz w:val="21"/>
                      <w:szCs w:val="21"/>
                    </w:rPr>
                  </w:pPr>
                  <w:r>
                    <w:rPr>
                      <w:rFonts w:hint="eastAsia"/>
                      <w:color w:val="auto"/>
                      <w:sz w:val="21"/>
                      <w:szCs w:val="21"/>
                    </w:rPr>
                    <w:t>废</w:t>
                  </w:r>
                  <w:r>
                    <w:rPr>
                      <w:rFonts w:hint="eastAsia"/>
                      <w:color w:val="auto"/>
                      <w:sz w:val="21"/>
                      <w:szCs w:val="21"/>
                      <w:lang w:val="en-US" w:eastAsia="zh-CN"/>
                    </w:rPr>
                    <w:t>棉纱</w:t>
                  </w:r>
                  <w:r>
                    <w:rPr>
                      <w:rFonts w:hint="eastAsia"/>
                      <w:color w:val="auto"/>
                      <w:sz w:val="21"/>
                      <w:szCs w:val="21"/>
                    </w:rPr>
                    <w:t>手套</w:t>
                  </w:r>
                </w:p>
              </w:tc>
              <w:tc>
                <w:tcPr>
                  <w:tcW w:w="793" w:type="dxa"/>
                  <w:noWrap w:val="0"/>
                  <w:vAlign w:val="center"/>
                </w:tcPr>
                <w:p w14:paraId="34920B48">
                  <w:pPr>
                    <w:ind w:left="-105" w:leftChars="-50" w:right="-105" w:rightChars="-50"/>
                    <w:jc w:val="center"/>
                    <w:rPr>
                      <w:color w:val="auto"/>
                      <w:sz w:val="21"/>
                      <w:szCs w:val="21"/>
                    </w:rPr>
                  </w:pPr>
                  <w:r>
                    <w:rPr>
                      <w:rFonts w:hint="eastAsia"/>
                      <w:color w:val="auto"/>
                      <w:sz w:val="21"/>
                      <w:szCs w:val="21"/>
                    </w:rPr>
                    <w:t>HW49</w:t>
                  </w:r>
                </w:p>
              </w:tc>
              <w:tc>
                <w:tcPr>
                  <w:tcW w:w="1196" w:type="dxa"/>
                  <w:noWrap w:val="0"/>
                  <w:vAlign w:val="center"/>
                </w:tcPr>
                <w:p w14:paraId="3569AD4B">
                  <w:pPr>
                    <w:ind w:left="-105" w:leftChars="-50" w:right="-105" w:rightChars="-50"/>
                    <w:jc w:val="center"/>
                    <w:rPr>
                      <w:color w:val="auto"/>
                      <w:sz w:val="21"/>
                      <w:szCs w:val="21"/>
                    </w:rPr>
                  </w:pPr>
                  <w:r>
                    <w:rPr>
                      <w:color w:val="auto"/>
                      <w:sz w:val="21"/>
                      <w:szCs w:val="21"/>
                    </w:rPr>
                    <w:t>900-041-49</w:t>
                  </w:r>
                </w:p>
              </w:tc>
              <w:tc>
                <w:tcPr>
                  <w:tcW w:w="753" w:type="dxa"/>
                  <w:noWrap w:val="0"/>
                  <w:vAlign w:val="center"/>
                </w:tcPr>
                <w:p w14:paraId="5BC30856">
                  <w:pPr>
                    <w:ind w:left="-105" w:leftChars="-50" w:right="-105" w:rightChars="-50"/>
                    <w:jc w:val="center"/>
                    <w:rPr>
                      <w:rFonts w:hint="default" w:eastAsia="宋体"/>
                      <w:color w:val="auto"/>
                      <w:sz w:val="21"/>
                      <w:szCs w:val="21"/>
                      <w:lang w:val="en-US" w:eastAsia="zh-CN"/>
                    </w:rPr>
                  </w:pPr>
                  <w:r>
                    <w:rPr>
                      <w:rFonts w:hint="eastAsia"/>
                      <w:color w:val="auto"/>
                      <w:sz w:val="21"/>
                      <w:szCs w:val="21"/>
                      <w:lang w:val="en-US" w:eastAsia="zh-CN"/>
                    </w:rPr>
                    <w:t>0.05</w:t>
                  </w:r>
                </w:p>
              </w:tc>
              <w:tc>
                <w:tcPr>
                  <w:tcW w:w="743" w:type="dxa"/>
                  <w:noWrap w:val="0"/>
                  <w:vAlign w:val="center"/>
                </w:tcPr>
                <w:p w14:paraId="3A111B64">
                  <w:pPr>
                    <w:ind w:left="-105" w:leftChars="-50" w:right="-105" w:rightChars="-50"/>
                    <w:jc w:val="center"/>
                    <w:rPr>
                      <w:color w:val="auto"/>
                      <w:sz w:val="21"/>
                      <w:szCs w:val="21"/>
                    </w:rPr>
                  </w:pPr>
                  <w:r>
                    <w:rPr>
                      <w:rFonts w:hint="eastAsia"/>
                      <w:color w:val="auto"/>
                      <w:sz w:val="21"/>
                      <w:szCs w:val="21"/>
                    </w:rPr>
                    <w:t>印刷生产</w:t>
                  </w:r>
                </w:p>
              </w:tc>
              <w:tc>
                <w:tcPr>
                  <w:tcW w:w="637" w:type="dxa"/>
                  <w:noWrap w:val="0"/>
                  <w:vAlign w:val="center"/>
                </w:tcPr>
                <w:p w14:paraId="06DEF5CA">
                  <w:pPr>
                    <w:ind w:left="-105" w:leftChars="-50" w:right="-105" w:rightChars="-50"/>
                    <w:jc w:val="center"/>
                    <w:rPr>
                      <w:color w:val="auto"/>
                      <w:sz w:val="21"/>
                      <w:szCs w:val="21"/>
                    </w:rPr>
                  </w:pPr>
                  <w:r>
                    <w:rPr>
                      <w:rFonts w:hint="eastAsia"/>
                      <w:color w:val="auto"/>
                      <w:sz w:val="21"/>
                      <w:szCs w:val="21"/>
                    </w:rPr>
                    <w:t>固态</w:t>
                  </w:r>
                </w:p>
              </w:tc>
              <w:tc>
                <w:tcPr>
                  <w:tcW w:w="863" w:type="dxa"/>
                  <w:noWrap w:val="0"/>
                  <w:vAlign w:val="center"/>
                </w:tcPr>
                <w:p w14:paraId="241C8CBF">
                  <w:pPr>
                    <w:ind w:left="-105" w:leftChars="-50" w:right="-105" w:rightChars="-50"/>
                    <w:jc w:val="center"/>
                    <w:rPr>
                      <w:color w:val="auto"/>
                      <w:sz w:val="21"/>
                      <w:szCs w:val="21"/>
                    </w:rPr>
                  </w:pPr>
                  <w:r>
                    <w:rPr>
                      <w:rFonts w:hint="eastAsia"/>
                      <w:color w:val="auto"/>
                      <w:sz w:val="21"/>
                      <w:szCs w:val="21"/>
                    </w:rPr>
                    <w:t>有机物</w:t>
                  </w:r>
                </w:p>
              </w:tc>
              <w:tc>
                <w:tcPr>
                  <w:tcW w:w="881" w:type="dxa"/>
                  <w:noWrap w:val="0"/>
                  <w:vAlign w:val="center"/>
                </w:tcPr>
                <w:p w14:paraId="6BFDD7B5">
                  <w:pPr>
                    <w:ind w:left="-105" w:leftChars="-50" w:right="-105" w:rightChars="-50"/>
                    <w:jc w:val="center"/>
                    <w:rPr>
                      <w:rFonts w:hint="eastAsia" w:eastAsia="宋体"/>
                      <w:color w:val="auto"/>
                      <w:sz w:val="21"/>
                      <w:szCs w:val="21"/>
                      <w:lang w:val="en-US" w:eastAsia="zh-CN"/>
                    </w:rPr>
                  </w:pPr>
                  <w:r>
                    <w:rPr>
                      <w:rFonts w:hint="eastAsia"/>
                      <w:color w:val="auto"/>
                      <w:sz w:val="21"/>
                      <w:szCs w:val="21"/>
                    </w:rPr>
                    <w:t>每</w:t>
                  </w:r>
                  <w:r>
                    <w:rPr>
                      <w:rFonts w:hint="eastAsia"/>
                      <w:color w:val="auto"/>
                      <w:sz w:val="21"/>
                      <w:szCs w:val="21"/>
                      <w:lang w:val="en-US" w:eastAsia="zh-CN"/>
                    </w:rPr>
                    <w:t>日</w:t>
                  </w:r>
                </w:p>
              </w:tc>
              <w:tc>
                <w:tcPr>
                  <w:tcW w:w="877" w:type="dxa"/>
                  <w:noWrap w:val="0"/>
                  <w:vAlign w:val="center"/>
                </w:tcPr>
                <w:p w14:paraId="5E97733D">
                  <w:pPr>
                    <w:ind w:left="-105" w:leftChars="-50" w:right="-105" w:rightChars="-50"/>
                    <w:jc w:val="center"/>
                    <w:rPr>
                      <w:color w:val="auto"/>
                      <w:sz w:val="21"/>
                      <w:szCs w:val="21"/>
                    </w:rPr>
                  </w:pPr>
                  <w:r>
                    <w:rPr>
                      <w:color w:val="auto"/>
                      <w:sz w:val="21"/>
                      <w:szCs w:val="21"/>
                    </w:rPr>
                    <w:t>T/In</w:t>
                  </w:r>
                </w:p>
              </w:tc>
              <w:tc>
                <w:tcPr>
                  <w:tcW w:w="901" w:type="dxa"/>
                  <w:vMerge w:val="continue"/>
                  <w:noWrap w:val="0"/>
                  <w:vAlign w:val="center"/>
                </w:tcPr>
                <w:p w14:paraId="4A7E1AAC">
                  <w:pPr>
                    <w:jc w:val="center"/>
                    <w:rPr>
                      <w:color w:val="auto"/>
                      <w:sz w:val="21"/>
                      <w:szCs w:val="21"/>
                    </w:rPr>
                  </w:pPr>
                </w:p>
              </w:tc>
            </w:tr>
            <w:tr w14:paraId="4406D3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noWrap w:val="0"/>
                  <w:vAlign w:val="center"/>
                </w:tcPr>
                <w:p w14:paraId="2748CC86">
                  <w:pPr>
                    <w:ind w:left="-105" w:leftChars="-50" w:right="-105" w:rightChars="-50"/>
                    <w:jc w:val="center"/>
                    <w:rPr>
                      <w:color w:val="auto"/>
                      <w:sz w:val="21"/>
                      <w:szCs w:val="21"/>
                      <w:highlight w:val="none"/>
                    </w:rPr>
                  </w:pPr>
                  <w:r>
                    <w:rPr>
                      <w:rFonts w:hint="eastAsia"/>
                      <w:color w:val="auto"/>
                      <w:kern w:val="0"/>
                      <w:sz w:val="21"/>
                      <w:szCs w:val="21"/>
                      <w:highlight w:val="none"/>
                    </w:rPr>
                    <w:t>废活性炭</w:t>
                  </w:r>
                </w:p>
              </w:tc>
              <w:tc>
                <w:tcPr>
                  <w:tcW w:w="793" w:type="dxa"/>
                  <w:noWrap w:val="0"/>
                  <w:vAlign w:val="center"/>
                </w:tcPr>
                <w:p w14:paraId="01A8EA62">
                  <w:pPr>
                    <w:ind w:left="-105" w:leftChars="-50" w:right="-105" w:rightChars="-50"/>
                    <w:jc w:val="center"/>
                    <w:rPr>
                      <w:color w:val="auto"/>
                      <w:sz w:val="21"/>
                      <w:szCs w:val="21"/>
                      <w:highlight w:val="none"/>
                    </w:rPr>
                  </w:pPr>
                  <w:r>
                    <w:rPr>
                      <w:rFonts w:hint="eastAsia"/>
                      <w:color w:val="auto"/>
                      <w:sz w:val="21"/>
                      <w:szCs w:val="21"/>
                      <w:highlight w:val="none"/>
                    </w:rPr>
                    <w:t>HW49</w:t>
                  </w:r>
                </w:p>
              </w:tc>
              <w:tc>
                <w:tcPr>
                  <w:tcW w:w="1196" w:type="dxa"/>
                  <w:noWrap w:val="0"/>
                  <w:vAlign w:val="center"/>
                </w:tcPr>
                <w:p w14:paraId="018AC8B4">
                  <w:pPr>
                    <w:ind w:left="-105" w:leftChars="-50" w:right="-105" w:rightChars="-50"/>
                    <w:jc w:val="center"/>
                    <w:rPr>
                      <w:color w:val="auto"/>
                      <w:sz w:val="21"/>
                      <w:szCs w:val="21"/>
                      <w:highlight w:val="none"/>
                    </w:rPr>
                  </w:pPr>
                  <w:r>
                    <w:rPr>
                      <w:color w:val="auto"/>
                      <w:sz w:val="21"/>
                      <w:szCs w:val="21"/>
                      <w:highlight w:val="none"/>
                    </w:rPr>
                    <w:t>900-041-49</w:t>
                  </w:r>
                </w:p>
              </w:tc>
              <w:tc>
                <w:tcPr>
                  <w:tcW w:w="753" w:type="dxa"/>
                  <w:noWrap w:val="0"/>
                  <w:vAlign w:val="center"/>
                </w:tcPr>
                <w:p w14:paraId="0C87B6D5">
                  <w:pPr>
                    <w:ind w:left="-105" w:leftChars="-50" w:right="-105" w:rightChars="-5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52.17</w:t>
                  </w:r>
                </w:p>
              </w:tc>
              <w:tc>
                <w:tcPr>
                  <w:tcW w:w="743" w:type="dxa"/>
                  <w:noWrap w:val="0"/>
                  <w:vAlign w:val="center"/>
                </w:tcPr>
                <w:p w14:paraId="1E904B74">
                  <w:pPr>
                    <w:ind w:left="-105" w:leftChars="-50" w:right="-105" w:rightChars="-50"/>
                    <w:jc w:val="center"/>
                    <w:rPr>
                      <w:rFonts w:hint="eastAsia"/>
                      <w:color w:val="auto"/>
                      <w:sz w:val="21"/>
                      <w:szCs w:val="21"/>
                      <w:highlight w:val="none"/>
                    </w:rPr>
                  </w:pPr>
                  <w:r>
                    <w:rPr>
                      <w:rFonts w:hint="eastAsia"/>
                      <w:color w:val="auto"/>
                      <w:sz w:val="21"/>
                      <w:szCs w:val="21"/>
                      <w:highlight w:val="none"/>
                    </w:rPr>
                    <w:t>废气治理</w:t>
                  </w:r>
                </w:p>
              </w:tc>
              <w:tc>
                <w:tcPr>
                  <w:tcW w:w="637" w:type="dxa"/>
                  <w:noWrap w:val="0"/>
                  <w:vAlign w:val="center"/>
                </w:tcPr>
                <w:p w14:paraId="7C54BFFA">
                  <w:pPr>
                    <w:ind w:left="-105" w:leftChars="-50" w:right="-105" w:rightChars="-50"/>
                    <w:jc w:val="center"/>
                    <w:rPr>
                      <w:rFonts w:hint="eastAsia"/>
                      <w:color w:val="auto"/>
                      <w:sz w:val="21"/>
                      <w:szCs w:val="21"/>
                      <w:highlight w:val="none"/>
                    </w:rPr>
                  </w:pPr>
                  <w:r>
                    <w:rPr>
                      <w:rFonts w:hint="eastAsia"/>
                      <w:color w:val="auto"/>
                      <w:sz w:val="21"/>
                      <w:szCs w:val="21"/>
                      <w:highlight w:val="none"/>
                    </w:rPr>
                    <w:t>固态</w:t>
                  </w:r>
                </w:p>
              </w:tc>
              <w:tc>
                <w:tcPr>
                  <w:tcW w:w="863" w:type="dxa"/>
                  <w:noWrap w:val="0"/>
                  <w:vAlign w:val="center"/>
                </w:tcPr>
                <w:p w14:paraId="37621E2D">
                  <w:pPr>
                    <w:ind w:left="-105" w:leftChars="-50" w:right="-105" w:rightChars="-50"/>
                    <w:jc w:val="center"/>
                    <w:rPr>
                      <w:rFonts w:hint="eastAsia"/>
                      <w:color w:val="auto"/>
                      <w:sz w:val="21"/>
                      <w:szCs w:val="21"/>
                      <w:highlight w:val="none"/>
                    </w:rPr>
                  </w:pPr>
                  <w:r>
                    <w:rPr>
                      <w:rFonts w:hint="eastAsia"/>
                      <w:color w:val="auto"/>
                      <w:sz w:val="21"/>
                      <w:szCs w:val="21"/>
                      <w:highlight w:val="none"/>
                    </w:rPr>
                    <w:t>VOCs</w:t>
                  </w:r>
                </w:p>
              </w:tc>
              <w:tc>
                <w:tcPr>
                  <w:tcW w:w="881" w:type="dxa"/>
                  <w:noWrap w:val="0"/>
                  <w:vAlign w:val="center"/>
                </w:tcPr>
                <w:p w14:paraId="0790D1AB">
                  <w:pPr>
                    <w:ind w:left="-105" w:leftChars="-50" w:right="-105" w:rightChars="-50"/>
                    <w:jc w:val="center"/>
                    <w:rPr>
                      <w:rFonts w:hint="eastAsia"/>
                      <w:color w:val="auto"/>
                      <w:sz w:val="21"/>
                      <w:szCs w:val="21"/>
                      <w:highlight w:val="none"/>
                    </w:rPr>
                  </w:pPr>
                  <w:r>
                    <w:rPr>
                      <w:rFonts w:hint="eastAsia"/>
                      <w:color w:val="auto"/>
                      <w:sz w:val="21"/>
                      <w:szCs w:val="21"/>
                      <w:highlight w:val="none"/>
                    </w:rPr>
                    <w:t>每50</w:t>
                  </w:r>
                  <w:r>
                    <w:rPr>
                      <w:rFonts w:hint="eastAsia"/>
                      <w:color w:val="auto"/>
                      <w:sz w:val="21"/>
                      <w:szCs w:val="21"/>
                      <w:highlight w:val="none"/>
                      <w:lang w:val="en-US" w:eastAsia="zh-CN"/>
                    </w:rPr>
                    <w:t>0h</w:t>
                  </w:r>
                </w:p>
              </w:tc>
              <w:tc>
                <w:tcPr>
                  <w:tcW w:w="877" w:type="dxa"/>
                  <w:noWrap w:val="0"/>
                  <w:vAlign w:val="center"/>
                </w:tcPr>
                <w:p w14:paraId="325BFF57">
                  <w:pPr>
                    <w:ind w:left="-105" w:leftChars="-50" w:right="-105" w:rightChars="-50"/>
                    <w:jc w:val="center"/>
                    <w:rPr>
                      <w:color w:val="auto"/>
                      <w:sz w:val="21"/>
                      <w:szCs w:val="21"/>
                      <w:highlight w:val="none"/>
                    </w:rPr>
                  </w:pPr>
                  <w:r>
                    <w:rPr>
                      <w:color w:val="auto"/>
                      <w:sz w:val="21"/>
                      <w:szCs w:val="21"/>
                      <w:highlight w:val="none"/>
                    </w:rPr>
                    <w:t>T/In</w:t>
                  </w:r>
                </w:p>
              </w:tc>
              <w:tc>
                <w:tcPr>
                  <w:tcW w:w="901" w:type="dxa"/>
                  <w:vMerge w:val="continue"/>
                  <w:noWrap w:val="0"/>
                  <w:vAlign w:val="center"/>
                </w:tcPr>
                <w:p w14:paraId="687B39A6">
                  <w:pPr>
                    <w:jc w:val="center"/>
                    <w:rPr>
                      <w:color w:val="auto"/>
                      <w:sz w:val="21"/>
                      <w:szCs w:val="21"/>
                    </w:rPr>
                  </w:pPr>
                </w:p>
              </w:tc>
            </w:tr>
            <w:bookmarkEnd w:id="65"/>
          </w:tbl>
          <w:p w14:paraId="0C22F454">
            <w:pPr>
              <w:spacing w:line="360" w:lineRule="auto"/>
              <w:ind w:firstLine="480" w:firstLineChars="200"/>
              <w:rPr>
                <w:color w:val="auto"/>
                <w:sz w:val="24"/>
              </w:rPr>
            </w:pPr>
            <w:r>
              <w:rPr>
                <w:rFonts w:hint="eastAsia"/>
                <w:color w:val="auto"/>
                <w:sz w:val="24"/>
              </w:rPr>
              <w:t>根据现场调查，</w:t>
            </w:r>
            <w:r>
              <w:rPr>
                <w:rFonts w:hint="eastAsia"/>
                <w:color w:val="auto"/>
                <w:sz w:val="24"/>
                <w:lang w:val="en-US" w:eastAsia="zh-CN"/>
              </w:rPr>
              <w:t>厂区西北侧已建一处占地100m</w:t>
            </w:r>
            <w:r>
              <w:rPr>
                <w:rFonts w:hint="eastAsia"/>
                <w:color w:val="auto"/>
                <w:sz w:val="24"/>
                <w:vertAlign w:val="superscript"/>
                <w:lang w:val="en-US" w:eastAsia="zh-CN"/>
              </w:rPr>
              <w:t>2</w:t>
            </w:r>
            <w:r>
              <w:rPr>
                <w:rFonts w:hint="eastAsia"/>
                <w:color w:val="auto"/>
                <w:sz w:val="24"/>
                <w:lang w:val="en-US" w:eastAsia="zh-CN"/>
              </w:rPr>
              <w:t>的危废暂存间</w:t>
            </w:r>
            <w:r>
              <w:rPr>
                <w:rFonts w:hint="eastAsia"/>
                <w:color w:val="auto"/>
                <w:sz w:val="24"/>
              </w:rPr>
              <w:t>，</w:t>
            </w:r>
            <w:r>
              <w:rPr>
                <w:rFonts w:hint="eastAsia"/>
                <w:color w:val="auto"/>
                <w:sz w:val="24"/>
                <w:lang w:val="en-US" w:eastAsia="zh-CN"/>
              </w:rPr>
              <w:t>目前仅有四川桓洋智能科技有限公司一家使用，</w:t>
            </w:r>
            <w:r>
              <w:rPr>
                <w:rFonts w:hint="eastAsia"/>
                <w:color w:val="auto"/>
                <w:sz w:val="24"/>
              </w:rPr>
              <w:t>危废暂存间设置有钢制托盘，地面已采取防渗混凝土+2mm厚环氧树脂漆进行防渗，能够</w:t>
            </w:r>
            <w:r>
              <w:rPr>
                <w:rFonts w:hint="eastAsia"/>
                <w:color w:val="auto"/>
                <w:kern w:val="0"/>
                <w:sz w:val="24"/>
              </w:rPr>
              <w:t>满足重点防渗要求。</w:t>
            </w:r>
            <w:r>
              <w:rPr>
                <w:color w:val="auto"/>
                <w:sz w:val="24"/>
              </w:rPr>
              <w:t>项目在生产过程中产生的</w:t>
            </w:r>
            <w:r>
              <w:rPr>
                <w:rFonts w:hint="eastAsia"/>
                <w:color w:val="auto"/>
                <w:sz w:val="24"/>
              </w:rPr>
              <w:t>各类</w:t>
            </w:r>
            <w:r>
              <w:rPr>
                <w:color w:val="auto"/>
                <w:sz w:val="24"/>
              </w:rPr>
              <w:t>危险废物应堆放在独立的危废暂存间，为避免其二次污染的发生，评价要求：</w:t>
            </w:r>
          </w:p>
          <w:p w14:paraId="31B51261">
            <w:pPr>
              <w:spacing w:line="360" w:lineRule="auto"/>
              <w:ind w:firstLine="482"/>
              <w:rPr>
                <w:b/>
                <w:bCs/>
                <w:color w:val="auto"/>
                <w:sz w:val="24"/>
              </w:rPr>
            </w:pPr>
            <w:r>
              <w:rPr>
                <w:b/>
                <w:bCs/>
                <w:color w:val="auto"/>
                <w:sz w:val="24"/>
              </w:rPr>
              <w:t>危废暂存间</w:t>
            </w:r>
            <w:r>
              <w:rPr>
                <w:rFonts w:hint="eastAsia"/>
                <w:b/>
                <w:bCs/>
                <w:color w:val="auto"/>
                <w:sz w:val="24"/>
              </w:rPr>
              <w:t>设置</w:t>
            </w:r>
            <w:r>
              <w:rPr>
                <w:b/>
                <w:bCs/>
                <w:color w:val="auto"/>
                <w:sz w:val="24"/>
              </w:rPr>
              <w:t>要求：</w:t>
            </w:r>
          </w:p>
          <w:p w14:paraId="295612D0">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=1\*GB3\*MERGEFORMAT</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危废暂存间应根据危险废物的形态、物理化学性质、包装形式和污染物迁移途径，采取必要的防风、防晒、防雨、防漏、防渗、防腐以及其他环境污染防治措施，不应露天堆放危险废物；</w:t>
            </w:r>
          </w:p>
          <w:p w14:paraId="0B5AEC16">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=2\*GB3\*MERGEFORMAT</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危废暂存间内应根据危险废物的类别、数量、形态、物理化学性质和污染防治等要求设置必要的贮存分区，避免不相容的危险废物接触、混合。</w:t>
            </w:r>
          </w:p>
          <w:p w14:paraId="76D7C37A">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=3\*GB3</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③</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危废暂存间内地面、墙面裙脚、堵截泄漏的围堰、接触危险废物的隔板和墙体等应采用坚固的材料建造，表面无裂缝。</w:t>
            </w:r>
          </w:p>
          <w:p w14:paraId="6022E6D3">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=4\*GB3</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④</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危废暂存间内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sz w:val="24"/>
                <w:vertAlign w:val="superscript"/>
              </w:rPr>
              <w:t>-7</w:t>
            </w:r>
            <w:r>
              <w:rPr>
                <w:rFonts w:hint="default" w:ascii="Times New Roman" w:hAnsi="Times New Roman" w:eastAsia="宋体" w:cs="Times New Roman"/>
                <w:color w:val="auto"/>
                <w:sz w:val="24"/>
              </w:rPr>
              <w:t>cm/s），或至少2mm厚高密度聚乙烯膜等人工防渗材料（渗透系数不大于10</w:t>
            </w:r>
            <w:r>
              <w:rPr>
                <w:rFonts w:hint="default" w:ascii="Times New Roman" w:hAnsi="Times New Roman" w:eastAsia="宋体" w:cs="Times New Roman"/>
                <w:color w:val="auto"/>
                <w:sz w:val="24"/>
                <w:vertAlign w:val="superscript"/>
              </w:rPr>
              <w:t>-10</w:t>
            </w:r>
            <w:r>
              <w:rPr>
                <w:rFonts w:hint="default" w:ascii="Times New Roman" w:hAnsi="Times New Roman" w:eastAsia="宋体" w:cs="Times New Roman"/>
                <w:color w:val="auto"/>
                <w:sz w:val="24"/>
              </w:rPr>
              <w:t>cm/s），或其他防渗性能等效的材料。</w:t>
            </w:r>
          </w:p>
          <w:p w14:paraId="4F6C0272">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=5\*GB3</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⑤</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危废暂存间采用相同的防渗、防腐工艺（包括防渗、防腐结构或材料），防渗、防腐材料应覆盖所有可能与废物及其渗滤液、渗漏液等接触的构筑物表面。</w:t>
            </w:r>
          </w:p>
          <w:p w14:paraId="7BAA26BD">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=6\*GB3</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⑥</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危废暂存间应设置隔离安全门锁，配备管理人员，防止无关人员进入。</w:t>
            </w:r>
          </w:p>
          <w:p w14:paraId="45776561">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=7\*GB3</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⑦</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危废暂存间内不同贮存分区之间应采取隔离措施。隔离措施可根据危险废物特性采用过道、隔板或隔墙等方式。</w:t>
            </w:r>
          </w:p>
          <w:p w14:paraId="3A0B2763">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=8\*GB3</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⑧</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55092529">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=9\*GB3</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⑨</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危废暂存间、贮存容器和包装物应按HJ 1276要求设置危险废物贮存设施或场所标志、危险废物贮存分区标志和危险废物标签等危险废物识别标志。</w:t>
            </w:r>
          </w:p>
          <w:p w14:paraId="2EA54895">
            <w:pPr>
              <w:jc w:val="center"/>
              <w:rPr>
                <w:b/>
                <w:bCs/>
                <w:color w:val="auto"/>
                <w:szCs w:val="21"/>
              </w:rPr>
            </w:pPr>
            <w:r>
              <w:rPr>
                <w:b/>
                <w:bCs/>
                <w:color w:val="auto"/>
                <w:szCs w:val="21"/>
              </w:rPr>
              <w:t>表4-</w:t>
            </w:r>
            <w:r>
              <w:rPr>
                <w:rFonts w:hint="eastAsia"/>
                <w:b/>
                <w:bCs/>
                <w:color w:val="auto"/>
                <w:szCs w:val="21"/>
                <w:lang w:val="en-US" w:eastAsia="zh-CN"/>
              </w:rPr>
              <w:t>20</w:t>
            </w:r>
            <w:r>
              <w:rPr>
                <w:b/>
                <w:bCs/>
                <w:color w:val="auto"/>
                <w:szCs w:val="21"/>
              </w:rPr>
              <w:t xml:space="preserve">  危险废物图形标识</w:t>
            </w:r>
          </w:p>
          <w:tbl>
            <w:tblPr>
              <w:tblStyle w:val="25"/>
              <w:tblW w:w="86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6"/>
              <w:gridCol w:w="3229"/>
              <w:gridCol w:w="912"/>
            </w:tblGrid>
            <w:tr w14:paraId="737E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7" w:type="dxa"/>
                  <w:vAlign w:val="center"/>
                </w:tcPr>
                <w:p w14:paraId="4635A3E8">
                  <w:pPr>
                    <w:spacing w:before="96"/>
                    <w:ind w:right="-20" w:firstLine="422" w:firstLineChars="200"/>
                    <w:jc w:val="center"/>
                    <w:rPr>
                      <w:b/>
                      <w:bCs/>
                      <w:color w:val="auto"/>
                      <w:szCs w:val="18"/>
                    </w:rPr>
                  </w:pPr>
                  <w:r>
                    <w:rPr>
                      <w:b/>
                      <w:bCs/>
                      <w:color w:val="auto"/>
                      <w:szCs w:val="18"/>
                    </w:rPr>
                    <w:t>标牌</w:t>
                  </w:r>
                </w:p>
              </w:tc>
              <w:tc>
                <w:tcPr>
                  <w:tcW w:w="3908" w:type="dxa"/>
                  <w:vAlign w:val="center"/>
                </w:tcPr>
                <w:p w14:paraId="12302C56">
                  <w:pPr>
                    <w:spacing w:before="96"/>
                    <w:ind w:right="-20"/>
                    <w:jc w:val="center"/>
                    <w:rPr>
                      <w:b/>
                      <w:bCs/>
                      <w:color w:val="auto"/>
                      <w:szCs w:val="18"/>
                    </w:rPr>
                  </w:pPr>
                  <w:r>
                    <w:rPr>
                      <w:rFonts w:hint="eastAsia"/>
                      <w:b/>
                      <w:bCs/>
                      <w:color w:val="auto"/>
                      <w:szCs w:val="18"/>
                    </w:rPr>
                    <w:t>标签的内容要求</w:t>
                  </w:r>
                </w:p>
              </w:tc>
              <w:tc>
                <w:tcPr>
                  <w:tcW w:w="1052" w:type="dxa"/>
                  <w:vAlign w:val="center"/>
                </w:tcPr>
                <w:p w14:paraId="6D50203C">
                  <w:pPr>
                    <w:spacing w:before="96"/>
                    <w:ind w:right="-20"/>
                    <w:jc w:val="center"/>
                    <w:rPr>
                      <w:b/>
                      <w:bCs/>
                      <w:color w:val="auto"/>
                      <w:szCs w:val="18"/>
                    </w:rPr>
                  </w:pPr>
                  <w:r>
                    <w:rPr>
                      <w:b/>
                      <w:bCs/>
                      <w:color w:val="auto"/>
                      <w:szCs w:val="18"/>
                    </w:rPr>
                    <w:t>备注</w:t>
                  </w:r>
                </w:p>
              </w:tc>
            </w:tr>
            <w:tr w14:paraId="50B2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6" w:hRule="atLeast"/>
              </w:trPr>
              <w:tc>
                <w:tcPr>
                  <w:tcW w:w="3727" w:type="dxa"/>
                  <w:vAlign w:val="center"/>
                </w:tcPr>
                <w:p w14:paraId="266724B7">
                  <w:pPr>
                    <w:spacing w:before="96"/>
                    <w:ind w:right="-20"/>
                    <w:jc w:val="center"/>
                    <w:rPr>
                      <w:color w:val="auto"/>
                      <w:szCs w:val="21"/>
                    </w:rPr>
                  </w:pPr>
                  <w:r>
                    <w:rPr>
                      <w:color w:val="auto"/>
                    </w:rPr>
                    <w:drawing>
                      <wp:inline distT="0" distB="0" distL="0" distR="0">
                        <wp:extent cx="2597785" cy="1833245"/>
                        <wp:effectExtent l="0" t="0" r="0" b="0"/>
                        <wp:docPr id="56" name="IM 13"/>
                        <wp:cNvGraphicFramePr/>
                        <a:graphic xmlns:a="http://schemas.openxmlformats.org/drawingml/2006/main">
                          <a:graphicData uri="http://schemas.openxmlformats.org/drawingml/2006/picture">
                            <pic:pic xmlns:pic="http://schemas.openxmlformats.org/drawingml/2006/picture">
                              <pic:nvPicPr>
                                <pic:cNvPr id="56" name="IM 13"/>
                                <pic:cNvPicPr/>
                              </pic:nvPicPr>
                              <pic:blipFill>
                                <a:blip r:embed="rId48"/>
                                <a:stretch>
                                  <a:fillRect/>
                                </a:stretch>
                              </pic:blipFill>
                              <pic:spPr>
                                <a:xfrm>
                                  <a:off x="0" y="0"/>
                                  <a:ext cx="2598220" cy="1833353"/>
                                </a:xfrm>
                                <a:prstGeom prst="rect">
                                  <a:avLst/>
                                </a:prstGeom>
                              </pic:spPr>
                            </pic:pic>
                          </a:graphicData>
                        </a:graphic>
                      </wp:inline>
                    </w:drawing>
                  </w:r>
                </w:p>
              </w:tc>
              <w:tc>
                <w:tcPr>
                  <w:tcW w:w="3908" w:type="dxa"/>
                  <w:vAlign w:val="center"/>
                </w:tcPr>
                <w:p w14:paraId="5A18634A">
                  <w:pPr>
                    <w:spacing w:before="219"/>
                    <w:ind w:left="3" w:hanging="2"/>
                    <w:rPr>
                      <w:rFonts w:ascii="宋体" w:hAnsi="宋体" w:cs="宋体"/>
                      <w:color w:val="auto"/>
                      <w:sz w:val="20"/>
                      <w:szCs w:val="20"/>
                    </w:rPr>
                  </w:pPr>
                  <w:r>
                    <w:rPr>
                      <w:rFonts w:ascii="黑体" w:hAnsi="黑体" w:eastAsia="黑体" w:cs="黑体"/>
                      <w:color w:val="auto"/>
                      <w:spacing w:val="9"/>
                      <w:sz w:val="20"/>
                      <w:szCs w:val="20"/>
                    </w:rPr>
                    <w:t xml:space="preserve">1  </w:t>
                  </w:r>
                  <w:r>
                    <w:rPr>
                      <w:rFonts w:ascii="宋体" w:hAnsi="宋体" w:cs="宋体"/>
                      <w:color w:val="auto"/>
                      <w:spacing w:val="9"/>
                      <w:sz w:val="20"/>
                      <w:szCs w:val="20"/>
                    </w:rPr>
                    <w:t>危险废物贮存设施标志应包含三角形警告性图形标志和文字性辅助标志，其中三</w:t>
                  </w:r>
                  <w:r>
                    <w:rPr>
                      <w:rFonts w:ascii="宋体" w:hAnsi="宋体" w:cs="宋体"/>
                      <w:color w:val="auto"/>
                      <w:sz w:val="20"/>
                      <w:szCs w:val="20"/>
                    </w:rPr>
                    <w:t xml:space="preserve"> </w:t>
                  </w:r>
                  <w:r>
                    <w:rPr>
                      <w:rFonts w:ascii="宋体" w:hAnsi="宋体" w:cs="宋体"/>
                      <w:color w:val="auto"/>
                      <w:spacing w:val="10"/>
                      <w:sz w:val="20"/>
                      <w:szCs w:val="20"/>
                    </w:rPr>
                    <w:t>角形</w:t>
                  </w:r>
                  <w:r>
                    <w:rPr>
                      <w:rFonts w:ascii="宋体" w:hAnsi="宋体" w:cs="宋体"/>
                      <w:color w:val="auto"/>
                      <w:spacing w:val="8"/>
                      <w:sz w:val="20"/>
                      <w:szCs w:val="20"/>
                    </w:rPr>
                    <w:t>警</w:t>
                  </w:r>
                  <w:r>
                    <w:rPr>
                      <w:rFonts w:ascii="宋体" w:hAnsi="宋体" w:cs="宋体"/>
                      <w:color w:val="auto"/>
                      <w:spacing w:val="5"/>
                      <w:sz w:val="20"/>
                      <w:szCs w:val="20"/>
                    </w:rPr>
                    <w:t xml:space="preserve">告性图形标志应符合 </w:t>
                  </w:r>
                  <w:r>
                    <w:rPr>
                      <w:rFonts w:eastAsia="Times New Roman"/>
                      <w:color w:val="auto"/>
                      <w:sz w:val="20"/>
                      <w:szCs w:val="20"/>
                    </w:rPr>
                    <w:t>GB</w:t>
                  </w:r>
                  <w:r>
                    <w:rPr>
                      <w:rFonts w:eastAsia="Times New Roman"/>
                      <w:color w:val="auto"/>
                      <w:spacing w:val="5"/>
                      <w:sz w:val="20"/>
                      <w:szCs w:val="20"/>
                    </w:rPr>
                    <w:t xml:space="preserve"> 15562.2 </w:t>
                  </w:r>
                  <w:r>
                    <w:rPr>
                      <w:rFonts w:ascii="宋体" w:hAnsi="宋体" w:cs="宋体"/>
                      <w:color w:val="auto"/>
                      <w:spacing w:val="5"/>
                      <w:sz w:val="20"/>
                      <w:szCs w:val="20"/>
                    </w:rPr>
                    <w:t>中的要求。</w:t>
                  </w:r>
                </w:p>
                <w:p w14:paraId="0BDCD799">
                  <w:pPr>
                    <w:spacing w:before="66"/>
                    <w:ind w:left="1"/>
                    <w:rPr>
                      <w:rFonts w:ascii="宋体" w:hAnsi="宋体" w:cs="宋体"/>
                      <w:color w:val="auto"/>
                      <w:sz w:val="20"/>
                      <w:szCs w:val="20"/>
                    </w:rPr>
                  </w:pPr>
                  <w:r>
                    <w:rPr>
                      <w:rFonts w:ascii="黑体" w:hAnsi="黑体" w:eastAsia="黑体" w:cs="黑体"/>
                      <w:color w:val="auto"/>
                      <w:spacing w:val="8"/>
                      <w:sz w:val="20"/>
                      <w:szCs w:val="20"/>
                    </w:rPr>
                    <w:t xml:space="preserve">2  </w:t>
                  </w:r>
                  <w:r>
                    <w:rPr>
                      <w:rFonts w:ascii="宋体" w:hAnsi="宋体" w:cs="宋体"/>
                      <w:color w:val="auto"/>
                      <w:spacing w:val="8"/>
                      <w:sz w:val="20"/>
                      <w:szCs w:val="20"/>
                    </w:rPr>
                    <w:t>危险废物贮存、利用、处置设施标志应以醒目的文字标注危险废物设施的类型。</w:t>
                  </w:r>
                </w:p>
                <w:p w14:paraId="28C8264B">
                  <w:pPr>
                    <w:spacing w:before="64"/>
                    <w:ind w:left="1"/>
                    <w:rPr>
                      <w:rFonts w:ascii="宋体" w:hAnsi="宋体" w:cs="宋体"/>
                      <w:color w:val="auto"/>
                      <w:sz w:val="20"/>
                      <w:szCs w:val="20"/>
                    </w:rPr>
                  </w:pPr>
                  <w:r>
                    <w:rPr>
                      <w:rFonts w:ascii="黑体" w:hAnsi="黑体" w:eastAsia="黑体" w:cs="黑体"/>
                      <w:color w:val="auto"/>
                      <w:spacing w:val="9"/>
                      <w:sz w:val="20"/>
                      <w:szCs w:val="20"/>
                    </w:rPr>
                    <w:t xml:space="preserve">3  </w:t>
                  </w:r>
                  <w:r>
                    <w:rPr>
                      <w:rFonts w:ascii="宋体" w:hAnsi="宋体" w:cs="宋体"/>
                      <w:color w:val="auto"/>
                      <w:spacing w:val="9"/>
                      <w:sz w:val="20"/>
                      <w:szCs w:val="20"/>
                    </w:rPr>
                    <w:t>危险废物贮存、利用、处置设施标志还应包含危险废物设施所属的单位名称、设施编码、负责</w:t>
                  </w:r>
                  <w:r>
                    <w:rPr>
                      <w:rFonts w:ascii="宋体" w:hAnsi="宋体" w:cs="宋体"/>
                      <w:color w:val="auto"/>
                      <w:sz w:val="20"/>
                      <w:szCs w:val="20"/>
                    </w:rPr>
                    <w:t xml:space="preserve"> </w:t>
                  </w:r>
                  <w:r>
                    <w:rPr>
                      <w:rFonts w:ascii="宋体" w:hAnsi="宋体" w:cs="宋体"/>
                      <w:color w:val="auto"/>
                      <w:spacing w:val="7"/>
                      <w:sz w:val="20"/>
                      <w:szCs w:val="20"/>
                    </w:rPr>
                    <w:t>人及联系方式</w:t>
                  </w:r>
                  <w:r>
                    <w:rPr>
                      <w:rFonts w:ascii="宋体" w:hAnsi="宋体" w:cs="宋体"/>
                      <w:color w:val="auto"/>
                      <w:spacing w:val="5"/>
                      <w:sz w:val="20"/>
                      <w:szCs w:val="20"/>
                    </w:rPr>
                    <w:t>。</w:t>
                  </w:r>
                </w:p>
                <w:p w14:paraId="7F2F55DB">
                  <w:pPr>
                    <w:spacing w:before="63"/>
                    <w:ind w:left="1"/>
                    <w:rPr>
                      <w:rFonts w:ascii="宋体" w:hAnsi="宋体" w:cs="宋体"/>
                      <w:color w:val="auto"/>
                      <w:sz w:val="20"/>
                      <w:szCs w:val="20"/>
                    </w:rPr>
                  </w:pPr>
                  <w:r>
                    <w:rPr>
                      <w:rFonts w:ascii="黑体" w:hAnsi="黑体" w:eastAsia="黑体" w:cs="黑体"/>
                      <w:color w:val="auto"/>
                      <w:spacing w:val="10"/>
                      <w:sz w:val="20"/>
                      <w:szCs w:val="20"/>
                    </w:rPr>
                    <w:t>4</w:t>
                  </w:r>
                  <w:r>
                    <w:rPr>
                      <w:rFonts w:ascii="黑体" w:hAnsi="黑体" w:eastAsia="黑体" w:cs="黑体"/>
                      <w:color w:val="auto"/>
                      <w:spacing w:val="8"/>
                      <w:sz w:val="20"/>
                      <w:szCs w:val="20"/>
                    </w:rPr>
                    <w:t xml:space="preserve">  </w:t>
                  </w:r>
                  <w:r>
                    <w:rPr>
                      <w:rFonts w:ascii="宋体" w:hAnsi="宋体" w:cs="宋体"/>
                      <w:color w:val="auto"/>
                      <w:spacing w:val="8"/>
                      <w:sz w:val="20"/>
                      <w:szCs w:val="20"/>
                    </w:rPr>
                    <w:t>危险废物贮存、利用、处置设施标志宜设置二维码，对设施使用情况进行信息化管理。</w:t>
                  </w:r>
                </w:p>
              </w:tc>
              <w:tc>
                <w:tcPr>
                  <w:tcW w:w="1052" w:type="dxa"/>
                  <w:vAlign w:val="center"/>
                </w:tcPr>
                <w:p w14:paraId="5EA46280">
                  <w:pPr>
                    <w:jc w:val="center"/>
                    <w:rPr>
                      <w:color w:val="auto"/>
                      <w:szCs w:val="18"/>
                    </w:rPr>
                  </w:pPr>
                  <w:r>
                    <w:rPr>
                      <w:rFonts w:ascii="宋体" w:hAnsi="宋体" w:cs="宋体"/>
                      <w:color w:val="auto"/>
                      <w:spacing w:val="16"/>
                      <w:sz w:val="20"/>
                      <w:szCs w:val="20"/>
                    </w:rPr>
                    <w:t>专门用</w:t>
                  </w:r>
                  <w:r>
                    <w:rPr>
                      <w:rFonts w:ascii="宋体" w:hAnsi="宋体" w:cs="宋体"/>
                      <w:color w:val="auto"/>
                      <w:spacing w:val="13"/>
                      <w:sz w:val="20"/>
                      <w:szCs w:val="20"/>
                    </w:rPr>
                    <w:t>于</w:t>
                  </w:r>
                  <w:r>
                    <w:rPr>
                      <w:rFonts w:ascii="宋体" w:hAnsi="宋体" w:cs="宋体"/>
                      <w:color w:val="auto"/>
                      <w:spacing w:val="8"/>
                      <w:sz w:val="20"/>
                      <w:szCs w:val="20"/>
                    </w:rPr>
                    <w:t>贮存危险废物的设施</w:t>
                  </w:r>
                </w:p>
              </w:tc>
            </w:tr>
            <w:tr w14:paraId="1070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27" w:type="dxa"/>
                  <w:vAlign w:val="center"/>
                </w:tcPr>
                <w:p w14:paraId="59CD2246">
                  <w:pPr>
                    <w:spacing w:before="96"/>
                    <w:ind w:right="-20"/>
                    <w:rPr>
                      <w:color w:val="auto"/>
                      <w:szCs w:val="21"/>
                    </w:rPr>
                  </w:pPr>
                  <w:r>
                    <w:rPr>
                      <w:color w:val="auto"/>
                    </w:rPr>
                    <w:drawing>
                      <wp:inline distT="0" distB="0" distL="0" distR="0">
                        <wp:extent cx="2725420" cy="1983740"/>
                        <wp:effectExtent l="0" t="0" r="0" b="0"/>
                        <wp:docPr id="58" name="IM 12"/>
                        <wp:cNvGraphicFramePr/>
                        <a:graphic xmlns:a="http://schemas.openxmlformats.org/drawingml/2006/main">
                          <a:graphicData uri="http://schemas.openxmlformats.org/drawingml/2006/picture">
                            <pic:pic xmlns:pic="http://schemas.openxmlformats.org/drawingml/2006/picture">
                              <pic:nvPicPr>
                                <pic:cNvPr id="58" name="IM 12"/>
                                <pic:cNvPicPr/>
                              </pic:nvPicPr>
                              <pic:blipFill>
                                <a:blip r:embed="rId49"/>
                                <a:stretch>
                                  <a:fillRect/>
                                </a:stretch>
                              </pic:blipFill>
                              <pic:spPr>
                                <a:xfrm>
                                  <a:off x="0" y="0"/>
                                  <a:ext cx="2740323" cy="1994202"/>
                                </a:xfrm>
                                <a:prstGeom prst="rect">
                                  <a:avLst/>
                                </a:prstGeom>
                              </pic:spPr>
                            </pic:pic>
                          </a:graphicData>
                        </a:graphic>
                      </wp:inline>
                    </w:drawing>
                  </w:r>
                </w:p>
              </w:tc>
              <w:tc>
                <w:tcPr>
                  <w:tcW w:w="3908" w:type="dxa"/>
                  <w:vAlign w:val="center"/>
                </w:tcPr>
                <w:p w14:paraId="4BE5FC8B">
                  <w:pPr>
                    <w:spacing w:before="220"/>
                    <w:rPr>
                      <w:rFonts w:ascii="宋体" w:hAnsi="宋体" w:cs="宋体"/>
                      <w:color w:val="auto"/>
                      <w:sz w:val="20"/>
                      <w:szCs w:val="20"/>
                    </w:rPr>
                  </w:pPr>
                  <w:r>
                    <w:rPr>
                      <w:rFonts w:ascii="黑体" w:hAnsi="黑体" w:eastAsia="黑体" w:cs="黑体"/>
                      <w:color w:val="auto"/>
                      <w:spacing w:val="8"/>
                      <w:sz w:val="20"/>
                      <w:szCs w:val="20"/>
                    </w:rPr>
                    <w:t xml:space="preserve">1  </w:t>
                  </w:r>
                  <w:r>
                    <w:rPr>
                      <w:rFonts w:ascii="宋体" w:hAnsi="宋体" w:cs="宋体"/>
                      <w:color w:val="auto"/>
                      <w:spacing w:val="8"/>
                      <w:sz w:val="20"/>
                      <w:szCs w:val="20"/>
                    </w:rPr>
                    <w:t>危险废物贮存分区标志应以醒目的方式标注“危险废物贮存分区标志”字样。</w:t>
                  </w:r>
                </w:p>
                <w:p w14:paraId="563020DD">
                  <w:pPr>
                    <w:spacing w:before="65"/>
                    <w:rPr>
                      <w:rFonts w:ascii="宋体" w:hAnsi="宋体" w:cs="宋体"/>
                      <w:color w:val="auto"/>
                      <w:sz w:val="20"/>
                      <w:szCs w:val="20"/>
                    </w:rPr>
                  </w:pPr>
                  <w:r>
                    <w:rPr>
                      <w:rFonts w:ascii="黑体" w:hAnsi="黑体" w:eastAsia="黑体" w:cs="黑体"/>
                      <w:color w:val="auto"/>
                      <w:spacing w:val="9"/>
                      <w:sz w:val="20"/>
                      <w:szCs w:val="20"/>
                    </w:rPr>
                    <w:t xml:space="preserve">2  </w:t>
                  </w:r>
                  <w:r>
                    <w:rPr>
                      <w:rFonts w:ascii="宋体" w:hAnsi="宋体" w:cs="宋体"/>
                      <w:color w:val="auto"/>
                      <w:spacing w:val="9"/>
                      <w:sz w:val="20"/>
                      <w:szCs w:val="20"/>
                    </w:rPr>
                    <w:t>危险废物贮存分区标志应包含但不限于设施内部所有贮存分区的平面分布、各分区存放的危险</w:t>
                  </w:r>
                  <w:r>
                    <w:rPr>
                      <w:rFonts w:ascii="宋体" w:hAnsi="宋体" w:cs="宋体"/>
                      <w:color w:val="auto"/>
                      <w:sz w:val="20"/>
                      <w:szCs w:val="20"/>
                    </w:rPr>
                    <w:t xml:space="preserve"> </w:t>
                  </w:r>
                  <w:r>
                    <w:rPr>
                      <w:rFonts w:ascii="宋体" w:hAnsi="宋体" w:cs="宋体"/>
                      <w:color w:val="auto"/>
                      <w:spacing w:val="18"/>
                      <w:sz w:val="20"/>
                      <w:szCs w:val="20"/>
                    </w:rPr>
                    <w:t>废</w:t>
                  </w:r>
                  <w:r>
                    <w:rPr>
                      <w:rFonts w:ascii="宋体" w:hAnsi="宋体" w:cs="宋体"/>
                      <w:color w:val="auto"/>
                      <w:spacing w:val="17"/>
                      <w:sz w:val="20"/>
                      <w:szCs w:val="20"/>
                    </w:rPr>
                    <w:t>物</w:t>
                  </w:r>
                  <w:r>
                    <w:rPr>
                      <w:rFonts w:ascii="宋体" w:hAnsi="宋体" w:cs="宋体"/>
                      <w:color w:val="auto"/>
                      <w:spacing w:val="9"/>
                      <w:sz w:val="20"/>
                      <w:szCs w:val="20"/>
                    </w:rPr>
                    <w:t>信息、本贮存分区的具体位置、环境应急物资所在位置以及进出口位置和方向。</w:t>
                  </w:r>
                </w:p>
                <w:p w14:paraId="294E7056">
                  <w:pPr>
                    <w:spacing w:before="65"/>
                    <w:ind w:left="1" w:hanging="1"/>
                    <w:rPr>
                      <w:rFonts w:ascii="宋体" w:hAnsi="宋体" w:cs="宋体"/>
                      <w:color w:val="auto"/>
                      <w:sz w:val="20"/>
                      <w:szCs w:val="20"/>
                    </w:rPr>
                  </w:pPr>
                  <w:r>
                    <w:rPr>
                      <w:rFonts w:ascii="黑体" w:hAnsi="黑体" w:eastAsia="黑体" w:cs="黑体"/>
                      <w:color w:val="auto"/>
                      <w:spacing w:val="9"/>
                      <w:sz w:val="20"/>
                      <w:szCs w:val="20"/>
                    </w:rPr>
                    <w:t xml:space="preserve">3  </w:t>
                  </w:r>
                  <w:r>
                    <w:rPr>
                      <w:rFonts w:ascii="宋体" w:hAnsi="宋体" w:cs="宋体"/>
                      <w:color w:val="auto"/>
                      <w:spacing w:val="9"/>
                      <w:sz w:val="20"/>
                      <w:szCs w:val="20"/>
                    </w:rPr>
                    <w:t>危险废物贮存单位可根据自身贮存设施建设情况，在危险废物贮存分区标志中添加收集池、导</w:t>
                  </w:r>
                  <w:r>
                    <w:rPr>
                      <w:rFonts w:ascii="宋体" w:hAnsi="宋体" w:cs="宋体"/>
                      <w:color w:val="auto"/>
                      <w:sz w:val="20"/>
                      <w:szCs w:val="20"/>
                    </w:rPr>
                    <w:t xml:space="preserve"> </w:t>
                  </w:r>
                  <w:r>
                    <w:rPr>
                      <w:rFonts w:ascii="宋体" w:hAnsi="宋体" w:cs="宋体"/>
                      <w:color w:val="auto"/>
                      <w:spacing w:val="12"/>
                      <w:sz w:val="20"/>
                      <w:szCs w:val="20"/>
                    </w:rPr>
                    <w:t>流</w:t>
                  </w:r>
                  <w:r>
                    <w:rPr>
                      <w:rFonts w:ascii="宋体" w:hAnsi="宋体" w:cs="宋体"/>
                      <w:color w:val="auto"/>
                      <w:spacing w:val="7"/>
                      <w:sz w:val="20"/>
                      <w:szCs w:val="20"/>
                    </w:rPr>
                    <w:t>沟和通道等信息。</w:t>
                  </w:r>
                </w:p>
                <w:p w14:paraId="081A0EA8">
                  <w:pPr>
                    <w:spacing w:before="65"/>
                    <w:rPr>
                      <w:rFonts w:ascii="宋体" w:hAnsi="宋体" w:cs="宋体"/>
                      <w:color w:val="auto"/>
                      <w:sz w:val="20"/>
                      <w:szCs w:val="20"/>
                    </w:rPr>
                  </w:pPr>
                  <w:r>
                    <w:rPr>
                      <w:rFonts w:ascii="黑体" w:hAnsi="黑体" w:eastAsia="黑体" w:cs="黑体"/>
                      <w:color w:val="auto"/>
                      <w:spacing w:val="8"/>
                      <w:sz w:val="20"/>
                      <w:szCs w:val="20"/>
                    </w:rPr>
                    <w:t xml:space="preserve">4  </w:t>
                  </w:r>
                  <w:r>
                    <w:rPr>
                      <w:rFonts w:ascii="宋体" w:hAnsi="宋体" w:cs="宋体"/>
                      <w:color w:val="auto"/>
                      <w:spacing w:val="8"/>
                      <w:sz w:val="20"/>
                      <w:szCs w:val="20"/>
                    </w:rPr>
                    <w:t>危险废物贮存分区标志的信息应随着设施内废物贮存情况的变化及时调整。</w:t>
                  </w:r>
                </w:p>
              </w:tc>
              <w:tc>
                <w:tcPr>
                  <w:tcW w:w="1052" w:type="dxa"/>
                  <w:vAlign w:val="center"/>
                </w:tcPr>
                <w:p w14:paraId="3ADA249E">
                  <w:pPr>
                    <w:jc w:val="center"/>
                    <w:rPr>
                      <w:color w:val="auto"/>
                      <w:szCs w:val="18"/>
                    </w:rPr>
                  </w:pPr>
                  <w:r>
                    <w:rPr>
                      <w:rFonts w:ascii="宋体" w:hAnsi="宋体" w:cs="宋体"/>
                      <w:color w:val="auto"/>
                      <w:spacing w:val="16"/>
                      <w:sz w:val="20"/>
                      <w:szCs w:val="20"/>
                    </w:rPr>
                    <w:t>设置</w:t>
                  </w:r>
                  <w:r>
                    <w:rPr>
                      <w:rFonts w:ascii="宋体" w:hAnsi="宋体" w:cs="宋体"/>
                      <w:color w:val="auto"/>
                      <w:spacing w:val="14"/>
                      <w:sz w:val="20"/>
                      <w:szCs w:val="20"/>
                    </w:rPr>
                    <w:t>在</w:t>
                  </w:r>
                  <w:r>
                    <w:rPr>
                      <w:rFonts w:ascii="宋体" w:hAnsi="宋体" w:cs="宋体"/>
                      <w:color w:val="auto"/>
                      <w:spacing w:val="8"/>
                      <w:sz w:val="20"/>
                      <w:szCs w:val="20"/>
                    </w:rPr>
                    <w:t>危险废物贮存设施内部</w:t>
                  </w:r>
                </w:p>
              </w:tc>
            </w:tr>
            <w:tr w14:paraId="6A52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3727" w:type="dxa"/>
                  <w:vAlign w:val="center"/>
                </w:tcPr>
                <w:p w14:paraId="1076E992">
                  <w:pPr>
                    <w:spacing w:before="96"/>
                    <w:ind w:right="-20"/>
                    <w:rPr>
                      <w:color w:val="auto"/>
                      <w:szCs w:val="21"/>
                    </w:rPr>
                  </w:pPr>
                  <w:r>
                    <w:rPr>
                      <w:color w:val="auto"/>
                    </w:rPr>
                    <w:drawing>
                      <wp:inline distT="0" distB="0" distL="0" distR="0">
                        <wp:extent cx="2757170" cy="3128010"/>
                        <wp:effectExtent l="0" t="0" r="5080" b="0"/>
                        <wp:docPr id="57" name="IM 11"/>
                        <wp:cNvGraphicFramePr/>
                        <a:graphic xmlns:a="http://schemas.openxmlformats.org/drawingml/2006/main">
                          <a:graphicData uri="http://schemas.openxmlformats.org/drawingml/2006/picture">
                            <pic:pic xmlns:pic="http://schemas.openxmlformats.org/drawingml/2006/picture">
                              <pic:nvPicPr>
                                <pic:cNvPr id="57" name="IM 11"/>
                                <pic:cNvPicPr/>
                              </pic:nvPicPr>
                              <pic:blipFill>
                                <a:blip r:embed="rId50"/>
                                <a:stretch>
                                  <a:fillRect/>
                                </a:stretch>
                              </pic:blipFill>
                              <pic:spPr>
                                <a:xfrm>
                                  <a:off x="0" y="0"/>
                                  <a:ext cx="2766696" cy="3138846"/>
                                </a:xfrm>
                                <a:prstGeom prst="rect">
                                  <a:avLst/>
                                </a:prstGeom>
                              </pic:spPr>
                            </pic:pic>
                          </a:graphicData>
                        </a:graphic>
                      </wp:inline>
                    </w:drawing>
                  </w:r>
                </w:p>
              </w:tc>
              <w:tc>
                <w:tcPr>
                  <w:tcW w:w="3908" w:type="dxa"/>
                  <w:vAlign w:val="center"/>
                </w:tcPr>
                <w:p w14:paraId="6BE01B89">
                  <w:pPr>
                    <w:spacing w:before="218"/>
                    <w:rPr>
                      <w:rFonts w:ascii="宋体" w:hAnsi="宋体" w:cs="宋体"/>
                      <w:color w:val="auto"/>
                      <w:sz w:val="20"/>
                      <w:szCs w:val="20"/>
                    </w:rPr>
                  </w:pPr>
                  <w:r>
                    <w:rPr>
                      <w:rFonts w:ascii="黑体" w:hAnsi="黑体" w:eastAsia="黑体" w:cs="黑体"/>
                      <w:color w:val="auto"/>
                      <w:spacing w:val="8"/>
                      <w:sz w:val="20"/>
                      <w:szCs w:val="20"/>
                    </w:rPr>
                    <w:t xml:space="preserve">1  </w:t>
                  </w:r>
                  <w:r>
                    <w:rPr>
                      <w:rFonts w:ascii="宋体" w:hAnsi="宋体" w:cs="宋体"/>
                      <w:color w:val="auto"/>
                      <w:spacing w:val="8"/>
                      <w:sz w:val="20"/>
                      <w:szCs w:val="20"/>
                    </w:rPr>
                    <w:t>危险废物标签应以醒目的字样标注“危险废物”。</w:t>
                  </w:r>
                </w:p>
                <w:p w14:paraId="0F1FA41E">
                  <w:pPr>
                    <w:spacing w:before="65"/>
                    <w:ind w:left="6" w:right="68" w:hanging="6"/>
                    <w:rPr>
                      <w:rFonts w:ascii="宋体" w:hAnsi="宋体" w:cs="宋体"/>
                      <w:color w:val="auto"/>
                      <w:sz w:val="20"/>
                      <w:szCs w:val="20"/>
                    </w:rPr>
                  </w:pPr>
                  <w:r>
                    <w:rPr>
                      <w:rFonts w:ascii="黑体" w:hAnsi="黑体" w:eastAsia="黑体" w:cs="黑体"/>
                      <w:color w:val="auto"/>
                      <w:spacing w:val="9"/>
                      <w:sz w:val="20"/>
                      <w:szCs w:val="20"/>
                    </w:rPr>
                    <w:t xml:space="preserve">2  </w:t>
                  </w:r>
                  <w:r>
                    <w:rPr>
                      <w:rFonts w:ascii="宋体" w:hAnsi="宋体" w:cs="宋体"/>
                      <w:color w:val="auto"/>
                      <w:spacing w:val="9"/>
                      <w:sz w:val="20"/>
                      <w:szCs w:val="20"/>
                    </w:rPr>
                    <w:t>危险废物标签应包含废物名称、废物类别、废物代码、废物形态、危险特性、主要成分、有害</w:t>
                  </w:r>
                  <w:r>
                    <w:rPr>
                      <w:rFonts w:ascii="宋体" w:hAnsi="宋体" w:cs="宋体"/>
                      <w:color w:val="auto"/>
                      <w:sz w:val="20"/>
                      <w:szCs w:val="20"/>
                    </w:rPr>
                    <w:t xml:space="preserve"> </w:t>
                  </w:r>
                  <w:r>
                    <w:rPr>
                      <w:rFonts w:ascii="宋体" w:hAnsi="宋体" w:cs="宋体"/>
                      <w:color w:val="auto"/>
                      <w:spacing w:val="18"/>
                      <w:sz w:val="20"/>
                      <w:szCs w:val="20"/>
                    </w:rPr>
                    <w:t>成</w:t>
                  </w:r>
                  <w:r>
                    <w:rPr>
                      <w:rFonts w:ascii="宋体" w:hAnsi="宋体" w:cs="宋体"/>
                      <w:color w:val="auto"/>
                      <w:spacing w:val="9"/>
                      <w:sz w:val="20"/>
                      <w:szCs w:val="20"/>
                    </w:rPr>
                    <w:t>分、注意事项、产生</w:t>
                  </w:r>
                  <w:r>
                    <w:rPr>
                      <w:rFonts w:eastAsia="Times New Roman"/>
                      <w:color w:val="auto"/>
                      <w:spacing w:val="9"/>
                      <w:sz w:val="20"/>
                      <w:szCs w:val="20"/>
                    </w:rPr>
                    <w:t>/</w:t>
                  </w:r>
                  <w:r>
                    <w:rPr>
                      <w:rFonts w:ascii="宋体" w:hAnsi="宋体" w:cs="宋体"/>
                      <w:color w:val="auto"/>
                      <w:spacing w:val="9"/>
                      <w:sz w:val="20"/>
                      <w:szCs w:val="20"/>
                    </w:rPr>
                    <w:t>收集单位名称、联系人、联系方式、产生日期、废物重量和备注。</w:t>
                  </w:r>
                </w:p>
                <w:p w14:paraId="6F5A2B06">
                  <w:pPr>
                    <w:spacing w:before="31"/>
                    <w:rPr>
                      <w:rFonts w:ascii="宋体" w:hAnsi="宋体" w:cs="宋体"/>
                      <w:color w:val="auto"/>
                      <w:sz w:val="20"/>
                      <w:szCs w:val="20"/>
                    </w:rPr>
                  </w:pPr>
                  <w:r>
                    <w:rPr>
                      <w:rFonts w:ascii="黑体" w:hAnsi="黑体" w:eastAsia="黑体" w:cs="黑体"/>
                      <w:color w:val="auto"/>
                      <w:spacing w:val="8"/>
                      <w:sz w:val="20"/>
                      <w:szCs w:val="20"/>
                    </w:rPr>
                    <w:t xml:space="preserve">3  </w:t>
                  </w:r>
                  <w:r>
                    <w:rPr>
                      <w:rFonts w:ascii="宋体" w:hAnsi="宋体" w:cs="宋体"/>
                      <w:color w:val="auto"/>
                      <w:spacing w:val="8"/>
                      <w:sz w:val="20"/>
                      <w:szCs w:val="20"/>
                    </w:rPr>
                    <w:t>危险废物标签宜设置危险废物数字识别码和二维码。</w:t>
                  </w:r>
                </w:p>
                <w:p w14:paraId="3E2D4E93">
                  <w:pPr>
                    <w:spacing w:before="96"/>
                    <w:ind w:right="-20"/>
                    <w:rPr>
                      <w:color w:val="auto"/>
                      <w:szCs w:val="18"/>
                    </w:rPr>
                  </w:pPr>
                </w:p>
              </w:tc>
              <w:tc>
                <w:tcPr>
                  <w:tcW w:w="1052" w:type="dxa"/>
                  <w:vAlign w:val="center"/>
                </w:tcPr>
                <w:p w14:paraId="13739FE1">
                  <w:pPr>
                    <w:jc w:val="center"/>
                    <w:rPr>
                      <w:color w:val="auto"/>
                      <w:szCs w:val="18"/>
                    </w:rPr>
                  </w:pPr>
                  <w:r>
                    <w:rPr>
                      <w:rFonts w:ascii="宋体" w:hAnsi="宋体" w:cs="宋体"/>
                      <w:color w:val="auto"/>
                      <w:spacing w:val="14"/>
                      <w:sz w:val="20"/>
                      <w:szCs w:val="20"/>
                    </w:rPr>
                    <w:t>设置</w:t>
                  </w:r>
                  <w:r>
                    <w:rPr>
                      <w:rFonts w:ascii="宋体" w:hAnsi="宋体" w:cs="宋体"/>
                      <w:color w:val="auto"/>
                      <w:spacing w:val="13"/>
                      <w:sz w:val="20"/>
                      <w:szCs w:val="20"/>
                    </w:rPr>
                    <w:t>在</w:t>
                  </w:r>
                  <w:r>
                    <w:rPr>
                      <w:rFonts w:ascii="宋体" w:hAnsi="宋体" w:cs="宋体"/>
                      <w:color w:val="auto"/>
                      <w:spacing w:val="7"/>
                      <w:sz w:val="20"/>
                      <w:szCs w:val="20"/>
                    </w:rPr>
                    <w:t>危险废物容器或包装物上</w:t>
                  </w:r>
                </w:p>
              </w:tc>
            </w:tr>
          </w:tbl>
          <w:p w14:paraId="57D58289">
            <w:pPr>
              <w:adjustRightInd w:val="0"/>
              <w:spacing w:line="360" w:lineRule="auto"/>
              <w:ind w:firstLine="480"/>
              <w:rPr>
                <w:b/>
                <w:color w:val="auto"/>
                <w:sz w:val="24"/>
              </w:rPr>
            </w:pPr>
            <w:r>
              <w:rPr>
                <w:b/>
                <w:color w:val="auto"/>
                <w:sz w:val="24"/>
              </w:rPr>
              <w:t>根据《危险废物贮存处置管理规定》的相关规定，本次环评对本项目危险废物暂存提出如下要求：</w:t>
            </w:r>
          </w:p>
          <w:p w14:paraId="59EE42B4">
            <w:pPr>
              <w:spacing w:line="360" w:lineRule="auto"/>
              <w:ind w:firstLine="482"/>
              <w:rPr>
                <w:b/>
                <w:bCs/>
                <w:color w:val="auto"/>
                <w:sz w:val="24"/>
              </w:rPr>
            </w:pPr>
            <w:r>
              <w:rPr>
                <w:b/>
                <w:bCs/>
                <w:color w:val="auto"/>
                <w:sz w:val="24"/>
              </w:rPr>
              <w:t>危险废物收集和暂存：</w:t>
            </w:r>
          </w:p>
          <w:p w14:paraId="68792C75">
            <w:pPr>
              <w:spacing w:line="360" w:lineRule="auto"/>
              <w:ind w:firstLine="480" w:firstLineChars="200"/>
              <w:rPr>
                <w:color w:val="auto"/>
                <w:sz w:val="24"/>
              </w:rPr>
            </w:pPr>
            <w:r>
              <w:rPr>
                <w:rFonts w:hint="eastAsia" w:ascii="宋体" w:hAnsi="宋体" w:cs="宋体"/>
                <w:bCs/>
                <w:color w:val="auto"/>
                <w:sz w:val="24"/>
              </w:rPr>
              <w:t>①</w:t>
            </w:r>
            <w:r>
              <w:rPr>
                <w:color w:val="auto"/>
                <w:sz w:val="24"/>
              </w:rPr>
              <w:t>危险废物的收集必须按照危险废物的相关规定进行，各种固废单独隔离存放，禁止与其</w:t>
            </w:r>
            <w:r>
              <w:rPr>
                <w:rFonts w:hint="eastAsia"/>
                <w:color w:val="auto"/>
                <w:sz w:val="24"/>
                <w:lang w:val="en-US" w:eastAsia="zh-CN"/>
              </w:rPr>
              <w:t>他</w:t>
            </w:r>
            <w:r>
              <w:rPr>
                <w:color w:val="auto"/>
                <w:sz w:val="24"/>
              </w:rPr>
              <w:t>原料或废物混合存放。各种废物包装贮存需按照国家相应要求处置，贮存场所按照规定设置警示标识。危险废物在厂内存放期间，应使用完好无损容器盛装；用以存放装置液体、半固体危险废物容器的地方，必须有耐腐蚀的硬化地面，且表面无裂痕。</w:t>
            </w:r>
          </w:p>
          <w:p w14:paraId="2414616C">
            <w:pPr>
              <w:spacing w:line="360" w:lineRule="auto"/>
              <w:ind w:firstLine="480" w:firstLineChars="200"/>
              <w:rPr>
                <w:color w:val="auto"/>
                <w:sz w:val="24"/>
              </w:rPr>
            </w:pPr>
            <w:r>
              <w:rPr>
                <w:rFonts w:hint="eastAsia" w:ascii="宋体" w:hAnsi="宋体" w:cs="宋体"/>
                <w:color w:val="auto"/>
                <w:sz w:val="24"/>
              </w:rPr>
              <w:t>②</w:t>
            </w:r>
            <w:r>
              <w:rPr>
                <w:color w:val="auto"/>
                <w:sz w:val="24"/>
              </w:rPr>
              <w:t>危险废物包装应能有效隔断危险废物迁移扩散途径，并达到防渗、防漏要求。</w:t>
            </w:r>
          </w:p>
          <w:p w14:paraId="437346B9">
            <w:pPr>
              <w:spacing w:line="360" w:lineRule="auto"/>
              <w:ind w:firstLine="480" w:firstLineChars="200"/>
              <w:rPr>
                <w:color w:val="auto"/>
                <w:sz w:val="24"/>
              </w:rPr>
            </w:pPr>
            <w:r>
              <w:rPr>
                <w:rFonts w:hint="eastAsia" w:ascii="宋体" w:hAnsi="宋体" w:cs="宋体"/>
                <w:color w:val="auto"/>
                <w:sz w:val="24"/>
              </w:rPr>
              <w:t>③</w:t>
            </w:r>
            <w:r>
              <w:rPr>
                <w:color w:val="auto"/>
                <w:sz w:val="24"/>
              </w:rPr>
              <w:t>在办理环保竣工验收前，应依据危险废物种类，与有危废处理资质的单位签订危险废物委托清运处理协议，必须确保各类危险废物实现无害化处置。</w:t>
            </w:r>
          </w:p>
          <w:p w14:paraId="319D68B8">
            <w:pPr>
              <w:spacing w:line="360" w:lineRule="auto"/>
              <w:ind w:firstLine="480" w:firstLineChars="200"/>
              <w:rPr>
                <w:b/>
                <w:color w:val="auto"/>
                <w:sz w:val="24"/>
              </w:rPr>
            </w:pPr>
            <w:r>
              <w:rPr>
                <w:rFonts w:hint="eastAsia" w:ascii="宋体" w:hAnsi="宋体" w:cs="宋体"/>
                <w:color w:val="auto"/>
                <w:sz w:val="24"/>
              </w:rPr>
              <w:t>④</w:t>
            </w:r>
            <w:r>
              <w:rPr>
                <w:color w:val="auto"/>
                <w:sz w:val="24"/>
              </w:rPr>
              <w:t>危险废物暂存时间不得超过一年。废物转运时必须安全转移，防止撒漏，废油等采用专用罐车运输，有具有相应处理资质的单位接手。企业</w:t>
            </w:r>
            <w:r>
              <w:rPr>
                <w:b/>
                <w:color w:val="auto"/>
                <w:sz w:val="24"/>
              </w:rPr>
              <w:t>应严格按照</w:t>
            </w:r>
            <w:r>
              <w:rPr>
                <w:rFonts w:hint="eastAsia"/>
                <w:b/>
                <w:color w:val="auto"/>
                <w:sz w:val="24"/>
              </w:rPr>
              <w:t>《危险废物转移管理办法》（2022年1月1日起施行）</w:t>
            </w:r>
            <w:r>
              <w:rPr>
                <w:b/>
                <w:color w:val="auto"/>
                <w:sz w:val="24"/>
              </w:rPr>
              <w:t>中</w:t>
            </w:r>
            <w:r>
              <w:rPr>
                <w:rFonts w:hint="eastAsia"/>
                <w:b/>
                <w:color w:val="auto"/>
                <w:sz w:val="24"/>
              </w:rPr>
              <w:t>危险废物转移</w:t>
            </w:r>
            <w:r>
              <w:rPr>
                <w:b/>
                <w:color w:val="auto"/>
                <w:sz w:val="24"/>
              </w:rPr>
              <w:t>联单制度对危险废物进行处理处置。</w:t>
            </w:r>
          </w:p>
          <w:p w14:paraId="1E28CB84">
            <w:pPr>
              <w:spacing w:line="360" w:lineRule="auto"/>
              <w:ind w:firstLine="482" w:firstLineChars="200"/>
              <w:rPr>
                <w:b/>
                <w:color w:val="auto"/>
                <w:sz w:val="24"/>
                <w:u w:val="single"/>
              </w:rPr>
            </w:pPr>
            <w:r>
              <w:rPr>
                <w:b/>
                <w:color w:val="auto"/>
                <w:sz w:val="24"/>
                <w:u w:val="single"/>
              </w:rPr>
              <w:t>危废转移联单：</w:t>
            </w:r>
          </w:p>
          <w:p w14:paraId="4498D21C">
            <w:pPr>
              <w:widowControl/>
              <w:spacing w:line="360" w:lineRule="auto"/>
              <w:ind w:firstLine="480" w:firstLineChars="200"/>
              <w:rPr>
                <w:color w:val="auto"/>
                <w:kern w:val="0"/>
                <w:sz w:val="24"/>
              </w:rPr>
            </w:pPr>
            <w:r>
              <w:rPr>
                <w:color w:val="auto"/>
                <w:sz w:val="24"/>
              </w:rPr>
              <w:t>危废收集后应当交由具有处理资质的单位进行处理，并应该严格按照《</w:t>
            </w:r>
            <w:r>
              <w:rPr>
                <w:rFonts w:hint="eastAsia"/>
                <w:color w:val="auto"/>
                <w:sz w:val="24"/>
              </w:rPr>
              <w:t>危险废物转移管理办法</w:t>
            </w:r>
            <w:r>
              <w:rPr>
                <w:color w:val="auto"/>
                <w:sz w:val="24"/>
              </w:rPr>
              <w:t>》来执行，其中包括：</w:t>
            </w:r>
            <w:r>
              <w:rPr>
                <w:rFonts w:hint="eastAsia"/>
                <w:color w:val="auto"/>
                <w:sz w:val="24"/>
              </w:rPr>
              <w:t>转移危险废物的，应当通过国家危险废物信息管理系统（以下简称信息系统）填写、运行危险废物电子转移联单，并依照国家有关规定公开危险废物转移相关污染环境防治信息。危险废物转移联单实行全国统一编号，编号由十四位阿拉伯数字组成。第一至四位数字为年份代码；第五、六位数字为移出地省级行政区划代码；第七、八位数字为移出地设区的市级行政区划代码；其余六位数字以移出地设区的市级行政区域为单位进行流水编号。移出人每转移一车（船或者其他运输工具）次同类危险废物，应当填写、运行一份危险废物转移联单，</w:t>
            </w:r>
            <w:r>
              <w:rPr>
                <w:rFonts w:hint="eastAsia"/>
                <w:color w:val="auto"/>
                <w:kern w:val="0"/>
                <w:sz w:val="24"/>
              </w:rPr>
              <w:t>在危险废物转移联单中如实填写移出人、承运人、接受人信息，转移危险废物的种类、重量（数量）、危险特性等信息，以及突发环境事件的防范措施等</w:t>
            </w:r>
            <w:r>
              <w:rPr>
                <w:rFonts w:hint="eastAsia"/>
                <w:color w:val="auto"/>
                <w:sz w:val="24"/>
              </w:rPr>
              <w:t>；危险废物电子转移联单数据应当在信息系统中至少保存十年。</w:t>
            </w:r>
          </w:p>
          <w:p w14:paraId="7887E748">
            <w:pPr>
              <w:widowControl/>
              <w:adjustRightInd w:val="0"/>
              <w:snapToGrid w:val="0"/>
              <w:spacing w:line="360" w:lineRule="auto"/>
              <w:ind w:firstLine="482" w:firstLineChars="200"/>
              <w:jc w:val="left"/>
              <w:rPr>
                <w:b/>
                <w:color w:val="auto"/>
                <w:sz w:val="24"/>
              </w:rPr>
            </w:pPr>
            <w:r>
              <w:rPr>
                <w:b/>
                <w:color w:val="auto"/>
                <w:sz w:val="24"/>
              </w:rPr>
              <w:t>危废暂存间环境管理要求：</w:t>
            </w:r>
          </w:p>
          <w:p w14:paraId="48AB2C86">
            <w:pPr>
              <w:widowControl/>
              <w:spacing w:line="360" w:lineRule="auto"/>
              <w:ind w:firstLine="480" w:firstLineChars="200"/>
              <w:rPr>
                <w:color w:val="auto"/>
                <w:kern w:val="0"/>
                <w:sz w:val="24"/>
              </w:rPr>
            </w:pPr>
            <w:r>
              <w:rPr>
                <w:color w:val="auto"/>
                <w:kern w:val="0"/>
                <w:sz w:val="24"/>
              </w:rPr>
              <w:t>a.地面与裙角要用坚固、防渗的材料建造，建筑材料必须与危险废物相容；</w:t>
            </w:r>
          </w:p>
          <w:p w14:paraId="4E7F4F8F">
            <w:pPr>
              <w:widowControl/>
              <w:spacing w:line="360" w:lineRule="auto"/>
              <w:ind w:firstLine="480" w:firstLineChars="200"/>
              <w:rPr>
                <w:color w:val="auto"/>
                <w:kern w:val="0"/>
                <w:sz w:val="24"/>
              </w:rPr>
            </w:pPr>
            <w:r>
              <w:rPr>
                <w:color w:val="auto"/>
                <w:kern w:val="0"/>
                <w:sz w:val="24"/>
              </w:rPr>
              <w:t>b.基础必须进行重点防渗，</w:t>
            </w:r>
            <w:r>
              <w:rPr>
                <w:rFonts w:hint="eastAsia"/>
                <w:color w:val="auto"/>
                <w:kern w:val="0"/>
                <w:sz w:val="24"/>
              </w:rPr>
              <w:t>需</w:t>
            </w:r>
            <w:r>
              <w:rPr>
                <w:rFonts w:hint="eastAsia"/>
                <w:color w:val="auto"/>
                <w:sz w:val="24"/>
              </w:rPr>
              <w:t>满足《危险废物贮存污染控制标准》（GB18597-2023）相关要求</w:t>
            </w:r>
            <w:r>
              <w:rPr>
                <w:color w:val="auto"/>
                <w:kern w:val="0"/>
                <w:sz w:val="24"/>
              </w:rPr>
              <w:t>；</w:t>
            </w:r>
          </w:p>
          <w:p w14:paraId="3E3CDAB7">
            <w:pPr>
              <w:widowControl/>
              <w:spacing w:line="360" w:lineRule="auto"/>
              <w:ind w:firstLine="480" w:firstLineChars="200"/>
              <w:rPr>
                <w:color w:val="auto"/>
                <w:kern w:val="0"/>
                <w:sz w:val="24"/>
              </w:rPr>
            </w:pPr>
            <w:r>
              <w:rPr>
                <w:color w:val="auto"/>
                <w:kern w:val="0"/>
                <w:sz w:val="24"/>
              </w:rPr>
              <w:t>c.危险废物暂存间必须</w:t>
            </w:r>
            <w:r>
              <w:rPr>
                <w:rFonts w:ascii="宋体" w:hAnsi="宋体" w:cs="宋体"/>
                <w:color w:val="auto"/>
                <w:sz w:val="24"/>
              </w:rPr>
              <w:t>防风、防晒、 防雨、防漏、防渗、防腐</w:t>
            </w:r>
            <w:r>
              <w:rPr>
                <w:rFonts w:hint="eastAsia" w:ascii="宋体" w:hAnsi="宋体" w:cs="宋体"/>
                <w:color w:val="auto"/>
                <w:sz w:val="24"/>
              </w:rPr>
              <w:t>；</w:t>
            </w:r>
          </w:p>
          <w:p w14:paraId="089749E1">
            <w:pPr>
              <w:widowControl/>
              <w:spacing w:line="360" w:lineRule="auto"/>
              <w:ind w:firstLine="480" w:firstLineChars="200"/>
              <w:rPr>
                <w:color w:val="auto"/>
                <w:kern w:val="0"/>
                <w:sz w:val="24"/>
              </w:rPr>
            </w:pPr>
            <w:r>
              <w:rPr>
                <w:color w:val="auto"/>
                <w:kern w:val="0"/>
                <w:sz w:val="24"/>
              </w:rPr>
              <w:t>d.禁止将危险废物混入非危险废物中收集、暂存、转移、处置，收集、贮存、转移危险废物时，严格按照危险废物特性分类进行，防止混合收集、贮存、运输、转移性质不相容且未经安全性处置的危险废物；</w:t>
            </w:r>
          </w:p>
          <w:p w14:paraId="7F16F91B">
            <w:pPr>
              <w:widowControl/>
              <w:spacing w:line="360" w:lineRule="auto"/>
              <w:ind w:firstLine="480" w:firstLineChars="200"/>
              <w:rPr>
                <w:color w:val="auto"/>
                <w:kern w:val="0"/>
                <w:sz w:val="24"/>
              </w:rPr>
            </w:pPr>
            <w:r>
              <w:rPr>
                <w:color w:val="auto"/>
                <w:kern w:val="0"/>
                <w:sz w:val="24"/>
              </w:rPr>
              <w:t>e.需要转移危险废物时，必须按照相关规定办理危险废物转移联单，未经批准不得进行转移</w:t>
            </w:r>
          </w:p>
          <w:p w14:paraId="4A29764C">
            <w:pPr>
              <w:widowControl/>
              <w:spacing w:line="360" w:lineRule="auto"/>
              <w:ind w:firstLine="480" w:firstLineChars="200"/>
              <w:rPr>
                <w:color w:val="auto"/>
                <w:kern w:val="0"/>
                <w:sz w:val="24"/>
              </w:rPr>
            </w:pPr>
            <w:r>
              <w:rPr>
                <w:color w:val="auto"/>
                <w:kern w:val="0"/>
                <w:sz w:val="24"/>
              </w:rPr>
              <w:t>f.对厂区产生的危险废物进行严格管理，对厂区所产生的危险废物进行详细的登记，填写《危险废物产生贮存台账》，并对危险废物的贮存量及时上报安全环保部；</w:t>
            </w:r>
          </w:p>
          <w:p w14:paraId="56DBF0E7">
            <w:pPr>
              <w:widowControl/>
              <w:spacing w:line="360" w:lineRule="auto"/>
              <w:ind w:firstLine="480" w:firstLineChars="200"/>
              <w:rPr>
                <w:color w:val="auto"/>
                <w:kern w:val="0"/>
                <w:sz w:val="24"/>
              </w:rPr>
            </w:pPr>
            <w:r>
              <w:rPr>
                <w:color w:val="auto"/>
                <w:kern w:val="0"/>
                <w:sz w:val="24"/>
              </w:rPr>
              <w:t>g.对危险废物暂时贮存场所要加强管理，定期巡检，确保危险废物不扩散、不渗漏、不丢失等。</w:t>
            </w:r>
          </w:p>
          <w:p w14:paraId="3EA65AD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rPr>
              <w:t>本项目固体废物产生及处置措施见下表。</w:t>
            </w:r>
          </w:p>
          <w:p w14:paraId="4C036546">
            <w:pPr>
              <w:keepNext w:val="0"/>
              <w:keepLines w:val="0"/>
              <w:suppressLineNumbers w:val="0"/>
              <w:bidi w:val="0"/>
              <w:spacing w:before="0" w:beforeAutospacing="0" w:after="0" w:afterAutospacing="0" w:line="240" w:lineRule="auto"/>
              <w:ind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cs="Times New Roman"/>
                <w:b/>
                <w:bCs/>
                <w:color w:val="auto"/>
                <w:sz w:val="21"/>
                <w:szCs w:val="21"/>
                <w:lang w:val="en-US" w:eastAsia="zh-CN"/>
              </w:rPr>
              <w:t>4-2</w:t>
            </w:r>
            <w:r>
              <w:rPr>
                <w:rFonts w:hint="eastAsia" w:cs="Times New Roman"/>
                <w:b/>
                <w:bCs/>
                <w:color w:val="auto"/>
                <w:sz w:val="21"/>
                <w:szCs w:val="21"/>
                <w:lang w:val="en-US" w:eastAsia="zh-CN"/>
              </w:rPr>
              <w:t>7</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eastAsia="zh-CN"/>
              </w:rPr>
              <w:t>固体废弃物产生、处置情况</w:t>
            </w:r>
          </w:p>
          <w:tbl>
            <w:tblPr>
              <w:tblStyle w:val="26"/>
              <w:tblW w:w="879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2122"/>
              <w:gridCol w:w="1020"/>
              <w:gridCol w:w="1371"/>
              <w:gridCol w:w="1179"/>
              <w:gridCol w:w="2464"/>
            </w:tblGrid>
            <w:tr w14:paraId="0223BA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4" w:type="dxa"/>
                  <w:tcBorders>
                    <w:tl2br w:val="nil"/>
                    <w:tr2bl w:val="nil"/>
                  </w:tcBorders>
                  <w:vAlign w:val="center"/>
                </w:tcPr>
                <w:p w14:paraId="239F35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类型</w:t>
                  </w:r>
                </w:p>
              </w:tc>
              <w:tc>
                <w:tcPr>
                  <w:tcW w:w="2122" w:type="dxa"/>
                  <w:tcBorders>
                    <w:tl2br w:val="nil"/>
                    <w:tr2bl w:val="nil"/>
                  </w:tcBorders>
                  <w:vAlign w:val="center"/>
                </w:tcPr>
                <w:p w14:paraId="371BFC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污染源名称</w:t>
                  </w:r>
                </w:p>
              </w:tc>
              <w:tc>
                <w:tcPr>
                  <w:tcW w:w="1020" w:type="dxa"/>
                  <w:tcBorders>
                    <w:tl2br w:val="nil"/>
                    <w:tr2bl w:val="nil"/>
                  </w:tcBorders>
                  <w:vAlign w:val="center"/>
                </w:tcPr>
                <w:p w14:paraId="0DAC07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现有工程产生量</w:t>
                  </w:r>
                  <w:r>
                    <w:rPr>
                      <w:rFonts w:hint="default" w:ascii="Times New Roman" w:hAnsi="Times New Roman" w:eastAsia="宋体" w:cs="Times New Roman"/>
                      <w:b/>
                      <w:bCs/>
                      <w:color w:val="auto"/>
                      <w:sz w:val="21"/>
                      <w:szCs w:val="21"/>
                      <w:highlight w:val="none"/>
                      <w:lang w:eastAsia="zh-CN"/>
                    </w:rPr>
                    <w:t>（t/a）</w:t>
                  </w:r>
                </w:p>
              </w:tc>
              <w:tc>
                <w:tcPr>
                  <w:tcW w:w="1371" w:type="dxa"/>
                  <w:tcBorders>
                    <w:tl2br w:val="nil"/>
                    <w:tr2bl w:val="nil"/>
                  </w:tcBorders>
                  <w:vAlign w:val="center"/>
                </w:tcPr>
                <w:p w14:paraId="2BFEDF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本项目新增</w:t>
                  </w:r>
                  <w:r>
                    <w:rPr>
                      <w:rFonts w:hint="default" w:ascii="Times New Roman" w:hAnsi="Times New Roman" w:eastAsia="宋体" w:cs="Times New Roman"/>
                      <w:b/>
                      <w:bCs/>
                      <w:color w:val="auto"/>
                      <w:sz w:val="21"/>
                      <w:szCs w:val="21"/>
                      <w:highlight w:val="none"/>
                      <w:lang w:eastAsia="zh-CN"/>
                    </w:rPr>
                    <w:t>产生量（t/a）</w:t>
                  </w:r>
                </w:p>
              </w:tc>
              <w:tc>
                <w:tcPr>
                  <w:tcW w:w="1179" w:type="dxa"/>
                  <w:tcBorders>
                    <w:tl2br w:val="nil"/>
                    <w:tr2bl w:val="nil"/>
                  </w:tcBorders>
                  <w:vAlign w:val="center"/>
                </w:tcPr>
                <w:p w14:paraId="48CBB3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扩建后全厂产生量</w:t>
                  </w:r>
                  <w:r>
                    <w:rPr>
                      <w:rFonts w:hint="default" w:ascii="Times New Roman" w:hAnsi="Times New Roman" w:eastAsia="宋体" w:cs="Times New Roman"/>
                      <w:b/>
                      <w:bCs/>
                      <w:color w:val="auto"/>
                      <w:sz w:val="21"/>
                      <w:szCs w:val="21"/>
                      <w:highlight w:val="none"/>
                      <w:lang w:eastAsia="zh-CN"/>
                    </w:rPr>
                    <w:t>（t/a）</w:t>
                  </w:r>
                </w:p>
              </w:tc>
              <w:tc>
                <w:tcPr>
                  <w:tcW w:w="2464" w:type="dxa"/>
                  <w:tcBorders>
                    <w:tl2br w:val="nil"/>
                    <w:tr2bl w:val="nil"/>
                  </w:tcBorders>
                  <w:vAlign w:val="center"/>
                </w:tcPr>
                <w:p w14:paraId="1376B9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处置措施</w:t>
                  </w:r>
                </w:p>
              </w:tc>
            </w:tr>
            <w:tr w14:paraId="2A2D3D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634" w:type="dxa"/>
                  <w:vMerge w:val="restart"/>
                  <w:tcBorders>
                    <w:tl2br w:val="nil"/>
                    <w:tr2bl w:val="nil"/>
                  </w:tcBorders>
                  <w:vAlign w:val="center"/>
                </w:tcPr>
                <w:p w14:paraId="3B17CA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一般固废</w:t>
                  </w:r>
                </w:p>
              </w:tc>
              <w:tc>
                <w:tcPr>
                  <w:tcW w:w="2122" w:type="dxa"/>
                  <w:tcBorders>
                    <w:tl2br w:val="nil"/>
                    <w:tr2bl w:val="nil"/>
                  </w:tcBorders>
                  <w:vAlign w:val="center"/>
                </w:tcPr>
                <w:p w14:paraId="01820552">
                  <w:pPr>
                    <w:wordWrap w:val="0"/>
                    <w:ind w:left="-105" w:leftChars="-50" w:right="-105" w:rightChars="-5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废烫金纸</w:t>
                  </w:r>
                </w:p>
              </w:tc>
              <w:tc>
                <w:tcPr>
                  <w:tcW w:w="1020" w:type="dxa"/>
                  <w:tcBorders>
                    <w:tl2br w:val="nil"/>
                    <w:tr2bl w:val="nil"/>
                  </w:tcBorders>
                  <w:vAlign w:val="center"/>
                </w:tcPr>
                <w:p w14:paraId="21BC0D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371" w:type="dxa"/>
                  <w:tcBorders>
                    <w:tl2br w:val="nil"/>
                    <w:tr2bl w:val="nil"/>
                  </w:tcBorders>
                  <w:vAlign w:val="center"/>
                </w:tcPr>
                <w:p w14:paraId="54775D55">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bCs/>
                      <w:color w:val="auto"/>
                      <w:kern w:val="21"/>
                      <w:sz w:val="21"/>
                      <w:szCs w:val="21"/>
                      <w:lang w:val="en-US" w:eastAsia="zh-CN"/>
                    </w:rPr>
                    <w:t>1.0</w:t>
                  </w:r>
                </w:p>
              </w:tc>
              <w:tc>
                <w:tcPr>
                  <w:tcW w:w="1179" w:type="dxa"/>
                  <w:tcBorders>
                    <w:tl2br w:val="nil"/>
                    <w:tr2bl w:val="nil"/>
                  </w:tcBorders>
                  <w:vAlign w:val="center"/>
                </w:tcPr>
                <w:p w14:paraId="631869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2464" w:type="dxa"/>
                  <w:vMerge w:val="restart"/>
                  <w:tcBorders>
                    <w:tl2br w:val="nil"/>
                    <w:tr2bl w:val="nil"/>
                  </w:tcBorders>
                  <w:vAlign w:val="center"/>
                </w:tcPr>
                <w:p w14:paraId="40AD00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集中收集后外售废品回收单位再利用</w:t>
                  </w:r>
                </w:p>
              </w:tc>
            </w:tr>
            <w:tr w14:paraId="094B6F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4" w:type="dxa"/>
                  <w:vMerge w:val="continue"/>
                  <w:tcBorders>
                    <w:tl2br w:val="nil"/>
                    <w:tr2bl w:val="nil"/>
                  </w:tcBorders>
                  <w:vAlign w:val="center"/>
                </w:tcPr>
                <w:p w14:paraId="11FBA2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c>
                <w:tcPr>
                  <w:tcW w:w="2122" w:type="dxa"/>
                  <w:tcBorders>
                    <w:tl2br w:val="nil"/>
                    <w:tr2bl w:val="nil"/>
                  </w:tcBorders>
                  <w:vAlign w:val="center"/>
                </w:tcPr>
                <w:p w14:paraId="7101F899">
                  <w:pPr>
                    <w:wordWrap w:val="0"/>
                    <w:ind w:left="-105" w:leftChars="-50" w:right="-105" w:rightChars="-5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废边角料</w:t>
                  </w:r>
                </w:p>
              </w:tc>
              <w:tc>
                <w:tcPr>
                  <w:tcW w:w="1020" w:type="dxa"/>
                  <w:tcBorders>
                    <w:tl2br w:val="nil"/>
                    <w:tr2bl w:val="nil"/>
                  </w:tcBorders>
                  <w:vAlign w:val="center"/>
                </w:tcPr>
                <w:p w14:paraId="2F2A2A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371" w:type="dxa"/>
                  <w:tcBorders>
                    <w:tl2br w:val="nil"/>
                    <w:tr2bl w:val="nil"/>
                  </w:tcBorders>
                  <w:vAlign w:val="center"/>
                </w:tcPr>
                <w:p w14:paraId="71D178CE">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Cs/>
                      <w:color w:val="auto"/>
                      <w:kern w:val="21"/>
                      <w:sz w:val="21"/>
                      <w:szCs w:val="21"/>
                      <w:lang w:val="en-US" w:eastAsia="zh-CN"/>
                    </w:rPr>
                    <w:t>1.0</w:t>
                  </w:r>
                </w:p>
              </w:tc>
              <w:tc>
                <w:tcPr>
                  <w:tcW w:w="1179" w:type="dxa"/>
                  <w:tcBorders>
                    <w:tl2br w:val="nil"/>
                    <w:tr2bl w:val="nil"/>
                  </w:tcBorders>
                  <w:vAlign w:val="center"/>
                </w:tcPr>
                <w:p w14:paraId="564C06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2464" w:type="dxa"/>
                  <w:vMerge w:val="continue"/>
                  <w:tcBorders>
                    <w:tl2br w:val="nil"/>
                    <w:tr2bl w:val="nil"/>
                  </w:tcBorders>
                  <w:vAlign w:val="center"/>
                </w:tcPr>
                <w:p w14:paraId="758C29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r>
            <w:tr w14:paraId="5E6F0B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vMerge w:val="continue"/>
                  <w:tcBorders>
                    <w:tl2br w:val="nil"/>
                    <w:tr2bl w:val="nil"/>
                  </w:tcBorders>
                  <w:vAlign w:val="center"/>
                </w:tcPr>
                <w:p w14:paraId="165068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c>
                <w:tcPr>
                  <w:tcW w:w="2122" w:type="dxa"/>
                  <w:tcBorders>
                    <w:tl2br w:val="nil"/>
                    <w:tr2bl w:val="nil"/>
                  </w:tcBorders>
                  <w:vAlign w:val="center"/>
                </w:tcPr>
                <w:p w14:paraId="0584A5A8">
                  <w:pPr>
                    <w:wordWrap w:val="0"/>
                    <w:ind w:left="-105" w:leftChars="-50" w:right="-105" w:rightChars="-5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残次品</w:t>
                  </w:r>
                </w:p>
              </w:tc>
              <w:tc>
                <w:tcPr>
                  <w:tcW w:w="1020" w:type="dxa"/>
                  <w:tcBorders>
                    <w:tl2br w:val="nil"/>
                    <w:tr2bl w:val="nil"/>
                  </w:tcBorders>
                  <w:vAlign w:val="center"/>
                </w:tcPr>
                <w:p w14:paraId="35BBF4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371" w:type="dxa"/>
                  <w:tcBorders>
                    <w:tl2br w:val="nil"/>
                    <w:tr2bl w:val="nil"/>
                  </w:tcBorders>
                  <w:vAlign w:val="center"/>
                </w:tcPr>
                <w:p w14:paraId="2B2A3807">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bCs/>
                      <w:color w:val="auto"/>
                      <w:kern w:val="21"/>
                      <w:sz w:val="21"/>
                      <w:szCs w:val="21"/>
                      <w:lang w:val="en-US" w:eastAsia="zh-CN"/>
                    </w:rPr>
                    <w:t>1.0</w:t>
                  </w:r>
                </w:p>
              </w:tc>
              <w:tc>
                <w:tcPr>
                  <w:tcW w:w="1179" w:type="dxa"/>
                  <w:tcBorders>
                    <w:tl2br w:val="nil"/>
                    <w:tr2bl w:val="nil"/>
                  </w:tcBorders>
                  <w:vAlign w:val="center"/>
                </w:tcPr>
                <w:p w14:paraId="34B412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2464" w:type="dxa"/>
                  <w:vMerge w:val="continue"/>
                  <w:tcBorders>
                    <w:tl2br w:val="nil"/>
                    <w:tr2bl w:val="nil"/>
                  </w:tcBorders>
                  <w:vAlign w:val="center"/>
                </w:tcPr>
                <w:p w14:paraId="5382B6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r>
            <w:tr w14:paraId="7DDDBC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634" w:type="dxa"/>
                  <w:vMerge w:val="continue"/>
                  <w:tcBorders>
                    <w:tl2br w:val="nil"/>
                    <w:tr2bl w:val="nil"/>
                  </w:tcBorders>
                  <w:vAlign w:val="center"/>
                </w:tcPr>
                <w:p w14:paraId="4DD35D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c>
                <w:tcPr>
                  <w:tcW w:w="2122" w:type="dxa"/>
                  <w:tcBorders>
                    <w:tl2br w:val="nil"/>
                    <w:tr2bl w:val="nil"/>
                  </w:tcBorders>
                  <w:vAlign w:val="center"/>
                </w:tcPr>
                <w:p w14:paraId="5C7D4BA1">
                  <w:pPr>
                    <w:wordWrap w:val="0"/>
                    <w:ind w:left="-105" w:leftChars="-50" w:right="-105" w:rightChars="-5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废包装材料</w:t>
                  </w:r>
                </w:p>
              </w:tc>
              <w:tc>
                <w:tcPr>
                  <w:tcW w:w="1020" w:type="dxa"/>
                  <w:tcBorders>
                    <w:tl2br w:val="nil"/>
                    <w:tr2bl w:val="nil"/>
                  </w:tcBorders>
                  <w:vAlign w:val="center"/>
                </w:tcPr>
                <w:p w14:paraId="2097C7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371" w:type="dxa"/>
                  <w:tcBorders>
                    <w:tl2br w:val="nil"/>
                    <w:tr2bl w:val="nil"/>
                  </w:tcBorders>
                  <w:vAlign w:val="center"/>
                </w:tcPr>
                <w:p w14:paraId="051B7561">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bCs/>
                      <w:color w:val="auto"/>
                      <w:kern w:val="21"/>
                      <w:sz w:val="21"/>
                      <w:szCs w:val="21"/>
                      <w:lang w:val="en-US" w:eastAsia="zh-CN"/>
                    </w:rPr>
                    <w:t>1.0</w:t>
                  </w:r>
                </w:p>
              </w:tc>
              <w:tc>
                <w:tcPr>
                  <w:tcW w:w="1179" w:type="dxa"/>
                  <w:tcBorders>
                    <w:tl2br w:val="nil"/>
                    <w:tr2bl w:val="nil"/>
                  </w:tcBorders>
                  <w:vAlign w:val="center"/>
                </w:tcPr>
                <w:p w14:paraId="0C600F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2464" w:type="dxa"/>
                  <w:vMerge w:val="continue"/>
                  <w:tcBorders>
                    <w:tl2br w:val="nil"/>
                    <w:tr2bl w:val="nil"/>
                  </w:tcBorders>
                  <w:vAlign w:val="center"/>
                </w:tcPr>
                <w:p w14:paraId="362E27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r>
            <w:tr w14:paraId="12DD9A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634" w:type="dxa"/>
                  <w:vMerge w:val="continue"/>
                  <w:tcBorders>
                    <w:tl2br w:val="nil"/>
                    <w:tr2bl w:val="nil"/>
                  </w:tcBorders>
                  <w:vAlign w:val="center"/>
                </w:tcPr>
                <w:p w14:paraId="717083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c>
                <w:tcPr>
                  <w:tcW w:w="2122" w:type="dxa"/>
                  <w:tcBorders>
                    <w:tl2br w:val="nil"/>
                    <w:tr2bl w:val="nil"/>
                  </w:tcBorders>
                  <w:vAlign w:val="center"/>
                </w:tcPr>
                <w:p w14:paraId="70D24A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生活垃圾</w:t>
                  </w:r>
                </w:p>
              </w:tc>
              <w:tc>
                <w:tcPr>
                  <w:tcW w:w="1020" w:type="dxa"/>
                  <w:tcBorders>
                    <w:tl2br w:val="nil"/>
                    <w:tr2bl w:val="nil"/>
                  </w:tcBorders>
                  <w:vAlign w:val="center"/>
                </w:tcPr>
                <w:p w14:paraId="56A5B7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5.25</w:t>
                  </w:r>
                </w:p>
              </w:tc>
              <w:tc>
                <w:tcPr>
                  <w:tcW w:w="1371" w:type="dxa"/>
                  <w:tcBorders>
                    <w:tl2br w:val="nil"/>
                    <w:tr2bl w:val="nil"/>
                  </w:tcBorders>
                  <w:vAlign w:val="center"/>
                </w:tcPr>
                <w:p w14:paraId="7F7571D9">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bCs/>
                      <w:color w:val="auto"/>
                      <w:kern w:val="21"/>
                      <w:sz w:val="21"/>
                      <w:szCs w:val="21"/>
                      <w:lang w:val="en-US" w:eastAsia="zh-CN"/>
                    </w:rPr>
                    <w:t>18.75</w:t>
                  </w:r>
                </w:p>
              </w:tc>
              <w:tc>
                <w:tcPr>
                  <w:tcW w:w="1179" w:type="dxa"/>
                  <w:tcBorders>
                    <w:tl2br w:val="nil"/>
                    <w:tr2bl w:val="nil"/>
                  </w:tcBorders>
                  <w:vAlign w:val="center"/>
                </w:tcPr>
                <w:p w14:paraId="142786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24.0</w:t>
                  </w:r>
                </w:p>
              </w:tc>
              <w:tc>
                <w:tcPr>
                  <w:tcW w:w="2464" w:type="dxa"/>
                  <w:tcBorders>
                    <w:tl2br w:val="nil"/>
                    <w:tr2bl w:val="nil"/>
                  </w:tcBorders>
                  <w:vAlign w:val="center"/>
                </w:tcPr>
                <w:p w14:paraId="6028E6D9">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交由环卫部门定期清运处理</w:t>
                  </w:r>
                </w:p>
              </w:tc>
            </w:tr>
            <w:tr w14:paraId="71ABC7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634" w:type="dxa"/>
                  <w:vMerge w:val="continue"/>
                  <w:tcBorders>
                    <w:tl2br w:val="nil"/>
                    <w:tr2bl w:val="nil"/>
                  </w:tcBorders>
                  <w:vAlign w:val="center"/>
                </w:tcPr>
                <w:p w14:paraId="1FE9DB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c>
                <w:tcPr>
                  <w:tcW w:w="2122" w:type="dxa"/>
                  <w:tcBorders>
                    <w:tl2br w:val="nil"/>
                    <w:tr2bl w:val="nil"/>
                  </w:tcBorders>
                  <w:vAlign w:val="center"/>
                </w:tcPr>
                <w:p w14:paraId="110E23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auto"/>
                      <w:sz w:val="21"/>
                      <w:szCs w:val="21"/>
                    </w:rPr>
                    <w:t>餐厨垃圾</w:t>
                  </w:r>
                </w:p>
              </w:tc>
              <w:tc>
                <w:tcPr>
                  <w:tcW w:w="1020" w:type="dxa"/>
                  <w:tcBorders>
                    <w:tl2br w:val="nil"/>
                    <w:tr2bl w:val="nil"/>
                  </w:tcBorders>
                  <w:vAlign w:val="center"/>
                </w:tcPr>
                <w:p w14:paraId="4A1C30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371" w:type="dxa"/>
                  <w:tcBorders>
                    <w:tl2br w:val="nil"/>
                    <w:tr2bl w:val="nil"/>
                  </w:tcBorders>
                  <w:vAlign w:val="center"/>
                </w:tcPr>
                <w:p w14:paraId="6E8DA7AF">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bCs/>
                      <w:color w:val="auto"/>
                      <w:kern w:val="21"/>
                      <w:sz w:val="21"/>
                      <w:szCs w:val="21"/>
                      <w:lang w:val="en-US" w:eastAsia="zh-CN"/>
                    </w:rPr>
                    <w:t>7.2</w:t>
                  </w:r>
                </w:p>
              </w:tc>
              <w:tc>
                <w:tcPr>
                  <w:tcW w:w="1179" w:type="dxa"/>
                  <w:tcBorders>
                    <w:tl2br w:val="nil"/>
                    <w:tr2bl w:val="nil"/>
                  </w:tcBorders>
                  <w:vAlign w:val="center"/>
                </w:tcPr>
                <w:p w14:paraId="549B8C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w:t>
                  </w:r>
                </w:p>
              </w:tc>
              <w:tc>
                <w:tcPr>
                  <w:tcW w:w="2464" w:type="dxa"/>
                  <w:tcBorders>
                    <w:tl2br w:val="nil"/>
                    <w:tr2bl w:val="nil"/>
                  </w:tcBorders>
                  <w:vAlign w:val="center"/>
                </w:tcPr>
                <w:p w14:paraId="287AD85B">
                  <w:pPr>
                    <w:adjustRightInd w:val="0"/>
                    <w:snapToGrid w:val="0"/>
                    <w:jc w:val="center"/>
                    <w:rPr>
                      <w:rFonts w:hint="default" w:ascii="Times New Roman" w:hAnsi="Times New Roman" w:eastAsia="宋体" w:cs="Times New Roman"/>
                      <w:color w:val="auto"/>
                      <w:sz w:val="21"/>
                      <w:szCs w:val="21"/>
                      <w:lang w:eastAsia="zh-CN"/>
                    </w:rPr>
                  </w:pPr>
                  <w:r>
                    <w:rPr>
                      <w:rFonts w:hint="eastAsia"/>
                      <w:color w:val="auto"/>
                      <w:szCs w:val="21"/>
                    </w:rPr>
                    <w:t>交有餐厨垃圾处理资质的单位处置</w:t>
                  </w:r>
                </w:p>
              </w:tc>
            </w:tr>
            <w:tr w14:paraId="53779D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634" w:type="dxa"/>
                  <w:vMerge w:val="continue"/>
                  <w:tcBorders>
                    <w:tl2br w:val="nil"/>
                    <w:tr2bl w:val="nil"/>
                  </w:tcBorders>
                  <w:vAlign w:val="center"/>
                </w:tcPr>
                <w:p w14:paraId="5E8B28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c>
                <w:tcPr>
                  <w:tcW w:w="2122" w:type="dxa"/>
                  <w:tcBorders>
                    <w:tl2br w:val="nil"/>
                    <w:tr2bl w:val="nil"/>
                  </w:tcBorders>
                  <w:vAlign w:val="center"/>
                </w:tcPr>
                <w:p w14:paraId="18A4D1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油水分离器废油脂</w:t>
                  </w:r>
                </w:p>
              </w:tc>
              <w:tc>
                <w:tcPr>
                  <w:tcW w:w="1020" w:type="dxa"/>
                  <w:tcBorders>
                    <w:tl2br w:val="nil"/>
                    <w:tr2bl w:val="nil"/>
                  </w:tcBorders>
                  <w:vAlign w:val="center"/>
                </w:tcPr>
                <w:p w14:paraId="61350D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371" w:type="dxa"/>
                  <w:tcBorders>
                    <w:tl2br w:val="nil"/>
                    <w:tr2bl w:val="nil"/>
                  </w:tcBorders>
                  <w:vAlign w:val="center"/>
                </w:tcPr>
                <w:p w14:paraId="6ED1D2ED">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bCs/>
                      <w:color w:val="auto"/>
                      <w:kern w:val="21"/>
                      <w:sz w:val="21"/>
                      <w:szCs w:val="21"/>
                      <w:lang w:val="en-US" w:eastAsia="zh-CN"/>
                    </w:rPr>
                    <w:t>0.1</w:t>
                  </w:r>
                </w:p>
              </w:tc>
              <w:tc>
                <w:tcPr>
                  <w:tcW w:w="1179" w:type="dxa"/>
                  <w:tcBorders>
                    <w:tl2br w:val="nil"/>
                    <w:tr2bl w:val="nil"/>
                  </w:tcBorders>
                  <w:vAlign w:val="center"/>
                </w:tcPr>
                <w:p w14:paraId="543D97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2464" w:type="dxa"/>
                  <w:tcBorders>
                    <w:tl2br w:val="nil"/>
                    <w:tr2bl w:val="nil"/>
                  </w:tcBorders>
                  <w:vAlign w:val="center"/>
                </w:tcPr>
                <w:p w14:paraId="1649EF4D">
                  <w:pPr>
                    <w:adjustRightInd w:val="0"/>
                    <w:snapToGrid w:val="0"/>
                    <w:jc w:val="center"/>
                    <w:rPr>
                      <w:rFonts w:hint="default" w:ascii="Times New Roman" w:hAnsi="Times New Roman" w:eastAsia="宋体" w:cs="Times New Roman"/>
                      <w:color w:val="auto"/>
                      <w:sz w:val="21"/>
                      <w:szCs w:val="21"/>
                      <w:lang w:eastAsia="zh-CN"/>
                    </w:rPr>
                  </w:pPr>
                  <w:r>
                    <w:rPr>
                      <w:rFonts w:hint="eastAsia"/>
                      <w:color w:val="auto"/>
                      <w:szCs w:val="21"/>
                    </w:rPr>
                    <w:t>交有餐厨垃圾处理资质的单位处置</w:t>
                  </w:r>
                </w:p>
              </w:tc>
            </w:tr>
            <w:tr w14:paraId="567F99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vMerge w:val="restart"/>
                  <w:tcBorders>
                    <w:tl2br w:val="nil"/>
                    <w:tr2bl w:val="nil"/>
                  </w:tcBorders>
                  <w:vAlign w:val="center"/>
                </w:tcPr>
                <w:p w14:paraId="3E9DF2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危险废物</w:t>
                  </w:r>
                </w:p>
              </w:tc>
              <w:tc>
                <w:tcPr>
                  <w:tcW w:w="2122" w:type="dxa"/>
                  <w:tcBorders>
                    <w:tl2br w:val="nil"/>
                    <w:tr2bl w:val="nil"/>
                  </w:tcBorders>
                  <w:vAlign w:val="center"/>
                </w:tcPr>
                <w:p w14:paraId="7EBF2FEA">
                  <w:pPr>
                    <w:ind w:left="-105" w:leftChars="-50" w:right="-105" w:rightChars="-50"/>
                    <w:jc w:val="center"/>
                    <w:rPr>
                      <w:rFonts w:hint="default" w:ascii="Times New Roman" w:hAnsi="Times New Roman" w:eastAsia="宋体" w:cs="Times New Roman"/>
                      <w:color w:val="auto"/>
                      <w:sz w:val="21"/>
                      <w:szCs w:val="21"/>
                      <w:lang w:eastAsia="zh-CN"/>
                    </w:rPr>
                  </w:pPr>
                  <w:r>
                    <w:rPr>
                      <w:rFonts w:hint="eastAsia"/>
                      <w:color w:val="auto"/>
                      <w:sz w:val="21"/>
                      <w:szCs w:val="21"/>
                      <w:lang w:val="en-US" w:eastAsia="zh-CN"/>
                    </w:rPr>
                    <w:t>废包装桶</w:t>
                  </w:r>
                </w:p>
              </w:tc>
              <w:tc>
                <w:tcPr>
                  <w:tcW w:w="1020" w:type="dxa"/>
                  <w:tcBorders>
                    <w:tl2br w:val="nil"/>
                    <w:tr2bl w:val="nil"/>
                  </w:tcBorders>
                  <w:vAlign w:val="center"/>
                </w:tcPr>
                <w:p w14:paraId="33910E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1371" w:type="dxa"/>
                  <w:tcBorders>
                    <w:tl2br w:val="nil"/>
                    <w:tr2bl w:val="nil"/>
                  </w:tcBorders>
                  <w:vAlign w:val="center"/>
                </w:tcPr>
                <w:p w14:paraId="241DF7C3">
                  <w:pPr>
                    <w:ind w:left="-105" w:leftChars="-50" w:right="-105" w:rightChars="-50"/>
                    <w:jc w:val="center"/>
                    <w:rPr>
                      <w:rFonts w:hint="eastAsia"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0.5</w:t>
                  </w:r>
                </w:p>
              </w:tc>
              <w:tc>
                <w:tcPr>
                  <w:tcW w:w="1179" w:type="dxa"/>
                  <w:tcBorders>
                    <w:tl2br w:val="nil"/>
                    <w:tr2bl w:val="nil"/>
                  </w:tcBorders>
                  <w:vAlign w:val="center"/>
                </w:tcPr>
                <w:p w14:paraId="49A4EB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w:t>
                  </w:r>
                </w:p>
              </w:tc>
              <w:tc>
                <w:tcPr>
                  <w:tcW w:w="2464" w:type="dxa"/>
                  <w:vMerge w:val="restart"/>
                  <w:tcBorders>
                    <w:tl2br w:val="nil"/>
                    <w:tr2bl w:val="nil"/>
                  </w:tcBorders>
                  <w:vAlign w:val="center"/>
                </w:tcPr>
                <w:p w14:paraId="282022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危废暂存间暂存，定期交由有相应危废处理资质单位处置</w:t>
                  </w:r>
                </w:p>
              </w:tc>
            </w:tr>
            <w:tr w14:paraId="641BB4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vMerge w:val="continue"/>
                  <w:tcBorders>
                    <w:tl2br w:val="nil"/>
                    <w:tr2bl w:val="nil"/>
                  </w:tcBorders>
                  <w:vAlign w:val="center"/>
                </w:tcPr>
                <w:p w14:paraId="0F2F05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c>
                <w:tcPr>
                  <w:tcW w:w="2122" w:type="dxa"/>
                  <w:tcBorders>
                    <w:tl2br w:val="nil"/>
                    <w:tr2bl w:val="nil"/>
                  </w:tcBorders>
                  <w:vAlign w:val="center"/>
                </w:tcPr>
                <w:p w14:paraId="4442C184">
                  <w:pPr>
                    <w:ind w:left="-105" w:leftChars="-50" w:right="-105" w:rightChars="-50"/>
                    <w:jc w:val="center"/>
                    <w:rPr>
                      <w:rFonts w:hint="default" w:ascii="Times New Roman" w:hAnsi="Times New Roman" w:eastAsia="宋体" w:cs="Times New Roman"/>
                      <w:color w:val="auto"/>
                      <w:sz w:val="21"/>
                      <w:szCs w:val="21"/>
                      <w:lang w:eastAsia="zh-CN"/>
                    </w:rPr>
                  </w:pPr>
                  <w:r>
                    <w:rPr>
                      <w:rFonts w:hint="eastAsia"/>
                      <w:color w:val="auto"/>
                      <w:sz w:val="21"/>
                      <w:szCs w:val="21"/>
                    </w:rPr>
                    <w:t>废显影液</w:t>
                  </w:r>
                </w:p>
              </w:tc>
              <w:tc>
                <w:tcPr>
                  <w:tcW w:w="1020" w:type="dxa"/>
                  <w:tcBorders>
                    <w:tl2br w:val="nil"/>
                    <w:tr2bl w:val="nil"/>
                  </w:tcBorders>
                  <w:vAlign w:val="center"/>
                </w:tcPr>
                <w:p w14:paraId="1D48E2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371" w:type="dxa"/>
                  <w:tcBorders>
                    <w:tl2br w:val="nil"/>
                    <w:tr2bl w:val="nil"/>
                  </w:tcBorders>
                  <w:vAlign w:val="center"/>
                </w:tcPr>
                <w:p w14:paraId="46671037">
                  <w:pPr>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0.4</w:t>
                  </w:r>
                </w:p>
              </w:tc>
              <w:tc>
                <w:tcPr>
                  <w:tcW w:w="1179" w:type="dxa"/>
                  <w:tcBorders>
                    <w:tl2br w:val="nil"/>
                    <w:tr2bl w:val="nil"/>
                  </w:tcBorders>
                  <w:vAlign w:val="center"/>
                </w:tcPr>
                <w:p w14:paraId="6A699F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2464" w:type="dxa"/>
                  <w:vMerge w:val="continue"/>
                  <w:tcBorders>
                    <w:tl2br w:val="nil"/>
                    <w:tr2bl w:val="nil"/>
                  </w:tcBorders>
                  <w:vAlign w:val="center"/>
                </w:tcPr>
                <w:p w14:paraId="2B0B78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r>
            <w:tr w14:paraId="231F40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vMerge w:val="continue"/>
                  <w:tcBorders>
                    <w:tl2br w:val="nil"/>
                    <w:tr2bl w:val="nil"/>
                  </w:tcBorders>
                  <w:vAlign w:val="center"/>
                </w:tcPr>
                <w:p w14:paraId="3C8DD1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c>
                <w:tcPr>
                  <w:tcW w:w="2122" w:type="dxa"/>
                  <w:tcBorders>
                    <w:tl2br w:val="nil"/>
                    <w:tr2bl w:val="nil"/>
                  </w:tcBorders>
                  <w:vAlign w:val="center"/>
                </w:tcPr>
                <w:p w14:paraId="337C5585">
                  <w:pPr>
                    <w:ind w:left="-105" w:leftChars="-50" w:right="-105" w:rightChars="-50"/>
                    <w:jc w:val="center"/>
                    <w:rPr>
                      <w:rFonts w:hint="default" w:ascii="Times New Roman" w:hAnsi="Times New Roman" w:eastAsia="宋体" w:cs="Times New Roman"/>
                      <w:color w:val="auto"/>
                      <w:sz w:val="21"/>
                      <w:szCs w:val="21"/>
                      <w:lang w:eastAsia="zh-CN"/>
                    </w:rPr>
                  </w:pPr>
                  <w:r>
                    <w:rPr>
                      <w:rFonts w:hint="eastAsia"/>
                      <w:color w:val="auto"/>
                      <w:sz w:val="21"/>
                      <w:szCs w:val="21"/>
                    </w:rPr>
                    <w:t>洗版废液</w:t>
                  </w:r>
                </w:p>
              </w:tc>
              <w:tc>
                <w:tcPr>
                  <w:tcW w:w="1020" w:type="dxa"/>
                  <w:tcBorders>
                    <w:tl2br w:val="nil"/>
                    <w:tr2bl w:val="nil"/>
                  </w:tcBorders>
                  <w:vAlign w:val="center"/>
                </w:tcPr>
                <w:p w14:paraId="47CE5C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371" w:type="dxa"/>
                  <w:tcBorders>
                    <w:tl2br w:val="nil"/>
                    <w:tr2bl w:val="nil"/>
                  </w:tcBorders>
                  <w:vAlign w:val="center"/>
                </w:tcPr>
                <w:p w14:paraId="17E11A88">
                  <w:pPr>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1.2</w:t>
                  </w:r>
                </w:p>
              </w:tc>
              <w:tc>
                <w:tcPr>
                  <w:tcW w:w="1179" w:type="dxa"/>
                  <w:tcBorders>
                    <w:tl2br w:val="nil"/>
                    <w:tr2bl w:val="nil"/>
                  </w:tcBorders>
                  <w:vAlign w:val="center"/>
                </w:tcPr>
                <w:p w14:paraId="00BEFF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2464" w:type="dxa"/>
                  <w:vMerge w:val="continue"/>
                  <w:tcBorders>
                    <w:tl2br w:val="nil"/>
                    <w:tr2bl w:val="nil"/>
                  </w:tcBorders>
                  <w:vAlign w:val="center"/>
                </w:tcPr>
                <w:p w14:paraId="421EA5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r>
            <w:tr w14:paraId="3AA03F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634" w:type="dxa"/>
                  <w:vMerge w:val="continue"/>
                  <w:tcBorders>
                    <w:tl2br w:val="nil"/>
                    <w:tr2bl w:val="nil"/>
                  </w:tcBorders>
                  <w:vAlign w:val="center"/>
                </w:tcPr>
                <w:p w14:paraId="57ADBB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eastAsia="zh-CN"/>
                    </w:rPr>
                  </w:pPr>
                </w:p>
              </w:tc>
              <w:tc>
                <w:tcPr>
                  <w:tcW w:w="2122" w:type="dxa"/>
                  <w:tcBorders>
                    <w:tl2br w:val="nil"/>
                    <w:tr2bl w:val="nil"/>
                  </w:tcBorders>
                  <w:vAlign w:val="center"/>
                </w:tcPr>
                <w:p w14:paraId="6E9778EA">
                  <w:pPr>
                    <w:ind w:left="-105" w:leftChars="-50" w:right="-105" w:rightChars="-50"/>
                    <w:jc w:val="center"/>
                    <w:rPr>
                      <w:rFonts w:hint="default" w:ascii="Times New Roman" w:hAnsi="Times New Roman" w:eastAsia="宋体" w:cs="Times New Roman"/>
                      <w:color w:val="auto"/>
                      <w:sz w:val="21"/>
                      <w:szCs w:val="21"/>
                      <w:highlight w:val="none"/>
                      <w:lang w:eastAsia="zh-CN"/>
                    </w:rPr>
                  </w:pPr>
                  <w:r>
                    <w:rPr>
                      <w:rFonts w:hint="eastAsia"/>
                      <w:color w:val="auto"/>
                      <w:kern w:val="0"/>
                      <w:sz w:val="21"/>
                      <w:szCs w:val="21"/>
                    </w:rPr>
                    <w:t>废滤材滤渣</w:t>
                  </w:r>
                </w:p>
              </w:tc>
              <w:tc>
                <w:tcPr>
                  <w:tcW w:w="1020" w:type="dxa"/>
                  <w:tcBorders>
                    <w:tl2br w:val="nil"/>
                    <w:tr2bl w:val="nil"/>
                  </w:tcBorders>
                  <w:vAlign w:val="center"/>
                </w:tcPr>
                <w:p w14:paraId="5D281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371" w:type="dxa"/>
                  <w:tcBorders>
                    <w:tl2br w:val="nil"/>
                    <w:tr2bl w:val="nil"/>
                  </w:tcBorders>
                  <w:vAlign w:val="center"/>
                </w:tcPr>
                <w:p w14:paraId="3E0E52B1">
                  <w:pPr>
                    <w:ind w:left="-105" w:leftChars="-50" w:right="-105" w:rightChars="-50"/>
                    <w:jc w:val="center"/>
                    <w:rPr>
                      <w:rFonts w:hint="eastAsia" w:cs="Times New Roman"/>
                      <w:color w:val="auto"/>
                      <w:sz w:val="21"/>
                      <w:szCs w:val="21"/>
                      <w:highlight w:val="none"/>
                      <w:lang w:val="en-US" w:eastAsia="zh-CN"/>
                    </w:rPr>
                  </w:pPr>
                  <w:r>
                    <w:rPr>
                      <w:rFonts w:hint="eastAsia"/>
                      <w:color w:val="auto"/>
                      <w:sz w:val="21"/>
                      <w:szCs w:val="21"/>
                      <w:lang w:val="en-US" w:eastAsia="zh-CN"/>
                    </w:rPr>
                    <w:t>0.3</w:t>
                  </w:r>
                </w:p>
              </w:tc>
              <w:tc>
                <w:tcPr>
                  <w:tcW w:w="1179" w:type="dxa"/>
                  <w:tcBorders>
                    <w:tl2br w:val="nil"/>
                    <w:tr2bl w:val="nil"/>
                  </w:tcBorders>
                  <w:vAlign w:val="center"/>
                </w:tcPr>
                <w:p w14:paraId="0AFD92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2464" w:type="dxa"/>
                  <w:vMerge w:val="continue"/>
                  <w:tcBorders>
                    <w:tl2br w:val="nil"/>
                    <w:tr2bl w:val="nil"/>
                  </w:tcBorders>
                  <w:vAlign w:val="center"/>
                </w:tcPr>
                <w:p w14:paraId="48F920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eastAsia="zh-CN"/>
                    </w:rPr>
                  </w:pPr>
                </w:p>
              </w:tc>
            </w:tr>
            <w:tr w14:paraId="77C910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34" w:type="dxa"/>
                  <w:vMerge w:val="continue"/>
                  <w:tcBorders>
                    <w:tl2br w:val="nil"/>
                    <w:tr2bl w:val="nil"/>
                  </w:tcBorders>
                  <w:vAlign w:val="center"/>
                </w:tcPr>
                <w:p w14:paraId="3B8C1C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eastAsia="zh-CN"/>
                    </w:rPr>
                  </w:pPr>
                </w:p>
              </w:tc>
              <w:tc>
                <w:tcPr>
                  <w:tcW w:w="2122" w:type="dxa"/>
                  <w:tcBorders>
                    <w:tl2br w:val="nil"/>
                    <w:tr2bl w:val="nil"/>
                  </w:tcBorders>
                  <w:vAlign w:val="center"/>
                </w:tcPr>
                <w:p w14:paraId="254CCC78">
                  <w:pPr>
                    <w:ind w:left="-105" w:leftChars="-50" w:right="-105" w:rightChars="-50"/>
                    <w:jc w:val="center"/>
                    <w:rPr>
                      <w:rFonts w:hint="default" w:ascii="Times New Roman" w:hAnsi="Times New Roman" w:eastAsia="宋体" w:cs="Times New Roman"/>
                      <w:color w:val="auto"/>
                      <w:sz w:val="21"/>
                      <w:szCs w:val="21"/>
                      <w:highlight w:val="none"/>
                      <w:lang w:eastAsia="zh-CN"/>
                    </w:rPr>
                  </w:pPr>
                  <w:r>
                    <w:rPr>
                      <w:rFonts w:hint="eastAsia"/>
                      <w:color w:val="auto"/>
                      <w:sz w:val="21"/>
                      <w:szCs w:val="21"/>
                      <w:lang w:val="en-US" w:eastAsia="zh-CN"/>
                    </w:rPr>
                    <w:t>废</w:t>
                  </w:r>
                  <w:r>
                    <w:rPr>
                      <w:rFonts w:hint="eastAsia"/>
                      <w:color w:val="auto"/>
                      <w:sz w:val="21"/>
                      <w:szCs w:val="21"/>
                    </w:rPr>
                    <w:t>丝网版</w:t>
                  </w:r>
                </w:p>
              </w:tc>
              <w:tc>
                <w:tcPr>
                  <w:tcW w:w="1020" w:type="dxa"/>
                  <w:tcBorders>
                    <w:tl2br w:val="nil"/>
                    <w:tr2bl w:val="nil"/>
                  </w:tcBorders>
                  <w:vAlign w:val="center"/>
                </w:tcPr>
                <w:p w14:paraId="3182E7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371" w:type="dxa"/>
                  <w:tcBorders>
                    <w:tl2br w:val="nil"/>
                    <w:tr2bl w:val="nil"/>
                  </w:tcBorders>
                  <w:vAlign w:val="center"/>
                </w:tcPr>
                <w:p w14:paraId="3AED9473">
                  <w:pPr>
                    <w:ind w:left="-105" w:leftChars="-50" w:right="-105" w:rightChars="-50"/>
                    <w:jc w:val="center"/>
                    <w:rPr>
                      <w:rFonts w:hint="eastAsia" w:cs="Times New Roman"/>
                      <w:color w:val="auto"/>
                      <w:sz w:val="21"/>
                      <w:szCs w:val="21"/>
                      <w:highlight w:val="none"/>
                      <w:lang w:val="en-US" w:eastAsia="zh-CN"/>
                    </w:rPr>
                  </w:pPr>
                  <w:r>
                    <w:rPr>
                      <w:rFonts w:hint="eastAsia"/>
                      <w:color w:val="auto"/>
                      <w:sz w:val="21"/>
                      <w:szCs w:val="21"/>
                      <w:lang w:val="en-US" w:eastAsia="zh-CN"/>
                    </w:rPr>
                    <w:t>0.01</w:t>
                  </w:r>
                </w:p>
              </w:tc>
              <w:tc>
                <w:tcPr>
                  <w:tcW w:w="1179" w:type="dxa"/>
                  <w:tcBorders>
                    <w:tl2br w:val="nil"/>
                    <w:tr2bl w:val="nil"/>
                  </w:tcBorders>
                  <w:vAlign w:val="center"/>
                </w:tcPr>
                <w:p w14:paraId="439381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2464" w:type="dxa"/>
                  <w:vMerge w:val="continue"/>
                  <w:tcBorders>
                    <w:tl2br w:val="nil"/>
                    <w:tr2bl w:val="nil"/>
                  </w:tcBorders>
                  <w:vAlign w:val="center"/>
                </w:tcPr>
                <w:p w14:paraId="444A29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eastAsia="zh-CN"/>
                    </w:rPr>
                  </w:pPr>
                </w:p>
              </w:tc>
            </w:tr>
            <w:tr w14:paraId="4196A3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634" w:type="dxa"/>
                  <w:vMerge w:val="continue"/>
                  <w:tcBorders>
                    <w:tl2br w:val="nil"/>
                    <w:tr2bl w:val="nil"/>
                  </w:tcBorders>
                  <w:vAlign w:val="center"/>
                </w:tcPr>
                <w:p w14:paraId="3D4CC9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eastAsia="zh-CN"/>
                    </w:rPr>
                  </w:pPr>
                </w:p>
              </w:tc>
              <w:tc>
                <w:tcPr>
                  <w:tcW w:w="2122" w:type="dxa"/>
                  <w:tcBorders>
                    <w:tl2br w:val="nil"/>
                    <w:tr2bl w:val="nil"/>
                  </w:tcBorders>
                  <w:vAlign w:val="center"/>
                </w:tcPr>
                <w:p w14:paraId="49C0DB5B">
                  <w:pPr>
                    <w:ind w:left="-105" w:leftChars="-50" w:right="-105" w:rightChars="-50"/>
                    <w:jc w:val="center"/>
                    <w:rPr>
                      <w:rFonts w:hint="default" w:ascii="Times New Roman" w:hAnsi="Times New Roman" w:eastAsia="宋体" w:cs="Times New Roman"/>
                      <w:color w:val="auto"/>
                      <w:sz w:val="21"/>
                      <w:szCs w:val="21"/>
                      <w:highlight w:val="none"/>
                      <w:lang w:eastAsia="zh-CN"/>
                    </w:rPr>
                  </w:pPr>
                  <w:r>
                    <w:rPr>
                      <w:rFonts w:hint="eastAsia"/>
                      <w:color w:val="auto"/>
                      <w:sz w:val="21"/>
                      <w:szCs w:val="21"/>
                      <w:lang w:val="en-US" w:eastAsia="zh-CN"/>
                    </w:rPr>
                    <w:t>清洁丝网版棉布手套</w:t>
                  </w:r>
                </w:p>
              </w:tc>
              <w:tc>
                <w:tcPr>
                  <w:tcW w:w="1020" w:type="dxa"/>
                  <w:tcBorders>
                    <w:tl2br w:val="nil"/>
                    <w:tr2bl w:val="nil"/>
                  </w:tcBorders>
                  <w:vAlign w:val="center"/>
                </w:tcPr>
                <w:p w14:paraId="028C78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371" w:type="dxa"/>
                  <w:tcBorders>
                    <w:tl2br w:val="nil"/>
                    <w:tr2bl w:val="nil"/>
                  </w:tcBorders>
                  <w:vAlign w:val="center"/>
                </w:tcPr>
                <w:p w14:paraId="12202070">
                  <w:pPr>
                    <w:ind w:left="-105" w:leftChars="-50" w:right="-105" w:rightChars="-50"/>
                    <w:jc w:val="center"/>
                    <w:rPr>
                      <w:rFonts w:hint="eastAsia" w:cs="Times New Roman"/>
                      <w:color w:val="auto"/>
                      <w:sz w:val="21"/>
                      <w:szCs w:val="21"/>
                      <w:highlight w:val="none"/>
                      <w:lang w:val="en-US" w:eastAsia="zh-CN"/>
                    </w:rPr>
                  </w:pPr>
                  <w:r>
                    <w:rPr>
                      <w:rFonts w:hint="eastAsia"/>
                      <w:color w:val="auto"/>
                      <w:sz w:val="21"/>
                      <w:szCs w:val="21"/>
                      <w:lang w:val="en-US" w:eastAsia="zh-CN"/>
                    </w:rPr>
                    <w:t>0.05</w:t>
                  </w:r>
                </w:p>
              </w:tc>
              <w:tc>
                <w:tcPr>
                  <w:tcW w:w="1179" w:type="dxa"/>
                  <w:tcBorders>
                    <w:tl2br w:val="nil"/>
                    <w:tr2bl w:val="nil"/>
                  </w:tcBorders>
                  <w:vAlign w:val="center"/>
                </w:tcPr>
                <w:p w14:paraId="556679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2464" w:type="dxa"/>
                  <w:vMerge w:val="continue"/>
                  <w:tcBorders>
                    <w:tl2br w:val="nil"/>
                    <w:tr2bl w:val="nil"/>
                  </w:tcBorders>
                  <w:vAlign w:val="center"/>
                </w:tcPr>
                <w:p w14:paraId="50DB4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eastAsia="zh-CN"/>
                    </w:rPr>
                  </w:pPr>
                </w:p>
              </w:tc>
            </w:tr>
            <w:tr w14:paraId="49D69D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634" w:type="dxa"/>
                  <w:vMerge w:val="continue"/>
                  <w:tcBorders>
                    <w:tl2br w:val="nil"/>
                    <w:tr2bl w:val="nil"/>
                  </w:tcBorders>
                  <w:vAlign w:val="center"/>
                </w:tcPr>
                <w:p w14:paraId="39D87C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eastAsia="zh-CN"/>
                    </w:rPr>
                  </w:pPr>
                </w:p>
              </w:tc>
              <w:tc>
                <w:tcPr>
                  <w:tcW w:w="2122" w:type="dxa"/>
                  <w:tcBorders>
                    <w:tl2br w:val="nil"/>
                    <w:tr2bl w:val="nil"/>
                  </w:tcBorders>
                  <w:vAlign w:val="center"/>
                </w:tcPr>
                <w:p w14:paraId="211B6987">
                  <w:pPr>
                    <w:ind w:left="-105" w:leftChars="-50" w:right="-105" w:rightChars="-50"/>
                    <w:jc w:val="center"/>
                    <w:rPr>
                      <w:rFonts w:hint="default" w:ascii="Times New Roman" w:hAnsi="Times New Roman" w:eastAsia="宋体" w:cs="Times New Roman"/>
                      <w:color w:val="auto"/>
                      <w:sz w:val="21"/>
                      <w:szCs w:val="21"/>
                      <w:highlight w:val="none"/>
                      <w:lang w:eastAsia="zh-CN"/>
                    </w:rPr>
                  </w:pPr>
                  <w:r>
                    <w:rPr>
                      <w:rFonts w:hint="eastAsia"/>
                      <w:color w:val="auto"/>
                      <w:kern w:val="0"/>
                      <w:sz w:val="21"/>
                      <w:szCs w:val="21"/>
                    </w:rPr>
                    <w:t>废CTP版</w:t>
                  </w:r>
                </w:p>
              </w:tc>
              <w:tc>
                <w:tcPr>
                  <w:tcW w:w="1020" w:type="dxa"/>
                  <w:tcBorders>
                    <w:tl2br w:val="nil"/>
                    <w:tr2bl w:val="nil"/>
                  </w:tcBorders>
                  <w:vAlign w:val="center"/>
                </w:tcPr>
                <w:p w14:paraId="6E37AF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371" w:type="dxa"/>
                  <w:tcBorders>
                    <w:tl2br w:val="nil"/>
                    <w:tr2bl w:val="nil"/>
                  </w:tcBorders>
                  <w:vAlign w:val="center"/>
                </w:tcPr>
                <w:p w14:paraId="2A09F7E2">
                  <w:pPr>
                    <w:ind w:left="-105" w:leftChars="-50" w:right="-105" w:rightChars="-50"/>
                    <w:jc w:val="center"/>
                    <w:rPr>
                      <w:rFonts w:hint="eastAsia" w:cs="Times New Roman"/>
                      <w:color w:val="auto"/>
                      <w:sz w:val="21"/>
                      <w:szCs w:val="21"/>
                      <w:highlight w:val="none"/>
                      <w:lang w:val="en-US" w:eastAsia="zh-CN"/>
                    </w:rPr>
                  </w:pPr>
                  <w:r>
                    <w:rPr>
                      <w:rFonts w:hint="eastAsia"/>
                      <w:color w:val="auto"/>
                      <w:sz w:val="21"/>
                      <w:szCs w:val="21"/>
                      <w:lang w:val="en-US" w:eastAsia="zh-CN"/>
                    </w:rPr>
                    <w:t>0.3</w:t>
                  </w:r>
                </w:p>
              </w:tc>
              <w:tc>
                <w:tcPr>
                  <w:tcW w:w="1179" w:type="dxa"/>
                  <w:tcBorders>
                    <w:tl2br w:val="nil"/>
                    <w:tr2bl w:val="nil"/>
                  </w:tcBorders>
                  <w:vAlign w:val="center"/>
                </w:tcPr>
                <w:p w14:paraId="3B7A6E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2464" w:type="dxa"/>
                  <w:vMerge w:val="continue"/>
                  <w:tcBorders>
                    <w:tl2br w:val="nil"/>
                    <w:tr2bl w:val="nil"/>
                  </w:tcBorders>
                  <w:vAlign w:val="center"/>
                </w:tcPr>
                <w:p w14:paraId="45A3D7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eastAsia="zh-CN"/>
                    </w:rPr>
                  </w:pPr>
                </w:p>
              </w:tc>
            </w:tr>
            <w:tr w14:paraId="650795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634" w:type="dxa"/>
                  <w:vMerge w:val="continue"/>
                  <w:tcBorders>
                    <w:tl2br w:val="nil"/>
                    <w:tr2bl w:val="nil"/>
                  </w:tcBorders>
                  <w:vAlign w:val="center"/>
                </w:tcPr>
                <w:p w14:paraId="61092D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eastAsia="zh-CN"/>
                    </w:rPr>
                  </w:pPr>
                </w:p>
              </w:tc>
              <w:tc>
                <w:tcPr>
                  <w:tcW w:w="2122" w:type="dxa"/>
                  <w:tcBorders>
                    <w:tl2br w:val="nil"/>
                    <w:tr2bl w:val="nil"/>
                  </w:tcBorders>
                  <w:vAlign w:val="center"/>
                </w:tcPr>
                <w:p w14:paraId="6754960B">
                  <w:pPr>
                    <w:ind w:left="-105" w:leftChars="-50" w:right="-105" w:rightChars="-50"/>
                    <w:jc w:val="center"/>
                    <w:rPr>
                      <w:rFonts w:hint="default" w:eastAsia="宋体"/>
                      <w:color w:val="auto"/>
                      <w:kern w:val="0"/>
                      <w:sz w:val="21"/>
                      <w:szCs w:val="21"/>
                      <w:lang w:val="en-US" w:eastAsia="zh-CN"/>
                    </w:rPr>
                  </w:pPr>
                  <w:r>
                    <w:rPr>
                      <w:rFonts w:hint="eastAsia"/>
                      <w:color w:val="auto"/>
                      <w:kern w:val="0"/>
                      <w:sz w:val="21"/>
                      <w:szCs w:val="21"/>
                      <w:lang w:val="en-US" w:eastAsia="zh-CN"/>
                    </w:rPr>
                    <w:t>废UV灯管</w:t>
                  </w:r>
                </w:p>
              </w:tc>
              <w:tc>
                <w:tcPr>
                  <w:tcW w:w="1020" w:type="dxa"/>
                  <w:tcBorders>
                    <w:tl2br w:val="nil"/>
                    <w:tr2bl w:val="nil"/>
                  </w:tcBorders>
                  <w:vAlign w:val="center"/>
                </w:tcPr>
                <w:p w14:paraId="6C23BE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371" w:type="dxa"/>
                  <w:tcBorders>
                    <w:tl2br w:val="nil"/>
                    <w:tr2bl w:val="nil"/>
                  </w:tcBorders>
                  <w:vAlign w:val="center"/>
                </w:tcPr>
                <w:p w14:paraId="2DD7CDE6">
                  <w:pPr>
                    <w:ind w:left="-105" w:leftChars="-50" w:right="-105" w:rightChars="-50"/>
                    <w:jc w:val="center"/>
                    <w:rPr>
                      <w:rFonts w:hint="default"/>
                      <w:color w:val="auto"/>
                      <w:sz w:val="21"/>
                      <w:szCs w:val="21"/>
                      <w:lang w:val="en-US" w:eastAsia="zh-CN"/>
                    </w:rPr>
                  </w:pPr>
                  <w:r>
                    <w:rPr>
                      <w:rFonts w:hint="eastAsia"/>
                      <w:color w:val="auto"/>
                      <w:sz w:val="21"/>
                      <w:szCs w:val="21"/>
                      <w:lang w:val="en-US" w:eastAsia="zh-CN"/>
                    </w:rPr>
                    <w:t>0.01</w:t>
                  </w:r>
                </w:p>
              </w:tc>
              <w:tc>
                <w:tcPr>
                  <w:tcW w:w="1179" w:type="dxa"/>
                  <w:tcBorders>
                    <w:tl2br w:val="nil"/>
                    <w:tr2bl w:val="nil"/>
                  </w:tcBorders>
                  <w:vAlign w:val="center"/>
                </w:tcPr>
                <w:p w14:paraId="6A37B5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2464" w:type="dxa"/>
                  <w:vMerge w:val="continue"/>
                  <w:tcBorders>
                    <w:tl2br w:val="nil"/>
                    <w:tr2bl w:val="nil"/>
                  </w:tcBorders>
                  <w:vAlign w:val="center"/>
                </w:tcPr>
                <w:p w14:paraId="46D6F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eastAsia="zh-CN"/>
                    </w:rPr>
                  </w:pPr>
                </w:p>
              </w:tc>
            </w:tr>
            <w:tr w14:paraId="1FF942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634" w:type="dxa"/>
                  <w:vMerge w:val="continue"/>
                  <w:tcBorders>
                    <w:tl2br w:val="nil"/>
                    <w:tr2bl w:val="nil"/>
                  </w:tcBorders>
                  <w:vAlign w:val="center"/>
                </w:tcPr>
                <w:p w14:paraId="242A0D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eastAsia="zh-CN"/>
                    </w:rPr>
                  </w:pPr>
                </w:p>
              </w:tc>
              <w:tc>
                <w:tcPr>
                  <w:tcW w:w="2122" w:type="dxa"/>
                  <w:tcBorders>
                    <w:tl2br w:val="nil"/>
                    <w:tr2bl w:val="nil"/>
                  </w:tcBorders>
                  <w:vAlign w:val="center"/>
                </w:tcPr>
                <w:p w14:paraId="06F3E974">
                  <w:pPr>
                    <w:ind w:left="-105" w:leftChars="-50" w:right="-105" w:rightChars="-50"/>
                    <w:jc w:val="center"/>
                    <w:rPr>
                      <w:rFonts w:hint="default" w:ascii="Times New Roman" w:hAnsi="Times New Roman" w:eastAsia="宋体" w:cs="Times New Roman"/>
                      <w:color w:val="auto"/>
                      <w:sz w:val="21"/>
                      <w:szCs w:val="21"/>
                      <w:highlight w:val="none"/>
                      <w:lang w:eastAsia="zh-CN"/>
                    </w:rPr>
                  </w:pPr>
                  <w:r>
                    <w:rPr>
                      <w:rFonts w:hint="eastAsia"/>
                      <w:color w:val="auto"/>
                      <w:sz w:val="21"/>
                      <w:szCs w:val="21"/>
                      <w:highlight w:val="none"/>
                      <w:lang w:val="en-US" w:eastAsia="zh-CN"/>
                    </w:rPr>
                    <w:t>废润滑油</w:t>
                  </w:r>
                </w:p>
              </w:tc>
              <w:tc>
                <w:tcPr>
                  <w:tcW w:w="1020" w:type="dxa"/>
                  <w:tcBorders>
                    <w:tl2br w:val="nil"/>
                    <w:tr2bl w:val="nil"/>
                  </w:tcBorders>
                  <w:vAlign w:val="center"/>
                </w:tcPr>
                <w:p w14:paraId="2E67E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1371" w:type="dxa"/>
                  <w:tcBorders>
                    <w:tl2br w:val="nil"/>
                    <w:tr2bl w:val="nil"/>
                  </w:tcBorders>
                  <w:vAlign w:val="center"/>
                </w:tcPr>
                <w:p w14:paraId="3405405A">
                  <w:pPr>
                    <w:spacing w:line="320" w:lineRule="exact"/>
                    <w:ind w:left="-105" w:leftChars="-50" w:right="-105" w:rightChars="-50"/>
                    <w:jc w:val="center"/>
                    <w:rPr>
                      <w:rFonts w:hint="eastAsia" w:cs="Times New Roman"/>
                      <w:color w:val="auto"/>
                      <w:sz w:val="21"/>
                      <w:szCs w:val="21"/>
                      <w:highlight w:val="none"/>
                      <w:lang w:val="en-US" w:eastAsia="zh-CN"/>
                    </w:rPr>
                  </w:pPr>
                  <w:r>
                    <w:rPr>
                      <w:rFonts w:hint="eastAsia"/>
                      <w:bCs/>
                      <w:color w:val="auto"/>
                      <w:sz w:val="21"/>
                      <w:szCs w:val="21"/>
                      <w:lang w:val="en-US" w:eastAsia="zh-CN"/>
                    </w:rPr>
                    <w:t>0.1</w:t>
                  </w:r>
                </w:p>
              </w:tc>
              <w:tc>
                <w:tcPr>
                  <w:tcW w:w="1179" w:type="dxa"/>
                  <w:tcBorders>
                    <w:tl2br w:val="nil"/>
                    <w:tr2bl w:val="nil"/>
                  </w:tcBorders>
                  <w:vAlign w:val="center"/>
                </w:tcPr>
                <w:p w14:paraId="22B3DB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2464" w:type="dxa"/>
                  <w:vMerge w:val="continue"/>
                  <w:tcBorders>
                    <w:tl2br w:val="nil"/>
                    <w:tr2bl w:val="nil"/>
                  </w:tcBorders>
                  <w:vAlign w:val="center"/>
                </w:tcPr>
                <w:p w14:paraId="198EA2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eastAsia="zh-CN"/>
                    </w:rPr>
                  </w:pPr>
                </w:p>
              </w:tc>
            </w:tr>
            <w:tr w14:paraId="30CEC8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34" w:type="dxa"/>
                  <w:vMerge w:val="continue"/>
                  <w:tcBorders>
                    <w:tl2br w:val="nil"/>
                    <w:tr2bl w:val="nil"/>
                  </w:tcBorders>
                  <w:vAlign w:val="center"/>
                </w:tcPr>
                <w:p w14:paraId="6AF6EF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eastAsia="zh-CN"/>
                    </w:rPr>
                  </w:pPr>
                </w:p>
              </w:tc>
              <w:tc>
                <w:tcPr>
                  <w:tcW w:w="2122" w:type="dxa"/>
                  <w:tcBorders>
                    <w:tl2br w:val="nil"/>
                    <w:tr2bl w:val="nil"/>
                  </w:tcBorders>
                  <w:vAlign w:val="center"/>
                </w:tcPr>
                <w:p w14:paraId="4BFEDC0B">
                  <w:pPr>
                    <w:ind w:left="-105" w:leftChars="-50" w:right="-105" w:rightChars="-50"/>
                    <w:jc w:val="center"/>
                    <w:rPr>
                      <w:rFonts w:hint="default" w:ascii="Times New Roman" w:hAnsi="Times New Roman" w:eastAsia="宋体" w:cs="Times New Roman"/>
                      <w:color w:val="auto"/>
                      <w:sz w:val="21"/>
                      <w:szCs w:val="21"/>
                      <w:highlight w:val="none"/>
                      <w:lang w:eastAsia="zh-CN"/>
                    </w:rPr>
                  </w:pPr>
                  <w:r>
                    <w:rPr>
                      <w:rFonts w:hint="eastAsia"/>
                      <w:color w:val="auto"/>
                      <w:sz w:val="21"/>
                      <w:szCs w:val="21"/>
                      <w:highlight w:val="none"/>
                    </w:rPr>
                    <w:t>废</w:t>
                  </w:r>
                  <w:r>
                    <w:rPr>
                      <w:rFonts w:hint="eastAsia"/>
                      <w:color w:val="auto"/>
                      <w:sz w:val="21"/>
                      <w:szCs w:val="21"/>
                      <w:highlight w:val="none"/>
                      <w:lang w:val="en-US" w:eastAsia="zh-CN"/>
                    </w:rPr>
                    <w:t>棉纱</w:t>
                  </w:r>
                  <w:r>
                    <w:rPr>
                      <w:rFonts w:hint="eastAsia"/>
                      <w:color w:val="auto"/>
                      <w:sz w:val="21"/>
                      <w:szCs w:val="21"/>
                      <w:highlight w:val="none"/>
                    </w:rPr>
                    <w:t>手套</w:t>
                  </w:r>
                </w:p>
              </w:tc>
              <w:tc>
                <w:tcPr>
                  <w:tcW w:w="1020" w:type="dxa"/>
                  <w:tcBorders>
                    <w:tl2br w:val="nil"/>
                    <w:tr2bl w:val="nil"/>
                  </w:tcBorders>
                  <w:vAlign w:val="center"/>
                </w:tcPr>
                <w:p w14:paraId="68D44E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1371" w:type="dxa"/>
                  <w:tcBorders>
                    <w:tl2br w:val="nil"/>
                    <w:tr2bl w:val="nil"/>
                  </w:tcBorders>
                  <w:vAlign w:val="center"/>
                </w:tcPr>
                <w:p w14:paraId="562E04AE">
                  <w:pPr>
                    <w:ind w:left="-105" w:leftChars="-50" w:right="-105" w:rightChars="-50"/>
                    <w:jc w:val="center"/>
                    <w:rPr>
                      <w:rFonts w:hint="eastAsia" w:cs="Times New Roman"/>
                      <w:color w:val="auto"/>
                      <w:sz w:val="21"/>
                      <w:szCs w:val="21"/>
                      <w:highlight w:val="none"/>
                      <w:lang w:val="en-US" w:eastAsia="zh-CN"/>
                    </w:rPr>
                  </w:pPr>
                  <w:r>
                    <w:rPr>
                      <w:rFonts w:hint="eastAsia"/>
                      <w:color w:val="auto"/>
                      <w:sz w:val="21"/>
                      <w:szCs w:val="21"/>
                      <w:lang w:val="en-US" w:eastAsia="zh-CN"/>
                    </w:rPr>
                    <w:t>0.05</w:t>
                  </w:r>
                </w:p>
              </w:tc>
              <w:tc>
                <w:tcPr>
                  <w:tcW w:w="1179" w:type="dxa"/>
                  <w:tcBorders>
                    <w:tl2br w:val="nil"/>
                    <w:tr2bl w:val="nil"/>
                  </w:tcBorders>
                  <w:vAlign w:val="center"/>
                </w:tcPr>
                <w:p w14:paraId="67B614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0.07</w:t>
                  </w:r>
                </w:p>
              </w:tc>
              <w:tc>
                <w:tcPr>
                  <w:tcW w:w="2464" w:type="dxa"/>
                  <w:vMerge w:val="continue"/>
                  <w:tcBorders>
                    <w:tl2br w:val="nil"/>
                    <w:tr2bl w:val="nil"/>
                  </w:tcBorders>
                  <w:vAlign w:val="center"/>
                </w:tcPr>
                <w:p w14:paraId="15F409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eastAsia="zh-CN"/>
                    </w:rPr>
                  </w:pPr>
                </w:p>
              </w:tc>
            </w:tr>
            <w:tr w14:paraId="1B8540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634" w:type="dxa"/>
                  <w:vMerge w:val="continue"/>
                  <w:tcBorders>
                    <w:tl2br w:val="nil"/>
                    <w:tr2bl w:val="nil"/>
                  </w:tcBorders>
                  <w:vAlign w:val="center"/>
                </w:tcPr>
                <w:p w14:paraId="603886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eastAsia="zh-CN"/>
                    </w:rPr>
                  </w:pPr>
                </w:p>
              </w:tc>
              <w:tc>
                <w:tcPr>
                  <w:tcW w:w="2122" w:type="dxa"/>
                  <w:tcBorders>
                    <w:tl2br w:val="nil"/>
                    <w:tr2bl w:val="nil"/>
                  </w:tcBorders>
                  <w:vAlign w:val="center"/>
                </w:tcPr>
                <w:p w14:paraId="0A2AEA30">
                  <w:pPr>
                    <w:ind w:left="-105" w:leftChars="-50" w:right="-105" w:rightChars="-50"/>
                    <w:jc w:val="center"/>
                    <w:rPr>
                      <w:rFonts w:hint="default" w:ascii="Times New Roman" w:hAnsi="Times New Roman" w:eastAsia="宋体" w:cs="Times New Roman"/>
                      <w:color w:val="auto"/>
                      <w:sz w:val="21"/>
                      <w:szCs w:val="21"/>
                      <w:highlight w:val="none"/>
                      <w:lang w:eastAsia="zh-CN"/>
                    </w:rPr>
                  </w:pPr>
                  <w:r>
                    <w:rPr>
                      <w:rFonts w:hint="eastAsia"/>
                      <w:color w:val="auto"/>
                      <w:kern w:val="0"/>
                      <w:sz w:val="21"/>
                      <w:szCs w:val="21"/>
                      <w:highlight w:val="none"/>
                    </w:rPr>
                    <w:t>废活性炭</w:t>
                  </w:r>
                </w:p>
              </w:tc>
              <w:tc>
                <w:tcPr>
                  <w:tcW w:w="1020" w:type="dxa"/>
                  <w:tcBorders>
                    <w:tl2br w:val="nil"/>
                    <w:tr2bl w:val="nil"/>
                  </w:tcBorders>
                  <w:vAlign w:val="center"/>
                </w:tcPr>
                <w:p w14:paraId="6EB663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9.19</w:t>
                  </w:r>
                </w:p>
              </w:tc>
              <w:tc>
                <w:tcPr>
                  <w:tcW w:w="1371" w:type="dxa"/>
                  <w:tcBorders>
                    <w:tl2br w:val="nil"/>
                    <w:tr2bl w:val="nil"/>
                  </w:tcBorders>
                  <w:vAlign w:val="center"/>
                </w:tcPr>
                <w:p w14:paraId="7A1E53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52.17</w:t>
                  </w:r>
                </w:p>
              </w:tc>
              <w:tc>
                <w:tcPr>
                  <w:tcW w:w="1179" w:type="dxa"/>
                  <w:tcBorders>
                    <w:tl2br w:val="nil"/>
                    <w:tr2bl w:val="nil"/>
                  </w:tcBorders>
                  <w:vAlign w:val="center"/>
                </w:tcPr>
                <w:p w14:paraId="33A9F3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61.36</w:t>
                  </w:r>
                </w:p>
              </w:tc>
              <w:tc>
                <w:tcPr>
                  <w:tcW w:w="2464" w:type="dxa"/>
                  <w:vMerge w:val="continue"/>
                  <w:tcBorders>
                    <w:tl2br w:val="nil"/>
                    <w:tr2bl w:val="nil"/>
                  </w:tcBorders>
                  <w:vAlign w:val="center"/>
                </w:tcPr>
                <w:p w14:paraId="1FB466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eastAsia="zh-CN"/>
                    </w:rPr>
                  </w:pPr>
                </w:p>
              </w:tc>
            </w:tr>
            <w:tr w14:paraId="2FE95B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4" w:type="dxa"/>
                  <w:vMerge w:val="continue"/>
                  <w:tcBorders>
                    <w:tl2br w:val="nil"/>
                    <w:tr2bl w:val="nil"/>
                  </w:tcBorders>
                  <w:vAlign w:val="center"/>
                </w:tcPr>
                <w:p w14:paraId="46528D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eastAsia="zh-CN"/>
                    </w:rPr>
                  </w:pPr>
                </w:p>
              </w:tc>
              <w:tc>
                <w:tcPr>
                  <w:tcW w:w="2122" w:type="dxa"/>
                  <w:tcBorders>
                    <w:tl2br w:val="nil"/>
                    <w:tr2bl w:val="nil"/>
                  </w:tcBorders>
                  <w:vAlign w:val="center"/>
                </w:tcPr>
                <w:p w14:paraId="7C6828D0">
                  <w:pPr>
                    <w:ind w:left="-105" w:leftChars="-50" w:right="-105" w:rightChars="-5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隔油池污泥</w:t>
                  </w:r>
                </w:p>
              </w:tc>
              <w:tc>
                <w:tcPr>
                  <w:tcW w:w="1020" w:type="dxa"/>
                  <w:tcBorders>
                    <w:tl2br w:val="nil"/>
                    <w:tr2bl w:val="nil"/>
                  </w:tcBorders>
                  <w:vAlign w:val="center"/>
                </w:tcPr>
                <w:p w14:paraId="0DE007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1371" w:type="dxa"/>
                  <w:tcBorders>
                    <w:tl2br w:val="nil"/>
                    <w:tr2bl w:val="nil"/>
                  </w:tcBorders>
                  <w:vAlign w:val="center"/>
                </w:tcPr>
                <w:p w14:paraId="5D6E4D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179" w:type="dxa"/>
                  <w:tcBorders>
                    <w:tl2br w:val="nil"/>
                    <w:tr2bl w:val="nil"/>
                  </w:tcBorders>
                  <w:vAlign w:val="center"/>
                </w:tcPr>
                <w:p w14:paraId="57AED9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2464" w:type="dxa"/>
                  <w:vMerge w:val="continue"/>
                  <w:tcBorders>
                    <w:tl2br w:val="nil"/>
                    <w:tr2bl w:val="nil"/>
                  </w:tcBorders>
                  <w:vAlign w:val="center"/>
                </w:tcPr>
                <w:p w14:paraId="4A7D87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eastAsia="zh-CN"/>
                    </w:rPr>
                  </w:pPr>
                </w:p>
              </w:tc>
            </w:tr>
          </w:tbl>
          <w:p w14:paraId="3AFB01D0">
            <w:pPr>
              <w:pStyle w:val="10"/>
              <w:keepNext w:val="0"/>
              <w:keepLines w:val="0"/>
              <w:pageBreakBefore w:val="0"/>
              <w:suppressLineNumbers w:val="0"/>
              <w:kinsoku/>
              <w:wordWrap/>
              <w:overflowPunct/>
              <w:topLinePunct w:val="0"/>
              <w:autoSpaceDE/>
              <w:autoSpaceDN/>
              <w:bidi w:val="0"/>
              <w:adjustRightInd/>
              <w:snapToGrid/>
              <w:spacing w:before="40" w:beforeAutospacing="0" w:afterAutospacing="0" w:line="360" w:lineRule="auto"/>
              <w:ind w:left="0" w:right="232" w:firstLine="452" w:firstLineChars="200"/>
              <w:textAlignment w:val="auto"/>
              <w:rPr>
                <w:rFonts w:hint="eastAsia" w:ascii="宋体" w:hAnsi="宋体" w:eastAsia="宋体" w:cs="宋体"/>
                <w:color w:val="auto"/>
                <w:spacing w:val="-7"/>
                <w:sz w:val="24"/>
                <w:szCs w:val="24"/>
                <w:lang w:eastAsia="zh-CN"/>
              </w:rPr>
            </w:pPr>
            <w:r>
              <w:rPr>
                <w:rFonts w:hint="eastAsia" w:ascii="宋体" w:hAnsi="宋体" w:eastAsia="宋体" w:cs="宋体"/>
                <w:color w:val="auto"/>
                <w:spacing w:val="-7"/>
                <w:sz w:val="24"/>
                <w:szCs w:val="24"/>
                <w:lang w:eastAsia="zh-CN"/>
              </w:rPr>
              <w:t>综上分析，项目产生的固废均</w:t>
            </w:r>
            <w:r>
              <w:rPr>
                <w:rFonts w:hint="eastAsia" w:ascii="宋体" w:hAnsi="宋体" w:cs="宋体"/>
                <w:color w:val="auto"/>
                <w:spacing w:val="-7"/>
                <w:sz w:val="24"/>
                <w:szCs w:val="24"/>
                <w:lang w:eastAsia="zh-CN"/>
              </w:rPr>
              <w:t>能</w:t>
            </w:r>
            <w:r>
              <w:rPr>
                <w:rFonts w:hint="eastAsia" w:ascii="宋体" w:hAnsi="宋体" w:eastAsia="宋体" w:cs="宋体"/>
                <w:color w:val="auto"/>
                <w:spacing w:val="-7"/>
                <w:sz w:val="24"/>
                <w:szCs w:val="24"/>
                <w:lang w:eastAsia="zh-CN"/>
              </w:rPr>
              <w:t>得到妥善处置，</w:t>
            </w:r>
            <w:r>
              <w:rPr>
                <w:rFonts w:hint="eastAsia" w:ascii="宋体" w:hAnsi="宋体" w:cs="宋体"/>
                <w:color w:val="auto"/>
                <w:spacing w:val="-7"/>
                <w:sz w:val="24"/>
                <w:szCs w:val="24"/>
                <w:lang w:eastAsia="zh-CN"/>
              </w:rPr>
              <w:t>去向明确，</w:t>
            </w:r>
            <w:r>
              <w:rPr>
                <w:rFonts w:hint="eastAsia" w:ascii="宋体" w:hAnsi="宋体" w:eastAsia="宋体" w:cs="宋体"/>
                <w:color w:val="auto"/>
                <w:spacing w:val="-7"/>
                <w:sz w:val="24"/>
                <w:szCs w:val="24"/>
                <w:lang w:eastAsia="zh-CN"/>
              </w:rPr>
              <w:t>不会对环境产生二次污染。</w:t>
            </w:r>
          </w:p>
          <w:p w14:paraId="3F40295E">
            <w:pPr>
              <w:widowControl/>
              <w:adjustRightInd w:val="0"/>
              <w:snapToGrid w:val="0"/>
              <w:spacing w:line="360" w:lineRule="auto"/>
              <w:ind w:firstLine="482" w:firstLineChars="200"/>
              <w:jc w:val="left"/>
              <w:rPr>
                <w:b/>
                <w:color w:val="auto"/>
                <w:sz w:val="24"/>
              </w:rPr>
            </w:pPr>
            <w:r>
              <w:rPr>
                <w:rFonts w:hint="eastAsia"/>
                <w:b/>
                <w:color w:val="auto"/>
                <w:sz w:val="24"/>
              </w:rPr>
              <w:t>5、地下水、土壤</w:t>
            </w:r>
          </w:p>
          <w:p w14:paraId="53F34660">
            <w:pPr>
              <w:widowControl/>
              <w:adjustRightInd w:val="0"/>
              <w:snapToGrid w:val="0"/>
              <w:spacing w:line="360" w:lineRule="auto"/>
              <w:ind w:firstLine="482" w:firstLineChars="200"/>
              <w:jc w:val="left"/>
              <w:rPr>
                <w:b/>
                <w:color w:val="auto"/>
                <w:sz w:val="24"/>
              </w:rPr>
            </w:pPr>
            <w:r>
              <w:rPr>
                <w:rFonts w:hint="eastAsia"/>
                <w:b/>
                <w:color w:val="auto"/>
                <w:sz w:val="24"/>
              </w:rPr>
              <w:t>（1）环境影响类型与影响途径识别</w:t>
            </w:r>
          </w:p>
          <w:p w14:paraId="45DA2F93">
            <w:pPr>
              <w:widowControl/>
              <w:spacing w:line="360" w:lineRule="auto"/>
              <w:ind w:firstLine="480" w:firstLineChars="200"/>
              <w:rPr>
                <w:b/>
                <w:bCs/>
                <w:color w:val="auto"/>
                <w:sz w:val="24"/>
              </w:rPr>
            </w:pPr>
            <w:r>
              <w:rPr>
                <w:rFonts w:hint="eastAsia"/>
                <w:color w:val="auto"/>
                <w:sz w:val="24"/>
              </w:rPr>
              <w:t>本项目运营期污染物进入地下水、土壤环境的途径主要是污水通过垂直入渗、地面漫流等方式进入地下水环境或土壤环境，主要污染源为污水管网、生活污水预处理池</w:t>
            </w:r>
            <w:r>
              <w:rPr>
                <w:rFonts w:hint="eastAsia"/>
                <w:color w:val="auto"/>
                <w:sz w:val="24"/>
                <w:highlight w:val="none"/>
              </w:rPr>
              <w:t>发生“跑、冒、滴、漏”，导致COD、NH</w:t>
            </w:r>
            <w:r>
              <w:rPr>
                <w:rFonts w:hint="eastAsia"/>
                <w:color w:val="auto"/>
                <w:sz w:val="24"/>
                <w:highlight w:val="none"/>
                <w:vertAlign w:val="subscript"/>
              </w:rPr>
              <w:t>3</w:t>
            </w:r>
            <w:r>
              <w:rPr>
                <w:rFonts w:hint="eastAsia"/>
                <w:color w:val="auto"/>
                <w:sz w:val="24"/>
                <w:highlight w:val="none"/>
              </w:rPr>
              <w:t>-N等污染物进入地下水环境；或液态原料库、危废暂存间液态原料、废液等渗漏，导致污染物进入地下水环境或土壤环境。</w:t>
            </w:r>
          </w:p>
          <w:p w14:paraId="260D8E0B">
            <w:pPr>
              <w:widowControl/>
              <w:adjustRightInd w:val="0"/>
              <w:snapToGrid w:val="0"/>
              <w:spacing w:line="360" w:lineRule="auto"/>
              <w:ind w:firstLine="482" w:firstLineChars="200"/>
              <w:jc w:val="left"/>
              <w:rPr>
                <w:b/>
                <w:color w:val="auto"/>
                <w:sz w:val="24"/>
                <w:highlight w:val="none"/>
              </w:rPr>
            </w:pPr>
            <w:r>
              <w:rPr>
                <w:rFonts w:hint="eastAsia"/>
                <w:b/>
                <w:color w:val="auto"/>
                <w:sz w:val="24"/>
                <w:highlight w:val="none"/>
              </w:rPr>
              <w:t>（2）地下水、土壤污染防控</w:t>
            </w:r>
            <w:r>
              <w:rPr>
                <w:b/>
                <w:color w:val="auto"/>
                <w:sz w:val="24"/>
                <w:highlight w:val="none"/>
              </w:rPr>
              <w:t>措施</w:t>
            </w:r>
          </w:p>
          <w:p w14:paraId="27DD847F">
            <w:pPr>
              <w:pStyle w:val="62"/>
              <w:widowControl/>
              <w:autoSpaceDE/>
              <w:autoSpaceDN/>
              <w:adjustRightInd/>
              <w:spacing w:line="360" w:lineRule="auto"/>
              <w:ind w:firstLine="480" w:firstLineChars="200"/>
              <w:jc w:val="both"/>
              <w:rPr>
                <w:color w:val="auto"/>
                <w:szCs w:val="24"/>
                <w:highlight w:val="none"/>
              </w:rPr>
            </w:pPr>
            <w:r>
              <w:rPr>
                <w:color w:val="auto"/>
                <w:szCs w:val="24"/>
                <w:highlight w:val="none"/>
              </w:rPr>
              <w:t>为保护区域地下水及土壤不受污染，本次环评依据厂区各功能单元的污染程度和污染特性，以及区域水文地质条件，将厂区划分为简单防渗区、一般防渗区、重点防渗区，针对不同的污染防治区域，采取相应的污染防治措施，具体如下表所示。</w:t>
            </w:r>
          </w:p>
          <w:p w14:paraId="208ED46E">
            <w:pPr>
              <w:adjustRightInd w:val="0"/>
              <w:snapToGrid w:val="0"/>
              <w:jc w:val="center"/>
              <w:rPr>
                <w:b/>
                <w:bCs/>
                <w:color w:val="auto"/>
                <w:szCs w:val="21"/>
                <w:highlight w:val="none"/>
              </w:rPr>
            </w:pPr>
            <w:r>
              <w:rPr>
                <w:b/>
                <w:bCs/>
                <w:color w:val="auto"/>
                <w:szCs w:val="21"/>
                <w:highlight w:val="none"/>
              </w:rPr>
              <w:t>表4-2</w:t>
            </w:r>
            <w:r>
              <w:rPr>
                <w:rFonts w:hint="eastAsia"/>
                <w:b/>
                <w:bCs/>
                <w:color w:val="auto"/>
                <w:szCs w:val="21"/>
                <w:highlight w:val="none"/>
                <w:lang w:val="en-US" w:eastAsia="zh-CN"/>
              </w:rPr>
              <w:t>8</w:t>
            </w:r>
            <w:r>
              <w:rPr>
                <w:b/>
                <w:bCs/>
                <w:color w:val="auto"/>
                <w:szCs w:val="21"/>
                <w:highlight w:val="none"/>
              </w:rPr>
              <w:t xml:space="preserve">  本项目防渗分区及措施</w:t>
            </w:r>
          </w:p>
          <w:tbl>
            <w:tblPr>
              <w:tblStyle w:val="25"/>
              <w:tblW w:w="499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86"/>
              <w:gridCol w:w="1398"/>
              <w:gridCol w:w="2637"/>
              <w:gridCol w:w="1824"/>
              <w:gridCol w:w="1989"/>
            </w:tblGrid>
            <w:tr w14:paraId="539305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558" w:type="pct"/>
                  <w:noWrap w:val="0"/>
                  <w:vAlign w:val="center"/>
                </w:tcPr>
                <w:p w14:paraId="4A605EEF">
                  <w:pPr>
                    <w:keepNext w:val="0"/>
                    <w:keepLines w:val="0"/>
                    <w:pageBreakBefore w:val="0"/>
                    <w:widowControl w:val="0"/>
                    <w:suppressLineNumbers w:val="0"/>
                    <w:kinsoku/>
                    <w:overflowPunct/>
                    <w:topLinePunct w:val="0"/>
                    <w:autoSpaceDE/>
                    <w:autoSpaceDN/>
                    <w:bidi w:val="0"/>
                    <w:adjustRightIn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分区类别</w:t>
                  </w:r>
                </w:p>
              </w:tc>
              <w:tc>
                <w:tcPr>
                  <w:tcW w:w="791" w:type="pct"/>
                  <w:noWrap w:val="0"/>
                  <w:vAlign w:val="center"/>
                </w:tcPr>
                <w:p w14:paraId="38B84B74">
                  <w:pPr>
                    <w:keepNext w:val="0"/>
                    <w:keepLines w:val="0"/>
                    <w:pageBreakBefore w:val="0"/>
                    <w:widowControl w:val="0"/>
                    <w:suppressLineNumbers w:val="0"/>
                    <w:kinsoku/>
                    <w:overflowPunct/>
                    <w:topLinePunct w:val="0"/>
                    <w:autoSpaceDE/>
                    <w:autoSpaceDN/>
                    <w:bidi w:val="0"/>
                    <w:adjustRightIn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区域</w:t>
                  </w:r>
                </w:p>
              </w:tc>
              <w:tc>
                <w:tcPr>
                  <w:tcW w:w="1492" w:type="pct"/>
                  <w:tcBorders>
                    <w:right w:val="single" w:color="auto" w:sz="4" w:space="0"/>
                  </w:tcBorders>
                  <w:noWrap w:val="0"/>
                  <w:vAlign w:val="center"/>
                </w:tcPr>
                <w:p w14:paraId="073D2A34">
                  <w:pPr>
                    <w:keepNext w:val="0"/>
                    <w:keepLines w:val="0"/>
                    <w:pageBreakBefore w:val="0"/>
                    <w:widowControl w:val="0"/>
                    <w:suppressLineNumbers w:val="0"/>
                    <w:kinsoku/>
                    <w:overflowPunct/>
                    <w:topLinePunct w:val="0"/>
                    <w:autoSpaceDE/>
                    <w:autoSpaceDN/>
                    <w:bidi w:val="0"/>
                    <w:adjustRightIn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已有防渗措施</w:t>
                  </w:r>
                </w:p>
              </w:tc>
              <w:tc>
                <w:tcPr>
                  <w:tcW w:w="1032" w:type="pct"/>
                  <w:tcBorders>
                    <w:left w:val="single" w:color="auto" w:sz="4" w:space="0"/>
                    <w:right w:val="single" w:color="auto" w:sz="4" w:space="0"/>
                  </w:tcBorders>
                  <w:noWrap w:val="0"/>
                  <w:vAlign w:val="center"/>
                </w:tcPr>
                <w:p w14:paraId="48360E5A">
                  <w:pPr>
                    <w:keepNext w:val="0"/>
                    <w:keepLines w:val="0"/>
                    <w:pageBreakBefore w:val="0"/>
                    <w:widowControl w:val="0"/>
                    <w:suppressLineNumbers w:val="0"/>
                    <w:kinsoku/>
                    <w:overflowPunct/>
                    <w:topLinePunct w:val="0"/>
                    <w:autoSpaceDE/>
                    <w:autoSpaceDN/>
                    <w:bidi w:val="0"/>
                    <w:adjustRightIn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新增防渗</w:t>
                  </w:r>
                  <w:r>
                    <w:rPr>
                      <w:rFonts w:hint="eastAsia" w:ascii="Times New Roman" w:hAnsi="Times New Roman" w:eastAsia="宋体" w:cs="Times New Roman"/>
                      <w:b/>
                      <w:bCs/>
                      <w:color w:val="auto"/>
                      <w:sz w:val="21"/>
                      <w:szCs w:val="21"/>
                      <w:highlight w:val="none"/>
                      <w:lang w:val="en-US" w:eastAsia="zh-CN"/>
                    </w:rPr>
                    <w:t>要求</w:t>
                  </w:r>
                </w:p>
              </w:tc>
              <w:tc>
                <w:tcPr>
                  <w:tcW w:w="1125" w:type="pct"/>
                  <w:tcBorders>
                    <w:left w:val="single" w:color="auto" w:sz="4" w:space="0"/>
                  </w:tcBorders>
                  <w:noWrap w:val="0"/>
                  <w:vAlign w:val="center"/>
                </w:tcPr>
                <w:p w14:paraId="7472CC3C">
                  <w:pPr>
                    <w:keepNext w:val="0"/>
                    <w:keepLines w:val="0"/>
                    <w:pageBreakBefore w:val="0"/>
                    <w:widowControl w:val="0"/>
                    <w:suppressLineNumbers w:val="0"/>
                    <w:kinsoku/>
                    <w:overflowPunct/>
                    <w:topLinePunct w:val="0"/>
                    <w:autoSpaceDE/>
                    <w:autoSpaceDN/>
                    <w:bidi w:val="0"/>
                    <w:adjustRightIn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防渗要求</w:t>
                  </w:r>
                </w:p>
              </w:tc>
            </w:tr>
            <w:tr w14:paraId="465C54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1" w:hRule="atLeast"/>
                <w:jc w:val="center"/>
              </w:trPr>
              <w:tc>
                <w:tcPr>
                  <w:tcW w:w="558" w:type="pct"/>
                  <w:vMerge w:val="restart"/>
                  <w:noWrap w:val="0"/>
                  <w:vAlign w:val="center"/>
                </w:tcPr>
                <w:p w14:paraId="3C624C89">
                  <w:pPr>
                    <w:keepNext w:val="0"/>
                    <w:keepLines w:val="0"/>
                    <w:pageBreakBefore w:val="0"/>
                    <w:widowControl w:val="0"/>
                    <w:suppressLineNumbers w:val="0"/>
                    <w:kinsoku/>
                    <w:overflowPunct/>
                    <w:topLinePunct w:val="0"/>
                    <w:autoSpaceDE/>
                    <w:autoSpaceDN/>
                    <w:bidi w:val="0"/>
                    <w:adjustRightIn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重点防渗区</w:t>
                  </w:r>
                </w:p>
              </w:tc>
              <w:tc>
                <w:tcPr>
                  <w:tcW w:w="791" w:type="pct"/>
                  <w:tcBorders>
                    <w:bottom w:val="single" w:color="auto" w:sz="4" w:space="0"/>
                  </w:tcBorders>
                  <w:noWrap w:val="0"/>
                  <w:vAlign w:val="center"/>
                </w:tcPr>
                <w:p w14:paraId="6831B788">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生产车间印刷区</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组装区（裱糊、粘合区）</w:t>
                  </w:r>
                </w:p>
              </w:tc>
              <w:tc>
                <w:tcPr>
                  <w:tcW w:w="1492" w:type="pct"/>
                  <w:tcBorders>
                    <w:bottom w:val="single" w:color="auto" w:sz="4" w:space="0"/>
                    <w:right w:val="single" w:color="auto" w:sz="4" w:space="0"/>
                  </w:tcBorders>
                  <w:noWrap w:val="0"/>
                  <w:vAlign w:val="center"/>
                </w:tcPr>
                <w:p w14:paraId="28817A3C">
                  <w:pPr>
                    <w:adjustRightInd w:val="0"/>
                    <w:snapToGrid w:val="0"/>
                    <w:jc w:val="center"/>
                    <w:rPr>
                      <w:rFonts w:hint="default" w:ascii="Times New Roman" w:hAnsi="Times New Roman" w:eastAsia="宋体" w:cs="Times New Roman"/>
                      <w:color w:val="auto"/>
                      <w:sz w:val="21"/>
                      <w:szCs w:val="21"/>
                      <w:highlight w:val="none"/>
                      <w:lang w:val="en-US" w:eastAsia="zh-CN"/>
                    </w:rPr>
                  </w:pPr>
                  <w:r>
                    <w:rPr>
                      <w:bCs/>
                      <w:color w:val="auto"/>
                      <w:szCs w:val="21"/>
                      <w:highlight w:val="none"/>
                    </w:rPr>
                    <w:t>已采取防渗混凝土硬化</w:t>
                  </w:r>
                </w:p>
              </w:tc>
              <w:tc>
                <w:tcPr>
                  <w:tcW w:w="1032" w:type="pct"/>
                  <w:tcBorders>
                    <w:left w:val="single" w:color="auto" w:sz="4" w:space="0"/>
                    <w:bottom w:val="single" w:color="auto" w:sz="4" w:space="0"/>
                    <w:right w:val="single" w:color="auto" w:sz="4" w:space="0"/>
                  </w:tcBorders>
                  <w:noWrap w:val="0"/>
                  <w:vAlign w:val="center"/>
                </w:tcPr>
                <w:p w14:paraId="5F44F219">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在现有地面防渗基础上，铺设2mm厚HDPE膜或等效防渗层。</w:t>
                  </w:r>
                </w:p>
              </w:tc>
              <w:tc>
                <w:tcPr>
                  <w:tcW w:w="1125" w:type="pct"/>
                  <w:tcBorders>
                    <w:left w:val="single" w:color="auto" w:sz="4" w:space="0"/>
                    <w:bottom w:val="single" w:color="auto" w:sz="4" w:space="0"/>
                  </w:tcBorders>
                  <w:noWrap w:val="0"/>
                  <w:vAlign w:val="center"/>
                </w:tcPr>
                <w:p w14:paraId="70AB1E69">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bCs/>
                      <w:color w:val="auto"/>
                      <w:szCs w:val="21"/>
                      <w:highlight w:val="none"/>
                    </w:rPr>
                    <w:t>等效粘土防渗层Mb≥6.0m，K≤1×10-7cm/s；或参照GB18598执行</w:t>
                  </w:r>
                </w:p>
              </w:tc>
            </w:tr>
            <w:tr w14:paraId="14C87B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58" w:type="pct"/>
                  <w:vMerge w:val="continue"/>
                  <w:noWrap w:val="0"/>
                  <w:vAlign w:val="center"/>
                </w:tcPr>
                <w:p w14:paraId="3CBB9535">
                  <w:pPr>
                    <w:keepNext w:val="0"/>
                    <w:keepLines w:val="0"/>
                    <w:pageBreakBefore w:val="0"/>
                    <w:widowControl w:val="0"/>
                    <w:suppressLineNumbers w:val="0"/>
                    <w:kinsoku/>
                    <w:overflowPunct/>
                    <w:topLinePunct w:val="0"/>
                    <w:autoSpaceDE/>
                    <w:autoSpaceDN/>
                    <w:bidi w:val="0"/>
                    <w:adjustRightIn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91" w:type="pct"/>
                  <w:tcBorders>
                    <w:top w:val="single" w:color="auto" w:sz="4" w:space="0"/>
                  </w:tcBorders>
                  <w:noWrap w:val="0"/>
                  <w:vAlign w:val="center"/>
                </w:tcPr>
                <w:p w14:paraId="4673B4D6">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液态原料库房</w:t>
                  </w:r>
                </w:p>
              </w:tc>
              <w:tc>
                <w:tcPr>
                  <w:tcW w:w="1492" w:type="pct"/>
                  <w:tcBorders>
                    <w:top w:val="single" w:color="auto" w:sz="4" w:space="0"/>
                    <w:right w:val="single" w:color="auto" w:sz="4" w:space="0"/>
                  </w:tcBorders>
                  <w:noWrap w:val="0"/>
                  <w:vAlign w:val="center"/>
                </w:tcPr>
                <w:p w14:paraId="6F37B096">
                  <w:pPr>
                    <w:adjustRightInd w:val="0"/>
                    <w:snapToGrid w:val="0"/>
                    <w:jc w:val="center"/>
                    <w:rPr>
                      <w:rFonts w:hint="default" w:ascii="Times New Roman" w:hAnsi="Times New Roman" w:eastAsia="宋体" w:cs="Times New Roman"/>
                      <w:color w:val="auto"/>
                      <w:sz w:val="21"/>
                      <w:szCs w:val="21"/>
                      <w:highlight w:val="none"/>
                      <w:lang w:val="en-US" w:eastAsia="zh-CN"/>
                    </w:rPr>
                  </w:pPr>
                  <w:r>
                    <w:rPr>
                      <w:bCs/>
                      <w:color w:val="auto"/>
                      <w:szCs w:val="21"/>
                      <w:highlight w:val="none"/>
                    </w:rPr>
                    <w:t>已采取防渗混凝土硬化</w:t>
                  </w:r>
                </w:p>
              </w:tc>
              <w:tc>
                <w:tcPr>
                  <w:tcW w:w="1032" w:type="pct"/>
                  <w:tcBorders>
                    <w:top w:val="single" w:color="auto" w:sz="4" w:space="0"/>
                    <w:left w:val="single" w:color="auto" w:sz="4" w:space="0"/>
                    <w:right w:val="single" w:color="auto" w:sz="4" w:space="0"/>
                  </w:tcBorders>
                  <w:noWrap w:val="0"/>
                  <w:vAlign w:val="center"/>
                </w:tcPr>
                <w:p w14:paraId="317A771C">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在现有地面防渗基础上，铺设2mm厚HDPE膜或等效防渗层。存放胶粘剂容器下方设置金属托盘，并设置空桶作为备用收容设施。</w:t>
                  </w:r>
                </w:p>
              </w:tc>
              <w:tc>
                <w:tcPr>
                  <w:tcW w:w="1125" w:type="pct"/>
                  <w:tcBorders>
                    <w:top w:val="single" w:color="auto" w:sz="4" w:space="0"/>
                    <w:left w:val="single" w:color="auto" w:sz="4" w:space="0"/>
                  </w:tcBorders>
                  <w:noWrap w:val="0"/>
                  <w:vAlign w:val="center"/>
                </w:tcPr>
                <w:p w14:paraId="6D71A8A5">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bCs/>
                      <w:color w:val="auto"/>
                      <w:szCs w:val="21"/>
                      <w:highlight w:val="none"/>
                    </w:rPr>
                    <w:t>等效粘土防渗层Mb≥6.0m，K≤1×10-7cm/s；或参照GB18598执行</w:t>
                  </w:r>
                </w:p>
              </w:tc>
            </w:tr>
            <w:tr w14:paraId="14731C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67" w:hRule="atLeast"/>
                <w:jc w:val="center"/>
              </w:trPr>
              <w:tc>
                <w:tcPr>
                  <w:tcW w:w="558" w:type="pct"/>
                  <w:vMerge w:val="continue"/>
                  <w:noWrap w:val="0"/>
                  <w:vAlign w:val="center"/>
                </w:tcPr>
                <w:p w14:paraId="4357E72E">
                  <w:pPr>
                    <w:keepNext w:val="0"/>
                    <w:keepLines w:val="0"/>
                    <w:pageBreakBefore w:val="0"/>
                    <w:widowControl w:val="0"/>
                    <w:suppressLineNumbers w:val="0"/>
                    <w:kinsoku/>
                    <w:overflowPunct/>
                    <w:topLinePunct w:val="0"/>
                    <w:autoSpaceDE/>
                    <w:autoSpaceDN/>
                    <w:bidi w:val="0"/>
                    <w:adjustRightIn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yellow"/>
                    </w:rPr>
                  </w:pPr>
                </w:p>
              </w:tc>
              <w:tc>
                <w:tcPr>
                  <w:tcW w:w="791" w:type="pct"/>
                  <w:noWrap w:val="0"/>
                  <w:vAlign w:val="center"/>
                </w:tcPr>
                <w:p w14:paraId="1C577510">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危废暂存间</w:t>
                  </w:r>
                </w:p>
              </w:tc>
              <w:tc>
                <w:tcPr>
                  <w:tcW w:w="1492" w:type="pct"/>
                  <w:tcBorders>
                    <w:right w:val="single" w:color="auto" w:sz="4" w:space="0"/>
                  </w:tcBorders>
                  <w:noWrap w:val="0"/>
                  <w:vAlign w:val="center"/>
                </w:tcPr>
                <w:p w14:paraId="33BE9946">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设置有0.2m高防渗防泄漏墙裙，地面已采取防渗混凝土硬化+2mm环氧树脂漆，且液态物料设置有金属托盘，满足《危险废物贮存污染控制标准》(GB 18597-2023)的相关要求。</w:t>
                  </w:r>
                </w:p>
              </w:tc>
              <w:tc>
                <w:tcPr>
                  <w:tcW w:w="1032" w:type="pct"/>
                  <w:tcBorders>
                    <w:left w:val="single" w:color="auto" w:sz="4" w:space="0"/>
                    <w:right w:val="single" w:color="auto" w:sz="4" w:space="0"/>
                  </w:tcBorders>
                  <w:noWrap w:val="0"/>
                  <w:vAlign w:val="center"/>
                </w:tcPr>
                <w:p w14:paraId="78732B3C">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125" w:type="pct"/>
                  <w:tcBorders>
                    <w:left w:val="single" w:color="auto" w:sz="4" w:space="0"/>
                  </w:tcBorders>
                  <w:noWrap w:val="0"/>
                  <w:vAlign w:val="center"/>
                </w:tcPr>
                <w:p w14:paraId="25D98C56">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color w:val="auto"/>
                      <w:szCs w:val="28"/>
                      <w:highlight w:val="none"/>
                    </w:rPr>
                    <w:t>基础必须防渗，防渗层为至少1米厚粘土层（渗透系数≤10</w:t>
                  </w:r>
                  <w:r>
                    <w:rPr>
                      <w:color w:val="auto"/>
                      <w:szCs w:val="28"/>
                      <w:highlight w:val="none"/>
                      <w:vertAlign w:val="superscript"/>
                    </w:rPr>
                    <w:t>-7</w:t>
                  </w:r>
                  <w:r>
                    <w:rPr>
                      <w:color w:val="auto"/>
                      <w:szCs w:val="28"/>
                      <w:highlight w:val="none"/>
                    </w:rPr>
                    <w:t>厘米/秒），或2毫米厚高密度聚乙烯，或至少2毫米厚的其它人工材料，渗透系数≤10</w:t>
                  </w:r>
                  <w:r>
                    <w:rPr>
                      <w:color w:val="auto"/>
                      <w:szCs w:val="28"/>
                      <w:highlight w:val="none"/>
                      <w:vertAlign w:val="superscript"/>
                    </w:rPr>
                    <w:t>-10</w:t>
                  </w:r>
                  <w:r>
                    <w:rPr>
                      <w:color w:val="auto"/>
                      <w:szCs w:val="28"/>
                      <w:highlight w:val="none"/>
                    </w:rPr>
                    <w:t>厘米/秒。</w:t>
                  </w:r>
                </w:p>
              </w:tc>
            </w:tr>
            <w:tr w14:paraId="6FB460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0" w:hRule="atLeast"/>
                <w:jc w:val="center"/>
              </w:trPr>
              <w:tc>
                <w:tcPr>
                  <w:tcW w:w="558" w:type="pct"/>
                  <w:noWrap w:val="0"/>
                  <w:vAlign w:val="center"/>
                </w:tcPr>
                <w:p w14:paraId="38006710">
                  <w:pPr>
                    <w:keepNext w:val="0"/>
                    <w:keepLines w:val="0"/>
                    <w:pageBreakBefore w:val="0"/>
                    <w:widowControl w:val="0"/>
                    <w:suppressLineNumbers w:val="0"/>
                    <w:kinsoku/>
                    <w:overflowPunct/>
                    <w:topLinePunct w:val="0"/>
                    <w:autoSpaceDE/>
                    <w:autoSpaceDN/>
                    <w:bidi w:val="0"/>
                    <w:adjustRightInd/>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一般防渗区</w:t>
                  </w:r>
                </w:p>
              </w:tc>
              <w:tc>
                <w:tcPr>
                  <w:tcW w:w="791" w:type="pct"/>
                  <w:noWrap w:val="0"/>
                  <w:vAlign w:val="center"/>
                </w:tcPr>
                <w:p w14:paraId="33BD86BD">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除重点防渗区、简</w:t>
                  </w:r>
                  <w:r>
                    <w:rPr>
                      <w:rFonts w:hint="default" w:ascii="Times New Roman" w:hAnsi="Times New Roman" w:eastAsia="宋体" w:cs="Times New Roman"/>
                      <w:b w:val="0"/>
                      <w:bCs w:val="0"/>
                      <w:color w:val="auto"/>
                      <w:sz w:val="21"/>
                      <w:szCs w:val="21"/>
                      <w:highlight w:val="none"/>
                      <w:lang w:eastAsia="zh-CN"/>
                    </w:rPr>
                    <w:t>单</w:t>
                  </w:r>
                  <w:r>
                    <w:rPr>
                      <w:rFonts w:hint="default" w:ascii="Times New Roman" w:hAnsi="Times New Roman" w:eastAsia="宋体" w:cs="Times New Roman"/>
                      <w:b w:val="0"/>
                      <w:bCs w:val="0"/>
                      <w:color w:val="auto"/>
                      <w:sz w:val="21"/>
                      <w:szCs w:val="21"/>
                      <w:highlight w:val="none"/>
                    </w:rPr>
                    <w:t>防渗区以外的生产车间</w:t>
                  </w:r>
                </w:p>
              </w:tc>
              <w:tc>
                <w:tcPr>
                  <w:tcW w:w="1492" w:type="pct"/>
                  <w:tcBorders>
                    <w:right w:val="single" w:color="auto" w:sz="4" w:space="0"/>
                  </w:tcBorders>
                  <w:noWrap w:val="0"/>
                  <w:vAlign w:val="center"/>
                </w:tcPr>
                <w:p w14:paraId="70DBE5FB">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地面已采用混凝土防渗</w:t>
                  </w:r>
                </w:p>
              </w:tc>
              <w:tc>
                <w:tcPr>
                  <w:tcW w:w="1032" w:type="pct"/>
                  <w:tcBorders>
                    <w:left w:val="single" w:color="auto" w:sz="4" w:space="0"/>
                    <w:right w:val="single" w:color="auto" w:sz="4" w:space="0"/>
                  </w:tcBorders>
                  <w:noWrap w:val="0"/>
                  <w:vAlign w:val="center"/>
                </w:tcPr>
                <w:p w14:paraId="7ECB83DE">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p w14:paraId="5DD5BDB3">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25" w:type="pct"/>
                  <w:tcBorders>
                    <w:left w:val="single" w:color="auto" w:sz="4" w:space="0"/>
                  </w:tcBorders>
                  <w:noWrap w:val="0"/>
                  <w:vAlign w:val="center"/>
                </w:tcPr>
                <w:p w14:paraId="64705424">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等效粘土防渗层Mb≥1.5m，K≤10</w:t>
                  </w:r>
                  <w:r>
                    <w:rPr>
                      <w:rFonts w:hint="default" w:ascii="Times New Roman" w:hAnsi="Times New Roman" w:eastAsia="宋体" w:cs="Times New Roman"/>
                      <w:b w:val="0"/>
                      <w:bCs w:val="0"/>
                      <w:color w:val="auto"/>
                      <w:sz w:val="21"/>
                      <w:szCs w:val="21"/>
                      <w:highlight w:val="none"/>
                      <w:vertAlign w:val="superscript"/>
                    </w:rPr>
                    <w:t>-7</w:t>
                  </w:r>
                  <w:r>
                    <w:rPr>
                      <w:rFonts w:hint="default" w:ascii="Times New Roman" w:hAnsi="Times New Roman" w:eastAsia="宋体" w:cs="Times New Roman"/>
                      <w:b w:val="0"/>
                      <w:bCs w:val="0"/>
                      <w:color w:val="auto"/>
                      <w:sz w:val="21"/>
                      <w:szCs w:val="21"/>
                      <w:highlight w:val="none"/>
                    </w:rPr>
                    <w:t>cm/s</w:t>
                  </w:r>
                </w:p>
              </w:tc>
            </w:tr>
            <w:tr w14:paraId="18904D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558" w:type="pct"/>
                  <w:noWrap w:val="0"/>
                  <w:vAlign w:val="center"/>
                </w:tcPr>
                <w:p w14:paraId="4B98DA35">
                  <w:pPr>
                    <w:keepNext w:val="0"/>
                    <w:keepLines w:val="0"/>
                    <w:pageBreakBefore w:val="0"/>
                    <w:widowControl w:val="0"/>
                    <w:suppressLineNumbers w:val="0"/>
                    <w:kinsoku/>
                    <w:overflowPunct/>
                    <w:topLinePunct w:val="0"/>
                    <w:autoSpaceDE/>
                    <w:autoSpaceDN/>
                    <w:bidi w:val="0"/>
                    <w:adjustRightInd/>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简单防渗区</w:t>
                  </w:r>
                </w:p>
              </w:tc>
              <w:tc>
                <w:tcPr>
                  <w:tcW w:w="791" w:type="pct"/>
                  <w:noWrap w:val="0"/>
                  <w:vAlign w:val="center"/>
                </w:tcPr>
                <w:p w14:paraId="69526FE5">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办公区</w:t>
                  </w:r>
                </w:p>
              </w:tc>
              <w:tc>
                <w:tcPr>
                  <w:tcW w:w="1492" w:type="pct"/>
                  <w:tcBorders>
                    <w:right w:val="single" w:color="auto" w:sz="4" w:space="0"/>
                  </w:tcBorders>
                  <w:noWrap w:val="0"/>
                  <w:vAlign w:val="center"/>
                </w:tcPr>
                <w:p w14:paraId="3CB2CF3B">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地面已采用防渗混凝土防渗</w:t>
                  </w:r>
                </w:p>
              </w:tc>
              <w:tc>
                <w:tcPr>
                  <w:tcW w:w="1032" w:type="pct"/>
                  <w:tcBorders>
                    <w:left w:val="single" w:color="auto" w:sz="4" w:space="0"/>
                    <w:right w:val="single" w:color="auto" w:sz="4" w:space="0"/>
                  </w:tcBorders>
                  <w:noWrap w:val="0"/>
                  <w:vAlign w:val="center"/>
                </w:tcPr>
                <w:p w14:paraId="683F1D3A">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p>
              </w:tc>
              <w:tc>
                <w:tcPr>
                  <w:tcW w:w="1125" w:type="pct"/>
                  <w:tcBorders>
                    <w:left w:val="single" w:color="auto" w:sz="4" w:space="0"/>
                  </w:tcBorders>
                  <w:noWrap w:val="0"/>
                  <w:vAlign w:val="center"/>
                </w:tcPr>
                <w:p w14:paraId="68621E26">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一般地面硬化</w:t>
                  </w:r>
                </w:p>
              </w:tc>
            </w:tr>
          </w:tbl>
          <w:p w14:paraId="48270170">
            <w:pPr>
              <w:spacing w:line="360" w:lineRule="auto"/>
              <w:ind w:firstLine="480" w:firstLineChars="200"/>
              <w:rPr>
                <w:color w:val="auto"/>
                <w:kern w:val="0"/>
                <w:sz w:val="24"/>
              </w:rPr>
            </w:pPr>
            <w:r>
              <w:rPr>
                <w:color w:val="auto"/>
                <w:kern w:val="0"/>
                <w:sz w:val="24"/>
              </w:rPr>
              <w:t>项目针对各类污染物均采取了对应的污染治理措施，可确保污染物的达标排放及防止渗漏发生，可从源头上控制项目对区域土壤环境的污染源强，确保项目对区域土壤</w:t>
            </w:r>
            <w:r>
              <w:rPr>
                <w:rFonts w:hint="eastAsia"/>
                <w:color w:val="auto"/>
                <w:kern w:val="0"/>
                <w:sz w:val="24"/>
              </w:rPr>
              <w:t>、地下水</w:t>
            </w:r>
            <w:r>
              <w:rPr>
                <w:color w:val="auto"/>
                <w:kern w:val="0"/>
                <w:sz w:val="24"/>
              </w:rPr>
              <w:t>环境的影响处于可接受水平。</w:t>
            </w:r>
          </w:p>
          <w:p w14:paraId="1730FB75">
            <w:pPr>
              <w:autoSpaceDE w:val="0"/>
              <w:autoSpaceDN w:val="0"/>
              <w:adjustRightInd w:val="0"/>
              <w:snapToGrid w:val="0"/>
              <w:spacing w:before="120" w:beforeLines="50" w:line="360" w:lineRule="auto"/>
              <w:ind w:firstLine="480" w:firstLineChars="200"/>
              <w:jc w:val="left"/>
              <w:textAlignment w:val="baseline"/>
              <w:rPr>
                <w:rFonts w:eastAsia="Calibri"/>
                <w:b/>
                <w:bCs/>
                <w:color w:val="auto"/>
                <w:kern w:val="0"/>
                <w:sz w:val="24"/>
              </w:rPr>
            </w:pPr>
            <w:r>
              <w:rPr>
                <w:rFonts w:eastAsia="Calibri"/>
                <w:b/>
                <w:bCs/>
                <w:color w:val="auto"/>
                <w:kern w:val="0"/>
                <w:sz w:val="24"/>
              </w:rPr>
              <w:t>6</w:t>
            </w:r>
            <w:r>
              <w:rPr>
                <w:rFonts w:hint="eastAsia" w:ascii="宋体" w:hAnsi="宋体" w:cs="宋体"/>
                <w:b/>
                <w:bCs/>
                <w:color w:val="auto"/>
                <w:kern w:val="0"/>
                <w:sz w:val="24"/>
              </w:rPr>
              <w:t>、规范排污口</w:t>
            </w:r>
          </w:p>
          <w:p w14:paraId="4715F905">
            <w:pPr>
              <w:overflowPunct w:val="0"/>
              <w:autoSpaceDE w:val="0"/>
              <w:autoSpaceDN w:val="0"/>
              <w:adjustRightInd w:val="0"/>
              <w:snapToGrid w:val="0"/>
              <w:spacing w:line="360" w:lineRule="auto"/>
              <w:ind w:firstLine="480" w:firstLineChars="200"/>
              <w:jc w:val="left"/>
              <w:textAlignment w:val="baseline"/>
              <w:rPr>
                <w:rFonts w:eastAsia="Calibri"/>
                <w:color w:val="auto"/>
                <w:kern w:val="0"/>
                <w:sz w:val="24"/>
              </w:rPr>
            </w:pPr>
            <w:r>
              <w:rPr>
                <w:rFonts w:hint="eastAsia" w:ascii="宋体" w:hAnsi="宋体" w:cs="宋体"/>
                <w:color w:val="auto"/>
                <w:kern w:val="0"/>
                <w:sz w:val="24"/>
              </w:rPr>
              <w:t>排污口是企业排放污染物进入环境的通道，强化排污口的管理是实施污染物总量控制的基础工作之一，也是区域环境管理逐步实现污染物排放科学化、定量化的重要手段。</w:t>
            </w:r>
          </w:p>
          <w:p w14:paraId="685B2526">
            <w:pPr>
              <w:autoSpaceDE w:val="0"/>
              <w:autoSpaceDN w:val="0"/>
              <w:adjustRightInd w:val="0"/>
              <w:snapToGrid w:val="0"/>
              <w:spacing w:before="120" w:beforeLines="50" w:line="360" w:lineRule="auto"/>
              <w:ind w:firstLine="480" w:firstLineChars="200"/>
              <w:jc w:val="left"/>
              <w:textAlignment w:val="baseline"/>
              <w:rPr>
                <w:rFonts w:eastAsia="Calibri"/>
                <w:color w:val="auto"/>
                <w:kern w:val="0"/>
                <w:sz w:val="24"/>
              </w:rPr>
            </w:pPr>
            <w:r>
              <w:rPr>
                <w:rFonts w:eastAsia="Calibri"/>
                <w:b/>
                <w:bCs/>
                <w:color w:val="auto"/>
                <w:kern w:val="0"/>
                <w:sz w:val="24"/>
              </w:rPr>
              <w:t>6.1</w:t>
            </w:r>
            <w:r>
              <w:rPr>
                <w:rFonts w:hint="eastAsia" w:ascii="宋体" w:hAnsi="宋体" w:cs="宋体"/>
                <w:b/>
                <w:bCs/>
                <w:color w:val="auto"/>
                <w:kern w:val="0"/>
                <w:sz w:val="24"/>
              </w:rPr>
              <w:t>排污口规范化管理的基本原则</w:t>
            </w:r>
          </w:p>
          <w:p w14:paraId="284D5698">
            <w:pPr>
              <w:overflowPunct w:val="0"/>
              <w:autoSpaceDE w:val="0"/>
              <w:autoSpaceDN w:val="0"/>
              <w:adjustRightInd w:val="0"/>
              <w:snapToGrid w:val="0"/>
              <w:spacing w:line="360" w:lineRule="auto"/>
              <w:ind w:firstLine="468" w:firstLineChars="195"/>
              <w:jc w:val="left"/>
              <w:textAlignment w:val="baseline"/>
              <w:rPr>
                <w:rFonts w:eastAsia="Calibri"/>
                <w:color w:val="auto"/>
                <w:kern w:val="0"/>
                <w:sz w:val="24"/>
              </w:rPr>
            </w:pPr>
            <w:r>
              <w:rPr>
                <w:rFonts w:eastAsia="Calibri"/>
                <w:color w:val="auto"/>
                <w:kern w:val="0"/>
                <w:sz w:val="24"/>
              </w:rPr>
              <w:fldChar w:fldCharType="begin"/>
            </w:r>
            <w:r>
              <w:rPr>
                <w:rFonts w:eastAsia="Calibri"/>
                <w:color w:val="auto"/>
                <w:kern w:val="0"/>
                <w:sz w:val="24"/>
              </w:rPr>
              <w:instrText xml:space="preserve"> = 1 \* GB3 </w:instrText>
            </w:r>
            <w:r>
              <w:rPr>
                <w:rFonts w:eastAsia="Calibri"/>
                <w:color w:val="auto"/>
                <w:kern w:val="0"/>
                <w:sz w:val="24"/>
              </w:rPr>
              <w:fldChar w:fldCharType="separate"/>
            </w:r>
            <w:r>
              <w:rPr>
                <w:rFonts w:hint="eastAsia" w:ascii="宋体" w:hAnsi="宋体" w:cs="宋体"/>
                <w:color w:val="auto"/>
                <w:kern w:val="0"/>
                <w:sz w:val="24"/>
              </w:rPr>
              <w:t>①</w:t>
            </w:r>
            <w:r>
              <w:rPr>
                <w:rFonts w:eastAsia="Calibri"/>
                <w:color w:val="auto"/>
                <w:kern w:val="0"/>
                <w:sz w:val="24"/>
              </w:rPr>
              <w:fldChar w:fldCharType="end"/>
            </w:r>
            <w:r>
              <w:rPr>
                <w:rFonts w:hint="eastAsia" w:ascii="宋体" w:hAnsi="宋体" w:cs="宋体"/>
                <w:color w:val="auto"/>
                <w:kern w:val="0"/>
                <w:sz w:val="24"/>
              </w:rPr>
              <w:t>向环境排放污染物的排污口必须规范化。</w:t>
            </w:r>
          </w:p>
          <w:p w14:paraId="15B7F730">
            <w:pPr>
              <w:overflowPunct w:val="0"/>
              <w:autoSpaceDE w:val="0"/>
              <w:autoSpaceDN w:val="0"/>
              <w:adjustRightInd w:val="0"/>
              <w:snapToGrid w:val="0"/>
              <w:spacing w:line="360" w:lineRule="auto"/>
              <w:ind w:firstLine="480" w:firstLineChars="200"/>
              <w:jc w:val="left"/>
              <w:textAlignment w:val="baseline"/>
              <w:rPr>
                <w:rFonts w:ascii="宋体" w:hAnsi="宋体" w:cs="宋体"/>
                <w:color w:val="auto"/>
                <w:kern w:val="0"/>
                <w:sz w:val="24"/>
              </w:rPr>
            </w:pPr>
            <w:r>
              <w:rPr>
                <w:rFonts w:eastAsia="Calibri"/>
                <w:color w:val="auto"/>
                <w:kern w:val="0"/>
                <w:sz w:val="24"/>
              </w:rPr>
              <w:fldChar w:fldCharType="begin"/>
            </w:r>
            <w:r>
              <w:rPr>
                <w:rFonts w:eastAsia="Calibri"/>
                <w:color w:val="auto"/>
                <w:kern w:val="0"/>
                <w:sz w:val="24"/>
              </w:rPr>
              <w:instrText xml:space="preserve"> = 2 \* GB3 </w:instrText>
            </w:r>
            <w:r>
              <w:rPr>
                <w:rFonts w:eastAsia="Calibri"/>
                <w:color w:val="auto"/>
                <w:kern w:val="0"/>
                <w:sz w:val="24"/>
              </w:rPr>
              <w:fldChar w:fldCharType="separate"/>
            </w:r>
            <w:r>
              <w:rPr>
                <w:rFonts w:hint="eastAsia" w:ascii="宋体" w:hAnsi="宋体" w:cs="宋体"/>
                <w:color w:val="auto"/>
                <w:kern w:val="0"/>
                <w:sz w:val="24"/>
              </w:rPr>
              <w:t>②</w:t>
            </w:r>
            <w:r>
              <w:rPr>
                <w:rFonts w:eastAsia="Calibri"/>
                <w:color w:val="auto"/>
                <w:kern w:val="0"/>
                <w:sz w:val="24"/>
              </w:rPr>
              <w:fldChar w:fldCharType="end"/>
            </w:r>
            <w:r>
              <w:rPr>
                <w:rFonts w:hint="eastAsia" w:ascii="宋体" w:hAnsi="宋体" w:cs="宋体"/>
                <w:color w:val="auto"/>
                <w:kern w:val="0"/>
                <w:sz w:val="24"/>
              </w:rPr>
              <w:t>根据本项目的特点，考虑列入总量控制指标的污染物中排放</w:t>
            </w:r>
            <w:r>
              <w:rPr>
                <w:color w:val="auto"/>
                <w:kern w:val="0"/>
                <w:sz w:val="24"/>
              </w:rPr>
              <w:t>的VOCs</w:t>
            </w:r>
            <w:r>
              <w:rPr>
                <w:rFonts w:hint="eastAsia" w:ascii="宋体" w:hAnsi="宋体" w:cs="宋体"/>
                <w:color w:val="auto"/>
                <w:kern w:val="0"/>
                <w:sz w:val="24"/>
              </w:rPr>
              <w:t>、颗粒物为管理重点。</w:t>
            </w:r>
          </w:p>
          <w:p w14:paraId="35DD55A3">
            <w:pPr>
              <w:overflowPunct w:val="0"/>
              <w:autoSpaceDE w:val="0"/>
              <w:autoSpaceDN w:val="0"/>
              <w:adjustRightInd w:val="0"/>
              <w:snapToGrid w:val="0"/>
              <w:spacing w:line="360" w:lineRule="auto"/>
              <w:ind w:firstLine="480" w:firstLineChars="200"/>
              <w:jc w:val="left"/>
              <w:textAlignment w:val="baseline"/>
              <w:rPr>
                <w:rFonts w:eastAsia="等线"/>
                <w:color w:val="auto"/>
                <w:kern w:val="0"/>
                <w:sz w:val="24"/>
              </w:rPr>
            </w:pPr>
            <w:r>
              <w:rPr>
                <w:rFonts w:eastAsia="Calibri"/>
                <w:color w:val="auto"/>
                <w:kern w:val="0"/>
                <w:sz w:val="24"/>
              </w:rPr>
              <w:fldChar w:fldCharType="begin"/>
            </w:r>
            <w:r>
              <w:rPr>
                <w:rFonts w:eastAsia="Calibri"/>
                <w:color w:val="auto"/>
                <w:kern w:val="0"/>
                <w:sz w:val="24"/>
              </w:rPr>
              <w:instrText xml:space="preserve"> = 3 \* GB3 </w:instrText>
            </w:r>
            <w:r>
              <w:rPr>
                <w:rFonts w:eastAsia="Calibri"/>
                <w:color w:val="auto"/>
                <w:kern w:val="0"/>
                <w:sz w:val="24"/>
              </w:rPr>
              <w:fldChar w:fldCharType="separate"/>
            </w:r>
            <w:r>
              <w:rPr>
                <w:rFonts w:hint="eastAsia" w:ascii="宋体" w:hAnsi="宋体" w:cs="宋体"/>
                <w:color w:val="auto"/>
                <w:kern w:val="0"/>
                <w:sz w:val="24"/>
              </w:rPr>
              <w:t>③</w:t>
            </w:r>
            <w:r>
              <w:rPr>
                <w:rFonts w:eastAsia="Calibri"/>
                <w:color w:val="auto"/>
                <w:kern w:val="0"/>
                <w:sz w:val="24"/>
              </w:rPr>
              <w:fldChar w:fldCharType="end"/>
            </w:r>
            <w:r>
              <w:rPr>
                <w:rFonts w:hint="eastAsia" w:ascii="宋体" w:hAnsi="宋体" w:cs="宋体"/>
                <w:color w:val="auto"/>
                <w:kern w:val="0"/>
                <w:sz w:val="24"/>
              </w:rPr>
              <w:t>排污口应便于采样与计量监测，便于日常现场监督检查。</w:t>
            </w:r>
          </w:p>
          <w:p w14:paraId="3ED7FA26">
            <w:pPr>
              <w:autoSpaceDE w:val="0"/>
              <w:autoSpaceDN w:val="0"/>
              <w:adjustRightInd w:val="0"/>
              <w:snapToGrid w:val="0"/>
              <w:spacing w:line="360" w:lineRule="auto"/>
              <w:ind w:firstLine="480" w:firstLineChars="200"/>
              <w:jc w:val="left"/>
              <w:textAlignment w:val="baseline"/>
              <w:rPr>
                <w:rFonts w:eastAsia="Calibri"/>
                <w:color w:val="auto"/>
                <w:kern w:val="0"/>
                <w:sz w:val="24"/>
              </w:rPr>
            </w:pPr>
            <w:r>
              <w:rPr>
                <w:rFonts w:eastAsia="Calibri"/>
                <w:b/>
                <w:bCs/>
                <w:color w:val="auto"/>
                <w:kern w:val="0"/>
                <w:sz w:val="24"/>
              </w:rPr>
              <w:t>6.2</w:t>
            </w:r>
            <w:r>
              <w:rPr>
                <w:rFonts w:hint="eastAsia" w:ascii="宋体" w:hAnsi="宋体" w:cs="宋体"/>
                <w:b/>
                <w:bCs/>
                <w:color w:val="auto"/>
                <w:kern w:val="0"/>
                <w:sz w:val="24"/>
              </w:rPr>
              <w:t>排污口规范化设置</w:t>
            </w:r>
          </w:p>
          <w:p w14:paraId="2370CD3A">
            <w:pPr>
              <w:spacing w:line="360" w:lineRule="auto"/>
              <w:ind w:firstLine="482" w:firstLineChars="200"/>
              <w:rPr>
                <w:b/>
                <w:color w:val="auto"/>
                <w:sz w:val="24"/>
              </w:rPr>
            </w:pPr>
            <w:r>
              <w:rPr>
                <w:b/>
                <w:color w:val="auto"/>
                <w:sz w:val="24"/>
              </w:rPr>
              <w:t>（1）废水排放口</w:t>
            </w:r>
          </w:p>
          <w:p w14:paraId="3D4B7C9B">
            <w:pPr>
              <w:spacing w:line="360" w:lineRule="auto"/>
              <w:ind w:firstLine="480" w:firstLineChars="200"/>
              <w:rPr>
                <w:color w:val="auto"/>
                <w:sz w:val="24"/>
              </w:rPr>
            </w:pPr>
            <w:r>
              <w:rPr>
                <w:color w:val="auto"/>
                <w:sz w:val="24"/>
              </w:rPr>
              <w:t>项目的污水处理设施排放口必须设置便于采样的采样井，并在其排放口设立明显标志牌，符合《环境保护图形标志》（GB15562.1-1995）</w:t>
            </w:r>
            <w:r>
              <w:rPr>
                <w:rFonts w:hint="eastAsia"/>
                <w:color w:val="auto"/>
                <w:sz w:val="24"/>
              </w:rPr>
              <w:t>及2</w:t>
            </w:r>
            <w:r>
              <w:rPr>
                <w:color w:val="auto"/>
                <w:sz w:val="24"/>
              </w:rPr>
              <w:t>023</w:t>
            </w:r>
            <w:r>
              <w:rPr>
                <w:rFonts w:hint="eastAsia"/>
                <w:color w:val="auto"/>
                <w:sz w:val="24"/>
              </w:rPr>
              <w:t>年修改单的</w:t>
            </w:r>
            <w:r>
              <w:rPr>
                <w:color w:val="auto"/>
                <w:sz w:val="24"/>
              </w:rPr>
              <w:t>要求。</w:t>
            </w:r>
          </w:p>
          <w:p w14:paraId="0D6E096F">
            <w:pPr>
              <w:spacing w:line="360" w:lineRule="auto"/>
              <w:ind w:firstLine="482" w:firstLineChars="200"/>
              <w:rPr>
                <w:b/>
                <w:color w:val="auto"/>
                <w:sz w:val="24"/>
              </w:rPr>
            </w:pPr>
            <w:r>
              <w:rPr>
                <w:b/>
                <w:color w:val="auto"/>
                <w:sz w:val="24"/>
              </w:rPr>
              <w:t>（2）废气排放口</w:t>
            </w:r>
          </w:p>
          <w:p w14:paraId="080C23A0">
            <w:pPr>
              <w:spacing w:line="360" w:lineRule="auto"/>
              <w:ind w:firstLine="480" w:firstLineChars="200"/>
              <w:rPr>
                <w:color w:val="auto"/>
                <w:sz w:val="24"/>
              </w:rPr>
            </w:pPr>
            <w:r>
              <w:rPr>
                <w:color w:val="auto"/>
                <w:sz w:val="24"/>
              </w:rPr>
              <w:t>对于有组织排放的废气，排气筒应设置便于采样、监测的采样平台、采样口，采样口的设置应符合《污染源监测技术规范》要求。废气排放口均应设置环保图形标志牌。</w:t>
            </w:r>
          </w:p>
          <w:p w14:paraId="4B23874C">
            <w:pPr>
              <w:spacing w:line="360" w:lineRule="auto"/>
              <w:ind w:firstLine="482" w:firstLineChars="200"/>
              <w:rPr>
                <w:b/>
                <w:color w:val="auto"/>
                <w:sz w:val="24"/>
              </w:rPr>
            </w:pPr>
            <w:r>
              <w:rPr>
                <w:b/>
                <w:color w:val="auto"/>
                <w:sz w:val="24"/>
              </w:rPr>
              <w:t>（3）固定噪声源</w:t>
            </w:r>
          </w:p>
          <w:p w14:paraId="11D4C49A">
            <w:pPr>
              <w:spacing w:line="360" w:lineRule="auto"/>
              <w:ind w:firstLine="480" w:firstLineChars="200"/>
              <w:rPr>
                <w:color w:val="auto"/>
                <w:sz w:val="24"/>
              </w:rPr>
            </w:pPr>
            <w:r>
              <w:rPr>
                <w:color w:val="auto"/>
                <w:sz w:val="24"/>
              </w:rPr>
              <w:t>不同噪声源的情况，采取减振降噪、隔声等措施，使厂界达到相应功能区的标准要求。在厂界噪声敏感且对外界影响最大处设置固定噪声源的监测点和噪声环境保护图形标志牌。</w:t>
            </w:r>
          </w:p>
          <w:p w14:paraId="68699A13">
            <w:pPr>
              <w:spacing w:line="360" w:lineRule="auto"/>
              <w:ind w:firstLine="482" w:firstLineChars="200"/>
              <w:rPr>
                <w:b/>
                <w:color w:val="auto"/>
                <w:sz w:val="24"/>
              </w:rPr>
            </w:pPr>
            <w:r>
              <w:rPr>
                <w:b/>
                <w:color w:val="auto"/>
                <w:sz w:val="24"/>
              </w:rPr>
              <w:t>（4）固废</w:t>
            </w:r>
          </w:p>
          <w:p w14:paraId="164016E8">
            <w:pPr>
              <w:spacing w:line="360" w:lineRule="auto"/>
              <w:ind w:firstLine="480" w:firstLineChars="200"/>
              <w:rPr>
                <w:color w:val="auto"/>
                <w:sz w:val="24"/>
              </w:rPr>
            </w:pPr>
            <w:r>
              <w:rPr>
                <w:color w:val="auto"/>
                <w:sz w:val="24"/>
              </w:rPr>
              <w:t>对于各类固体废物应设置专用贮存、堆放场地。各类固体废物贮存场所均应设置醒目的标志牌。</w:t>
            </w:r>
          </w:p>
          <w:p w14:paraId="08129DB4">
            <w:pPr>
              <w:spacing w:line="360" w:lineRule="auto"/>
              <w:ind w:firstLine="480" w:firstLineChars="200"/>
              <w:rPr>
                <w:color w:val="auto"/>
                <w:sz w:val="24"/>
              </w:rPr>
            </w:pPr>
            <w:r>
              <w:rPr>
                <w:rFonts w:hint="eastAsia" w:ascii="宋体" w:hAnsi="宋体" w:cs="宋体"/>
                <w:color w:val="auto"/>
                <w:sz w:val="24"/>
              </w:rPr>
              <w:t>①</w:t>
            </w:r>
            <w:r>
              <w:rPr>
                <w:color w:val="auto"/>
                <w:sz w:val="24"/>
              </w:rPr>
              <w:t>固体废物贮存场所要防流失、防渗漏、防雨、防洪水。</w:t>
            </w:r>
          </w:p>
          <w:p w14:paraId="38213B01">
            <w:pPr>
              <w:spacing w:line="360" w:lineRule="auto"/>
              <w:ind w:firstLine="480" w:firstLineChars="200"/>
              <w:rPr>
                <w:color w:val="auto"/>
                <w:sz w:val="24"/>
              </w:rPr>
            </w:pPr>
            <w:r>
              <w:rPr>
                <w:rFonts w:hint="eastAsia" w:ascii="宋体" w:hAnsi="宋体" w:cs="宋体"/>
                <w:color w:val="auto"/>
                <w:sz w:val="24"/>
              </w:rPr>
              <w:t>②</w:t>
            </w:r>
            <w:r>
              <w:rPr>
                <w:color w:val="auto"/>
                <w:sz w:val="24"/>
              </w:rPr>
              <w:t>一般固体废物贮存场所在醒目处设置一个标志牌。</w:t>
            </w:r>
          </w:p>
          <w:p w14:paraId="6DA5F8A8">
            <w:pPr>
              <w:spacing w:line="360" w:lineRule="auto"/>
              <w:ind w:firstLine="480" w:firstLineChars="200"/>
              <w:rPr>
                <w:color w:val="auto"/>
                <w:sz w:val="24"/>
              </w:rPr>
            </w:pPr>
            <w:r>
              <w:rPr>
                <w:rFonts w:hint="eastAsia" w:ascii="宋体" w:hAnsi="宋体" w:cs="宋体"/>
                <w:color w:val="auto"/>
                <w:sz w:val="24"/>
              </w:rPr>
              <w:t>③</w:t>
            </w:r>
            <w:r>
              <w:rPr>
                <w:color w:val="auto"/>
                <w:sz w:val="24"/>
              </w:rPr>
              <w:t>危险废物暂存间的边界采用墙体封闭，并在边界各进出口设置明显标志牌。</w:t>
            </w:r>
          </w:p>
          <w:p w14:paraId="3D321F65">
            <w:pPr>
              <w:spacing w:line="360" w:lineRule="auto"/>
              <w:ind w:firstLine="482" w:firstLineChars="200"/>
              <w:rPr>
                <w:b/>
                <w:color w:val="auto"/>
                <w:sz w:val="24"/>
              </w:rPr>
            </w:pPr>
            <w:r>
              <w:rPr>
                <w:b/>
                <w:color w:val="auto"/>
                <w:sz w:val="24"/>
              </w:rPr>
              <w:t>（5）设置标志牌要求</w:t>
            </w:r>
          </w:p>
          <w:p w14:paraId="244BD9A9">
            <w:pPr>
              <w:spacing w:line="360" w:lineRule="auto"/>
              <w:ind w:firstLine="480" w:firstLineChars="200"/>
              <w:rPr>
                <w:color w:val="auto"/>
                <w:sz w:val="24"/>
              </w:rPr>
            </w:pPr>
            <w:r>
              <w:rPr>
                <w:color w:val="auto"/>
                <w:sz w:val="24"/>
              </w:rPr>
              <w:t>环境保护图形标志牌由环保部统一定点制作，企业排污口分布图由市环境监管部门统一绘制。排放一般污染物排污口（源），设置提示式标志牌，排放有毒有害等污染物的排污口设置警告式标志牌。</w:t>
            </w:r>
          </w:p>
          <w:p w14:paraId="3781ED74">
            <w:pPr>
              <w:spacing w:line="360" w:lineRule="auto"/>
              <w:ind w:firstLine="480" w:firstLineChars="200"/>
              <w:rPr>
                <w:color w:val="auto"/>
                <w:sz w:val="24"/>
              </w:rPr>
            </w:pPr>
            <w:r>
              <w:rPr>
                <w:color w:val="auto"/>
                <w:sz w:val="24"/>
              </w:rPr>
              <w:t>标志牌设置位置在排污口附近且醒目处，高度为标志牌上缘离地面2m；排污口附近1m范围内有建筑物的，设平面式标志牌，无建筑物的设立式标志牌。</w:t>
            </w:r>
          </w:p>
          <w:p w14:paraId="5F9FD27F">
            <w:pPr>
              <w:spacing w:line="360" w:lineRule="auto"/>
              <w:ind w:firstLine="480" w:firstLineChars="200"/>
              <w:rPr>
                <w:color w:val="auto"/>
                <w:sz w:val="24"/>
              </w:rPr>
            </w:pPr>
            <w:r>
              <w:rPr>
                <w:color w:val="auto"/>
                <w:sz w:val="24"/>
              </w:rPr>
              <w:t>规范化排污口的有关设置（如图形标志牌、监控装置等）属环保设施，排污单位必须负责日常的维护保养，任何单位和个人不得擅自拆除，如需变更的须报环境监管部门同意并办理变更手续。</w:t>
            </w:r>
          </w:p>
          <w:p w14:paraId="0CB19E53">
            <w:pPr>
              <w:spacing w:line="360" w:lineRule="auto"/>
              <w:ind w:firstLine="480" w:firstLineChars="200"/>
              <w:rPr>
                <w:color w:val="auto"/>
                <w:sz w:val="24"/>
              </w:rPr>
            </w:pPr>
            <w:r>
              <w:rPr>
                <w:color w:val="auto"/>
                <w:sz w:val="24"/>
              </w:rPr>
              <w:t>在厂区的废气排放口、废水排放口、噪声排放源、固体废物贮存处置场应设置环境保护图形标志，见下表。</w:t>
            </w:r>
          </w:p>
          <w:p w14:paraId="3183F706">
            <w:pPr>
              <w:tabs>
                <w:tab w:val="left" w:pos="0"/>
              </w:tabs>
              <w:adjustRightInd w:val="0"/>
              <w:snapToGrid w:val="0"/>
              <w:jc w:val="center"/>
              <w:rPr>
                <w:b/>
                <w:bCs/>
                <w:color w:val="auto"/>
                <w:sz w:val="18"/>
                <w:szCs w:val="18"/>
              </w:rPr>
            </w:pPr>
            <w:r>
              <w:rPr>
                <w:b/>
                <w:bCs/>
                <w:color w:val="auto"/>
                <w:szCs w:val="21"/>
              </w:rPr>
              <w:t>表</w:t>
            </w:r>
            <w:r>
              <w:rPr>
                <w:rFonts w:hint="eastAsia"/>
                <w:b/>
                <w:bCs/>
                <w:color w:val="auto"/>
                <w:szCs w:val="21"/>
              </w:rPr>
              <w:t>4-</w:t>
            </w:r>
            <w:r>
              <w:rPr>
                <w:b/>
                <w:bCs/>
                <w:color w:val="auto"/>
                <w:szCs w:val="21"/>
              </w:rPr>
              <w:t>2</w:t>
            </w:r>
            <w:r>
              <w:rPr>
                <w:rFonts w:hint="eastAsia"/>
                <w:b/>
                <w:bCs/>
                <w:color w:val="auto"/>
                <w:szCs w:val="21"/>
                <w:lang w:val="en-US" w:eastAsia="zh-CN"/>
              </w:rPr>
              <w:t>9</w:t>
            </w:r>
            <w:r>
              <w:rPr>
                <w:b/>
                <w:bCs/>
                <w:color w:val="auto"/>
                <w:szCs w:val="21"/>
              </w:rPr>
              <w:t xml:space="preserve">  环境保护图形符号一览表</w:t>
            </w:r>
          </w:p>
          <w:tbl>
            <w:tblPr>
              <w:tblStyle w:val="25"/>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1227"/>
              <w:gridCol w:w="1773"/>
              <w:gridCol w:w="1415"/>
              <w:gridCol w:w="1757"/>
              <w:gridCol w:w="1996"/>
            </w:tblGrid>
            <w:tr w14:paraId="25CD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blHeader/>
                <w:jc w:val="center"/>
              </w:trPr>
              <w:tc>
                <w:tcPr>
                  <w:tcW w:w="366" w:type="pct"/>
                  <w:vAlign w:val="center"/>
                </w:tcPr>
                <w:p w14:paraId="354C9B58">
                  <w:pPr>
                    <w:adjustRightInd w:val="0"/>
                    <w:snapToGrid w:val="0"/>
                    <w:jc w:val="center"/>
                    <w:rPr>
                      <w:b/>
                      <w:bCs/>
                      <w:color w:val="auto"/>
                      <w:kern w:val="18"/>
                      <w:szCs w:val="21"/>
                    </w:rPr>
                  </w:pPr>
                  <w:r>
                    <w:rPr>
                      <w:b/>
                      <w:bCs/>
                      <w:color w:val="auto"/>
                      <w:kern w:val="18"/>
                      <w:szCs w:val="21"/>
                    </w:rPr>
                    <w:t>序号</w:t>
                  </w:r>
                </w:p>
              </w:tc>
              <w:tc>
                <w:tcPr>
                  <w:tcW w:w="696" w:type="pct"/>
                  <w:vAlign w:val="center"/>
                </w:tcPr>
                <w:p w14:paraId="4E146169">
                  <w:pPr>
                    <w:adjustRightInd w:val="0"/>
                    <w:snapToGrid w:val="0"/>
                    <w:jc w:val="center"/>
                    <w:rPr>
                      <w:b/>
                      <w:bCs/>
                      <w:color w:val="auto"/>
                      <w:kern w:val="18"/>
                      <w:szCs w:val="21"/>
                    </w:rPr>
                  </w:pPr>
                  <w:r>
                    <w:rPr>
                      <w:b/>
                      <w:bCs/>
                      <w:color w:val="auto"/>
                      <w:kern w:val="18"/>
                      <w:szCs w:val="21"/>
                    </w:rPr>
                    <w:t>提示图形符号</w:t>
                  </w:r>
                </w:p>
              </w:tc>
              <w:tc>
                <w:tcPr>
                  <w:tcW w:w="1006" w:type="pct"/>
                  <w:vAlign w:val="center"/>
                </w:tcPr>
                <w:p w14:paraId="08E9F005">
                  <w:pPr>
                    <w:adjustRightInd w:val="0"/>
                    <w:snapToGrid w:val="0"/>
                    <w:jc w:val="center"/>
                    <w:rPr>
                      <w:b/>
                      <w:bCs/>
                      <w:color w:val="auto"/>
                      <w:kern w:val="18"/>
                      <w:szCs w:val="21"/>
                    </w:rPr>
                  </w:pPr>
                  <w:r>
                    <w:rPr>
                      <w:b/>
                      <w:bCs/>
                      <w:color w:val="auto"/>
                      <w:kern w:val="18"/>
                      <w:szCs w:val="21"/>
                    </w:rPr>
                    <w:t>警告图形符号</w:t>
                  </w:r>
                </w:p>
              </w:tc>
              <w:tc>
                <w:tcPr>
                  <w:tcW w:w="803" w:type="pct"/>
                  <w:vAlign w:val="center"/>
                </w:tcPr>
                <w:p w14:paraId="36A6FDCB">
                  <w:pPr>
                    <w:adjustRightInd w:val="0"/>
                    <w:snapToGrid w:val="0"/>
                    <w:jc w:val="center"/>
                    <w:rPr>
                      <w:b/>
                      <w:bCs/>
                      <w:color w:val="auto"/>
                      <w:kern w:val="18"/>
                      <w:szCs w:val="21"/>
                    </w:rPr>
                  </w:pPr>
                  <w:r>
                    <w:rPr>
                      <w:b/>
                      <w:bCs/>
                      <w:color w:val="auto"/>
                      <w:kern w:val="18"/>
                      <w:szCs w:val="21"/>
                    </w:rPr>
                    <w:t>名称</w:t>
                  </w:r>
                </w:p>
              </w:tc>
              <w:tc>
                <w:tcPr>
                  <w:tcW w:w="997" w:type="pct"/>
                  <w:vAlign w:val="center"/>
                </w:tcPr>
                <w:p w14:paraId="3B8DEF4C">
                  <w:pPr>
                    <w:adjustRightInd w:val="0"/>
                    <w:snapToGrid w:val="0"/>
                    <w:jc w:val="center"/>
                    <w:rPr>
                      <w:b/>
                      <w:bCs/>
                      <w:color w:val="auto"/>
                      <w:kern w:val="18"/>
                      <w:szCs w:val="21"/>
                    </w:rPr>
                  </w:pPr>
                  <w:r>
                    <w:rPr>
                      <w:b/>
                      <w:bCs/>
                      <w:color w:val="auto"/>
                      <w:kern w:val="18"/>
                      <w:szCs w:val="21"/>
                    </w:rPr>
                    <w:t>功能</w:t>
                  </w:r>
                </w:p>
              </w:tc>
              <w:tc>
                <w:tcPr>
                  <w:tcW w:w="1132" w:type="pct"/>
                  <w:vAlign w:val="center"/>
                </w:tcPr>
                <w:p w14:paraId="017E0525">
                  <w:pPr>
                    <w:adjustRightInd w:val="0"/>
                    <w:snapToGrid w:val="0"/>
                    <w:jc w:val="center"/>
                    <w:rPr>
                      <w:b/>
                      <w:bCs/>
                      <w:color w:val="auto"/>
                      <w:kern w:val="18"/>
                      <w:szCs w:val="21"/>
                    </w:rPr>
                  </w:pPr>
                  <w:r>
                    <w:rPr>
                      <w:b/>
                      <w:bCs/>
                      <w:color w:val="auto"/>
                      <w:kern w:val="18"/>
                      <w:szCs w:val="21"/>
                    </w:rPr>
                    <w:t>设置要求</w:t>
                  </w:r>
                </w:p>
              </w:tc>
            </w:tr>
            <w:tr w14:paraId="2700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366" w:type="pct"/>
                  <w:vAlign w:val="center"/>
                </w:tcPr>
                <w:p w14:paraId="62323B72">
                  <w:pPr>
                    <w:adjustRightInd w:val="0"/>
                    <w:snapToGrid w:val="0"/>
                    <w:jc w:val="center"/>
                    <w:rPr>
                      <w:color w:val="auto"/>
                      <w:kern w:val="18"/>
                      <w:szCs w:val="21"/>
                    </w:rPr>
                  </w:pPr>
                  <w:r>
                    <w:rPr>
                      <w:color w:val="auto"/>
                      <w:kern w:val="18"/>
                      <w:szCs w:val="21"/>
                    </w:rPr>
                    <w:t>1</w:t>
                  </w:r>
                </w:p>
              </w:tc>
              <w:tc>
                <w:tcPr>
                  <w:tcW w:w="696" w:type="pct"/>
                  <w:vAlign w:val="center"/>
                </w:tcPr>
                <w:p w14:paraId="2AE5DADD">
                  <w:pPr>
                    <w:adjustRightInd w:val="0"/>
                    <w:snapToGrid w:val="0"/>
                    <w:jc w:val="center"/>
                    <w:rPr>
                      <w:color w:val="auto"/>
                      <w:kern w:val="18"/>
                      <w:szCs w:val="21"/>
                    </w:rPr>
                  </w:pPr>
                  <w:r>
                    <w:rPr>
                      <w:color w:val="auto"/>
                      <w:szCs w:val="21"/>
                    </w:rPr>
                    <w:drawing>
                      <wp:inline distT="0" distB="0" distL="0" distR="0">
                        <wp:extent cx="520700" cy="499745"/>
                        <wp:effectExtent l="0" t="0" r="0" b="0"/>
                        <wp:docPr id="37"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20700" cy="499745"/>
                                </a:xfrm>
                                <a:prstGeom prst="rect">
                                  <a:avLst/>
                                </a:prstGeom>
                                <a:noFill/>
                                <a:ln>
                                  <a:noFill/>
                                </a:ln>
                              </pic:spPr>
                            </pic:pic>
                          </a:graphicData>
                        </a:graphic>
                      </wp:inline>
                    </w:drawing>
                  </w:r>
                </w:p>
              </w:tc>
              <w:tc>
                <w:tcPr>
                  <w:tcW w:w="1006" w:type="pct"/>
                  <w:vAlign w:val="center"/>
                </w:tcPr>
                <w:p w14:paraId="1ADBAE7A">
                  <w:pPr>
                    <w:adjustRightInd w:val="0"/>
                    <w:snapToGrid w:val="0"/>
                    <w:jc w:val="center"/>
                    <w:rPr>
                      <w:color w:val="auto"/>
                      <w:kern w:val="18"/>
                      <w:szCs w:val="21"/>
                    </w:rPr>
                  </w:pPr>
                  <w:r>
                    <w:rPr>
                      <w:color w:val="auto"/>
                      <w:kern w:val="18"/>
                      <w:szCs w:val="21"/>
                    </w:rPr>
                    <w:drawing>
                      <wp:inline distT="0" distB="0" distL="0" distR="0">
                        <wp:extent cx="605790" cy="531495"/>
                        <wp:effectExtent l="0" t="0" r="0" b="0"/>
                        <wp:docPr id="38"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05790" cy="531495"/>
                                </a:xfrm>
                                <a:prstGeom prst="rect">
                                  <a:avLst/>
                                </a:prstGeom>
                                <a:noFill/>
                                <a:ln>
                                  <a:noFill/>
                                </a:ln>
                              </pic:spPr>
                            </pic:pic>
                          </a:graphicData>
                        </a:graphic>
                      </wp:inline>
                    </w:drawing>
                  </w:r>
                </w:p>
              </w:tc>
              <w:tc>
                <w:tcPr>
                  <w:tcW w:w="803" w:type="pct"/>
                  <w:vAlign w:val="center"/>
                </w:tcPr>
                <w:p w14:paraId="3D3414F3">
                  <w:pPr>
                    <w:adjustRightInd w:val="0"/>
                    <w:snapToGrid w:val="0"/>
                    <w:jc w:val="center"/>
                    <w:rPr>
                      <w:color w:val="auto"/>
                      <w:kern w:val="18"/>
                      <w:szCs w:val="21"/>
                    </w:rPr>
                  </w:pPr>
                  <w:r>
                    <w:rPr>
                      <w:color w:val="auto"/>
                      <w:kern w:val="18"/>
                      <w:szCs w:val="21"/>
                    </w:rPr>
                    <w:t>废水排放口</w:t>
                  </w:r>
                </w:p>
              </w:tc>
              <w:tc>
                <w:tcPr>
                  <w:tcW w:w="997" w:type="pct"/>
                  <w:vAlign w:val="center"/>
                </w:tcPr>
                <w:p w14:paraId="68AA8094">
                  <w:pPr>
                    <w:adjustRightInd w:val="0"/>
                    <w:snapToGrid w:val="0"/>
                    <w:jc w:val="center"/>
                    <w:rPr>
                      <w:color w:val="auto"/>
                      <w:kern w:val="18"/>
                      <w:szCs w:val="21"/>
                    </w:rPr>
                  </w:pPr>
                  <w:r>
                    <w:rPr>
                      <w:color w:val="auto"/>
                      <w:kern w:val="18"/>
                      <w:szCs w:val="21"/>
                    </w:rPr>
                    <w:t>标识废水向水体环境排放</w:t>
                  </w:r>
                </w:p>
              </w:tc>
              <w:tc>
                <w:tcPr>
                  <w:tcW w:w="1132" w:type="pct"/>
                  <w:vMerge w:val="restart"/>
                  <w:vAlign w:val="center"/>
                </w:tcPr>
                <w:p w14:paraId="6DACA4B3">
                  <w:pPr>
                    <w:adjustRightInd w:val="0"/>
                    <w:snapToGrid w:val="0"/>
                    <w:jc w:val="left"/>
                    <w:rPr>
                      <w:color w:val="auto"/>
                      <w:kern w:val="18"/>
                      <w:szCs w:val="21"/>
                    </w:rPr>
                  </w:pPr>
                  <w:r>
                    <w:rPr>
                      <w:color w:val="auto"/>
                      <w:kern w:val="18"/>
                      <w:szCs w:val="21"/>
                    </w:rPr>
                    <w:t>形状：边长40cm等边三角形</w:t>
                  </w:r>
                </w:p>
                <w:p w14:paraId="0930D500">
                  <w:pPr>
                    <w:adjustRightInd w:val="0"/>
                    <w:snapToGrid w:val="0"/>
                    <w:jc w:val="left"/>
                    <w:rPr>
                      <w:color w:val="auto"/>
                      <w:kern w:val="18"/>
                      <w:szCs w:val="21"/>
                    </w:rPr>
                  </w:pPr>
                  <w:r>
                    <w:rPr>
                      <w:color w:val="auto"/>
                      <w:kern w:val="18"/>
                      <w:szCs w:val="21"/>
                    </w:rPr>
                    <w:t>颜色：背景为黄色，图形为黑色警告标志外檐2.5cm</w:t>
                  </w:r>
                </w:p>
              </w:tc>
            </w:tr>
            <w:tr w14:paraId="7FE5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366" w:type="pct"/>
                  <w:vAlign w:val="center"/>
                </w:tcPr>
                <w:p w14:paraId="2090CFDD">
                  <w:pPr>
                    <w:adjustRightInd w:val="0"/>
                    <w:snapToGrid w:val="0"/>
                    <w:jc w:val="center"/>
                    <w:rPr>
                      <w:color w:val="auto"/>
                      <w:kern w:val="18"/>
                      <w:szCs w:val="21"/>
                    </w:rPr>
                  </w:pPr>
                  <w:r>
                    <w:rPr>
                      <w:color w:val="auto"/>
                      <w:kern w:val="18"/>
                      <w:szCs w:val="21"/>
                    </w:rPr>
                    <w:t>2</w:t>
                  </w:r>
                </w:p>
              </w:tc>
              <w:tc>
                <w:tcPr>
                  <w:tcW w:w="696" w:type="pct"/>
                  <w:vAlign w:val="center"/>
                </w:tcPr>
                <w:p w14:paraId="75027844">
                  <w:pPr>
                    <w:adjustRightInd w:val="0"/>
                    <w:snapToGrid w:val="0"/>
                    <w:jc w:val="center"/>
                    <w:rPr>
                      <w:color w:val="auto"/>
                      <w:kern w:val="18"/>
                      <w:szCs w:val="21"/>
                    </w:rPr>
                  </w:pPr>
                  <w:r>
                    <w:rPr>
                      <w:color w:val="auto"/>
                      <w:kern w:val="18"/>
                      <w:szCs w:val="21"/>
                    </w:rPr>
                    <w:drawing>
                      <wp:inline distT="0" distB="0" distL="0" distR="0">
                        <wp:extent cx="499745" cy="499745"/>
                        <wp:effectExtent l="0" t="0" r="0" b="0"/>
                        <wp:docPr id="40" name="图片 182" descr="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2" descr="1300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99745" cy="499745"/>
                                </a:xfrm>
                                <a:prstGeom prst="rect">
                                  <a:avLst/>
                                </a:prstGeom>
                                <a:noFill/>
                                <a:ln>
                                  <a:noFill/>
                                </a:ln>
                              </pic:spPr>
                            </pic:pic>
                          </a:graphicData>
                        </a:graphic>
                      </wp:inline>
                    </w:drawing>
                  </w:r>
                </w:p>
              </w:tc>
              <w:tc>
                <w:tcPr>
                  <w:tcW w:w="1006" w:type="pct"/>
                  <w:vAlign w:val="center"/>
                </w:tcPr>
                <w:p w14:paraId="09B0376E">
                  <w:pPr>
                    <w:adjustRightInd w:val="0"/>
                    <w:snapToGrid w:val="0"/>
                    <w:jc w:val="center"/>
                    <w:rPr>
                      <w:color w:val="auto"/>
                      <w:kern w:val="18"/>
                      <w:szCs w:val="21"/>
                    </w:rPr>
                  </w:pPr>
                  <w:r>
                    <w:rPr>
                      <w:color w:val="auto"/>
                      <w:kern w:val="18"/>
                      <w:szCs w:val="21"/>
                    </w:rPr>
                    <w:drawing>
                      <wp:inline distT="0" distB="0" distL="0" distR="0">
                        <wp:extent cx="520700" cy="520700"/>
                        <wp:effectExtent l="0" t="0" r="0" b="0"/>
                        <wp:docPr id="41" name="图片 18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83" descr="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20700" cy="520700"/>
                                </a:xfrm>
                                <a:prstGeom prst="rect">
                                  <a:avLst/>
                                </a:prstGeom>
                                <a:noFill/>
                                <a:ln>
                                  <a:noFill/>
                                </a:ln>
                              </pic:spPr>
                            </pic:pic>
                          </a:graphicData>
                        </a:graphic>
                      </wp:inline>
                    </w:drawing>
                  </w:r>
                </w:p>
              </w:tc>
              <w:tc>
                <w:tcPr>
                  <w:tcW w:w="803" w:type="pct"/>
                  <w:vAlign w:val="center"/>
                </w:tcPr>
                <w:p w14:paraId="3555F93B">
                  <w:pPr>
                    <w:adjustRightInd w:val="0"/>
                    <w:snapToGrid w:val="0"/>
                    <w:jc w:val="center"/>
                    <w:rPr>
                      <w:color w:val="auto"/>
                      <w:kern w:val="18"/>
                      <w:szCs w:val="21"/>
                    </w:rPr>
                  </w:pPr>
                  <w:r>
                    <w:rPr>
                      <w:color w:val="auto"/>
                      <w:kern w:val="18"/>
                      <w:szCs w:val="21"/>
                    </w:rPr>
                    <w:t>废气排放口</w:t>
                  </w:r>
                </w:p>
              </w:tc>
              <w:tc>
                <w:tcPr>
                  <w:tcW w:w="997" w:type="pct"/>
                  <w:vAlign w:val="center"/>
                </w:tcPr>
                <w:p w14:paraId="2D5E6A8B">
                  <w:pPr>
                    <w:adjustRightInd w:val="0"/>
                    <w:snapToGrid w:val="0"/>
                    <w:jc w:val="center"/>
                    <w:rPr>
                      <w:color w:val="auto"/>
                      <w:kern w:val="18"/>
                      <w:szCs w:val="21"/>
                    </w:rPr>
                  </w:pPr>
                  <w:r>
                    <w:rPr>
                      <w:color w:val="auto"/>
                      <w:kern w:val="18"/>
                      <w:szCs w:val="21"/>
                    </w:rPr>
                    <w:t>表示废气向大气环境排放</w:t>
                  </w:r>
                </w:p>
              </w:tc>
              <w:tc>
                <w:tcPr>
                  <w:tcW w:w="1132" w:type="pct"/>
                  <w:vMerge w:val="continue"/>
                  <w:vAlign w:val="center"/>
                </w:tcPr>
                <w:p w14:paraId="1BAD0C8E">
                  <w:pPr>
                    <w:adjustRightInd w:val="0"/>
                    <w:snapToGrid w:val="0"/>
                    <w:jc w:val="left"/>
                    <w:rPr>
                      <w:color w:val="auto"/>
                      <w:kern w:val="18"/>
                      <w:szCs w:val="21"/>
                    </w:rPr>
                  </w:pPr>
                </w:p>
              </w:tc>
            </w:tr>
            <w:tr w14:paraId="756C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366" w:type="pct"/>
                  <w:vAlign w:val="center"/>
                </w:tcPr>
                <w:p w14:paraId="2718122C">
                  <w:pPr>
                    <w:adjustRightInd w:val="0"/>
                    <w:snapToGrid w:val="0"/>
                    <w:jc w:val="center"/>
                    <w:rPr>
                      <w:color w:val="auto"/>
                      <w:kern w:val="18"/>
                      <w:szCs w:val="21"/>
                    </w:rPr>
                  </w:pPr>
                  <w:r>
                    <w:rPr>
                      <w:color w:val="auto"/>
                      <w:kern w:val="18"/>
                      <w:szCs w:val="21"/>
                    </w:rPr>
                    <w:t>3</w:t>
                  </w:r>
                </w:p>
              </w:tc>
              <w:tc>
                <w:tcPr>
                  <w:tcW w:w="696" w:type="pct"/>
                  <w:vAlign w:val="center"/>
                </w:tcPr>
                <w:p w14:paraId="175454A0">
                  <w:pPr>
                    <w:adjustRightInd w:val="0"/>
                    <w:snapToGrid w:val="0"/>
                    <w:jc w:val="center"/>
                    <w:rPr>
                      <w:color w:val="auto"/>
                      <w:kern w:val="18"/>
                      <w:szCs w:val="21"/>
                    </w:rPr>
                  </w:pPr>
                  <w:r>
                    <w:rPr>
                      <w:color w:val="auto"/>
                      <w:kern w:val="18"/>
                      <w:szCs w:val="21"/>
                    </w:rPr>
                    <w:drawing>
                      <wp:inline distT="0" distB="0" distL="0" distR="0">
                        <wp:extent cx="542290" cy="520700"/>
                        <wp:effectExtent l="0" t="0" r="0" b="0"/>
                        <wp:docPr id="42" name="图片 184" descr="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4" descr="2006022015180498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42290" cy="520700"/>
                                </a:xfrm>
                                <a:prstGeom prst="rect">
                                  <a:avLst/>
                                </a:prstGeom>
                                <a:noFill/>
                                <a:ln>
                                  <a:noFill/>
                                </a:ln>
                              </pic:spPr>
                            </pic:pic>
                          </a:graphicData>
                        </a:graphic>
                      </wp:inline>
                    </w:drawing>
                  </w:r>
                </w:p>
              </w:tc>
              <w:tc>
                <w:tcPr>
                  <w:tcW w:w="1006" w:type="pct"/>
                  <w:vAlign w:val="center"/>
                </w:tcPr>
                <w:p w14:paraId="77CF9F7C">
                  <w:pPr>
                    <w:adjustRightInd w:val="0"/>
                    <w:snapToGrid w:val="0"/>
                    <w:jc w:val="center"/>
                    <w:rPr>
                      <w:color w:val="auto"/>
                      <w:kern w:val="18"/>
                      <w:szCs w:val="21"/>
                    </w:rPr>
                  </w:pPr>
                  <w:r>
                    <w:rPr>
                      <w:color w:val="auto"/>
                      <w:kern w:val="18"/>
                      <w:szCs w:val="21"/>
                    </w:rPr>
                    <w:drawing>
                      <wp:inline distT="0" distB="0" distL="0" distR="0">
                        <wp:extent cx="584835" cy="510540"/>
                        <wp:effectExtent l="0" t="0" r="0" b="0"/>
                        <wp:docPr id="43" name="图片 185" descr="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5" descr="2006022015190186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84835" cy="510540"/>
                                </a:xfrm>
                                <a:prstGeom prst="rect">
                                  <a:avLst/>
                                </a:prstGeom>
                                <a:noFill/>
                                <a:ln>
                                  <a:noFill/>
                                </a:ln>
                              </pic:spPr>
                            </pic:pic>
                          </a:graphicData>
                        </a:graphic>
                      </wp:inline>
                    </w:drawing>
                  </w:r>
                </w:p>
              </w:tc>
              <w:tc>
                <w:tcPr>
                  <w:tcW w:w="803" w:type="pct"/>
                  <w:vAlign w:val="center"/>
                </w:tcPr>
                <w:p w14:paraId="60BC9BB4">
                  <w:pPr>
                    <w:adjustRightInd w:val="0"/>
                    <w:snapToGrid w:val="0"/>
                    <w:jc w:val="center"/>
                    <w:rPr>
                      <w:color w:val="auto"/>
                      <w:kern w:val="18"/>
                      <w:szCs w:val="21"/>
                    </w:rPr>
                  </w:pPr>
                  <w:r>
                    <w:rPr>
                      <w:color w:val="auto"/>
                      <w:kern w:val="18"/>
                      <w:szCs w:val="21"/>
                    </w:rPr>
                    <w:t>噪声排放源</w:t>
                  </w:r>
                </w:p>
              </w:tc>
              <w:tc>
                <w:tcPr>
                  <w:tcW w:w="997" w:type="pct"/>
                  <w:vAlign w:val="center"/>
                </w:tcPr>
                <w:p w14:paraId="287C0587">
                  <w:pPr>
                    <w:adjustRightInd w:val="0"/>
                    <w:snapToGrid w:val="0"/>
                    <w:jc w:val="center"/>
                    <w:rPr>
                      <w:color w:val="auto"/>
                      <w:kern w:val="18"/>
                      <w:szCs w:val="21"/>
                    </w:rPr>
                  </w:pPr>
                  <w:r>
                    <w:rPr>
                      <w:color w:val="auto"/>
                      <w:kern w:val="18"/>
                      <w:szCs w:val="21"/>
                    </w:rPr>
                    <w:t>表示噪声向外环境排放</w:t>
                  </w:r>
                </w:p>
              </w:tc>
              <w:tc>
                <w:tcPr>
                  <w:tcW w:w="1132" w:type="pct"/>
                  <w:vMerge w:val="continue"/>
                  <w:vAlign w:val="center"/>
                </w:tcPr>
                <w:p w14:paraId="3C28ED13">
                  <w:pPr>
                    <w:adjustRightInd w:val="0"/>
                    <w:snapToGrid w:val="0"/>
                    <w:jc w:val="left"/>
                    <w:rPr>
                      <w:color w:val="auto"/>
                      <w:kern w:val="18"/>
                      <w:szCs w:val="21"/>
                    </w:rPr>
                  </w:pPr>
                </w:p>
              </w:tc>
            </w:tr>
            <w:tr w14:paraId="16AC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366" w:type="pct"/>
                  <w:vAlign w:val="center"/>
                </w:tcPr>
                <w:p w14:paraId="7F129259">
                  <w:pPr>
                    <w:adjustRightInd w:val="0"/>
                    <w:snapToGrid w:val="0"/>
                    <w:jc w:val="center"/>
                    <w:rPr>
                      <w:color w:val="auto"/>
                      <w:kern w:val="18"/>
                      <w:szCs w:val="21"/>
                    </w:rPr>
                  </w:pPr>
                  <w:r>
                    <w:rPr>
                      <w:color w:val="auto"/>
                      <w:kern w:val="18"/>
                      <w:szCs w:val="21"/>
                    </w:rPr>
                    <w:t>4</w:t>
                  </w:r>
                </w:p>
              </w:tc>
              <w:tc>
                <w:tcPr>
                  <w:tcW w:w="696" w:type="pct"/>
                  <w:vAlign w:val="center"/>
                </w:tcPr>
                <w:p w14:paraId="301F55EB">
                  <w:pPr>
                    <w:adjustRightInd w:val="0"/>
                    <w:snapToGrid w:val="0"/>
                    <w:jc w:val="center"/>
                    <w:rPr>
                      <w:color w:val="auto"/>
                      <w:kern w:val="18"/>
                      <w:szCs w:val="21"/>
                    </w:rPr>
                  </w:pPr>
                  <w:r>
                    <w:rPr>
                      <w:color w:val="auto"/>
                      <w:kern w:val="18"/>
                      <w:szCs w:val="21"/>
                    </w:rPr>
                    <w:drawing>
                      <wp:inline distT="0" distB="0" distL="0" distR="0">
                        <wp:extent cx="542290" cy="553085"/>
                        <wp:effectExtent l="0" t="0" r="0" b="0"/>
                        <wp:docPr id="44" name="图片 186"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6" descr="140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42290" cy="553085"/>
                                </a:xfrm>
                                <a:prstGeom prst="rect">
                                  <a:avLst/>
                                </a:prstGeom>
                                <a:noFill/>
                                <a:ln>
                                  <a:noFill/>
                                </a:ln>
                              </pic:spPr>
                            </pic:pic>
                          </a:graphicData>
                        </a:graphic>
                      </wp:inline>
                    </w:drawing>
                  </w:r>
                </w:p>
              </w:tc>
              <w:tc>
                <w:tcPr>
                  <w:tcW w:w="1006" w:type="pct"/>
                  <w:vAlign w:val="center"/>
                </w:tcPr>
                <w:p w14:paraId="1BC43E4E">
                  <w:pPr>
                    <w:adjustRightInd w:val="0"/>
                    <w:snapToGrid w:val="0"/>
                    <w:jc w:val="center"/>
                    <w:rPr>
                      <w:color w:val="auto"/>
                      <w:kern w:val="18"/>
                      <w:szCs w:val="21"/>
                    </w:rPr>
                  </w:pPr>
                  <w:r>
                    <w:rPr>
                      <w:color w:val="auto"/>
                      <w:kern w:val="18"/>
                      <w:szCs w:val="21"/>
                    </w:rPr>
                    <w:drawing>
                      <wp:inline distT="0" distB="0" distL="0" distR="0">
                        <wp:extent cx="595630" cy="563245"/>
                        <wp:effectExtent l="0" t="0" r="0" b="0"/>
                        <wp:docPr id="45" name="图片 187" descr="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7" descr="140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95630" cy="563245"/>
                                </a:xfrm>
                                <a:prstGeom prst="rect">
                                  <a:avLst/>
                                </a:prstGeom>
                                <a:noFill/>
                                <a:ln>
                                  <a:noFill/>
                                </a:ln>
                              </pic:spPr>
                            </pic:pic>
                          </a:graphicData>
                        </a:graphic>
                      </wp:inline>
                    </w:drawing>
                  </w:r>
                </w:p>
              </w:tc>
              <w:tc>
                <w:tcPr>
                  <w:tcW w:w="803" w:type="pct"/>
                  <w:vAlign w:val="center"/>
                </w:tcPr>
                <w:p w14:paraId="26BADB78">
                  <w:pPr>
                    <w:adjustRightInd w:val="0"/>
                    <w:snapToGrid w:val="0"/>
                    <w:jc w:val="center"/>
                    <w:rPr>
                      <w:color w:val="auto"/>
                      <w:kern w:val="18"/>
                      <w:szCs w:val="21"/>
                    </w:rPr>
                  </w:pPr>
                  <w:r>
                    <w:rPr>
                      <w:color w:val="auto"/>
                      <w:kern w:val="18"/>
                      <w:szCs w:val="21"/>
                    </w:rPr>
                    <w:t>一般固体废物</w:t>
                  </w:r>
                </w:p>
              </w:tc>
              <w:tc>
                <w:tcPr>
                  <w:tcW w:w="997" w:type="pct"/>
                  <w:vAlign w:val="center"/>
                </w:tcPr>
                <w:p w14:paraId="5E74078C">
                  <w:pPr>
                    <w:adjustRightInd w:val="0"/>
                    <w:snapToGrid w:val="0"/>
                    <w:jc w:val="center"/>
                    <w:rPr>
                      <w:color w:val="auto"/>
                      <w:kern w:val="18"/>
                      <w:szCs w:val="21"/>
                    </w:rPr>
                  </w:pPr>
                  <w:r>
                    <w:rPr>
                      <w:color w:val="auto"/>
                      <w:kern w:val="18"/>
                      <w:szCs w:val="21"/>
                    </w:rPr>
                    <w:t>表示一般固体废物贮存、处置场</w:t>
                  </w:r>
                </w:p>
              </w:tc>
              <w:tc>
                <w:tcPr>
                  <w:tcW w:w="1132" w:type="pct"/>
                  <w:vMerge w:val="continue"/>
                  <w:vAlign w:val="center"/>
                </w:tcPr>
                <w:p w14:paraId="785AF7EB">
                  <w:pPr>
                    <w:adjustRightInd w:val="0"/>
                    <w:snapToGrid w:val="0"/>
                    <w:jc w:val="left"/>
                    <w:rPr>
                      <w:color w:val="auto"/>
                      <w:kern w:val="18"/>
                      <w:szCs w:val="21"/>
                    </w:rPr>
                  </w:pPr>
                </w:p>
              </w:tc>
            </w:tr>
            <w:tr w14:paraId="5D54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366" w:type="pct"/>
                  <w:vAlign w:val="center"/>
                </w:tcPr>
                <w:p w14:paraId="6A046883">
                  <w:pPr>
                    <w:adjustRightInd w:val="0"/>
                    <w:snapToGrid w:val="0"/>
                    <w:jc w:val="center"/>
                    <w:rPr>
                      <w:color w:val="auto"/>
                      <w:kern w:val="18"/>
                      <w:szCs w:val="21"/>
                    </w:rPr>
                  </w:pPr>
                  <w:r>
                    <w:rPr>
                      <w:color w:val="auto"/>
                      <w:kern w:val="18"/>
                      <w:szCs w:val="21"/>
                    </w:rPr>
                    <w:t>5</w:t>
                  </w:r>
                </w:p>
              </w:tc>
              <w:tc>
                <w:tcPr>
                  <w:tcW w:w="696" w:type="pct"/>
                  <w:vAlign w:val="center"/>
                </w:tcPr>
                <w:p w14:paraId="7242E407">
                  <w:pPr>
                    <w:adjustRightInd w:val="0"/>
                    <w:snapToGrid w:val="0"/>
                    <w:jc w:val="center"/>
                    <w:rPr>
                      <w:color w:val="auto"/>
                      <w:kern w:val="18"/>
                      <w:szCs w:val="21"/>
                    </w:rPr>
                  </w:pPr>
                  <w:r>
                    <w:rPr>
                      <w:color w:val="auto"/>
                      <w:kern w:val="18"/>
                      <w:szCs w:val="21"/>
                    </w:rPr>
                    <w:t>/</w:t>
                  </w:r>
                </w:p>
              </w:tc>
              <w:tc>
                <w:tcPr>
                  <w:tcW w:w="1006" w:type="pct"/>
                  <w:vAlign w:val="center"/>
                </w:tcPr>
                <w:p w14:paraId="65C90722">
                  <w:pPr>
                    <w:adjustRightInd w:val="0"/>
                    <w:snapToGrid w:val="0"/>
                    <w:jc w:val="center"/>
                    <w:rPr>
                      <w:color w:val="auto"/>
                      <w:kern w:val="18"/>
                      <w:szCs w:val="21"/>
                    </w:rPr>
                  </w:pPr>
                  <w:r>
                    <w:rPr>
                      <w:color w:val="auto"/>
                    </w:rPr>
                    <w:drawing>
                      <wp:inline distT="0" distB="0" distL="114300" distR="114300">
                        <wp:extent cx="572135" cy="697230"/>
                        <wp:effectExtent l="0" t="0" r="18415" b="762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59"/>
                                <a:stretch>
                                  <a:fillRect/>
                                </a:stretch>
                              </pic:blipFill>
                              <pic:spPr>
                                <a:xfrm>
                                  <a:off x="0" y="0"/>
                                  <a:ext cx="572135" cy="697230"/>
                                </a:xfrm>
                                <a:prstGeom prst="rect">
                                  <a:avLst/>
                                </a:prstGeom>
                                <a:noFill/>
                                <a:ln>
                                  <a:noFill/>
                                </a:ln>
                              </pic:spPr>
                            </pic:pic>
                          </a:graphicData>
                        </a:graphic>
                      </wp:inline>
                    </w:drawing>
                  </w:r>
                </w:p>
              </w:tc>
              <w:tc>
                <w:tcPr>
                  <w:tcW w:w="803" w:type="pct"/>
                  <w:vAlign w:val="center"/>
                </w:tcPr>
                <w:p w14:paraId="7E5355E3">
                  <w:pPr>
                    <w:adjustRightInd w:val="0"/>
                    <w:snapToGrid w:val="0"/>
                    <w:jc w:val="center"/>
                    <w:rPr>
                      <w:color w:val="auto"/>
                      <w:kern w:val="18"/>
                      <w:szCs w:val="21"/>
                    </w:rPr>
                  </w:pPr>
                  <w:r>
                    <w:rPr>
                      <w:color w:val="auto"/>
                      <w:kern w:val="18"/>
                      <w:szCs w:val="21"/>
                    </w:rPr>
                    <w:t>危险废物暂存间</w:t>
                  </w:r>
                </w:p>
              </w:tc>
              <w:tc>
                <w:tcPr>
                  <w:tcW w:w="997" w:type="pct"/>
                  <w:vAlign w:val="center"/>
                </w:tcPr>
                <w:p w14:paraId="47BBC894">
                  <w:pPr>
                    <w:adjustRightInd w:val="0"/>
                    <w:snapToGrid w:val="0"/>
                    <w:jc w:val="center"/>
                    <w:rPr>
                      <w:color w:val="auto"/>
                      <w:kern w:val="18"/>
                      <w:szCs w:val="21"/>
                    </w:rPr>
                  </w:pPr>
                  <w:r>
                    <w:rPr>
                      <w:color w:val="auto"/>
                      <w:kern w:val="18"/>
                      <w:szCs w:val="21"/>
                    </w:rPr>
                    <w:t>表示危险废物贮存、处置场</w:t>
                  </w:r>
                </w:p>
              </w:tc>
              <w:tc>
                <w:tcPr>
                  <w:tcW w:w="1132" w:type="pct"/>
                  <w:vMerge w:val="continue"/>
                  <w:vAlign w:val="center"/>
                </w:tcPr>
                <w:p w14:paraId="0F7ECEEA">
                  <w:pPr>
                    <w:adjustRightInd w:val="0"/>
                    <w:snapToGrid w:val="0"/>
                    <w:jc w:val="center"/>
                    <w:rPr>
                      <w:color w:val="auto"/>
                      <w:kern w:val="18"/>
                      <w:szCs w:val="21"/>
                    </w:rPr>
                  </w:pPr>
                </w:p>
              </w:tc>
            </w:tr>
          </w:tbl>
          <w:p w14:paraId="3F6CCBBA">
            <w:pPr>
              <w:overflowPunct w:val="0"/>
              <w:autoSpaceDE w:val="0"/>
              <w:autoSpaceDN w:val="0"/>
              <w:adjustRightInd w:val="0"/>
              <w:snapToGrid w:val="0"/>
              <w:spacing w:before="120" w:beforeLines="50" w:line="360" w:lineRule="auto"/>
              <w:ind w:firstLine="480" w:firstLineChars="200"/>
              <w:jc w:val="left"/>
              <w:textAlignment w:val="baseline"/>
              <w:rPr>
                <w:rFonts w:eastAsia="Calibri"/>
                <w:b/>
                <w:bCs/>
                <w:color w:val="auto"/>
                <w:kern w:val="0"/>
                <w:sz w:val="24"/>
              </w:rPr>
            </w:pPr>
            <w:r>
              <w:rPr>
                <w:rFonts w:eastAsia="Calibri"/>
                <w:b/>
                <w:bCs/>
                <w:color w:val="auto"/>
                <w:kern w:val="0"/>
                <w:sz w:val="24"/>
              </w:rPr>
              <w:t>6.3</w:t>
            </w:r>
            <w:r>
              <w:rPr>
                <w:rFonts w:hint="eastAsia" w:ascii="宋体" w:hAnsi="宋体" w:cs="宋体"/>
                <w:b/>
                <w:bCs/>
                <w:color w:val="auto"/>
                <w:kern w:val="0"/>
                <w:sz w:val="24"/>
              </w:rPr>
              <w:t>排污口管理</w:t>
            </w:r>
          </w:p>
          <w:p w14:paraId="301F2885">
            <w:pPr>
              <w:overflowPunct w:val="0"/>
              <w:autoSpaceDE w:val="0"/>
              <w:autoSpaceDN w:val="0"/>
              <w:adjustRightInd w:val="0"/>
              <w:snapToGrid w:val="0"/>
              <w:spacing w:line="360" w:lineRule="auto"/>
              <w:ind w:firstLine="480" w:firstLineChars="200"/>
              <w:jc w:val="left"/>
              <w:textAlignment w:val="baseline"/>
              <w:rPr>
                <w:rFonts w:eastAsia="Calibri"/>
                <w:color w:val="auto"/>
                <w:kern w:val="0"/>
                <w:sz w:val="24"/>
              </w:rPr>
            </w:pPr>
            <w:r>
              <w:rPr>
                <w:rFonts w:hint="eastAsia" w:ascii="宋体" w:hAnsi="宋体" w:cs="宋体"/>
                <w:color w:val="auto"/>
                <w:kern w:val="0"/>
                <w:sz w:val="24"/>
              </w:rPr>
              <w:t>管理原则：排污口是企业污染物进入环境，污染环境的通道，强化排污口的管理是实施污染物总量控制的基础工作之一，也是区域环境管理逐步实现污染物排放科学化、定量化的重要手段。</w:t>
            </w:r>
          </w:p>
          <w:p w14:paraId="308C4305">
            <w:pPr>
              <w:overflowPunct w:val="0"/>
              <w:autoSpaceDE w:val="0"/>
              <w:autoSpaceDN w:val="0"/>
              <w:adjustRightInd w:val="0"/>
              <w:snapToGrid w:val="0"/>
              <w:spacing w:line="360" w:lineRule="auto"/>
              <w:ind w:firstLine="480" w:firstLineChars="200"/>
              <w:jc w:val="left"/>
              <w:textAlignment w:val="baseline"/>
              <w:rPr>
                <w:rFonts w:eastAsia="Calibri"/>
                <w:color w:val="auto"/>
                <w:kern w:val="0"/>
                <w:sz w:val="24"/>
              </w:rPr>
            </w:pPr>
            <w:r>
              <w:rPr>
                <w:rFonts w:hint="eastAsia" w:ascii="宋体" w:hAnsi="宋体" w:cs="宋体"/>
                <w:color w:val="auto"/>
                <w:kern w:val="0"/>
                <w:sz w:val="24"/>
              </w:rPr>
              <w:t>①</w:t>
            </w:r>
            <w:r>
              <w:rPr>
                <w:color w:val="auto"/>
                <w:kern w:val="0"/>
                <w:sz w:val="24"/>
              </w:rPr>
              <w:t>具体管理原则如下：</w:t>
            </w:r>
          </w:p>
          <w:p w14:paraId="23BA5D61">
            <w:pPr>
              <w:overflowPunct w:val="0"/>
              <w:autoSpaceDE w:val="0"/>
              <w:autoSpaceDN w:val="0"/>
              <w:adjustRightInd w:val="0"/>
              <w:snapToGrid w:val="0"/>
              <w:spacing w:line="360" w:lineRule="auto"/>
              <w:ind w:firstLine="480" w:firstLineChars="200"/>
              <w:jc w:val="left"/>
              <w:textAlignment w:val="baseline"/>
              <w:rPr>
                <w:rFonts w:eastAsia="Calibri"/>
                <w:color w:val="auto"/>
                <w:kern w:val="0"/>
                <w:sz w:val="24"/>
              </w:rPr>
            </w:pPr>
            <w:r>
              <w:rPr>
                <w:rFonts w:eastAsia="Calibri"/>
                <w:color w:val="auto"/>
                <w:kern w:val="0"/>
                <w:sz w:val="24"/>
              </w:rPr>
              <w:t>a</w:t>
            </w:r>
            <w:r>
              <w:rPr>
                <w:color w:val="auto"/>
                <w:kern w:val="0"/>
                <w:sz w:val="24"/>
              </w:rPr>
              <w:t>．向环境排放的污染物的排放口必须规范化。</w:t>
            </w:r>
          </w:p>
          <w:p w14:paraId="32DFAB9F">
            <w:pPr>
              <w:overflowPunct w:val="0"/>
              <w:autoSpaceDE w:val="0"/>
              <w:autoSpaceDN w:val="0"/>
              <w:adjustRightInd w:val="0"/>
              <w:snapToGrid w:val="0"/>
              <w:spacing w:line="360" w:lineRule="auto"/>
              <w:ind w:firstLine="480" w:firstLineChars="200"/>
              <w:jc w:val="left"/>
              <w:textAlignment w:val="baseline"/>
              <w:rPr>
                <w:rFonts w:eastAsia="Calibri"/>
                <w:color w:val="auto"/>
                <w:kern w:val="0"/>
                <w:sz w:val="24"/>
              </w:rPr>
            </w:pPr>
            <w:r>
              <w:rPr>
                <w:rFonts w:eastAsia="Calibri"/>
                <w:color w:val="auto"/>
                <w:kern w:val="0"/>
                <w:sz w:val="24"/>
              </w:rPr>
              <w:t>b</w:t>
            </w:r>
            <w:r>
              <w:rPr>
                <w:color w:val="auto"/>
                <w:kern w:val="0"/>
                <w:sz w:val="24"/>
              </w:rPr>
              <w:t>．列入总量控制的污染物排放源列为管理的重点。</w:t>
            </w:r>
          </w:p>
          <w:p w14:paraId="4BC028CB">
            <w:pPr>
              <w:overflowPunct w:val="0"/>
              <w:autoSpaceDE w:val="0"/>
              <w:autoSpaceDN w:val="0"/>
              <w:adjustRightInd w:val="0"/>
              <w:snapToGrid w:val="0"/>
              <w:spacing w:line="360" w:lineRule="auto"/>
              <w:ind w:firstLine="480" w:firstLineChars="200"/>
              <w:jc w:val="left"/>
              <w:textAlignment w:val="baseline"/>
              <w:rPr>
                <w:rFonts w:eastAsia="Calibri"/>
                <w:color w:val="auto"/>
                <w:kern w:val="0"/>
                <w:sz w:val="24"/>
              </w:rPr>
            </w:pPr>
            <w:r>
              <w:rPr>
                <w:rFonts w:eastAsia="Calibri"/>
                <w:color w:val="auto"/>
                <w:kern w:val="0"/>
                <w:sz w:val="24"/>
              </w:rPr>
              <w:t>c</w:t>
            </w:r>
            <w:r>
              <w:rPr>
                <w:color w:val="auto"/>
                <w:kern w:val="0"/>
                <w:sz w:val="24"/>
              </w:rPr>
              <w:t>．如实向环保管理部门申报排污口数量、位置及所排放的主要污染物种类、数量、浓度、排放去向等情况。</w:t>
            </w:r>
          </w:p>
          <w:p w14:paraId="300B8757">
            <w:pPr>
              <w:overflowPunct w:val="0"/>
              <w:autoSpaceDE w:val="0"/>
              <w:autoSpaceDN w:val="0"/>
              <w:adjustRightInd w:val="0"/>
              <w:snapToGrid w:val="0"/>
              <w:spacing w:line="360" w:lineRule="auto"/>
              <w:ind w:firstLine="480" w:firstLineChars="200"/>
              <w:jc w:val="left"/>
              <w:textAlignment w:val="baseline"/>
              <w:rPr>
                <w:rFonts w:eastAsia="Calibri"/>
                <w:color w:val="auto"/>
                <w:kern w:val="0"/>
                <w:sz w:val="24"/>
              </w:rPr>
            </w:pPr>
            <w:r>
              <w:rPr>
                <w:rFonts w:eastAsia="Calibri"/>
                <w:color w:val="auto"/>
                <w:kern w:val="0"/>
                <w:sz w:val="24"/>
              </w:rPr>
              <w:t>d</w:t>
            </w:r>
            <w:r>
              <w:rPr>
                <w:color w:val="auto"/>
                <w:kern w:val="0"/>
                <w:sz w:val="24"/>
              </w:rPr>
              <w:t>．废气排气装置应设置便于采样、监测的采样孔和采样平台，设置应符合《污染源监测技术规范》。</w:t>
            </w:r>
          </w:p>
          <w:p w14:paraId="2CB0111C">
            <w:pPr>
              <w:overflowPunct w:val="0"/>
              <w:autoSpaceDE w:val="0"/>
              <w:autoSpaceDN w:val="0"/>
              <w:adjustRightInd w:val="0"/>
              <w:snapToGrid w:val="0"/>
              <w:spacing w:line="360" w:lineRule="auto"/>
              <w:ind w:firstLine="480" w:firstLineChars="200"/>
              <w:jc w:val="left"/>
              <w:textAlignment w:val="baseline"/>
              <w:rPr>
                <w:rFonts w:eastAsia="Calibri"/>
                <w:color w:val="auto"/>
                <w:kern w:val="0"/>
                <w:sz w:val="24"/>
              </w:rPr>
            </w:pPr>
            <w:r>
              <w:rPr>
                <w:rFonts w:eastAsia="Calibri"/>
                <w:color w:val="auto"/>
                <w:kern w:val="0"/>
                <w:sz w:val="24"/>
              </w:rPr>
              <w:t>e</w:t>
            </w:r>
            <w:r>
              <w:rPr>
                <w:color w:val="auto"/>
                <w:kern w:val="0"/>
                <w:sz w:val="24"/>
              </w:rPr>
              <w:t>．工程固废堆存时，应设置专用堆放场地，并有防扬散、防流失、对有毒有害固废采取防渗漏措施。危险废物暂存间应设置危险废物标签</w:t>
            </w:r>
          </w:p>
          <w:p w14:paraId="4B73807B">
            <w:pPr>
              <w:overflowPunct w:val="0"/>
              <w:autoSpaceDE w:val="0"/>
              <w:autoSpaceDN w:val="0"/>
              <w:adjustRightInd w:val="0"/>
              <w:snapToGrid w:val="0"/>
              <w:spacing w:line="360" w:lineRule="auto"/>
              <w:ind w:firstLine="480" w:firstLineChars="200"/>
              <w:jc w:val="left"/>
              <w:textAlignment w:val="baseline"/>
              <w:rPr>
                <w:rFonts w:eastAsia="Calibri"/>
                <w:color w:val="auto"/>
                <w:kern w:val="0"/>
                <w:sz w:val="24"/>
              </w:rPr>
            </w:pPr>
            <w:r>
              <w:rPr>
                <w:rFonts w:hint="eastAsia" w:ascii="宋体" w:hAnsi="宋体" w:cs="宋体"/>
                <w:color w:val="auto"/>
                <w:kern w:val="0"/>
                <w:sz w:val="24"/>
              </w:rPr>
              <w:t>②</w:t>
            </w:r>
            <w:r>
              <w:rPr>
                <w:color w:val="auto"/>
                <w:kern w:val="0"/>
                <w:sz w:val="24"/>
              </w:rPr>
              <w:t>排放源建档</w:t>
            </w:r>
          </w:p>
          <w:p w14:paraId="02A269A8">
            <w:pPr>
              <w:overflowPunct w:val="0"/>
              <w:autoSpaceDE w:val="0"/>
              <w:autoSpaceDN w:val="0"/>
              <w:adjustRightInd w:val="0"/>
              <w:snapToGrid w:val="0"/>
              <w:spacing w:line="360" w:lineRule="auto"/>
              <w:ind w:firstLine="480" w:firstLineChars="200"/>
              <w:jc w:val="left"/>
              <w:textAlignment w:val="baseline"/>
              <w:rPr>
                <w:rFonts w:eastAsia="Calibri"/>
                <w:color w:val="auto"/>
                <w:kern w:val="0"/>
                <w:sz w:val="24"/>
              </w:rPr>
            </w:pPr>
            <w:r>
              <w:rPr>
                <w:rFonts w:eastAsia="Calibri"/>
                <w:color w:val="auto"/>
                <w:kern w:val="0"/>
                <w:sz w:val="24"/>
              </w:rPr>
              <w:t>a</w:t>
            </w:r>
            <w:r>
              <w:rPr>
                <w:color w:val="auto"/>
                <w:kern w:val="0"/>
                <w:sz w:val="24"/>
              </w:rPr>
              <w:t>．本项目应使用生态环境部统一印制的《中华人民共和国规范化排污口标志登记证》，并按要求填写有关内容。</w:t>
            </w:r>
          </w:p>
          <w:p w14:paraId="7B7120DD">
            <w:pPr>
              <w:widowControl/>
              <w:spacing w:line="360" w:lineRule="auto"/>
              <w:ind w:firstLine="480" w:firstLineChars="200"/>
              <w:textAlignment w:val="bottom"/>
              <w:rPr>
                <w:color w:val="auto"/>
                <w:kern w:val="0"/>
                <w:sz w:val="24"/>
              </w:rPr>
            </w:pPr>
            <w:r>
              <w:rPr>
                <w:color w:val="auto"/>
                <w:kern w:val="0"/>
                <w:sz w:val="24"/>
              </w:rPr>
              <w:t>b.根据排污口管理内容要求，项目建成投产后，应将主要污染物种类、数量、浓度、排放去向，立标情况及设施运行情况记录于档案。</w:t>
            </w:r>
          </w:p>
          <w:p w14:paraId="68E2FD9E">
            <w:pPr>
              <w:widowControl/>
              <w:adjustRightInd w:val="0"/>
              <w:snapToGrid w:val="0"/>
              <w:spacing w:line="360" w:lineRule="auto"/>
              <w:ind w:firstLine="482" w:firstLineChars="200"/>
              <w:jc w:val="left"/>
              <w:rPr>
                <w:b/>
                <w:color w:val="auto"/>
                <w:sz w:val="24"/>
              </w:rPr>
            </w:pPr>
            <w:r>
              <w:rPr>
                <w:rFonts w:hint="eastAsia"/>
                <w:b/>
                <w:color w:val="auto"/>
                <w:sz w:val="24"/>
                <w:lang w:val="en-US" w:eastAsia="zh-CN"/>
              </w:rPr>
              <w:t>7、</w:t>
            </w:r>
            <w:r>
              <w:rPr>
                <w:rFonts w:hint="eastAsia"/>
                <w:b/>
                <w:color w:val="auto"/>
                <w:sz w:val="24"/>
              </w:rPr>
              <w:t>环境风险</w:t>
            </w:r>
          </w:p>
          <w:p w14:paraId="1F8F93E4">
            <w:pPr>
              <w:widowControl/>
              <w:adjustRightInd w:val="0"/>
              <w:snapToGrid w:val="0"/>
              <w:spacing w:line="360" w:lineRule="auto"/>
              <w:ind w:firstLine="482" w:firstLineChars="200"/>
              <w:jc w:val="left"/>
              <w:rPr>
                <w:b/>
                <w:color w:val="auto"/>
                <w:sz w:val="24"/>
                <w:highlight w:val="none"/>
              </w:rPr>
            </w:pPr>
            <w:r>
              <w:rPr>
                <w:rFonts w:hint="eastAsia"/>
                <w:b/>
                <w:color w:val="auto"/>
                <w:sz w:val="24"/>
                <w:highlight w:val="none"/>
                <w:lang w:val="en-US" w:eastAsia="zh-CN"/>
              </w:rPr>
              <w:t>7.1</w:t>
            </w:r>
            <w:r>
              <w:rPr>
                <w:rFonts w:hint="eastAsia"/>
                <w:b/>
                <w:color w:val="auto"/>
                <w:sz w:val="24"/>
                <w:highlight w:val="none"/>
              </w:rPr>
              <w:t>环境风险识别</w:t>
            </w:r>
          </w:p>
          <w:p w14:paraId="6E9F825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根据《建设项目环境风险评价技术导则》（HJ169-2018）附录B，本项目涉及突发环境事件风险物质及临界量见下表。</w:t>
            </w:r>
          </w:p>
          <w:p w14:paraId="1A007ABC">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cs="Times New Roman"/>
                <w:b/>
                <w:bCs/>
                <w:color w:val="auto"/>
                <w:sz w:val="21"/>
                <w:szCs w:val="21"/>
                <w:highlight w:val="none"/>
                <w:lang w:val="en-US" w:eastAsia="zh-CN"/>
              </w:rPr>
              <w:t>30 扩建后全厂</w:t>
            </w:r>
            <w:r>
              <w:rPr>
                <w:rFonts w:hint="default" w:ascii="Times New Roman" w:hAnsi="Times New Roman" w:eastAsia="宋体" w:cs="Times New Roman"/>
                <w:b/>
                <w:bCs/>
                <w:color w:val="auto"/>
                <w:sz w:val="21"/>
                <w:szCs w:val="21"/>
                <w:highlight w:val="none"/>
              </w:rPr>
              <w:t>风险源分布及影响途径分析</w:t>
            </w:r>
          </w:p>
          <w:tbl>
            <w:tblPr>
              <w:tblStyle w:val="25"/>
              <w:tblW w:w="8680"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1438"/>
              <w:gridCol w:w="2528"/>
              <w:gridCol w:w="1754"/>
              <w:gridCol w:w="2158"/>
            </w:tblGrid>
            <w:tr w14:paraId="40CD86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dxa"/>
                  <w:noWrap w:val="0"/>
                  <w:vAlign w:val="center"/>
                </w:tcPr>
                <w:p w14:paraId="0C674120">
                  <w:pPr>
                    <w:adjustRightInd w:val="0"/>
                    <w:snapToGrid w:val="0"/>
                    <w:jc w:val="center"/>
                    <w:rPr>
                      <w:b/>
                      <w:color w:val="auto"/>
                      <w:kern w:val="0"/>
                      <w:szCs w:val="21"/>
                    </w:rPr>
                  </w:pPr>
                  <w:r>
                    <w:rPr>
                      <w:b/>
                      <w:color w:val="auto"/>
                      <w:kern w:val="0"/>
                      <w:szCs w:val="21"/>
                    </w:rPr>
                    <w:t>序号</w:t>
                  </w:r>
                </w:p>
              </w:tc>
              <w:tc>
                <w:tcPr>
                  <w:tcW w:w="1438" w:type="dxa"/>
                  <w:noWrap w:val="0"/>
                  <w:vAlign w:val="center"/>
                </w:tcPr>
                <w:p w14:paraId="5B1A9080">
                  <w:pPr>
                    <w:adjustRightInd w:val="0"/>
                    <w:snapToGrid w:val="0"/>
                    <w:jc w:val="center"/>
                    <w:rPr>
                      <w:b/>
                      <w:color w:val="auto"/>
                      <w:kern w:val="0"/>
                      <w:szCs w:val="21"/>
                    </w:rPr>
                  </w:pPr>
                  <w:r>
                    <w:rPr>
                      <w:b/>
                      <w:color w:val="auto"/>
                      <w:kern w:val="0"/>
                      <w:szCs w:val="21"/>
                    </w:rPr>
                    <w:t>危险物质</w:t>
                  </w:r>
                </w:p>
              </w:tc>
              <w:tc>
                <w:tcPr>
                  <w:tcW w:w="2528" w:type="dxa"/>
                  <w:noWrap w:val="0"/>
                  <w:vAlign w:val="center"/>
                </w:tcPr>
                <w:p w14:paraId="740BE781">
                  <w:pPr>
                    <w:adjustRightInd w:val="0"/>
                    <w:snapToGrid w:val="0"/>
                    <w:jc w:val="center"/>
                    <w:rPr>
                      <w:b/>
                      <w:color w:val="auto"/>
                      <w:kern w:val="0"/>
                      <w:szCs w:val="21"/>
                    </w:rPr>
                  </w:pPr>
                  <w:r>
                    <w:rPr>
                      <w:b/>
                      <w:color w:val="auto"/>
                      <w:kern w:val="0"/>
                      <w:szCs w:val="21"/>
                    </w:rPr>
                    <w:t>最大</w:t>
                  </w:r>
                  <w:r>
                    <w:rPr>
                      <w:rFonts w:hint="eastAsia"/>
                      <w:b/>
                      <w:color w:val="auto"/>
                      <w:kern w:val="0"/>
                      <w:szCs w:val="21"/>
                    </w:rPr>
                    <w:t>存在</w:t>
                  </w:r>
                  <w:r>
                    <w:rPr>
                      <w:b/>
                      <w:color w:val="auto"/>
                      <w:kern w:val="0"/>
                      <w:szCs w:val="21"/>
                    </w:rPr>
                    <w:t>量（t）</w:t>
                  </w:r>
                </w:p>
              </w:tc>
              <w:tc>
                <w:tcPr>
                  <w:tcW w:w="1754" w:type="dxa"/>
                  <w:noWrap w:val="0"/>
                  <w:vAlign w:val="center"/>
                </w:tcPr>
                <w:p w14:paraId="2820C01F">
                  <w:pPr>
                    <w:adjustRightInd w:val="0"/>
                    <w:snapToGrid w:val="0"/>
                    <w:jc w:val="center"/>
                    <w:rPr>
                      <w:b/>
                      <w:color w:val="auto"/>
                      <w:kern w:val="0"/>
                      <w:szCs w:val="21"/>
                    </w:rPr>
                  </w:pPr>
                  <w:r>
                    <w:rPr>
                      <w:b/>
                      <w:color w:val="auto"/>
                      <w:kern w:val="0"/>
                      <w:szCs w:val="21"/>
                    </w:rPr>
                    <w:t>临界量（t）</w:t>
                  </w:r>
                </w:p>
              </w:tc>
              <w:tc>
                <w:tcPr>
                  <w:tcW w:w="2158" w:type="dxa"/>
                  <w:noWrap w:val="0"/>
                  <w:vAlign w:val="center"/>
                </w:tcPr>
                <w:p w14:paraId="34D73A1B">
                  <w:pPr>
                    <w:adjustRightInd w:val="0"/>
                    <w:snapToGrid w:val="0"/>
                    <w:jc w:val="center"/>
                    <w:rPr>
                      <w:b/>
                      <w:color w:val="auto"/>
                      <w:kern w:val="0"/>
                      <w:szCs w:val="21"/>
                    </w:rPr>
                  </w:pPr>
                  <w:r>
                    <w:rPr>
                      <w:b/>
                      <w:color w:val="auto"/>
                      <w:kern w:val="0"/>
                      <w:szCs w:val="21"/>
                    </w:rPr>
                    <w:t>q/Q</w:t>
                  </w:r>
                </w:p>
              </w:tc>
            </w:tr>
            <w:tr w14:paraId="3D6530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02" w:type="dxa"/>
                  <w:noWrap w:val="0"/>
                  <w:vAlign w:val="center"/>
                </w:tcPr>
                <w:p w14:paraId="4937EF22">
                  <w:pPr>
                    <w:adjustRightInd w:val="0"/>
                    <w:snapToGrid w:val="0"/>
                    <w:jc w:val="center"/>
                    <w:rPr>
                      <w:bCs/>
                      <w:color w:val="auto"/>
                      <w:kern w:val="0"/>
                      <w:szCs w:val="21"/>
                    </w:rPr>
                  </w:pPr>
                  <w:r>
                    <w:rPr>
                      <w:bCs/>
                      <w:color w:val="auto"/>
                      <w:kern w:val="0"/>
                      <w:szCs w:val="21"/>
                    </w:rPr>
                    <w:t>1</w:t>
                  </w:r>
                </w:p>
              </w:tc>
              <w:tc>
                <w:tcPr>
                  <w:tcW w:w="1438" w:type="dxa"/>
                  <w:noWrap w:val="0"/>
                  <w:vAlign w:val="center"/>
                </w:tcPr>
                <w:p w14:paraId="29C165DA">
                  <w:pPr>
                    <w:adjustRightInd w:val="0"/>
                    <w:snapToGrid w:val="0"/>
                    <w:jc w:val="center"/>
                    <w:rPr>
                      <w:bCs/>
                      <w:color w:val="auto"/>
                      <w:kern w:val="0"/>
                      <w:szCs w:val="21"/>
                    </w:rPr>
                  </w:pPr>
                  <w:r>
                    <w:rPr>
                      <w:rFonts w:hint="eastAsia"/>
                      <w:bCs/>
                      <w:color w:val="auto"/>
                      <w:kern w:val="0"/>
                      <w:szCs w:val="21"/>
                      <w:lang w:val="en-US" w:eastAsia="zh-CN"/>
                    </w:rPr>
                    <w:t>润滑油</w:t>
                  </w:r>
                </w:p>
              </w:tc>
              <w:tc>
                <w:tcPr>
                  <w:tcW w:w="2528" w:type="dxa"/>
                  <w:noWrap w:val="0"/>
                  <w:vAlign w:val="center"/>
                </w:tcPr>
                <w:p w14:paraId="2C28EF50">
                  <w:pPr>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0.2</w:t>
                  </w:r>
                </w:p>
              </w:tc>
              <w:tc>
                <w:tcPr>
                  <w:tcW w:w="1754" w:type="dxa"/>
                  <w:noWrap w:val="0"/>
                  <w:vAlign w:val="center"/>
                </w:tcPr>
                <w:p w14:paraId="4387B7F0">
                  <w:pPr>
                    <w:adjustRightInd w:val="0"/>
                    <w:snapToGrid w:val="0"/>
                    <w:jc w:val="center"/>
                    <w:rPr>
                      <w:bCs/>
                      <w:color w:val="auto"/>
                      <w:kern w:val="0"/>
                      <w:szCs w:val="21"/>
                    </w:rPr>
                  </w:pPr>
                  <w:r>
                    <w:rPr>
                      <w:bCs/>
                      <w:color w:val="auto"/>
                      <w:kern w:val="0"/>
                      <w:szCs w:val="21"/>
                    </w:rPr>
                    <w:t>2500</w:t>
                  </w:r>
                </w:p>
              </w:tc>
              <w:tc>
                <w:tcPr>
                  <w:tcW w:w="2158" w:type="dxa"/>
                  <w:noWrap w:val="0"/>
                  <w:vAlign w:val="center"/>
                </w:tcPr>
                <w:p w14:paraId="2A0F6B5E">
                  <w:pPr>
                    <w:adjustRightInd w:val="0"/>
                    <w:snapToGrid w:val="0"/>
                    <w:jc w:val="center"/>
                    <w:rPr>
                      <w:rFonts w:hint="default" w:eastAsia="宋体"/>
                      <w:bCs/>
                      <w:color w:val="auto"/>
                      <w:kern w:val="0"/>
                      <w:szCs w:val="21"/>
                      <w:lang w:val="en-US" w:eastAsia="zh-CN"/>
                    </w:rPr>
                  </w:pPr>
                  <w:r>
                    <w:rPr>
                      <w:rFonts w:hint="eastAsia" w:eastAsia="等线"/>
                      <w:color w:val="auto"/>
                      <w:szCs w:val="21"/>
                      <w:lang w:val="en-US" w:eastAsia="zh-CN"/>
                    </w:rPr>
                    <w:t>0.00008</w:t>
                  </w:r>
                </w:p>
              </w:tc>
            </w:tr>
            <w:tr w14:paraId="6B60C4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02" w:type="dxa"/>
                  <w:noWrap w:val="0"/>
                  <w:vAlign w:val="center"/>
                </w:tcPr>
                <w:p w14:paraId="5D950F4D">
                  <w:pPr>
                    <w:adjustRightInd w:val="0"/>
                    <w:snapToGrid w:val="0"/>
                    <w:jc w:val="center"/>
                    <w:rPr>
                      <w:bCs/>
                      <w:color w:val="auto"/>
                      <w:kern w:val="0"/>
                      <w:szCs w:val="21"/>
                    </w:rPr>
                  </w:pPr>
                  <w:r>
                    <w:rPr>
                      <w:rFonts w:hint="eastAsia"/>
                      <w:bCs/>
                      <w:color w:val="auto"/>
                      <w:kern w:val="0"/>
                      <w:szCs w:val="21"/>
                    </w:rPr>
                    <w:t>2</w:t>
                  </w:r>
                </w:p>
              </w:tc>
              <w:tc>
                <w:tcPr>
                  <w:tcW w:w="1438" w:type="dxa"/>
                  <w:noWrap w:val="0"/>
                  <w:vAlign w:val="center"/>
                </w:tcPr>
                <w:p w14:paraId="598383C1">
                  <w:pPr>
                    <w:adjustRightInd w:val="0"/>
                    <w:snapToGrid w:val="0"/>
                    <w:jc w:val="center"/>
                    <w:rPr>
                      <w:rFonts w:hint="eastAsia" w:eastAsia="宋体"/>
                      <w:bCs/>
                      <w:color w:val="auto"/>
                      <w:kern w:val="0"/>
                      <w:szCs w:val="21"/>
                      <w:lang w:eastAsia="zh-CN"/>
                    </w:rPr>
                  </w:pPr>
                  <w:r>
                    <w:rPr>
                      <w:rFonts w:hint="eastAsia"/>
                      <w:bCs/>
                      <w:color w:val="auto"/>
                      <w:kern w:val="0"/>
                      <w:szCs w:val="21"/>
                      <w:lang w:val="en-US" w:eastAsia="zh-CN"/>
                    </w:rPr>
                    <w:t>废润滑油</w:t>
                  </w:r>
                </w:p>
              </w:tc>
              <w:tc>
                <w:tcPr>
                  <w:tcW w:w="2528" w:type="dxa"/>
                  <w:noWrap w:val="0"/>
                  <w:vAlign w:val="center"/>
                </w:tcPr>
                <w:p w14:paraId="1CE47C89">
                  <w:pPr>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0.2</w:t>
                  </w:r>
                </w:p>
              </w:tc>
              <w:tc>
                <w:tcPr>
                  <w:tcW w:w="1754" w:type="dxa"/>
                  <w:noWrap w:val="0"/>
                  <w:vAlign w:val="center"/>
                </w:tcPr>
                <w:p w14:paraId="48561D08">
                  <w:pPr>
                    <w:adjustRightInd w:val="0"/>
                    <w:snapToGrid w:val="0"/>
                    <w:jc w:val="center"/>
                    <w:rPr>
                      <w:bCs/>
                      <w:color w:val="auto"/>
                      <w:kern w:val="0"/>
                      <w:szCs w:val="21"/>
                    </w:rPr>
                  </w:pPr>
                  <w:r>
                    <w:rPr>
                      <w:bCs/>
                      <w:color w:val="auto"/>
                      <w:kern w:val="0"/>
                      <w:szCs w:val="21"/>
                    </w:rPr>
                    <w:t>2500</w:t>
                  </w:r>
                </w:p>
              </w:tc>
              <w:tc>
                <w:tcPr>
                  <w:tcW w:w="2158" w:type="dxa"/>
                  <w:noWrap w:val="0"/>
                  <w:vAlign w:val="center"/>
                </w:tcPr>
                <w:p w14:paraId="4900FCEA">
                  <w:pPr>
                    <w:adjustRightInd w:val="0"/>
                    <w:snapToGrid w:val="0"/>
                    <w:jc w:val="center"/>
                    <w:rPr>
                      <w:rFonts w:hint="default" w:eastAsia="等线"/>
                      <w:color w:val="auto"/>
                      <w:szCs w:val="21"/>
                      <w:lang w:val="en-US" w:eastAsia="zh-CN"/>
                    </w:rPr>
                  </w:pPr>
                  <w:r>
                    <w:rPr>
                      <w:rFonts w:hint="eastAsia" w:eastAsia="等线"/>
                      <w:color w:val="auto"/>
                      <w:szCs w:val="21"/>
                      <w:lang w:val="en-US" w:eastAsia="zh-CN"/>
                    </w:rPr>
                    <w:t>0.00008</w:t>
                  </w:r>
                </w:p>
              </w:tc>
            </w:tr>
            <w:tr w14:paraId="531324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2" w:type="dxa"/>
                  <w:gridSpan w:val="4"/>
                  <w:noWrap w:val="0"/>
                  <w:vAlign w:val="center"/>
                </w:tcPr>
                <w:p w14:paraId="7A274B8D">
                  <w:pPr>
                    <w:adjustRightInd w:val="0"/>
                    <w:snapToGrid w:val="0"/>
                    <w:jc w:val="center"/>
                    <w:rPr>
                      <w:bCs/>
                      <w:color w:val="auto"/>
                      <w:kern w:val="0"/>
                      <w:szCs w:val="21"/>
                    </w:rPr>
                  </w:pPr>
                  <w:r>
                    <w:rPr>
                      <w:bCs/>
                      <w:color w:val="auto"/>
                      <w:kern w:val="0"/>
                      <w:szCs w:val="21"/>
                    </w:rPr>
                    <w:t>合计</w:t>
                  </w:r>
                </w:p>
              </w:tc>
              <w:tc>
                <w:tcPr>
                  <w:tcW w:w="2158" w:type="dxa"/>
                  <w:noWrap w:val="0"/>
                  <w:vAlign w:val="center"/>
                </w:tcPr>
                <w:p w14:paraId="4630D0BB">
                  <w:pPr>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0.00016</w:t>
                  </w:r>
                </w:p>
              </w:tc>
            </w:tr>
            <w:tr w14:paraId="3CAF03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0" w:type="dxa"/>
                  <w:gridSpan w:val="5"/>
                  <w:noWrap w:val="0"/>
                  <w:vAlign w:val="center"/>
                </w:tcPr>
                <w:p w14:paraId="0769A4FE">
                  <w:pPr>
                    <w:adjustRightInd w:val="0"/>
                    <w:snapToGrid w:val="0"/>
                    <w:rPr>
                      <w:rFonts w:hint="eastAsia"/>
                      <w:bCs/>
                      <w:color w:val="auto"/>
                      <w:kern w:val="0"/>
                      <w:szCs w:val="21"/>
                    </w:rPr>
                  </w:pPr>
                  <w:r>
                    <w:rPr>
                      <w:rFonts w:hint="eastAsia"/>
                      <w:bCs/>
                      <w:color w:val="auto"/>
                      <w:kern w:val="0"/>
                      <w:szCs w:val="21"/>
                    </w:rPr>
                    <w:t>注：危险废物临界量参照《建设项目环境风险评价技术导则》（HJ169-2018）表B.2其他危险物质临界量推荐值中的健康危险急性毒性物质（类别2、类别3），</w:t>
                  </w:r>
                  <w:r>
                    <w:rPr>
                      <w:rFonts w:hint="eastAsia"/>
                      <w:bCs/>
                      <w:color w:val="auto"/>
                      <w:kern w:val="0"/>
                      <w:szCs w:val="21"/>
                      <w:lang w:val="en-US" w:eastAsia="zh-CN"/>
                    </w:rPr>
                    <w:t>润滑油</w:t>
                  </w:r>
                  <w:r>
                    <w:rPr>
                      <w:rFonts w:hint="eastAsia"/>
                      <w:bCs/>
                      <w:color w:val="auto"/>
                      <w:kern w:val="0"/>
                      <w:szCs w:val="21"/>
                    </w:rPr>
                    <w:t>临界量参照附录B表B.1中油类物质的临界量2500t计算。</w:t>
                  </w:r>
                </w:p>
              </w:tc>
            </w:tr>
          </w:tbl>
          <w:p w14:paraId="21846365">
            <w:pPr>
              <w:adjustRightInd w:val="0"/>
              <w:snapToGrid w:val="0"/>
              <w:spacing w:line="360" w:lineRule="auto"/>
              <w:ind w:firstLine="480" w:firstLineChars="200"/>
              <w:rPr>
                <w:bCs/>
                <w:color w:val="auto"/>
                <w:kern w:val="0"/>
                <w:sz w:val="24"/>
              </w:rPr>
            </w:pPr>
            <w:r>
              <w:rPr>
                <w:bCs/>
                <w:color w:val="auto"/>
                <w:kern w:val="0"/>
                <w:sz w:val="24"/>
              </w:rPr>
              <w:t>根据计算，本项目环境危险物质Q值为0.0</w:t>
            </w:r>
            <w:r>
              <w:rPr>
                <w:rFonts w:hint="eastAsia"/>
                <w:bCs/>
                <w:color w:val="auto"/>
                <w:kern w:val="0"/>
                <w:sz w:val="24"/>
              </w:rPr>
              <w:t>00</w:t>
            </w:r>
            <w:r>
              <w:rPr>
                <w:rFonts w:hint="eastAsia"/>
                <w:bCs/>
                <w:color w:val="auto"/>
                <w:kern w:val="0"/>
                <w:sz w:val="24"/>
                <w:lang w:val="en-US" w:eastAsia="zh-CN"/>
              </w:rPr>
              <w:t>16</w:t>
            </w:r>
            <w:r>
              <w:rPr>
                <w:bCs/>
                <w:color w:val="auto"/>
                <w:kern w:val="0"/>
                <w:sz w:val="24"/>
              </w:rPr>
              <w:t>（小于1，风险潜势为Ⅰ），本项目有毒有害和易燃易爆危险物质储存量未超过其对应的临界量，因此本项目无需设置环境影响专项评价，仅需明确有毒有害和易燃易爆等危险物质和风险源分布情况及可能影响途径，并提出相应环境风险防范措施即可。</w:t>
            </w:r>
          </w:p>
          <w:p w14:paraId="1841FE8E">
            <w:pPr>
              <w:keepNext w:val="0"/>
              <w:keepLines w:val="0"/>
              <w:suppressLineNumbers w:val="0"/>
              <w:spacing w:before="0" w:beforeAutospacing="0" w:after="0" w:afterAutospacing="0"/>
              <w:ind w:left="0" w:right="0" w:firstLine="422" w:firstLineChars="2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default" w:ascii="Times New Roman" w:hAnsi="Times New Roman" w:cs="Times New Roman"/>
                <w:b/>
                <w:bCs/>
                <w:color w:val="auto"/>
                <w:sz w:val="21"/>
                <w:szCs w:val="21"/>
                <w:lang w:val="en-US" w:eastAsia="zh-CN"/>
              </w:rPr>
              <w:t>2</w:t>
            </w:r>
            <w:r>
              <w:rPr>
                <w:rFonts w:hint="eastAsia" w:cs="Times New Roman"/>
                <w:b/>
                <w:bCs/>
                <w:color w:val="auto"/>
                <w:sz w:val="21"/>
                <w:szCs w:val="21"/>
                <w:lang w:val="en-US" w:eastAsia="zh-CN"/>
              </w:rPr>
              <w:t>6</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项目风险源分布及影响途径分析</w:t>
            </w:r>
          </w:p>
          <w:tbl>
            <w:tblPr>
              <w:tblStyle w:val="25"/>
              <w:tblW w:w="8763"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1421"/>
              <w:gridCol w:w="1499"/>
              <w:gridCol w:w="1338"/>
              <w:gridCol w:w="1212"/>
              <w:gridCol w:w="1246"/>
              <w:gridCol w:w="1554"/>
            </w:tblGrid>
            <w:tr w14:paraId="656153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3" w:type="dxa"/>
                  <w:noWrap w:val="0"/>
                  <w:vAlign w:val="center"/>
                </w:tcPr>
                <w:p w14:paraId="224E6C69">
                  <w:pPr>
                    <w:adjustRightInd w:val="0"/>
                    <w:snapToGrid w:val="0"/>
                    <w:jc w:val="center"/>
                    <w:rPr>
                      <w:b/>
                      <w:color w:val="auto"/>
                      <w:kern w:val="0"/>
                      <w:szCs w:val="21"/>
                      <w:highlight w:val="none"/>
                    </w:rPr>
                  </w:pPr>
                  <w:r>
                    <w:rPr>
                      <w:b/>
                      <w:color w:val="auto"/>
                      <w:kern w:val="0"/>
                      <w:szCs w:val="21"/>
                      <w:highlight w:val="none"/>
                    </w:rPr>
                    <w:t>序号</w:t>
                  </w:r>
                </w:p>
              </w:tc>
              <w:tc>
                <w:tcPr>
                  <w:tcW w:w="1421" w:type="dxa"/>
                  <w:noWrap w:val="0"/>
                  <w:vAlign w:val="center"/>
                </w:tcPr>
                <w:p w14:paraId="1216B005">
                  <w:pPr>
                    <w:adjustRightInd w:val="0"/>
                    <w:snapToGrid w:val="0"/>
                    <w:jc w:val="center"/>
                    <w:rPr>
                      <w:b/>
                      <w:color w:val="auto"/>
                      <w:kern w:val="0"/>
                      <w:szCs w:val="21"/>
                      <w:highlight w:val="none"/>
                    </w:rPr>
                  </w:pPr>
                  <w:r>
                    <w:rPr>
                      <w:b/>
                      <w:color w:val="auto"/>
                      <w:kern w:val="0"/>
                      <w:szCs w:val="21"/>
                      <w:highlight w:val="none"/>
                    </w:rPr>
                    <w:t>危险</w:t>
                  </w:r>
                  <w:r>
                    <w:rPr>
                      <w:rFonts w:hint="eastAsia"/>
                      <w:b/>
                      <w:color w:val="auto"/>
                      <w:kern w:val="0"/>
                      <w:szCs w:val="21"/>
                      <w:highlight w:val="none"/>
                    </w:rPr>
                    <w:t>单元</w:t>
                  </w:r>
                </w:p>
              </w:tc>
              <w:tc>
                <w:tcPr>
                  <w:tcW w:w="1499" w:type="dxa"/>
                  <w:noWrap w:val="0"/>
                  <w:vAlign w:val="center"/>
                </w:tcPr>
                <w:p w14:paraId="4C50330A">
                  <w:pPr>
                    <w:adjustRightInd w:val="0"/>
                    <w:snapToGrid w:val="0"/>
                    <w:jc w:val="center"/>
                    <w:rPr>
                      <w:b/>
                      <w:color w:val="auto"/>
                      <w:kern w:val="0"/>
                      <w:szCs w:val="21"/>
                      <w:highlight w:val="none"/>
                    </w:rPr>
                  </w:pPr>
                  <w:r>
                    <w:rPr>
                      <w:rFonts w:hint="eastAsia"/>
                      <w:b/>
                      <w:color w:val="auto"/>
                      <w:kern w:val="0"/>
                      <w:szCs w:val="21"/>
                      <w:highlight w:val="none"/>
                    </w:rPr>
                    <w:t>风险源</w:t>
                  </w:r>
                </w:p>
              </w:tc>
              <w:tc>
                <w:tcPr>
                  <w:tcW w:w="1338" w:type="dxa"/>
                  <w:noWrap w:val="0"/>
                  <w:vAlign w:val="center"/>
                </w:tcPr>
                <w:p w14:paraId="3890F4F8">
                  <w:pPr>
                    <w:adjustRightInd w:val="0"/>
                    <w:snapToGrid w:val="0"/>
                    <w:jc w:val="center"/>
                    <w:rPr>
                      <w:b/>
                      <w:color w:val="auto"/>
                      <w:kern w:val="0"/>
                      <w:szCs w:val="21"/>
                      <w:highlight w:val="none"/>
                    </w:rPr>
                  </w:pPr>
                  <w:r>
                    <w:rPr>
                      <w:rFonts w:hint="eastAsia"/>
                      <w:b/>
                      <w:color w:val="auto"/>
                      <w:kern w:val="0"/>
                      <w:szCs w:val="21"/>
                      <w:highlight w:val="none"/>
                    </w:rPr>
                    <w:t>主要危险物质</w:t>
                  </w:r>
                </w:p>
              </w:tc>
              <w:tc>
                <w:tcPr>
                  <w:tcW w:w="1212" w:type="dxa"/>
                  <w:noWrap w:val="0"/>
                  <w:vAlign w:val="center"/>
                </w:tcPr>
                <w:p w14:paraId="7DB97785">
                  <w:pPr>
                    <w:adjustRightInd w:val="0"/>
                    <w:snapToGrid w:val="0"/>
                    <w:jc w:val="center"/>
                    <w:rPr>
                      <w:b/>
                      <w:color w:val="auto"/>
                      <w:kern w:val="0"/>
                      <w:szCs w:val="21"/>
                      <w:highlight w:val="none"/>
                    </w:rPr>
                  </w:pPr>
                  <w:r>
                    <w:rPr>
                      <w:rFonts w:hint="eastAsia"/>
                      <w:b/>
                      <w:color w:val="auto"/>
                      <w:kern w:val="0"/>
                      <w:szCs w:val="21"/>
                      <w:highlight w:val="none"/>
                    </w:rPr>
                    <w:t>环境风险类型</w:t>
                  </w:r>
                </w:p>
              </w:tc>
              <w:tc>
                <w:tcPr>
                  <w:tcW w:w="1246" w:type="dxa"/>
                  <w:noWrap w:val="0"/>
                  <w:vAlign w:val="center"/>
                </w:tcPr>
                <w:p w14:paraId="06BAF359">
                  <w:pPr>
                    <w:adjustRightInd w:val="0"/>
                    <w:snapToGrid w:val="0"/>
                    <w:jc w:val="center"/>
                    <w:rPr>
                      <w:b/>
                      <w:color w:val="auto"/>
                      <w:kern w:val="0"/>
                      <w:szCs w:val="21"/>
                      <w:highlight w:val="none"/>
                    </w:rPr>
                  </w:pPr>
                  <w:r>
                    <w:rPr>
                      <w:rFonts w:hint="eastAsia"/>
                      <w:b/>
                      <w:color w:val="auto"/>
                      <w:kern w:val="0"/>
                      <w:szCs w:val="21"/>
                      <w:highlight w:val="none"/>
                    </w:rPr>
                    <w:t>污染影响途径</w:t>
                  </w:r>
                </w:p>
              </w:tc>
              <w:tc>
                <w:tcPr>
                  <w:tcW w:w="1554" w:type="dxa"/>
                  <w:noWrap w:val="0"/>
                  <w:vAlign w:val="center"/>
                </w:tcPr>
                <w:p w14:paraId="73FB31A6">
                  <w:pPr>
                    <w:adjustRightInd w:val="0"/>
                    <w:snapToGrid w:val="0"/>
                    <w:jc w:val="center"/>
                    <w:rPr>
                      <w:b/>
                      <w:color w:val="auto"/>
                      <w:kern w:val="0"/>
                      <w:szCs w:val="21"/>
                      <w:highlight w:val="none"/>
                    </w:rPr>
                  </w:pPr>
                  <w:r>
                    <w:rPr>
                      <w:rFonts w:hint="eastAsia"/>
                      <w:b/>
                      <w:color w:val="auto"/>
                      <w:kern w:val="0"/>
                      <w:szCs w:val="21"/>
                      <w:highlight w:val="none"/>
                    </w:rPr>
                    <w:t>可能受影响的环境敏感目标</w:t>
                  </w:r>
                </w:p>
              </w:tc>
            </w:tr>
            <w:tr w14:paraId="44A067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3" w:type="dxa"/>
                  <w:noWrap w:val="0"/>
                  <w:vAlign w:val="center"/>
                </w:tcPr>
                <w:p w14:paraId="335FE468">
                  <w:pPr>
                    <w:adjustRightInd w:val="0"/>
                    <w:snapToGrid w:val="0"/>
                    <w:jc w:val="center"/>
                    <w:rPr>
                      <w:bCs/>
                      <w:color w:val="auto"/>
                      <w:kern w:val="0"/>
                      <w:szCs w:val="21"/>
                      <w:highlight w:val="none"/>
                    </w:rPr>
                  </w:pPr>
                  <w:r>
                    <w:rPr>
                      <w:bCs/>
                      <w:color w:val="auto"/>
                      <w:kern w:val="0"/>
                      <w:szCs w:val="21"/>
                      <w:highlight w:val="none"/>
                    </w:rPr>
                    <w:t>1</w:t>
                  </w:r>
                </w:p>
              </w:tc>
              <w:tc>
                <w:tcPr>
                  <w:tcW w:w="1421" w:type="dxa"/>
                  <w:noWrap w:val="0"/>
                  <w:vAlign w:val="center"/>
                </w:tcPr>
                <w:p w14:paraId="36CFBCFA">
                  <w:pPr>
                    <w:adjustRightInd w:val="0"/>
                    <w:snapToGrid w:val="0"/>
                    <w:jc w:val="center"/>
                    <w:rPr>
                      <w:bCs/>
                      <w:color w:val="auto"/>
                      <w:kern w:val="0"/>
                      <w:szCs w:val="21"/>
                      <w:highlight w:val="none"/>
                    </w:rPr>
                  </w:pPr>
                  <w:r>
                    <w:rPr>
                      <w:rFonts w:hint="eastAsia"/>
                      <w:bCs/>
                      <w:color w:val="auto"/>
                      <w:kern w:val="0"/>
                      <w:szCs w:val="21"/>
                      <w:highlight w:val="none"/>
                    </w:rPr>
                    <w:t>生产车间、液态原料库</w:t>
                  </w:r>
                </w:p>
              </w:tc>
              <w:tc>
                <w:tcPr>
                  <w:tcW w:w="1499" w:type="dxa"/>
                  <w:noWrap w:val="0"/>
                  <w:vAlign w:val="center"/>
                </w:tcPr>
                <w:p w14:paraId="37533134">
                  <w:pPr>
                    <w:adjustRightInd w:val="0"/>
                    <w:snapToGrid w:val="0"/>
                    <w:jc w:val="center"/>
                    <w:rPr>
                      <w:rFonts w:hint="eastAsia"/>
                      <w:bCs/>
                      <w:color w:val="auto"/>
                      <w:kern w:val="0"/>
                      <w:szCs w:val="21"/>
                      <w:highlight w:val="none"/>
                    </w:rPr>
                  </w:pPr>
                  <w:r>
                    <w:rPr>
                      <w:rFonts w:hint="eastAsia"/>
                      <w:bCs/>
                      <w:color w:val="auto"/>
                      <w:kern w:val="0"/>
                      <w:szCs w:val="21"/>
                      <w:highlight w:val="none"/>
                    </w:rPr>
                    <w:t>胶粘剂、油墨、</w:t>
                  </w:r>
                  <w:r>
                    <w:rPr>
                      <w:rFonts w:hint="eastAsia"/>
                      <w:bCs/>
                      <w:color w:val="auto"/>
                      <w:kern w:val="0"/>
                      <w:szCs w:val="21"/>
                      <w:highlight w:val="none"/>
                      <w:lang w:val="en-US" w:eastAsia="zh-CN"/>
                    </w:rPr>
                    <w:t>润滑油</w:t>
                  </w:r>
                  <w:r>
                    <w:rPr>
                      <w:rFonts w:hint="eastAsia"/>
                      <w:bCs/>
                      <w:color w:val="auto"/>
                      <w:kern w:val="0"/>
                      <w:szCs w:val="21"/>
                      <w:highlight w:val="none"/>
                    </w:rPr>
                    <w:t>等液态原料泄漏</w:t>
                  </w:r>
                </w:p>
              </w:tc>
              <w:tc>
                <w:tcPr>
                  <w:tcW w:w="1338" w:type="dxa"/>
                  <w:noWrap w:val="0"/>
                  <w:vAlign w:val="center"/>
                </w:tcPr>
                <w:p w14:paraId="733931CA">
                  <w:pPr>
                    <w:adjustRightInd w:val="0"/>
                    <w:snapToGrid w:val="0"/>
                    <w:jc w:val="center"/>
                    <w:rPr>
                      <w:bCs/>
                      <w:color w:val="auto"/>
                      <w:kern w:val="0"/>
                      <w:szCs w:val="21"/>
                      <w:highlight w:val="none"/>
                    </w:rPr>
                  </w:pPr>
                  <w:r>
                    <w:rPr>
                      <w:rFonts w:hint="eastAsia"/>
                      <w:bCs/>
                      <w:color w:val="auto"/>
                      <w:kern w:val="0"/>
                      <w:szCs w:val="21"/>
                      <w:highlight w:val="none"/>
                      <w:lang w:val="en-US" w:eastAsia="zh-CN"/>
                    </w:rPr>
                    <w:t>润滑</w:t>
                  </w:r>
                  <w:r>
                    <w:rPr>
                      <w:rFonts w:hint="eastAsia"/>
                      <w:bCs/>
                      <w:color w:val="auto"/>
                      <w:kern w:val="0"/>
                      <w:szCs w:val="21"/>
                      <w:highlight w:val="none"/>
                    </w:rPr>
                    <w:t>油、油墨、胶粘剂等液态原料</w:t>
                  </w:r>
                </w:p>
              </w:tc>
              <w:tc>
                <w:tcPr>
                  <w:tcW w:w="1212" w:type="dxa"/>
                  <w:noWrap w:val="0"/>
                  <w:vAlign w:val="center"/>
                </w:tcPr>
                <w:p w14:paraId="3A238706">
                  <w:pPr>
                    <w:adjustRightInd w:val="0"/>
                    <w:snapToGrid w:val="0"/>
                    <w:jc w:val="center"/>
                    <w:rPr>
                      <w:bCs/>
                      <w:color w:val="auto"/>
                      <w:kern w:val="0"/>
                      <w:szCs w:val="21"/>
                      <w:highlight w:val="none"/>
                    </w:rPr>
                  </w:pPr>
                  <w:r>
                    <w:rPr>
                      <w:rFonts w:hint="eastAsia"/>
                      <w:bCs/>
                      <w:color w:val="auto"/>
                      <w:kern w:val="0"/>
                      <w:szCs w:val="21"/>
                      <w:highlight w:val="none"/>
                    </w:rPr>
                    <w:t>泄漏、火灾</w:t>
                  </w:r>
                </w:p>
              </w:tc>
              <w:tc>
                <w:tcPr>
                  <w:tcW w:w="1246" w:type="dxa"/>
                  <w:noWrap w:val="0"/>
                  <w:vAlign w:val="center"/>
                </w:tcPr>
                <w:p w14:paraId="26710D37">
                  <w:pPr>
                    <w:adjustRightInd w:val="0"/>
                    <w:snapToGrid w:val="0"/>
                    <w:jc w:val="center"/>
                    <w:rPr>
                      <w:bCs/>
                      <w:color w:val="auto"/>
                      <w:kern w:val="0"/>
                      <w:szCs w:val="21"/>
                      <w:highlight w:val="none"/>
                    </w:rPr>
                  </w:pPr>
                  <w:r>
                    <w:rPr>
                      <w:rFonts w:hint="eastAsia"/>
                      <w:bCs/>
                      <w:color w:val="auto"/>
                      <w:kern w:val="0"/>
                      <w:szCs w:val="21"/>
                      <w:highlight w:val="none"/>
                    </w:rPr>
                    <w:t>泄漏、扩散</w:t>
                  </w:r>
                </w:p>
              </w:tc>
              <w:tc>
                <w:tcPr>
                  <w:tcW w:w="1554" w:type="dxa"/>
                  <w:vMerge w:val="restart"/>
                  <w:noWrap w:val="0"/>
                  <w:vAlign w:val="center"/>
                </w:tcPr>
                <w:p w14:paraId="3DAF4392">
                  <w:pPr>
                    <w:adjustRightInd w:val="0"/>
                    <w:snapToGrid w:val="0"/>
                    <w:jc w:val="center"/>
                    <w:rPr>
                      <w:bCs/>
                      <w:color w:val="auto"/>
                      <w:kern w:val="0"/>
                      <w:szCs w:val="21"/>
                      <w:highlight w:val="none"/>
                    </w:rPr>
                  </w:pPr>
                  <w:r>
                    <w:rPr>
                      <w:rFonts w:hint="eastAsia"/>
                      <w:bCs/>
                      <w:color w:val="auto"/>
                      <w:kern w:val="0"/>
                      <w:szCs w:val="21"/>
                      <w:highlight w:val="none"/>
                    </w:rPr>
                    <w:t>地下水、土壤、大气环境</w:t>
                  </w:r>
                </w:p>
              </w:tc>
            </w:tr>
            <w:tr w14:paraId="6A92A7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3" w:type="dxa"/>
                  <w:noWrap w:val="0"/>
                  <w:vAlign w:val="center"/>
                </w:tcPr>
                <w:p w14:paraId="59E4B93D">
                  <w:pPr>
                    <w:adjustRightInd w:val="0"/>
                    <w:snapToGrid w:val="0"/>
                    <w:jc w:val="center"/>
                    <w:rPr>
                      <w:bCs/>
                      <w:color w:val="auto"/>
                      <w:kern w:val="0"/>
                      <w:szCs w:val="21"/>
                      <w:highlight w:val="none"/>
                    </w:rPr>
                  </w:pPr>
                  <w:r>
                    <w:rPr>
                      <w:bCs/>
                      <w:color w:val="auto"/>
                      <w:kern w:val="0"/>
                      <w:szCs w:val="21"/>
                      <w:highlight w:val="none"/>
                    </w:rPr>
                    <w:t>2</w:t>
                  </w:r>
                </w:p>
              </w:tc>
              <w:tc>
                <w:tcPr>
                  <w:tcW w:w="1421" w:type="dxa"/>
                  <w:noWrap w:val="0"/>
                  <w:vAlign w:val="center"/>
                </w:tcPr>
                <w:p w14:paraId="6CBD5085">
                  <w:pPr>
                    <w:adjustRightInd w:val="0"/>
                    <w:snapToGrid w:val="0"/>
                    <w:jc w:val="center"/>
                    <w:rPr>
                      <w:rFonts w:hint="eastAsia"/>
                      <w:bCs/>
                      <w:color w:val="auto"/>
                      <w:kern w:val="0"/>
                      <w:szCs w:val="21"/>
                      <w:highlight w:val="none"/>
                    </w:rPr>
                  </w:pPr>
                  <w:r>
                    <w:rPr>
                      <w:rFonts w:hint="eastAsia"/>
                      <w:bCs/>
                      <w:color w:val="auto"/>
                      <w:kern w:val="0"/>
                      <w:szCs w:val="21"/>
                      <w:highlight w:val="none"/>
                    </w:rPr>
                    <w:t>危废暂存间</w:t>
                  </w:r>
                </w:p>
              </w:tc>
              <w:tc>
                <w:tcPr>
                  <w:tcW w:w="1499" w:type="dxa"/>
                  <w:noWrap w:val="0"/>
                  <w:vAlign w:val="center"/>
                </w:tcPr>
                <w:p w14:paraId="219AF958">
                  <w:pPr>
                    <w:adjustRightInd w:val="0"/>
                    <w:snapToGrid w:val="0"/>
                    <w:jc w:val="center"/>
                    <w:rPr>
                      <w:bCs/>
                      <w:color w:val="auto"/>
                      <w:kern w:val="0"/>
                      <w:szCs w:val="21"/>
                      <w:highlight w:val="none"/>
                    </w:rPr>
                  </w:pPr>
                  <w:r>
                    <w:rPr>
                      <w:rFonts w:hint="eastAsia"/>
                      <w:bCs/>
                      <w:color w:val="auto"/>
                      <w:kern w:val="0"/>
                      <w:szCs w:val="21"/>
                      <w:highlight w:val="none"/>
                    </w:rPr>
                    <w:t>危险废物泄漏</w:t>
                  </w:r>
                </w:p>
              </w:tc>
              <w:tc>
                <w:tcPr>
                  <w:tcW w:w="1338" w:type="dxa"/>
                  <w:noWrap w:val="0"/>
                  <w:vAlign w:val="center"/>
                </w:tcPr>
                <w:p w14:paraId="4EF127B2">
                  <w:pPr>
                    <w:adjustRightInd w:val="0"/>
                    <w:snapToGrid w:val="0"/>
                    <w:jc w:val="center"/>
                    <w:rPr>
                      <w:bCs/>
                      <w:color w:val="auto"/>
                      <w:kern w:val="0"/>
                      <w:szCs w:val="21"/>
                      <w:highlight w:val="none"/>
                    </w:rPr>
                  </w:pPr>
                  <w:r>
                    <w:rPr>
                      <w:rFonts w:hint="eastAsia"/>
                      <w:bCs/>
                      <w:color w:val="auto"/>
                      <w:kern w:val="0"/>
                      <w:szCs w:val="21"/>
                      <w:highlight w:val="none"/>
                    </w:rPr>
                    <w:t>危险废物</w:t>
                  </w:r>
                </w:p>
              </w:tc>
              <w:tc>
                <w:tcPr>
                  <w:tcW w:w="1212" w:type="dxa"/>
                  <w:noWrap w:val="0"/>
                  <w:vAlign w:val="center"/>
                </w:tcPr>
                <w:p w14:paraId="28E907B6">
                  <w:pPr>
                    <w:adjustRightInd w:val="0"/>
                    <w:snapToGrid w:val="0"/>
                    <w:jc w:val="center"/>
                    <w:rPr>
                      <w:bCs/>
                      <w:color w:val="auto"/>
                      <w:kern w:val="0"/>
                      <w:szCs w:val="21"/>
                      <w:highlight w:val="none"/>
                    </w:rPr>
                  </w:pPr>
                  <w:r>
                    <w:rPr>
                      <w:rFonts w:hint="eastAsia"/>
                      <w:bCs/>
                      <w:color w:val="auto"/>
                      <w:kern w:val="0"/>
                      <w:szCs w:val="21"/>
                      <w:highlight w:val="none"/>
                    </w:rPr>
                    <w:t>泄漏、火灾</w:t>
                  </w:r>
                </w:p>
              </w:tc>
              <w:tc>
                <w:tcPr>
                  <w:tcW w:w="1246" w:type="dxa"/>
                  <w:noWrap w:val="0"/>
                  <w:vAlign w:val="center"/>
                </w:tcPr>
                <w:p w14:paraId="18C3080F">
                  <w:pPr>
                    <w:adjustRightInd w:val="0"/>
                    <w:snapToGrid w:val="0"/>
                    <w:jc w:val="center"/>
                    <w:rPr>
                      <w:rFonts w:hint="eastAsia"/>
                      <w:bCs/>
                      <w:color w:val="auto"/>
                      <w:kern w:val="0"/>
                      <w:szCs w:val="21"/>
                      <w:highlight w:val="none"/>
                    </w:rPr>
                  </w:pPr>
                  <w:r>
                    <w:rPr>
                      <w:rFonts w:hint="eastAsia"/>
                      <w:bCs/>
                      <w:color w:val="auto"/>
                      <w:kern w:val="0"/>
                      <w:szCs w:val="21"/>
                      <w:highlight w:val="none"/>
                    </w:rPr>
                    <w:t>泄漏、扩散</w:t>
                  </w:r>
                </w:p>
              </w:tc>
              <w:tc>
                <w:tcPr>
                  <w:tcW w:w="1554" w:type="dxa"/>
                  <w:vMerge w:val="continue"/>
                  <w:noWrap w:val="0"/>
                  <w:vAlign w:val="center"/>
                </w:tcPr>
                <w:p w14:paraId="5498DC1B">
                  <w:pPr>
                    <w:adjustRightInd w:val="0"/>
                    <w:snapToGrid w:val="0"/>
                    <w:jc w:val="center"/>
                    <w:rPr>
                      <w:rFonts w:hint="eastAsia"/>
                      <w:bCs/>
                      <w:color w:val="auto"/>
                      <w:kern w:val="0"/>
                      <w:szCs w:val="21"/>
                      <w:highlight w:val="none"/>
                    </w:rPr>
                  </w:pPr>
                </w:p>
              </w:tc>
            </w:tr>
          </w:tbl>
          <w:p w14:paraId="7E12E349">
            <w:pPr>
              <w:widowControl/>
              <w:adjustRightInd w:val="0"/>
              <w:snapToGrid w:val="0"/>
              <w:spacing w:line="360" w:lineRule="auto"/>
              <w:ind w:firstLine="482" w:firstLineChars="200"/>
              <w:jc w:val="left"/>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highlight w:val="none"/>
                <w:lang w:val="en-US" w:eastAsia="zh-CN"/>
              </w:rPr>
              <w:t>7.2环境风险防范措施及应急要求</w:t>
            </w:r>
          </w:p>
          <w:p w14:paraId="57F998AB">
            <w:pPr>
              <w:overflowPunct w:val="0"/>
              <w:autoSpaceDE w:val="0"/>
              <w:autoSpaceDN w:val="0"/>
              <w:adjustRightInd w:val="0"/>
              <w:snapToGrid w:val="0"/>
              <w:spacing w:line="360" w:lineRule="auto"/>
              <w:ind w:firstLine="480" w:firstLineChars="200"/>
              <w:jc w:val="left"/>
              <w:textAlignment w:val="baseline"/>
              <w:rPr>
                <w:rFonts w:hint="eastAsia"/>
                <w:color w:val="auto"/>
                <w:kern w:val="0"/>
                <w:sz w:val="24"/>
              </w:rPr>
            </w:pPr>
            <w:r>
              <w:rPr>
                <w:rFonts w:hint="eastAsia"/>
                <w:color w:val="auto"/>
                <w:kern w:val="0"/>
                <w:sz w:val="24"/>
              </w:rPr>
              <w:t>①生产、仓储方面</w:t>
            </w:r>
          </w:p>
          <w:p w14:paraId="05A9DEE9">
            <w:pPr>
              <w:overflowPunct w:val="0"/>
              <w:autoSpaceDE w:val="0"/>
              <w:autoSpaceDN w:val="0"/>
              <w:adjustRightInd w:val="0"/>
              <w:snapToGrid w:val="0"/>
              <w:spacing w:line="360" w:lineRule="auto"/>
              <w:ind w:firstLine="480" w:firstLineChars="200"/>
              <w:jc w:val="left"/>
              <w:textAlignment w:val="baseline"/>
              <w:rPr>
                <w:rFonts w:hint="eastAsia"/>
                <w:color w:val="auto"/>
                <w:kern w:val="0"/>
                <w:sz w:val="24"/>
              </w:rPr>
            </w:pPr>
            <w:r>
              <w:rPr>
                <w:rFonts w:hint="eastAsia"/>
                <w:color w:val="auto"/>
                <w:kern w:val="0"/>
                <w:sz w:val="24"/>
              </w:rPr>
              <w:t>在总平面图布置上，各建筑单体之间要按有关设计规范要求，留有足够的防火间距。必须有符合国家标准的生产工艺、设备或者储存方式、设施，虽然本项目生产中使用和储存的危险物不构成重大危险源，其储存地仍尽量应远离水源、居住区等。必须在使用和储存易燃液体的场所采取防火、防爆措施，远离火种。建设方应配备符合生产或者储存需要的管理人员和技术人员，有健全的安全管理制度。建立完善的安全生产规章制度和操作规程，严格按操作规程生产。加强环保设施运行管理，确保其正常、高效地运转。</w:t>
            </w:r>
          </w:p>
          <w:p w14:paraId="32BFA44F">
            <w:pPr>
              <w:overflowPunct w:val="0"/>
              <w:autoSpaceDE w:val="0"/>
              <w:autoSpaceDN w:val="0"/>
              <w:adjustRightInd w:val="0"/>
              <w:snapToGrid w:val="0"/>
              <w:spacing w:line="360" w:lineRule="auto"/>
              <w:ind w:firstLine="480" w:firstLineChars="200"/>
              <w:jc w:val="left"/>
              <w:textAlignment w:val="baseline"/>
              <w:rPr>
                <w:rFonts w:hint="eastAsia"/>
                <w:color w:val="auto"/>
                <w:kern w:val="0"/>
                <w:sz w:val="24"/>
              </w:rPr>
            </w:pPr>
            <w:r>
              <w:rPr>
                <w:rFonts w:hint="eastAsia"/>
                <w:color w:val="auto"/>
                <w:kern w:val="0"/>
                <w:sz w:val="24"/>
              </w:rPr>
              <w:t>②纸制品等易燃原料的风险防范措施</w:t>
            </w:r>
          </w:p>
          <w:p w14:paraId="655CC4A6">
            <w:pPr>
              <w:overflowPunct w:val="0"/>
              <w:autoSpaceDE w:val="0"/>
              <w:autoSpaceDN w:val="0"/>
              <w:adjustRightInd w:val="0"/>
              <w:snapToGrid w:val="0"/>
              <w:spacing w:line="360" w:lineRule="auto"/>
              <w:ind w:firstLine="480" w:firstLineChars="200"/>
              <w:jc w:val="left"/>
              <w:textAlignment w:val="baseline"/>
              <w:rPr>
                <w:color w:val="auto"/>
                <w:kern w:val="0"/>
                <w:sz w:val="24"/>
              </w:rPr>
            </w:pPr>
            <w:r>
              <w:rPr>
                <w:color w:val="auto"/>
                <w:kern w:val="0"/>
                <w:sz w:val="24"/>
              </w:rPr>
              <w:t>a、本项目中应将纸制品等易燃材料存放区作为重点防范和管理对象，制定应急救援预案和处置方法，以防止因事故后原料燃烧对操作人员及周边设备设施产生影响。</w:t>
            </w:r>
          </w:p>
          <w:p w14:paraId="6D105F67">
            <w:pPr>
              <w:overflowPunct w:val="0"/>
              <w:autoSpaceDE w:val="0"/>
              <w:autoSpaceDN w:val="0"/>
              <w:adjustRightInd w:val="0"/>
              <w:snapToGrid w:val="0"/>
              <w:spacing w:line="360" w:lineRule="auto"/>
              <w:ind w:firstLine="480" w:firstLineChars="200"/>
              <w:jc w:val="left"/>
              <w:textAlignment w:val="baseline"/>
              <w:rPr>
                <w:color w:val="auto"/>
                <w:kern w:val="0"/>
                <w:sz w:val="24"/>
              </w:rPr>
            </w:pPr>
            <w:r>
              <w:rPr>
                <w:color w:val="auto"/>
                <w:kern w:val="0"/>
                <w:sz w:val="24"/>
              </w:rPr>
              <w:t>b、企业应在纸制品等易燃材料储存场所配置相应的易燃物标志、消防栓等，禁止在周围吸烟等。</w:t>
            </w:r>
          </w:p>
          <w:p w14:paraId="0EFF45E9">
            <w:pPr>
              <w:overflowPunct w:val="0"/>
              <w:autoSpaceDE w:val="0"/>
              <w:autoSpaceDN w:val="0"/>
              <w:adjustRightInd w:val="0"/>
              <w:snapToGrid w:val="0"/>
              <w:spacing w:line="360" w:lineRule="auto"/>
              <w:ind w:firstLine="480" w:firstLineChars="200"/>
              <w:jc w:val="left"/>
              <w:textAlignment w:val="baseline"/>
              <w:rPr>
                <w:color w:val="auto"/>
                <w:kern w:val="0"/>
                <w:sz w:val="24"/>
              </w:rPr>
            </w:pPr>
            <w:r>
              <w:rPr>
                <w:color w:val="auto"/>
                <w:kern w:val="0"/>
                <w:sz w:val="24"/>
              </w:rPr>
              <w:t>c、操作人员必须经过专门培训，严格遵守操作规程。远离火种、热源，工作场所严谨吸烟。远离易燃、可燃物。配备相应品种和数量的消防器材及泄漏 应急处理设备。</w:t>
            </w:r>
          </w:p>
          <w:p w14:paraId="65D4C6D6">
            <w:pPr>
              <w:overflowPunct w:val="0"/>
              <w:autoSpaceDE w:val="0"/>
              <w:autoSpaceDN w:val="0"/>
              <w:adjustRightInd w:val="0"/>
              <w:snapToGrid w:val="0"/>
              <w:spacing w:line="360" w:lineRule="auto"/>
              <w:ind w:firstLine="480" w:firstLineChars="200"/>
              <w:jc w:val="left"/>
              <w:textAlignment w:val="baseline"/>
              <w:rPr>
                <w:color w:val="auto"/>
                <w:kern w:val="0"/>
                <w:sz w:val="24"/>
              </w:rPr>
            </w:pPr>
            <w:r>
              <w:rPr>
                <w:color w:val="auto"/>
                <w:kern w:val="0"/>
                <w:sz w:val="24"/>
              </w:rPr>
              <w:t>d、加强消防演练，安排消防管理专员。</w:t>
            </w:r>
          </w:p>
          <w:p w14:paraId="3A3DDE82">
            <w:pPr>
              <w:overflowPunct w:val="0"/>
              <w:autoSpaceDE w:val="0"/>
              <w:autoSpaceDN w:val="0"/>
              <w:adjustRightInd w:val="0"/>
              <w:snapToGrid w:val="0"/>
              <w:spacing w:line="360" w:lineRule="auto"/>
              <w:ind w:firstLine="480" w:firstLineChars="200"/>
              <w:jc w:val="left"/>
              <w:textAlignment w:val="baseline"/>
              <w:rPr>
                <w:color w:val="auto"/>
                <w:kern w:val="0"/>
                <w:sz w:val="24"/>
              </w:rPr>
            </w:pPr>
            <w:r>
              <w:rPr>
                <w:color w:val="auto"/>
                <w:kern w:val="0"/>
                <w:sz w:val="24"/>
              </w:rPr>
              <w:t>③生产管理防范措施</w:t>
            </w:r>
          </w:p>
          <w:p w14:paraId="48623289">
            <w:pPr>
              <w:overflowPunct w:val="0"/>
              <w:autoSpaceDE w:val="0"/>
              <w:autoSpaceDN w:val="0"/>
              <w:adjustRightInd w:val="0"/>
              <w:snapToGrid w:val="0"/>
              <w:spacing w:line="360" w:lineRule="auto"/>
              <w:ind w:firstLine="480" w:firstLineChars="200"/>
              <w:jc w:val="left"/>
              <w:textAlignment w:val="baseline"/>
              <w:rPr>
                <w:color w:val="auto"/>
                <w:kern w:val="0"/>
                <w:sz w:val="24"/>
              </w:rPr>
            </w:pPr>
            <w:r>
              <w:rPr>
                <w:color w:val="auto"/>
                <w:kern w:val="0"/>
                <w:sz w:val="24"/>
              </w:rPr>
              <w:t>a、建立和完善各级安全生产责任制，并切实落到实处。各级领导和生产管理人员必须重视安全生产，积极推广科学安全管理方法，强化安全操作制度和劳动纪律。</w:t>
            </w:r>
          </w:p>
          <w:p w14:paraId="5510B785">
            <w:pPr>
              <w:overflowPunct w:val="0"/>
              <w:autoSpaceDE w:val="0"/>
              <w:autoSpaceDN w:val="0"/>
              <w:adjustRightInd w:val="0"/>
              <w:snapToGrid w:val="0"/>
              <w:spacing w:line="360" w:lineRule="auto"/>
              <w:ind w:firstLine="480" w:firstLineChars="200"/>
              <w:jc w:val="left"/>
              <w:textAlignment w:val="baseline"/>
              <w:rPr>
                <w:color w:val="auto"/>
                <w:kern w:val="0"/>
                <w:sz w:val="24"/>
              </w:rPr>
            </w:pPr>
            <w:r>
              <w:rPr>
                <w:color w:val="auto"/>
                <w:kern w:val="0"/>
                <w:sz w:val="24"/>
              </w:rPr>
              <w:t>b、对职工要加强职业培训和安全教育。培养职工要有高度的安全生产责任心，并且要熟悉相应的业务，有熟练的操作技能。</w:t>
            </w:r>
          </w:p>
          <w:p w14:paraId="78AD0010">
            <w:pPr>
              <w:overflowPunct w:val="0"/>
              <w:autoSpaceDE w:val="0"/>
              <w:autoSpaceDN w:val="0"/>
              <w:adjustRightInd w:val="0"/>
              <w:snapToGrid w:val="0"/>
              <w:spacing w:line="360" w:lineRule="auto"/>
              <w:ind w:firstLine="480" w:firstLineChars="200"/>
              <w:jc w:val="left"/>
              <w:textAlignment w:val="baseline"/>
              <w:rPr>
                <w:color w:val="auto"/>
                <w:kern w:val="0"/>
                <w:sz w:val="24"/>
              </w:rPr>
            </w:pPr>
            <w:r>
              <w:rPr>
                <w:color w:val="auto"/>
                <w:kern w:val="0"/>
                <w:sz w:val="24"/>
              </w:rPr>
              <w:t>c、建立健全安全检查制度，定期进行安全检查，及时整改安全隐患，防止事故发生。</w:t>
            </w:r>
          </w:p>
          <w:p w14:paraId="5AADB38A">
            <w:pPr>
              <w:overflowPunct w:val="0"/>
              <w:autoSpaceDE w:val="0"/>
              <w:autoSpaceDN w:val="0"/>
              <w:adjustRightInd w:val="0"/>
              <w:snapToGrid w:val="0"/>
              <w:spacing w:line="360" w:lineRule="auto"/>
              <w:ind w:firstLine="480" w:firstLineChars="200"/>
              <w:jc w:val="left"/>
              <w:textAlignment w:val="baseline"/>
              <w:rPr>
                <w:rFonts w:hint="eastAsia"/>
                <w:color w:val="auto"/>
                <w:kern w:val="0"/>
                <w:sz w:val="24"/>
              </w:rPr>
            </w:pPr>
            <w:r>
              <w:rPr>
                <w:color w:val="auto"/>
                <w:kern w:val="0"/>
                <w:sz w:val="24"/>
              </w:rPr>
              <w:t>d、加强环保设施管理和维护，设置环保专员，定期检查维护环保设备，定期清理布袋收尘，并建立管理台账</w:t>
            </w:r>
            <w:r>
              <w:rPr>
                <w:rFonts w:hint="eastAsia"/>
                <w:color w:val="auto"/>
                <w:kern w:val="0"/>
                <w:sz w:val="24"/>
              </w:rPr>
              <w:t>。</w:t>
            </w:r>
          </w:p>
          <w:p w14:paraId="199061A3">
            <w:pPr>
              <w:overflowPunct w:val="0"/>
              <w:autoSpaceDE w:val="0"/>
              <w:autoSpaceDN w:val="0"/>
              <w:adjustRightInd w:val="0"/>
              <w:snapToGrid w:val="0"/>
              <w:spacing w:line="360" w:lineRule="auto"/>
              <w:ind w:firstLine="480" w:firstLineChars="200"/>
              <w:jc w:val="left"/>
              <w:textAlignment w:val="baseline"/>
              <w:rPr>
                <w:rFonts w:hint="eastAsia"/>
                <w:color w:val="auto"/>
                <w:kern w:val="0"/>
                <w:sz w:val="24"/>
              </w:rPr>
            </w:pPr>
            <w:r>
              <w:rPr>
                <w:rFonts w:hint="eastAsia"/>
                <w:color w:val="auto"/>
                <w:kern w:val="0"/>
                <w:sz w:val="24"/>
              </w:rPr>
              <w:t>④油墨、胶粘剂等液态物料泄漏风险防范措施</w:t>
            </w:r>
          </w:p>
          <w:p w14:paraId="7967A341">
            <w:pPr>
              <w:overflowPunct w:val="0"/>
              <w:autoSpaceDE w:val="0"/>
              <w:autoSpaceDN w:val="0"/>
              <w:adjustRightInd w:val="0"/>
              <w:snapToGrid w:val="0"/>
              <w:spacing w:line="360" w:lineRule="auto"/>
              <w:ind w:firstLine="480" w:firstLineChars="200"/>
              <w:jc w:val="left"/>
              <w:textAlignment w:val="baseline"/>
              <w:rPr>
                <w:color w:val="auto"/>
                <w:kern w:val="0"/>
                <w:sz w:val="24"/>
              </w:rPr>
            </w:pPr>
            <w:r>
              <w:rPr>
                <w:color w:val="auto"/>
                <w:kern w:val="0"/>
                <w:sz w:val="24"/>
              </w:rPr>
              <w:t>在储存和使用危险化学品的过程中，应做好以下几点：</w:t>
            </w:r>
          </w:p>
          <w:p w14:paraId="4C770D2D">
            <w:pPr>
              <w:overflowPunct w:val="0"/>
              <w:autoSpaceDE w:val="0"/>
              <w:autoSpaceDN w:val="0"/>
              <w:adjustRightInd w:val="0"/>
              <w:snapToGrid w:val="0"/>
              <w:spacing w:line="360" w:lineRule="auto"/>
              <w:ind w:firstLine="480" w:firstLineChars="200"/>
              <w:jc w:val="left"/>
              <w:textAlignment w:val="baseline"/>
              <w:rPr>
                <w:color w:val="auto"/>
                <w:kern w:val="0"/>
                <w:sz w:val="24"/>
              </w:rPr>
            </w:pPr>
            <w:r>
              <w:rPr>
                <w:color w:val="auto"/>
                <w:kern w:val="0"/>
                <w:sz w:val="24"/>
              </w:rPr>
              <w:t>a、按照环评提出的防渗措施，严格落实</w:t>
            </w:r>
            <w:r>
              <w:rPr>
                <w:rFonts w:hint="eastAsia"/>
                <w:color w:val="auto"/>
                <w:kern w:val="0"/>
                <w:sz w:val="24"/>
              </w:rPr>
              <w:t>液态原料库</w:t>
            </w:r>
            <w:r>
              <w:rPr>
                <w:color w:val="auto"/>
                <w:kern w:val="0"/>
                <w:sz w:val="24"/>
              </w:rPr>
              <w:t>（用于储存</w:t>
            </w:r>
            <w:r>
              <w:rPr>
                <w:rFonts w:hint="eastAsia"/>
                <w:color w:val="auto"/>
                <w:kern w:val="0"/>
                <w:sz w:val="24"/>
              </w:rPr>
              <w:t>油墨、光油、</w:t>
            </w:r>
            <w:r>
              <w:rPr>
                <w:color w:val="auto"/>
                <w:kern w:val="0"/>
                <w:sz w:val="24"/>
              </w:rPr>
              <w:t>胶粘剂</w:t>
            </w:r>
            <w:r>
              <w:rPr>
                <w:rFonts w:hint="eastAsia"/>
                <w:color w:val="auto"/>
                <w:kern w:val="0"/>
                <w:sz w:val="24"/>
              </w:rPr>
              <w:t>、清洗剂、</w:t>
            </w:r>
            <w:r>
              <w:rPr>
                <w:rFonts w:hint="eastAsia"/>
                <w:color w:val="auto"/>
                <w:kern w:val="0"/>
                <w:sz w:val="24"/>
                <w:lang w:val="en-US" w:eastAsia="zh-CN"/>
              </w:rPr>
              <w:t>润滑油</w:t>
            </w:r>
            <w:r>
              <w:rPr>
                <w:rFonts w:hint="eastAsia"/>
                <w:color w:val="auto"/>
                <w:kern w:val="0"/>
                <w:sz w:val="24"/>
              </w:rPr>
              <w:t>等液态原料</w:t>
            </w:r>
            <w:r>
              <w:rPr>
                <w:color w:val="auto"/>
                <w:kern w:val="0"/>
                <w:sz w:val="24"/>
              </w:rPr>
              <w:t>）、危废暂存间等区域重点防渗建设要求。在危废暂存间等区域四周设置0.2m高围堰，在现有地面防渗基础上，铺设2mm厚HDPE膜或等效防渗层；在危化品间地面铺设2mm厚HDPE膜或等效防渗层，防止水性胶粘剂撒漏溢流事故发生，同时在裱糊区设置空桶作为备用应急收容设施。</w:t>
            </w:r>
            <w:r>
              <w:rPr>
                <w:rFonts w:hint="eastAsia"/>
                <w:color w:val="auto"/>
                <w:kern w:val="0"/>
                <w:sz w:val="24"/>
              </w:rPr>
              <w:t>危险废液</w:t>
            </w:r>
            <w:r>
              <w:rPr>
                <w:color w:val="auto"/>
                <w:kern w:val="0"/>
                <w:sz w:val="24"/>
              </w:rPr>
              <w:t>采用专用容器收集</w:t>
            </w:r>
            <w:r>
              <w:rPr>
                <w:rFonts w:hint="eastAsia"/>
                <w:color w:val="auto"/>
                <w:kern w:val="0"/>
                <w:sz w:val="24"/>
              </w:rPr>
              <w:t>，且危险废液、液态化学品原料、洗板机循环水箱下方均</w:t>
            </w:r>
            <w:r>
              <w:rPr>
                <w:color w:val="auto"/>
                <w:kern w:val="0"/>
                <w:sz w:val="24"/>
              </w:rPr>
              <w:t>设防渗托盘，并设空桶作为备用应急收容设施；加强液态物料储存、使用及运输环节的环境管理，避免跑冒滴漏。</w:t>
            </w:r>
          </w:p>
          <w:p w14:paraId="7EC64855">
            <w:pPr>
              <w:overflowPunct w:val="0"/>
              <w:autoSpaceDE w:val="0"/>
              <w:autoSpaceDN w:val="0"/>
              <w:adjustRightInd w:val="0"/>
              <w:snapToGrid w:val="0"/>
              <w:spacing w:line="360" w:lineRule="auto"/>
              <w:ind w:firstLine="480" w:firstLineChars="200"/>
              <w:jc w:val="left"/>
              <w:textAlignment w:val="baseline"/>
              <w:rPr>
                <w:color w:val="auto"/>
                <w:kern w:val="0"/>
                <w:sz w:val="24"/>
              </w:rPr>
            </w:pPr>
            <w:r>
              <w:rPr>
                <w:color w:val="auto"/>
                <w:kern w:val="0"/>
                <w:sz w:val="24"/>
              </w:rPr>
              <w:t>b、贮存区必须配备有专业知识的技术人员，库房及场所应设专人管理，管理人员必须必备可靠的个人安全防护用品。</w:t>
            </w:r>
          </w:p>
          <w:p w14:paraId="4CD795C1">
            <w:pPr>
              <w:overflowPunct w:val="0"/>
              <w:autoSpaceDE w:val="0"/>
              <w:autoSpaceDN w:val="0"/>
              <w:adjustRightInd w:val="0"/>
              <w:snapToGrid w:val="0"/>
              <w:spacing w:line="360" w:lineRule="auto"/>
              <w:ind w:firstLine="480" w:firstLineChars="200"/>
              <w:jc w:val="left"/>
              <w:textAlignment w:val="baseline"/>
              <w:rPr>
                <w:color w:val="auto"/>
                <w:kern w:val="0"/>
                <w:sz w:val="24"/>
              </w:rPr>
            </w:pPr>
            <w:r>
              <w:rPr>
                <w:color w:val="auto"/>
                <w:kern w:val="0"/>
                <w:sz w:val="24"/>
              </w:rPr>
              <w:t>c、原料入库时，应严格检验物品质量、数量、包装情况、有无泄漏。入库后应采取适当的养护措施，在贮存期内，定期检查，发现其品质变化、包装破损渗漏、稳定剂短缺等，应及时处理。</w:t>
            </w:r>
          </w:p>
          <w:p w14:paraId="45CD64CD">
            <w:pPr>
              <w:overflowPunct w:val="0"/>
              <w:autoSpaceDE w:val="0"/>
              <w:autoSpaceDN w:val="0"/>
              <w:adjustRightInd w:val="0"/>
              <w:snapToGrid w:val="0"/>
              <w:spacing w:line="360" w:lineRule="auto"/>
              <w:ind w:firstLine="480" w:firstLineChars="200"/>
              <w:jc w:val="left"/>
              <w:textAlignment w:val="baseline"/>
              <w:rPr>
                <w:color w:val="auto"/>
                <w:kern w:val="0"/>
                <w:sz w:val="24"/>
              </w:rPr>
            </w:pPr>
            <w:r>
              <w:rPr>
                <w:color w:val="auto"/>
                <w:kern w:val="0"/>
                <w:sz w:val="24"/>
              </w:rPr>
              <w:t>d、危废暂存间、危化品间温度、湿度应严格控制、经常检查，发现变化及时调整、并配备相应的消防设施。</w:t>
            </w:r>
          </w:p>
          <w:p w14:paraId="39C0577A">
            <w:pPr>
              <w:overflowPunct w:val="0"/>
              <w:autoSpaceDE w:val="0"/>
              <w:autoSpaceDN w:val="0"/>
              <w:adjustRightInd w:val="0"/>
              <w:snapToGrid w:val="0"/>
              <w:spacing w:line="360" w:lineRule="auto"/>
              <w:ind w:firstLine="480" w:firstLineChars="200"/>
              <w:jc w:val="left"/>
              <w:textAlignment w:val="baseline"/>
              <w:rPr>
                <w:color w:val="auto"/>
                <w:kern w:val="0"/>
                <w:sz w:val="24"/>
              </w:rPr>
            </w:pPr>
            <w:r>
              <w:rPr>
                <w:color w:val="auto"/>
                <w:kern w:val="0"/>
                <w:sz w:val="24"/>
              </w:rPr>
              <w:t>e、使用过程中，渗漏或泄漏 的包装容器应迅速转移至安全区域。</w:t>
            </w:r>
          </w:p>
          <w:p w14:paraId="0CC19EC7">
            <w:pPr>
              <w:overflowPunct w:val="0"/>
              <w:autoSpaceDE w:val="0"/>
              <w:autoSpaceDN w:val="0"/>
              <w:adjustRightInd w:val="0"/>
              <w:snapToGrid w:val="0"/>
              <w:spacing w:line="360" w:lineRule="auto"/>
              <w:ind w:firstLine="480" w:firstLineChars="200"/>
              <w:jc w:val="left"/>
              <w:textAlignment w:val="baseline"/>
              <w:rPr>
                <w:color w:val="auto"/>
                <w:kern w:val="0"/>
                <w:sz w:val="24"/>
              </w:rPr>
            </w:pPr>
            <w:r>
              <w:rPr>
                <w:color w:val="auto"/>
                <w:kern w:val="0"/>
                <w:sz w:val="24"/>
              </w:rPr>
              <w:t>f、管理工作人员应进行培训，经考核合格后持证上岗。</w:t>
            </w:r>
          </w:p>
          <w:p w14:paraId="5DA3915C">
            <w:pPr>
              <w:overflowPunct w:val="0"/>
              <w:autoSpaceDE w:val="0"/>
              <w:autoSpaceDN w:val="0"/>
              <w:adjustRightInd w:val="0"/>
              <w:snapToGrid w:val="0"/>
              <w:spacing w:line="360" w:lineRule="auto"/>
              <w:ind w:firstLine="480" w:firstLineChars="200"/>
              <w:jc w:val="left"/>
              <w:textAlignment w:val="baseline"/>
              <w:rPr>
                <w:color w:val="auto"/>
                <w:kern w:val="0"/>
                <w:sz w:val="24"/>
              </w:rPr>
            </w:pPr>
            <w:r>
              <w:rPr>
                <w:color w:val="auto"/>
                <w:kern w:val="0"/>
                <w:sz w:val="24"/>
              </w:rPr>
              <w:t>g、</w:t>
            </w:r>
            <w:r>
              <w:rPr>
                <w:rFonts w:hint="eastAsia"/>
                <w:color w:val="auto"/>
                <w:kern w:val="0"/>
                <w:sz w:val="24"/>
              </w:rPr>
              <w:t>制定应急处理措施，编制事故应急预案，应对意外突发事件。</w:t>
            </w:r>
          </w:p>
          <w:p w14:paraId="33C96591">
            <w:pPr>
              <w:overflowPunct w:val="0"/>
              <w:autoSpaceDE w:val="0"/>
              <w:autoSpaceDN w:val="0"/>
              <w:adjustRightInd w:val="0"/>
              <w:snapToGrid w:val="0"/>
              <w:spacing w:line="360" w:lineRule="auto"/>
              <w:ind w:firstLine="480" w:firstLineChars="200"/>
              <w:jc w:val="left"/>
              <w:textAlignment w:val="baseline"/>
              <w:rPr>
                <w:rFonts w:hint="eastAsia"/>
                <w:color w:val="auto"/>
                <w:kern w:val="0"/>
                <w:sz w:val="24"/>
              </w:rPr>
            </w:pPr>
            <w:r>
              <w:rPr>
                <w:rFonts w:hint="eastAsia"/>
                <w:color w:val="auto"/>
                <w:kern w:val="0"/>
                <w:sz w:val="24"/>
                <w:lang w:val="en-US" w:eastAsia="zh-CN"/>
              </w:rPr>
              <w:t>⑤</w:t>
            </w:r>
            <w:r>
              <w:rPr>
                <w:rFonts w:hint="eastAsia"/>
                <w:color w:val="auto"/>
                <w:kern w:val="0"/>
                <w:sz w:val="24"/>
              </w:rPr>
              <w:t>环保设施故障风险防范措施</w:t>
            </w:r>
          </w:p>
          <w:p w14:paraId="7724FEB8">
            <w:pPr>
              <w:overflowPunct w:val="0"/>
              <w:autoSpaceDE w:val="0"/>
              <w:autoSpaceDN w:val="0"/>
              <w:adjustRightInd w:val="0"/>
              <w:snapToGrid w:val="0"/>
              <w:spacing w:line="360" w:lineRule="auto"/>
              <w:ind w:firstLine="480" w:firstLineChars="200"/>
              <w:jc w:val="left"/>
              <w:textAlignment w:val="baseline"/>
              <w:rPr>
                <w:color w:val="auto"/>
                <w:kern w:val="0"/>
                <w:sz w:val="24"/>
              </w:rPr>
            </w:pPr>
            <w:r>
              <w:rPr>
                <w:color w:val="auto"/>
                <w:kern w:val="0"/>
                <w:sz w:val="24"/>
              </w:rPr>
              <w:t>a、对污水收集管道及处理池进行定期检查和检修，发现问题立即采取措施进行控制。</w:t>
            </w:r>
          </w:p>
          <w:p w14:paraId="6BD3BCAC">
            <w:pPr>
              <w:overflowPunct w:val="0"/>
              <w:autoSpaceDE w:val="0"/>
              <w:autoSpaceDN w:val="0"/>
              <w:adjustRightInd w:val="0"/>
              <w:snapToGrid w:val="0"/>
              <w:spacing w:line="360" w:lineRule="auto"/>
              <w:ind w:firstLine="480" w:firstLineChars="200"/>
              <w:jc w:val="left"/>
              <w:textAlignment w:val="baseline"/>
              <w:rPr>
                <w:color w:val="auto"/>
                <w:kern w:val="0"/>
                <w:sz w:val="24"/>
              </w:rPr>
            </w:pPr>
            <w:r>
              <w:rPr>
                <w:color w:val="auto"/>
                <w:kern w:val="0"/>
                <w:sz w:val="24"/>
              </w:rPr>
              <w:t>b、危废暂存间密闭设置，并进行防风、防雨、防晒、防渗漏处理，各类危险废物分类规范地暂存于危废暂存间内，定期交由有专业资质的单位收运处置，避免污染事故发生。</w:t>
            </w:r>
          </w:p>
          <w:p w14:paraId="72AB6B30">
            <w:pPr>
              <w:overflowPunct w:val="0"/>
              <w:autoSpaceDE w:val="0"/>
              <w:autoSpaceDN w:val="0"/>
              <w:adjustRightInd w:val="0"/>
              <w:snapToGrid w:val="0"/>
              <w:spacing w:line="360" w:lineRule="auto"/>
              <w:ind w:firstLine="480" w:firstLineChars="200"/>
              <w:jc w:val="left"/>
              <w:textAlignment w:val="baseline"/>
              <w:rPr>
                <w:color w:val="auto"/>
                <w:kern w:val="0"/>
                <w:sz w:val="24"/>
              </w:rPr>
            </w:pPr>
            <w:r>
              <w:rPr>
                <w:color w:val="auto"/>
                <w:kern w:val="0"/>
                <w:sz w:val="24"/>
              </w:rPr>
              <w:t>c、各类设备选用安全可靠设备，管道应经过防腐处理。</w:t>
            </w:r>
          </w:p>
          <w:p w14:paraId="6E6FFF74">
            <w:pPr>
              <w:overflowPunct w:val="0"/>
              <w:autoSpaceDE w:val="0"/>
              <w:autoSpaceDN w:val="0"/>
              <w:adjustRightInd w:val="0"/>
              <w:snapToGrid w:val="0"/>
              <w:spacing w:line="360" w:lineRule="auto"/>
              <w:ind w:firstLine="480" w:firstLineChars="200"/>
              <w:jc w:val="left"/>
              <w:textAlignment w:val="baseline"/>
              <w:rPr>
                <w:rFonts w:hint="eastAsia"/>
                <w:color w:val="auto"/>
                <w:kern w:val="0"/>
                <w:sz w:val="24"/>
              </w:rPr>
            </w:pPr>
            <w:r>
              <w:rPr>
                <w:color w:val="auto"/>
                <w:kern w:val="0"/>
                <w:sz w:val="24"/>
              </w:rPr>
              <w:t>d、定期</w:t>
            </w:r>
            <w:r>
              <w:rPr>
                <w:rFonts w:hint="eastAsia"/>
                <w:color w:val="auto"/>
                <w:kern w:val="0"/>
                <w:sz w:val="24"/>
              </w:rPr>
              <w:t>检查项目废气处理装置的运行情况，定期足量更换活性炭，并对关键性设备部件进行定期交换，是防止设备失灵引起事故的措施。定期更换洗版水循环过滤设施滤芯，CTP制版间设置备用废水收容桶，当发现循环系统故障时，应立即停止制版工序，待循环过滤设施维修完毕正常能正常运转后才可恢复制版。</w:t>
            </w:r>
          </w:p>
          <w:p w14:paraId="282A24D6">
            <w:pPr>
              <w:overflowPunct w:val="0"/>
              <w:autoSpaceDE w:val="0"/>
              <w:autoSpaceDN w:val="0"/>
              <w:adjustRightInd w:val="0"/>
              <w:snapToGrid w:val="0"/>
              <w:spacing w:line="360" w:lineRule="auto"/>
              <w:ind w:firstLine="480" w:firstLineChars="200"/>
              <w:jc w:val="left"/>
              <w:textAlignment w:val="baseline"/>
              <w:rPr>
                <w:rFonts w:hint="eastAsia"/>
                <w:color w:val="auto"/>
                <w:kern w:val="0"/>
                <w:sz w:val="24"/>
              </w:rPr>
            </w:pPr>
            <w:r>
              <w:rPr>
                <w:rFonts w:hint="eastAsia"/>
                <w:color w:val="auto"/>
                <w:kern w:val="0"/>
                <w:sz w:val="24"/>
              </w:rPr>
              <w:t>⑥事故废水应急处理措施</w:t>
            </w:r>
          </w:p>
          <w:p w14:paraId="53C4AD6D">
            <w:pPr>
              <w:overflowPunct w:val="0"/>
              <w:autoSpaceDE w:val="0"/>
              <w:autoSpaceDN w:val="0"/>
              <w:adjustRightInd w:val="0"/>
              <w:snapToGrid w:val="0"/>
              <w:spacing w:line="360" w:lineRule="auto"/>
              <w:ind w:firstLine="480" w:firstLineChars="200"/>
              <w:jc w:val="left"/>
              <w:textAlignment w:val="baseline"/>
              <w:rPr>
                <w:color w:val="auto"/>
                <w:kern w:val="0"/>
                <w:sz w:val="24"/>
              </w:rPr>
            </w:pPr>
            <w:r>
              <w:rPr>
                <w:rFonts w:hint="eastAsia"/>
                <w:color w:val="auto"/>
                <w:kern w:val="0"/>
                <w:sz w:val="24"/>
              </w:rPr>
              <w:t>本项目厂区未设置事故应急池，环评要求厂区雨、污水管道设置截止阀、应急泵，火灾发生时，立即关闭雨水管网排口，并将消防废水导至预处理池，排至市政污水管网，通过市政污水管网进入园区污水处理厂进行处理，严禁事故废水外排。</w:t>
            </w:r>
          </w:p>
          <w:p w14:paraId="59E96526">
            <w:pPr>
              <w:overflowPunct w:val="0"/>
              <w:autoSpaceDE w:val="0"/>
              <w:autoSpaceDN w:val="0"/>
              <w:adjustRightInd w:val="0"/>
              <w:snapToGrid w:val="0"/>
              <w:spacing w:line="360" w:lineRule="auto"/>
              <w:ind w:firstLine="480" w:firstLineChars="200"/>
              <w:jc w:val="left"/>
              <w:textAlignment w:val="baseline"/>
              <w:rPr>
                <w:color w:val="auto"/>
                <w:kern w:val="0"/>
                <w:sz w:val="24"/>
              </w:rPr>
            </w:pPr>
            <w:r>
              <w:rPr>
                <w:rFonts w:hint="eastAsia"/>
                <w:color w:val="auto"/>
                <w:kern w:val="0"/>
                <w:sz w:val="24"/>
              </w:rPr>
              <w:t>由以上分析可知，本项目存在一定潜在事故风险，在项目建设过程中认真落实各种风险防范措施，通过相应的措施降低风险发生概率，并在风险事故发生后，及时采取风险防范措施及应急预案，可以使风险事故对环境的危害得到有效控制。</w:t>
            </w:r>
          </w:p>
          <w:p w14:paraId="57CA8F0D">
            <w:pPr>
              <w:overflowPunct w:val="0"/>
              <w:autoSpaceDE w:val="0"/>
              <w:autoSpaceDN w:val="0"/>
              <w:adjustRightInd w:val="0"/>
              <w:snapToGrid w:val="0"/>
              <w:spacing w:line="360" w:lineRule="auto"/>
              <w:ind w:firstLine="480" w:firstLineChars="200"/>
              <w:jc w:val="left"/>
              <w:textAlignment w:val="baseline"/>
              <w:rPr>
                <w:rFonts w:hint="eastAsia"/>
                <w:color w:val="auto"/>
                <w:kern w:val="0"/>
                <w:sz w:val="24"/>
              </w:rPr>
            </w:pPr>
            <w:r>
              <w:rPr>
                <w:rFonts w:hint="eastAsia"/>
                <w:color w:val="auto"/>
                <w:kern w:val="0"/>
                <w:sz w:val="24"/>
                <w:lang w:val="en-US" w:eastAsia="zh-CN"/>
              </w:rPr>
              <w:t>⑥</w:t>
            </w:r>
            <w:r>
              <w:rPr>
                <w:rFonts w:hint="eastAsia"/>
                <w:color w:val="auto"/>
                <w:kern w:val="0"/>
                <w:sz w:val="24"/>
              </w:rPr>
              <w:t>其它</w:t>
            </w:r>
          </w:p>
          <w:p w14:paraId="4C3E7860">
            <w:pPr>
              <w:overflowPunct w:val="0"/>
              <w:autoSpaceDE w:val="0"/>
              <w:autoSpaceDN w:val="0"/>
              <w:adjustRightInd w:val="0"/>
              <w:snapToGrid w:val="0"/>
              <w:spacing w:line="360" w:lineRule="auto"/>
              <w:ind w:firstLine="480" w:firstLineChars="200"/>
              <w:jc w:val="left"/>
              <w:textAlignment w:val="baseline"/>
              <w:rPr>
                <w:rFonts w:hint="eastAsia"/>
                <w:color w:val="auto"/>
                <w:kern w:val="0"/>
                <w:sz w:val="24"/>
              </w:rPr>
            </w:pPr>
            <w:r>
              <w:rPr>
                <w:rFonts w:hint="eastAsia"/>
                <w:color w:val="auto"/>
                <w:kern w:val="0"/>
                <w:sz w:val="24"/>
              </w:rPr>
              <w:t>建立健全各种安全生产制度，生产人员作业应严格遵守劳动纪律和安全操作规程，不违章作业。强化工作人员的责任心和安全意识，认真开展安全检查工作，发现隐患及时整改，将事故消灭在萌芽状态。制定应急预案，建立健全安全、环境管理体系，一旦发生事故，要做到快速、高效、安全处置。</w:t>
            </w:r>
          </w:p>
          <w:p w14:paraId="63619001">
            <w:pPr>
              <w:widowControl/>
              <w:adjustRightInd w:val="0"/>
              <w:snapToGrid w:val="0"/>
              <w:spacing w:line="360" w:lineRule="auto"/>
              <w:ind w:firstLine="482" w:firstLineChars="200"/>
              <w:jc w:val="left"/>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7.3环境风险事故应急预案</w:t>
            </w:r>
          </w:p>
          <w:p w14:paraId="14F1FCBA">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根据国家相关规定的要求，</w:t>
            </w:r>
            <w:r>
              <w:rPr>
                <w:rFonts w:hint="eastAsia" w:ascii="宋体" w:hAnsi="宋体" w:eastAsia="宋体" w:cs="宋体"/>
                <w:color w:val="auto"/>
                <w:sz w:val="24"/>
                <w:szCs w:val="24"/>
                <w:lang w:eastAsia="zh-CN"/>
              </w:rPr>
              <w:t>建设单位</w:t>
            </w:r>
            <w:r>
              <w:rPr>
                <w:rFonts w:hint="eastAsia" w:ascii="宋体" w:hAnsi="宋体" w:eastAsia="宋体" w:cs="宋体"/>
                <w:color w:val="auto"/>
                <w:sz w:val="24"/>
                <w:szCs w:val="24"/>
              </w:rPr>
              <w:t>应制定环境风险应急预案，并且配备必要的设施。应急预案的主要内容可参考见下表。</w:t>
            </w:r>
          </w:p>
          <w:p w14:paraId="38FD6610">
            <w:pPr>
              <w:keepNext w:val="0"/>
              <w:keepLines w:val="0"/>
              <w:suppressLineNumbers w:val="0"/>
              <w:spacing w:before="0" w:beforeAutospacing="0" w:after="0" w:afterAutospacing="0"/>
              <w:ind w:left="0" w:right="0" w:firstLine="422" w:firstLineChars="2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31</w:t>
            </w:r>
            <w:r>
              <w:rPr>
                <w:rFonts w:hint="default" w:ascii="Times New Roman" w:hAnsi="Times New Roman" w:eastAsia="宋体" w:cs="Times New Roman"/>
                <w:b/>
                <w:bCs/>
                <w:color w:val="auto"/>
                <w:sz w:val="21"/>
                <w:szCs w:val="21"/>
              </w:rPr>
              <w:t>环境风险突发事故应急预案</w:t>
            </w:r>
          </w:p>
          <w:tbl>
            <w:tblPr>
              <w:tblStyle w:val="25"/>
              <w:tblW w:w="85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2406"/>
              <w:gridCol w:w="5437"/>
            </w:tblGrid>
            <w:tr w14:paraId="0C562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13" w:type="pct"/>
                  <w:tcBorders>
                    <w:top w:val="single" w:color="auto" w:sz="12" w:space="0"/>
                    <w:left w:val="nil"/>
                    <w:bottom w:val="single" w:color="auto" w:sz="4" w:space="0"/>
                    <w:right w:val="single" w:color="auto" w:sz="4" w:space="0"/>
                  </w:tcBorders>
                  <w:noWrap w:val="0"/>
                  <w:vAlign w:val="center"/>
                </w:tcPr>
                <w:p w14:paraId="558EB8BC">
                  <w:pPr>
                    <w:keepNext w:val="0"/>
                    <w:keepLines w:val="0"/>
                    <w:suppressLineNumbers w:val="0"/>
                    <w:spacing w:before="0" w:beforeAutospacing="0" w:after="0" w:afterAutospacing="0"/>
                    <w:ind w:left="0" w:right="0"/>
                    <w:jc w:val="center"/>
                    <w:rPr>
                      <w:rFonts w:hint="eastAsia" w:ascii="宋体" w:hAnsi="宋体" w:eastAsia="宋体" w:cs="宋体"/>
                      <w:b/>
                      <w:bCs/>
                      <w:color w:val="auto"/>
                    </w:rPr>
                  </w:pPr>
                  <w:r>
                    <w:rPr>
                      <w:rFonts w:hint="eastAsia" w:ascii="宋体" w:hAnsi="宋体" w:eastAsia="宋体" w:cs="宋体"/>
                      <w:b/>
                      <w:bCs/>
                      <w:color w:val="auto"/>
                    </w:rPr>
                    <w:t>序号</w:t>
                  </w:r>
                </w:p>
              </w:tc>
              <w:tc>
                <w:tcPr>
                  <w:tcW w:w="1407" w:type="pct"/>
                  <w:tcBorders>
                    <w:top w:val="single" w:color="auto" w:sz="12" w:space="0"/>
                    <w:left w:val="single" w:color="auto" w:sz="4" w:space="0"/>
                    <w:bottom w:val="single" w:color="auto" w:sz="4" w:space="0"/>
                    <w:right w:val="single" w:color="auto" w:sz="4" w:space="0"/>
                  </w:tcBorders>
                  <w:noWrap w:val="0"/>
                  <w:vAlign w:val="center"/>
                </w:tcPr>
                <w:p w14:paraId="67530D97">
                  <w:pPr>
                    <w:keepNext w:val="0"/>
                    <w:keepLines w:val="0"/>
                    <w:suppressLineNumbers w:val="0"/>
                    <w:spacing w:before="0" w:beforeAutospacing="0" w:after="0" w:afterAutospacing="0"/>
                    <w:ind w:left="0" w:right="0"/>
                    <w:jc w:val="center"/>
                    <w:rPr>
                      <w:rFonts w:hint="eastAsia" w:ascii="宋体" w:hAnsi="宋体" w:eastAsia="宋体" w:cs="宋体"/>
                      <w:b/>
                      <w:bCs/>
                      <w:color w:val="auto"/>
                    </w:rPr>
                  </w:pPr>
                  <w:r>
                    <w:rPr>
                      <w:rFonts w:hint="eastAsia" w:ascii="宋体" w:hAnsi="宋体" w:eastAsia="宋体" w:cs="宋体"/>
                      <w:b/>
                      <w:bCs/>
                      <w:color w:val="auto"/>
                    </w:rPr>
                    <w:t>项目</w:t>
                  </w:r>
                </w:p>
              </w:tc>
              <w:tc>
                <w:tcPr>
                  <w:tcW w:w="3179" w:type="pct"/>
                  <w:tcBorders>
                    <w:top w:val="single" w:color="auto" w:sz="12" w:space="0"/>
                    <w:left w:val="single" w:color="auto" w:sz="4" w:space="0"/>
                    <w:bottom w:val="single" w:color="auto" w:sz="4" w:space="0"/>
                    <w:right w:val="nil"/>
                  </w:tcBorders>
                  <w:noWrap w:val="0"/>
                  <w:vAlign w:val="center"/>
                </w:tcPr>
                <w:p w14:paraId="141A74F1">
                  <w:pPr>
                    <w:keepNext w:val="0"/>
                    <w:keepLines w:val="0"/>
                    <w:suppressLineNumbers w:val="0"/>
                    <w:spacing w:before="0" w:beforeAutospacing="0" w:after="0" w:afterAutospacing="0"/>
                    <w:ind w:left="0" w:right="0"/>
                    <w:jc w:val="center"/>
                    <w:rPr>
                      <w:rFonts w:hint="eastAsia" w:ascii="宋体" w:hAnsi="宋体" w:eastAsia="宋体" w:cs="宋体"/>
                      <w:b/>
                      <w:bCs/>
                      <w:color w:val="auto"/>
                    </w:rPr>
                  </w:pPr>
                  <w:r>
                    <w:rPr>
                      <w:rFonts w:hint="eastAsia" w:ascii="宋体" w:hAnsi="宋体" w:eastAsia="宋体" w:cs="宋体"/>
                      <w:b/>
                      <w:bCs/>
                      <w:color w:val="auto"/>
                    </w:rPr>
                    <w:t>内容及要求</w:t>
                  </w:r>
                </w:p>
              </w:tc>
            </w:tr>
            <w:tr w14:paraId="3A146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13" w:type="pct"/>
                  <w:tcBorders>
                    <w:top w:val="single" w:color="auto" w:sz="4" w:space="0"/>
                    <w:left w:val="nil"/>
                    <w:bottom w:val="single" w:color="auto" w:sz="4" w:space="0"/>
                    <w:right w:val="single" w:color="auto" w:sz="4" w:space="0"/>
                  </w:tcBorders>
                  <w:noWrap w:val="0"/>
                  <w:vAlign w:val="center"/>
                </w:tcPr>
                <w:p w14:paraId="0E12828A">
                  <w:pPr>
                    <w:keepNext w:val="0"/>
                    <w:keepLines w:val="0"/>
                    <w:suppressLineNumbers w:val="0"/>
                    <w:spacing w:before="0" w:beforeAutospacing="0" w:after="0" w:afterAutospacing="0"/>
                    <w:ind w:left="0" w:right="0"/>
                    <w:jc w:val="center"/>
                    <w:rPr>
                      <w:rFonts w:hint="eastAsia" w:ascii="宋体" w:hAnsi="宋体" w:eastAsia="宋体" w:cs="宋体"/>
                      <w:color w:val="auto"/>
                    </w:rPr>
                  </w:pPr>
                  <w:r>
                    <w:rPr>
                      <w:rFonts w:hint="eastAsia" w:ascii="宋体" w:hAnsi="宋体" w:eastAsia="宋体" w:cs="宋体"/>
                      <w:color w:val="auto"/>
                    </w:rPr>
                    <w:t>1</w:t>
                  </w:r>
                </w:p>
              </w:tc>
              <w:tc>
                <w:tcPr>
                  <w:tcW w:w="1407" w:type="pct"/>
                  <w:tcBorders>
                    <w:top w:val="single" w:color="auto" w:sz="4" w:space="0"/>
                    <w:left w:val="single" w:color="auto" w:sz="4" w:space="0"/>
                    <w:bottom w:val="single" w:color="auto" w:sz="4" w:space="0"/>
                    <w:right w:val="single" w:color="auto" w:sz="4" w:space="0"/>
                  </w:tcBorders>
                  <w:noWrap w:val="0"/>
                  <w:vAlign w:val="center"/>
                </w:tcPr>
                <w:p w14:paraId="5D892E80">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应急计划区</w:t>
                  </w:r>
                </w:p>
              </w:tc>
              <w:tc>
                <w:tcPr>
                  <w:tcW w:w="3179" w:type="pct"/>
                  <w:tcBorders>
                    <w:top w:val="single" w:color="auto" w:sz="4" w:space="0"/>
                    <w:left w:val="single" w:color="auto" w:sz="4" w:space="0"/>
                    <w:bottom w:val="single" w:color="auto" w:sz="4" w:space="0"/>
                    <w:right w:val="nil"/>
                  </w:tcBorders>
                  <w:noWrap w:val="0"/>
                  <w:vAlign w:val="center"/>
                </w:tcPr>
                <w:p w14:paraId="728A946A">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危废暂存间，环境保护目标：附近企业以及员工</w:t>
                  </w:r>
                </w:p>
              </w:tc>
            </w:tr>
            <w:tr w14:paraId="34C5C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13" w:type="pct"/>
                  <w:tcBorders>
                    <w:top w:val="single" w:color="auto" w:sz="4" w:space="0"/>
                    <w:left w:val="nil"/>
                    <w:bottom w:val="single" w:color="auto" w:sz="4" w:space="0"/>
                    <w:right w:val="single" w:color="auto" w:sz="4" w:space="0"/>
                  </w:tcBorders>
                  <w:noWrap w:val="0"/>
                  <w:vAlign w:val="center"/>
                </w:tcPr>
                <w:p w14:paraId="7328DBD1">
                  <w:pPr>
                    <w:keepNext w:val="0"/>
                    <w:keepLines w:val="0"/>
                    <w:suppressLineNumbers w:val="0"/>
                    <w:spacing w:before="0" w:beforeAutospacing="0" w:after="0" w:afterAutospacing="0"/>
                    <w:ind w:left="0" w:right="0"/>
                    <w:jc w:val="center"/>
                    <w:rPr>
                      <w:rFonts w:hint="eastAsia" w:ascii="宋体" w:hAnsi="宋体" w:eastAsia="宋体" w:cs="宋体"/>
                      <w:color w:val="auto"/>
                    </w:rPr>
                  </w:pPr>
                  <w:r>
                    <w:rPr>
                      <w:rFonts w:hint="eastAsia" w:ascii="宋体" w:hAnsi="宋体" w:eastAsia="宋体" w:cs="宋体"/>
                      <w:color w:val="auto"/>
                    </w:rPr>
                    <w:t>2</w:t>
                  </w:r>
                </w:p>
              </w:tc>
              <w:tc>
                <w:tcPr>
                  <w:tcW w:w="1407" w:type="pct"/>
                  <w:tcBorders>
                    <w:top w:val="single" w:color="auto" w:sz="4" w:space="0"/>
                    <w:left w:val="single" w:color="auto" w:sz="4" w:space="0"/>
                    <w:bottom w:val="single" w:color="auto" w:sz="4" w:space="0"/>
                    <w:right w:val="single" w:color="auto" w:sz="4" w:space="0"/>
                  </w:tcBorders>
                  <w:noWrap w:val="0"/>
                  <w:vAlign w:val="center"/>
                </w:tcPr>
                <w:p w14:paraId="5A9EB5F7">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应急组织机构、人员</w:t>
                  </w:r>
                </w:p>
              </w:tc>
              <w:tc>
                <w:tcPr>
                  <w:tcW w:w="3179" w:type="pct"/>
                  <w:tcBorders>
                    <w:top w:val="single" w:color="auto" w:sz="4" w:space="0"/>
                    <w:left w:val="single" w:color="auto" w:sz="4" w:space="0"/>
                    <w:bottom w:val="single" w:color="auto" w:sz="4" w:space="0"/>
                    <w:right w:val="nil"/>
                  </w:tcBorders>
                  <w:noWrap w:val="0"/>
                  <w:vAlign w:val="center"/>
                </w:tcPr>
                <w:p w14:paraId="12FDB821">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公司应急机构人员，地方政府应急组织人员</w:t>
                  </w:r>
                </w:p>
              </w:tc>
            </w:tr>
            <w:tr w14:paraId="5E3FC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13" w:type="pct"/>
                  <w:tcBorders>
                    <w:top w:val="single" w:color="auto" w:sz="4" w:space="0"/>
                    <w:left w:val="nil"/>
                    <w:bottom w:val="single" w:color="auto" w:sz="4" w:space="0"/>
                    <w:right w:val="single" w:color="auto" w:sz="4" w:space="0"/>
                  </w:tcBorders>
                  <w:noWrap w:val="0"/>
                  <w:vAlign w:val="center"/>
                </w:tcPr>
                <w:p w14:paraId="2ACA41E6">
                  <w:pPr>
                    <w:keepNext w:val="0"/>
                    <w:keepLines w:val="0"/>
                    <w:suppressLineNumbers w:val="0"/>
                    <w:spacing w:before="0" w:beforeAutospacing="0" w:after="0" w:afterAutospacing="0"/>
                    <w:ind w:left="0" w:right="0"/>
                    <w:jc w:val="center"/>
                    <w:rPr>
                      <w:rFonts w:hint="eastAsia" w:ascii="宋体" w:hAnsi="宋体" w:eastAsia="宋体" w:cs="宋体"/>
                      <w:color w:val="auto"/>
                    </w:rPr>
                  </w:pPr>
                  <w:r>
                    <w:rPr>
                      <w:rFonts w:hint="eastAsia" w:ascii="宋体" w:hAnsi="宋体" w:eastAsia="宋体" w:cs="宋体"/>
                      <w:color w:val="auto"/>
                    </w:rPr>
                    <w:t>3</w:t>
                  </w:r>
                </w:p>
              </w:tc>
              <w:tc>
                <w:tcPr>
                  <w:tcW w:w="1407" w:type="pct"/>
                  <w:tcBorders>
                    <w:top w:val="single" w:color="auto" w:sz="4" w:space="0"/>
                    <w:left w:val="single" w:color="auto" w:sz="4" w:space="0"/>
                    <w:bottom w:val="single" w:color="auto" w:sz="4" w:space="0"/>
                    <w:right w:val="single" w:color="auto" w:sz="4" w:space="0"/>
                  </w:tcBorders>
                  <w:noWrap w:val="0"/>
                  <w:vAlign w:val="center"/>
                </w:tcPr>
                <w:p w14:paraId="25E7230F">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预案分级响应条件</w:t>
                  </w:r>
                </w:p>
              </w:tc>
              <w:tc>
                <w:tcPr>
                  <w:tcW w:w="3179" w:type="pct"/>
                  <w:tcBorders>
                    <w:top w:val="single" w:color="auto" w:sz="4" w:space="0"/>
                    <w:left w:val="single" w:color="auto" w:sz="4" w:space="0"/>
                    <w:bottom w:val="single" w:color="auto" w:sz="4" w:space="0"/>
                    <w:right w:val="nil"/>
                  </w:tcBorders>
                  <w:noWrap w:val="0"/>
                  <w:vAlign w:val="center"/>
                </w:tcPr>
                <w:p w14:paraId="12E201A5">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规定预案的级别及分级响应程序</w:t>
                  </w:r>
                </w:p>
              </w:tc>
            </w:tr>
            <w:tr w14:paraId="20FAF4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13" w:type="pct"/>
                  <w:tcBorders>
                    <w:top w:val="single" w:color="auto" w:sz="4" w:space="0"/>
                    <w:left w:val="nil"/>
                    <w:bottom w:val="single" w:color="auto" w:sz="4" w:space="0"/>
                    <w:right w:val="single" w:color="auto" w:sz="4" w:space="0"/>
                  </w:tcBorders>
                  <w:noWrap w:val="0"/>
                  <w:vAlign w:val="center"/>
                </w:tcPr>
                <w:p w14:paraId="46DDCB3E">
                  <w:pPr>
                    <w:keepNext w:val="0"/>
                    <w:keepLines w:val="0"/>
                    <w:suppressLineNumbers w:val="0"/>
                    <w:spacing w:before="0" w:beforeAutospacing="0" w:after="0" w:afterAutospacing="0"/>
                    <w:ind w:left="0" w:right="0"/>
                    <w:jc w:val="center"/>
                    <w:rPr>
                      <w:rFonts w:hint="eastAsia" w:ascii="宋体" w:hAnsi="宋体" w:eastAsia="宋体" w:cs="宋体"/>
                      <w:color w:val="auto"/>
                    </w:rPr>
                  </w:pPr>
                  <w:r>
                    <w:rPr>
                      <w:rFonts w:hint="eastAsia" w:ascii="宋体" w:hAnsi="宋体" w:eastAsia="宋体" w:cs="宋体"/>
                      <w:color w:val="auto"/>
                    </w:rPr>
                    <w:t>4</w:t>
                  </w:r>
                </w:p>
              </w:tc>
              <w:tc>
                <w:tcPr>
                  <w:tcW w:w="1407" w:type="pct"/>
                  <w:tcBorders>
                    <w:top w:val="single" w:color="auto" w:sz="4" w:space="0"/>
                    <w:left w:val="single" w:color="auto" w:sz="4" w:space="0"/>
                    <w:bottom w:val="single" w:color="auto" w:sz="4" w:space="0"/>
                    <w:right w:val="single" w:color="auto" w:sz="4" w:space="0"/>
                  </w:tcBorders>
                  <w:noWrap w:val="0"/>
                  <w:vAlign w:val="center"/>
                </w:tcPr>
                <w:p w14:paraId="57EE36B0">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应急</w:t>
                  </w:r>
                  <w:r>
                    <w:rPr>
                      <w:rFonts w:hint="eastAsia" w:ascii="宋体" w:hAnsi="宋体" w:cs="宋体"/>
                      <w:color w:val="auto"/>
                      <w:lang w:val="en-US" w:eastAsia="zh-CN"/>
                    </w:rPr>
                    <w:t>救援</w:t>
                  </w:r>
                  <w:r>
                    <w:rPr>
                      <w:rFonts w:hint="eastAsia" w:ascii="宋体" w:hAnsi="宋体" w:eastAsia="宋体" w:cs="宋体"/>
                      <w:color w:val="auto"/>
                    </w:rPr>
                    <w:t>保障</w:t>
                  </w:r>
                </w:p>
              </w:tc>
              <w:tc>
                <w:tcPr>
                  <w:tcW w:w="3179" w:type="pct"/>
                  <w:tcBorders>
                    <w:top w:val="single" w:color="auto" w:sz="4" w:space="0"/>
                    <w:left w:val="single" w:color="auto" w:sz="4" w:space="0"/>
                    <w:bottom w:val="single" w:color="auto" w:sz="4" w:space="0"/>
                    <w:right w:val="nil"/>
                  </w:tcBorders>
                  <w:noWrap w:val="0"/>
                  <w:vAlign w:val="center"/>
                </w:tcPr>
                <w:p w14:paraId="26C6DDD9">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应急设施、设备与器材等</w:t>
                  </w:r>
                </w:p>
              </w:tc>
            </w:tr>
            <w:tr w14:paraId="3CB9CF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13" w:type="pct"/>
                  <w:tcBorders>
                    <w:top w:val="single" w:color="auto" w:sz="4" w:space="0"/>
                    <w:left w:val="nil"/>
                    <w:bottom w:val="single" w:color="auto" w:sz="4" w:space="0"/>
                    <w:right w:val="single" w:color="auto" w:sz="4" w:space="0"/>
                  </w:tcBorders>
                  <w:noWrap w:val="0"/>
                  <w:vAlign w:val="center"/>
                </w:tcPr>
                <w:p w14:paraId="7669876F">
                  <w:pPr>
                    <w:keepNext w:val="0"/>
                    <w:keepLines w:val="0"/>
                    <w:suppressLineNumbers w:val="0"/>
                    <w:spacing w:before="0" w:beforeAutospacing="0" w:after="0" w:afterAutospacing="0"/>
                    <w:ind w:left="0" w:right="0"/>
                    <w:jc w:val="center"/>
                    <w:rPr>
                      <w:rFonts w:hint="eastAsia" w:ascii="宋体" w:hAnsi="宋体" w:eastAsia="宋体" w:cs="宋体"/>
                      <w:color w:val="auto"/>
                    </w:rPr>
                  </w:pPr>
                  <w:r>
                    <w:rPr>
                      <w:rFonts w:hint="eastAsia" w:ascii="宋体" w:hAnsi="宋体" w:eastAsia="宋体" w:cs="宋体"/>
                      <w:color w:val="auto"/>
                    </w:rPr>
                    <w:t>5</w:t>
                  </w:r>
                </w:p>
              </w:tc>
              <w:tc>
                <w:tcPr>
                  <w:tcW w:w="1407" w:type="pct"/>
                  <w:tcBorders>
                    <w:top w:val="single" w:color="auto" w:sz="4" w:space="0"/>
                    <w:left w:val="single" w:color="auto" w:sz="4" w:space="0"/>
                    <w:bottom w:val="single" w:color="auto" w:sz="4" w:space="0"/>
                    <w:right w:val="single" w:color="auto" w:sz="4" w:space="0"/>
                  </w:tcBorders>
                  <w:noWrap w:val="0"/>
                  <w:vAlign w:val="center"/>
                </w:tcPr>
                <w:p w14:paraId="385B24B3">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报警、通讯联络方式</w:t>
                  </w:r>
                </w:p>
              </w:tc>
              <w:tc>
                <w:tcPr>
                  <w:tcW w:w="3179" w:type="pct"/>
                  <w:tcBorders>
                    <w:top w:val="single" w:color="auto" w:sz="4" w:space="0"/>
                    <w:left w:val="single" w:color="auto" w:sz="4" w:space="0"/>
                    <w:bottom w:val="single" w:color="auto" w:sz="4" w:space="0"/>
                    <w:right w:val="nil"/>
                  </w:tcBorders>
                  <w:noWrap w:val="0"/>
                  <w:vAlign w:val="center"/>
                </w:tcPr>
                <w:p w14:paraId="7F0DC69C">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规定应急状态下的报警通讯方式；交通保障、管制</w:t>
                  </w:r>
                </w:p>
              </w:tc>
            </w:tr>
            <w:tr w14:paraId="147A8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413" w:type="pct"/>
                  <w:tcBorders>
                    <w:top w:val="single" w:color="auto" w:sz="4" w:space="0"/>
                    <w:left w:val="nil"/>
                    <w:bottom w:val="single" w:color="auto" w:sz="4" w:space="0"/>
                    <w:right w:val="single" w:color="auto" w:sz="4" w:space="0"/>
                  </w:tcBorders>
                  <w:noWrap w:val="0"/>
                  <w:vAlign w:val="center"/>
                </w:tcPr>
                <w:p w14:paraId="6F5C40FC">
                  <w:pPr>
                    <w:keepNext w:val="0"/>
                    <w:keepLines w:val="0"/>
                    <w:suppressLineNumbers w:val="0"/>
                    <w:spacing w:before="0" w:beforeAutospacing="0" w:after="0" w:afterAutospacing="0"/>
                    <w:ind w:left="0" w:right="0"/>
                    <w:jc w:val="center"/>
                    <w:rPr>
                      <w:rFonts w:hint="eastAsia" w:ascii="宋体" w:hAnsi="宋体" w:eastAsia="宋体" w:cs="宋体"/>
                      <w:color w:val="auto"/>
                    </w:rPr>
                  </w:pPr>
                  <w:r>
                    <w:rPr>
                      <w:rFonts w:hint="eastAsia" w:ascii="宋体" w:hAnsi="宋体" w:eastAsia="宋体" w:cs="宋体"/>
                      <w:color w:val="auto"/>
                    </w:rPr>
                    <w:t>6</w:t>
                  </w:r>
                </w:p>
              </w:tc>
              <w:tc>
                <w:tcPr>
                  <w:tcW w:w="1407" w:type="pct"/>
                  <w:tcBorders>
                    <w:top w:val="single" w:color="auto" w:sz="4" w:space="0"/>
                    <w:left w:val="single" w:color="auto" w:sz="4" w:space="0"/>
                    <w:bottom w:val="single" w:color="auto" w:sz="4" w:space="0"/>
                    <w:right w:val="single" w:color="auto" w:sz="4" w:space="0"/>
                  </w:tcBorders>
                  <w:noWrap w:val="0"/>
                  <w:vAlign w:val="center"/>
                </w:tcPr>
                <w:p w14:paraId="39227545">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应急环境监测、抢险、</w:t>
                  </w:r>
                  <w:r>
                    <w:rPr>
                      <w:rFonts w:hint="eastAsia" w:ascii="宋体" w:hAnsi="宋体" w:cs="宋体"/>
                      <w:color w:val="auto"/>
                      <w:lang w:val="en-US" w:eastAsia="zh-CN"/>
                    </w:rPr>
                    <w:t>救援</w:t>
                  </w:r>
                  <w:r>
                    <w:rPr>
                      <w:rFonts w:hint="eastAsia" w:ascii="宋体" w:hAnsi="宋体" w:eastAsia="宋体" w:cs="宋体"/>
                      <w:color w:val="auto"/>
                    </w:rPr>
                    <w:t>及控制措施</w:t>
                  </w:r>
                </w:p>
              </w:tc>
              <w:tc>
                <w:tcPr>
                  <w:tcW w:w="3179" w:type="pct"/>
                  <w:tcBorders>
                    <w:top w:val="single" w:color="auto" w:sz="4" w:space="0"/>
                    <w:left w:val="single" w:color="auto" w:sz="4" w:space="0"/>
                    <w:bottom w:val="single" w:color="auto" w:sz="4" w:space="0"/>
                    <w:right w:val="nil"/>
                  </w:tcBorders>
                  <w:noWrap w:val="0"/>
                  <w:vAlign w:val="center"/>
                </w:tcPr>
                <w:p w14:paraId="54B8B362">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由第三方监测机构负责对事故现场进行监测，对事故性质、参数与后果进行评估，为指挥部门提供决策根据</w:t>
                  </w:r>
                </w:p>
              </w:tc>
            </w:tr>
            <w:tr w14:paraId="5945B4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413" w:type="pct"/>
                  <w:tcBorders>
                    <w:top w:val="single" w:color="auto" w:sz="4" w:space="0"/>
                    <w:left w:val="nil"/>
                    <w:bottom w:val="single" w:color="auto" w:sz="4" w:space="0"/>
                    <w:right w:val="single" w:color="auto" w:sz="4" w:space="0"/>
                  </w:tcBorders>
                  <w:noWrap w:val="0"/>
                  <w:vAlign w:val="center"/>
                </w:tcPr>
                <w:p w14:paraId="2BE6DFB0">
                  <w:pPr>
                    <w:keepNext w:val="0"/>
                    <w:keepLines w:val="0"/>
                    <w:suppressLineNumbers w:val="0"/>
                    <w:spacing w:before="0" w:beforeAutospacing="0" w:after="0" w:afterAutospacing="0"/>
                    <w:ind w:left="0" w:right="0"/>
                    <w:jc w:val="center"/>
                    <w:rPr>
                      <w:rFonts w:hint="eastAsia" w:ascii="宋体" w:hAnsi="宋体" w:eastAsia="宋体" w:cs="宋体"/>
                      <w:color w:val="auto"/>
                    </w:rPr>
                  </w:pPr>
                  <w:r>
                    <w:rPr>
                      <w:rFonts w:hint="eastAsia" w:ascii="宋体" w:hAnsi="宋体" w:eastAsia="宋体" w:cs="宋体"/>
                      <w:color w:val="auto"/>
                    </w:rPr>
                    <w:t>7</w:t>
                  </w:r>
                </w:p>
              </w:tc>
              <w:tc>
                <w:tcPr>
                  <w:tcW w:w="1407" w:type="pct"/>
                  <w:tcBorders>
                    <w:top w:val="single" w:color="auto" w:sz="4" w:space="0"/>
                    <w:left w:val="single" w:color="auto" w:sz="4" w:space="0"/>
                    <w:bottom w:val="single" w:color="auto" w:sz="4" w:space="0"/>
                    <w:right w:val="single" w:color="auto" w:sz="4" w:space="0"/>
                  </w:tcBorders>
                  <w:noWrap w:val="0"/>
                  <w:vAlign w:val="center"/>
                </w:tcPr>
                <w:p w14:paraId="07864C57">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应急检测、防护措施、清除泄漏措施器材</w:t>
                  </w:r>
                </w:p>
              </w:tc>
              <w:tc>
                <w:tcPr>
                  <w:tcW w:w="3179" w:type="pct"/>
                  <w:tcBorders>
                    <w:top w:val="single" w:color="auto" w:sz="4" w:space="0"/>
                    <w:left w:val="single" w:color="auto" w:sz="4" w:space="0"/>
                    <w:bottom w:val="single" w:color="auto" w:sz="4" w:space="0"/>
                    <w:right w:val="nil"/>
                  </w:tcBorders>
                  <w:noWrap w:val="0"/>
                  <w:vAlign w:val="center"/>
                </w:tcPr>
                <w:p w14:paraId="4430ABEC">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事故现场、邻近区域、控制防火区域，控制和清除污染措施及相应设备</w:t>
                  </w:r>
                </w:p>
              </w:tc>
            </w:tr>
            <w:tr w14:paraId="221EC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13" w:type="pct"/>
                  <w:tcBorders>
                    <w:top w:val="single" w:color="auto" w:sz="4" w:space="0"/>
                    <w:left w:val="nil"/>
                    <w:bottom w:val="single" w:color="auto" w:sz="4" w:space="0"/>
                    <w:right w:val="single" w:color="auto" w:sz="4" w:space="0"/>
                  </w:tcBorders>
                  <w:noWrap w:val="0"/>
                  <w:vAlign w:val="center"/>
                </w:tcPr>
                <w:p w14:paraId="4C43B12B">
                  <w:pPr>
                    <w:keepNext w:val="0"/>
                    <w:keepLines w:val="0"/>
                    <w:suppressLineNumbers w:val="0"/>
                    <w:spacing w:before="0" w:beforeAutospacing="0" w:after="0" w:afterAutospacing="0"/>
                    <w:ind w:left="0" w:right="0"/>
                    <w:jc w:val="center"/>
                    <w:rPr>
                      <w:rFonts w:hint="eastAsia" w:ascii="宋体" w:hAnsi="宋体" w:eastAsia="宋体" w:cs="宋体"/>
                      <w:color w:val="auto"/>
                    </w:rPr>
                  </w:pPr>
                  <w:r>
                    <w:rPr>
                      <w:rFonts w:hint="eastAsia" w:ascii="宋体" w:hAnsi="宋体" w:eastAsia="宋体" w:cs="宋体"/>
                      <w:color w:val="auto"/>
                    </w:rPr>
                    <w:t>8</w:t>
                  </w:r>
                </w:p>
              </w:tc>
              <w:tc>
                <w:tcPr>
                  <w:tcW w:w="1407" w:type="pct"/>
                  <w:tcBorders>
                    <w:top w:val="single" w:color="auto" w:sz="4" w:space="0"/>
                    <w:left w:val="single" w:color="auto" w:sz="4" w:space="0"/>
                    <w:bottom w:val="single" w:color="auto" w:sz="4" w:space="0"/>
                    <w:right w:val="single" w:color="auto" w:sz="4" w:space="0"/>
                  </w:tcBorders>
                  <w:noWrap w:val="0"/>
                  <w:vAlign w:val="center"/>
                </w:tcPr>
                <w:p w14:paraId="020001C3">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人员紧急撤离、疏散</w:t>
                  </w:r>
                </w:p>
              </w:tc>
              <w:tc>
                <w:tcPr>
                  <w:tcW w:w="3179" w:type="pct"/>
                  <w:tcBorders>
                    <w:top w:val="single" w:color="auto" w:sz="4" w:space="0"/>
                    <w:left w:val="single" w:color="auto" w:sz="4" w:space="0"/>
                    <w:bottom w:val="single" w:color="auto" w:sz="4" w:space="0"/>
                    <w:right w:val="nil"/>
                  </w:tcBorders>
                  <w:noWrap w:val="0"/>
                  <w:vAlign w:val="center"/>
                </w:tcPr>
                <w:p w14:paraId="2A152A2C">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撤离组织计划及救护，医疗救护与公众健康</w:t>
                  </w:r>
                </w:p>
              </w:tc>
            </w:tr>
            <w:tr w14:paraId="6BA938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413" w:type="pct"/>
                  <w:tcBorders>
                    <w:top w:val="single" w:color="auto" w:sz="4" w:space="0"/>
                    <w:left w:val="nil"/>
                    <w:bottom w:val="single" w:color="auto" w:sz="4" w:space="0"/>
                    <w:right w:val="single" w:color="auto" w:sz="4" w:space="0"/>
                  </w:tcBorders>
                  <w:noWrap w:val="0"/>
                  <w:vAlign w:val="center"/>
                </w:tcPr>
                <w:p w14:paraId="7F930869">
                  <w:pPr>
                    <w:keepNext w:val="0"/>
                    <w:keepLines w:val="0"/>
                    <w:suppressLineNumbers w:val="0"/>
                    <w:spacing w:before="0" w:beforeAutospacing="0" w:after="0" w:afterAutospacing="0"/>
                    <w:ind w:left="0" w:right="0"/>
                    <w:jc w:val="center"/>
                    <w:rPr>
                      <w:rFonts w:hint="eastAsia" w:ascii="宋体" w:hAnsi="宋体" w:eastAsia="宋体" w:cs="宋体"/>
                      <w:color w:val="auto"/>
                    </w:rPr>
                  </w:pPr>
                  <w:r>
                    <w:rPr>
                      <w:rFonts w:hint="eastAsia" w:ascii="宋体" w:hAnsi="宋体" w:eastAsia="宋体" w:cs="宋体"/>
                      <w:color w:val="auto"/>
                    </w:rPr>
                    <w:t>9</w:t>
                  </w:r>
                </w:p>
              </w:tc>
              <w:tc>
                <w:tcPr>
                  <w:tcW w:w="1407" w:type="pct"/>
                  <w:tcBorders>
                    <w:top w:val="single" w:color="auto" w:sz="4" w:space="0"/>
                    <w:left w:val="single" w:color="auto" w:sz="4" w:space="0"/>
                    <w:bottom w:val="single" w:color="auto" w:sz="4" w:space="0"/>
                    <w:right w:val="single" w:color="auto" w:sz="4" w:space="0"/>
                  </w:tcBorders>
                  <w:noWrap w:val="0"/>
                  <w:vAlign w:val="center"/>
                </w:tcPr>
                <w:p w14:paraId="6B57C347">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事故应急</w:t>
                  </w:r>
                  <w:r>
                    <w:rPr>
                      <w:rFonts w:hint="eastAsia" w:ascii="宋体" w:hAnsi="宋体" w:cs="宋体"/>
                      <w:color w:val="auto"/>
                      <w:lang w:val="en-US" w:eastAsia="zh-CN"/>
                    </w:rPr>
                    <w:t>救援</w:t>
                  </w:r>
                  <w:r>
                    <w:rPr>
                      <w:rFonts w:hint="eastAsia" w:ascii="宋体" w:hAnsi="宋体" w:eastAsia="宋体" w:cs="宋体"/>
                      <w:color w:val="auto"/>
                    </w:rPr>
                    <w:t>关闭程序与恢复措施</w:t>
                  </w:r>
                </w:p>
              </w:tc>
              <w:tc>
                <w:tcPr>
                  <w:tcW w:w="3179" w:type="pct"/>
                  <w:tcBorders>
                    <w:top w:val="single" w:color="auto" w:sz="4" w:space="0"/>
                    <w:left w:val="single" w:color="auto" w:sz="4" w:space="0"/>
                    <w:bottom w:val="single" w:color="auto" w:sz="4" w:space="0"/>
                    <w:right w:val="nil"/>
                  </w:tcBorders>
                  <w:noWrap w:val="0"/>
                  <w:vAlign w:val="center"/>
                </w:tcPr>
                <w:p w14:paraId="16DE6C2A">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专业队伍抢救结束后，做好事故现场善后处理，邻近区域解除事故警戒及善后恢复措施，现场调查、清理、清洗工作恢复生产状态，组织生产</w:t>
                  </w:r>
                </w:p>
              </w:tc>
            </w:tr>
            <w:tr w14:paraId="49592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13" w:type="pct"/>
                  <w:tcBorders>
                    <w:top w:val="single" w:color="auto" w:sz="4" w:space="0"/>
                    <w:left w:val="nil"/>
                    <w:bottom w:val="single" w:color="auto" w:sz="4" w:space="0"/>
                    <w:right w:val="single" w:color="auto" w:sz="4" w:space="0"/>
                  </w:tcBorders>
                  <w:noWrap w:val="0"/>
                  <w:vAlign w:val="center"/>
                </w:tcPr>
                <w:p w14:paraId="016D5DC2">
                  <w:pPr>
                    <w:keepNext w:val="0"/>
                    <w:keepLines w:val="0"/>
                    <w:suppressLineNumbers w:val="0"/>
                    <w:spacing w:before="0" w:beforeAutospacing="0" w:after="0" w:afterAutospacing="0"/>
                    <w:ind w:left="0" w:right="0"/>
                    <w:jc w:val="center"/>
                    <w:rPr>
                      <w:rFonts w:hint="eastAsia" w:ascii="宋体" w:hAnsi="宋体" w:eastAsia="宋体" w:cs="宋体"/>
                      <w:color w:val="auto"/>
                    </w:rPr>
                  </w:pPr>
                  <w:r>
                    <w:rPr>
                      <w:rFonts w:hint="eastAsia" w:ascii="宋体" w:hAnsi="宋体" w:eastAsia="宋体" w:cs="宋体"/>
                      <w:color w:val="auto"/>
                    </w:rPr>
                    <w:t>10</w:t>
                  </w:r>
                </w:p>
              </w:tc>
              <w:tc>
                <w:tcPr>
                  <w:tcW w:w="1407" w:type="pct"/>
                  <w:tcBorders>
                    <w:top w:val="single" w:color="auto" w:sz="4" w:space="0"/>
                    <w:left w:val="single" w:color="auto" w:sz="4" w:space="0"/>
                    <w:bottom w:val="single" w:color="auto" w:sz="4" w:space="0"/>
                    <w:right w:val="single" w:color="auto" w:sz="4" w:space="0"/>
                  </w:tcBorders>
                  <w:noWrap w:val="0"/>
                  <w:vAlign w:val="center"/>
                </w:tcPr>
                <w:p w14:paraId="7E6EA0C8">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应急培训计划</w:t>
                  </w:r>
                </w:p>
              </w:tc>
              <w:tc>
                <w:tcPr>
                  <w:tcW w:w="3179" w:type="pct"/>
                  <w:tcBorders>
                    <w:top w:val="single" w:color="auto" w:sz="4" w:space="0"/>
                    <w:left w:val="single" w:color="auto" w:sz="4" w:space="0"/>
                    <w:bottom w:val="single" w:color="auto" w:sz="4" w:space="0"/>
                    <w:right w:val="nil"/>
                  </w:tcBorders>
                  <w:noWrap w:val="0"/>
                  <w:vAlign w:val="center"/>
                </w:tcPr>
                <w:p w14:paraId="6F77DBA9">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制定计划，安排人员培训与演练</w:t>
                  </w:r>
                </w:p>
              </w:tc>
            </w:tr>
            <w:tr w14:paraId="7CC68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13" w:type="pct"/>
                  <w:tcBorders>
                    <w:top w:val="single" w:color="auto" w:sz="4" w:space="0"/>
                    <w:left w:val="nil"/>
                    <w:bottom w:val="single" w:color="auto" w:sz="12" w:space="0"/>
                    <w:right w:val="single" w:color="auto" w:sz="4" w:space="0"/>
                  </w:tcBorders>
                  <w:noWrap w:val="0"/>
                  <w:vAlign w:val="center"/>
                </w:tcPr>
                <w:p w14:paraId="0AA56803">
                  <w:pPr>
                    <w:keepNext w:val="0"/>
                    <w:keepLines w:val="0"/>
                    <w:suppressLineNumbers w:val="0"/>
                    <w:spacing w:before="0" w:beforeAutospacing="0" w:after="0" w:afterAutospacing="0"/>
                    <w:ind w:left="0" w:right="0"/>
                    <w:jc w:val="center"/>
                    <w:rPr>
                      <w:rFonts w:hint="eastAsia" w:ascii="宋体" w:hAnsi="宋体" w:eastAsia="宋体" w:cs="宋体"/>
                      <w:color w:val="auto"/>
                    </w:rPr>
                  </w:pPr>
                  <w:r>
                    <w:rPr>
                      <w:rFonts w:hint="eastAsia" w:ascii="宋体" w:hAnsi="宋体" w:eastAsia="宋体" w:cs="宋体"/>
                      <w:color w:val="auto"/>
                    </w:rPr>
                    <w:t>11</w:t>
                  </w:r>
                </w:p>
              </w:tc>
              <w:tc>
                <w:tcPr>
                  <w:tcW w:w="1407" w:type="pct"/>
                  <w:tcBorders>
                    <w:top w:val="single" w:color="auto" w:sz="4" w:space="0"/>
                    <w:left w:val="single" w:color="auto" w:sz="4" w:space="0"/>
                    <w:bottom w:val="single" w:color="auto" w:sz="12" w:space="0"/>
                    <w:right w:val="single" w:color="auto" w:sz="4" w:space="0"/>
                  </w:tcBorders>
                  <w:noWrap w:val="0"/>
                  <w:vAlign w:val="center"/>
                </w:tcPr>
                <w:p w14:paraId="6642C9FF">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公众教育和信息</w:t>
                  </w:r>
                </w:p>
              </w:tc>
              <w:tc>
                <w:tcPr>
                  <w:tcW w:w="3179" w:type="pct"/>
                  <w:tcBorders>
                    <w:top w:val="single" w:color="auto" w:sz="4" w:space="0"/>
                    <w:left w:val="single" w:color="auto" w:sz="4" w:space="0"/>
                    <w:bottom w:val="single" w:color="auto" w:sz="12" w:space="0"/>
                    <w:right w:val="nil"/>
                  </w:tcBorders>
                  <w:noWrap w:val="0"/>
                  <w:vAlign w:val="center"/>
                </w:tcPr>
                <w:p w14:paraId="10581182">
                  <w:pPr>
                    <w:keepNext w:val="0"/>
                    <w:keepLines w:val="0"/>
                    <w:suppressLineNumbers w:val="0"/>
                    <w:spacing w:before="0" w:beforeAutospacing="0" w:after="0" w:afterAutospacing="0"/>
                    <w:ind w:left="0" w:right="0"/>
                    <w:rPr>
                      <w:rFonts w:hint="eastAsia" w:ascii="宋体" w:hAnsi="宋体" w:eastAsia="宋体" w:cs="宋体"/>
                      <w:color w:val="auto"/>
                    </w:rPr>
                  </w:pPr>
                  <w:r>
                    <w:rPr>
                      <w:rFonts w:hint="eastAsia" w:ascii="宋体" w:hAnsi="宋体" w:eastAsia="宋体" w:cs="宋体"/>
                      <w:color w:val="auto"/>
                    </w:rPr>
                    <w:t>对工厂邻近地区展开公众教育、培训和发布有关信息</w:t>
                  </w:r>
                </w:p>
              </w:tc>
            </w:tr>
          </w:tbl>
          <w:p w14:paraId="18D6D6D9">
            <w:pPr>
              <w:pStyle w:val="15"/>
              <w:keepNext w:val="0"/>
              <w:keepLines w:val="0"/>
              <w:suppressLineNumbers w:val="0"/>
              <w:spacing w:before="120" w:beforeLines="50" w:beforeAutospacing="0" w:after="0" w:afterAutospacing="0" w:line="360" w:lineRule="auto"/>
              <w:ind w:left="0" w:leftChars="0" w:right="0" w:firstLine="482" w:firstLineChars="200"/>
              <w:rPr>
                <w:rFonts w:hint="eastAsia" w:ascii="宋体" w:hAnsi="宋体" w:eastAsia="宋体" w:cs="宋体"/>
                <w:b/>
                <w:bCs/>
                <w:color w:val="auto"/>
                <w:sz w:val="24"/>
                <w:szCs w:val="24"/>
              </w:rPr>
            </w:pPr>
            <w:r>
              <w:rPr>
                <w:rFonts w:hint="eastAsia" w:ascii="宋体" w:hAnsi="宋体" w:cs="宋体"/>
                <w:b/>
                <w:bCs/>
                <w:color w:val="auto"/>
                <w:sz w:val="24"/>
                <w:szCs w:val="24"/>
                <w:lang w:val="en-US" w:eastAsia="zh-CN"/>
              </w:rPr>
              <w:t>8、</w:t>
            </w:r>
            <w:r>
              <w:rPr>
                <w:rFonts w:hint="eastAsia" w:ascii="宋体" w:hAnsi="宋体" w:eastAsia="宋体" w:cs="宋体"/>
                <w:b/>
                <w:bCs/>
                <w:color w:val="auto"/>
                <w:sz w:val="24"/>
                <w:szCs w:val="24"/>
              </w:rPr>
              <w:t>环境监测计划</w:t>
            </w:r>
          </w:p>
          <w:p w14:paraId="51A49477">
            <w:pPr>
              <w:pStyle w:val="85"/>
              <w:ind w:firstLine="480"/>
              <w:rPr>
                <w:rFonts w:hint="default" w:ascii="Times New Roman" w:hAnsi="Times New Roman" w:eastAsia="宋体" w:cs="Times New Roman"/>
                <w:color w:val="auto"/>
                <w:sz w:val="24"/>
                <w:szCs w:val="24"/>
              </w:rPr>
            </w:pPr>
            <w:r>
              <w:rPr>
                <w:color w:val="auto"/>
              </w:rPr>
              <w:t>根据《排污许可证申请与核发技术规范</w:t>
            </w:r>
            <w:r>
              <w:rPr>
                <w:rFonts w:hint="eastAsia"/>
                <w:color w:val="auto"/>
              </w:rPr>
              <w:t xml:space="preserve"> </w:t>
            </w:r>
            <w:r>
              <w:rPr>
                <w:color w:val="auto"/>
              </w:rPr>
              <w:t>总则》（HJ942—2018）</w:t>
            </w:r>
            <w:r>
              <w:rPr>
                <w:rFonts w:hint="eastAsia"/>
                <w:color w:val="auto"/>
              </w:rPr>
              <w:t>、</w:t>
            </w:r>
            <w:r>
              <w:rPr>
                <w:color w:val="auto"/>
              </w:rPr>
              <w:t>《排污许可证申请与核发技术规范</w:t>
            </w:r>
            <w:r>
              <w:rPr>
                <w:rFonts w:hint="eastAsia"/>
                <w:color w:val="auto"/>
              </w:rPr>
              <w:t xml:space="preserve"> 印刷工业</w:t>
            </w:r>
            <w:r>
              <w:rPr>
                <w:color w:val="auto"/>
              </w:rPr>
              <w:t>》</w:t>
            </w:r>
            <w:r>
              <w:rPr>
                <w:rFonts w:hint="eastAsia"/>
                <w:color w:val="auto"/>
              </w:rPr>
              <w:t>（HJ 1066－2019）</w:t>
            </w:r>
            <w:r>
              <w:rPr>
                <w:color w:val="auto"/>
              </w:rPr>
              <w:t>及《排污单位自行监测技术指南总则》（HJ819-2017）</w:t>
            </w:r>
            <w:r>
              <w:rPr>
                <w:rFonts w:hint="eastAsia"/>
                <w:color w:val="auto"/>
              </w:rPr>
              <w:t>、《排污单位自行监测技术指南 印刷工业》（HJ 1246—2022）</w:t>
            </w:r>
            <w:r>
              <w:rPr>
                <w:color w:val="auto"/>
              </w:rPr>
              <w:t>要求，本项目自行监测相关要求具体详见下表</w:t>
            </w:r>
            <w:r>
              <w:rPr>
                <w:rFonts w:hint="default" w:ascii="Times New Roman" w:hAnsi="Times New Roman" w:eastAsia="宋体" w:cs="Times New Roman"/>
                <w:color w:val="auto"/>
                <w:sz w:val="24"/>
                <w:szCs w:val="24"/>
              </w:rPr>
              <w:t>：</w:t>
            </w:r>
          </w:p>
          <w:p w14:paraId="1849E573">
            <w:pPr>
              <w:keepNext w:val="0"/>
              <w:keepLines w:val="0"/>
              <w:suppressLineNumbers w:val="0"/>
              <w:spacing w:before="0" w:beforeAutospacing="0" w:after="0" w:afterAutospacing="0" w:line="240" w:lineRule="auto"/>
              <w:ind w:left="0" w:right="0" w:firstLine="2319" w:firstLineChars="1100"/>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eastAsia" w:cs="Times New Roman"/>
                <w:b/>
                <w:bCs/>
                <w:color w:val="auto"/>
                <w:sz w:val="21"/>
                <w:szCs w:val="21"/>
                <w:lang w:val="en-US" w:eastAsia="zh-CN"/>
              </w:rPr>
              <w:t>32</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环境监测计划一览表</w:t>
            </w:r>
          </w:p>
          <w:tbl>
            <w:tblPr>
              <w:tblStyle w:val="25"/>
              <w:tblW w:w="88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8"/>
              <w:gridCol w:w="673"/>
              <w:gridCol w:w="1847"/>
              <w:gridCol w:w="1292"/>
              <w:gridCol w:w="1117"/>
              <w:gridCol w:w="3565"/>
            </w:tblGrid>
            <w:tr w14:paraId="588781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72" w:type="pct"/>
                  <w:gridSpan w:val="2"/>
                  <w:tcBorders>
                    <w:top w:val="single" w:color="auto" w:sz="12" w:space="0"/>
                    <w:left w:val="nil"/>
                    <w:bottom w:val="single" w:color="auto" w:sz="4" w:space="0"/>
                    <w:right w:val="single" w:color="auto" w:sz="4" w:space="0"/>
                  </w:tcBorders>
                  <w:noWrap w:val="0"/>
                  <w:vAlign w:val="center"/>
                </w:tcPr>
                <w:p w14:paraId="39BA5B59">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045" w:type="pct"/>
                  <w:tcBorders>
                    <w:top w:val="single" w:color="auto" w:sz="12" w:space="0"/>
                    <w:left w:val="single" w:color="auto" w:sz="4" w:space="0"/>
                    <w:bottom w:val="single" w:color="auto" w:sz="4" w:space="0"/>
                    <w:right w:val="single" w:color="auto" w:sz="4" w:space="0"/>
                  </w:tcBorders>
                  <w:noWrap w:val="0"/>
                  <w:vAlign w:val="center"/>
                </w:tcPr>
                <w:p w14:paraId="3F301AE5">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监测点位及数量</w:t>
                  </w:r>
                </w:p>
              </w:tc>
              <w:tc>
                <w:tcPr>
                  <w:tcW w:w="731" w:type="pct"/>
                  <w:tcBorders>
                    <w:top w:val="single" w:color="auto" w:sz="12" w:space="0"/>
                    <w:left w:val="single" w:color="auto" w:sz="4" w:space="0"/>
                    <w:bottom w:val="single" w:color="auto" w:sz="4" w:space="0"/>
                    <w:right w:val="single" w:color="auto" w:sz="4" w:space="0"/>
                  </w:tcBorders>
                  <w:noWrap w:val="0"/>
                  <w:vAlign w:val="center"/>
                </w:tcPr>
                <w:p w14:paraId="3DA87D71">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632" w:type="pct"/>
                  <w:tcBorders>
                    <w:top w:val="single" w:color="auto" w:sz="12" w:space="0"/>
                    <w:left w:val="single" w:color="auto" w:sz="4" w:space="0"/>
                    <w:bottom w:val="single" w:color="auto" w:sz="4" w:space="0"/>
                    <w:right w:val="single" w:color="auto" w:sz="4" w:space="0"/>
                  </w:tcBorders>
                  <w:noWrap w:val="0"/>
                  <w:vAlign w:val="center"/>
                </w:tcPr>
                <w:p w14:paraId="46014656">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2017" w:type="pct"/>
                  <w:tcBorders>
                    <w:top w:val="single" w:color="auto" w:sz="12" w:space="0"/>
                    <w:left w:val="single" w:color="auto" w:sz="4" w:space="0"/>
                    <w:bottom w:val="single" w:color="auto" w:sz="4" w:space="0"/>
                    <w:right w:val="nil"/>
                  </w:tcBorders>
                  <w:noWrap w:val="0"/>
                  <w:vAlign w:val="center"/>
                </w:tcPr>
                <w:p w14:paraId="5AC9FCB3">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14:paraId="3F8ED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91" w:type="pct"/>
                  <w:vMerge w:val="restart"/>
                  <w:tcBorders>
                    <w:top w:val="single" w:color="auto" w:sz="4" w:space="0"/>
                    <w:left w:val="nil"/>
                    <w:bottom w:val="single" w:color="auto" w:sz="4" w:space="0"/>
                    <w:right w:val="single" w:color="auto" w:sz="4" w:space="0"/>
                  </w:tcBorders>
                  <w:noWrap w:val="0"/>
                  <w:vAlign w:val="center"/>
                </w:tcPr>
                <w:p w14:paraId="233EEB88">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381" w:type="pct"/>
                  <w:vMerge w:val="restart"/>
                  <w:tcBorders>
                    <w:top w:val="single" w:color="auto" w:sz="4" w:space="0"/>
                    <w:left w:val="single" w:color="auto" w:sz="4" w:space="0"/>
                    <w:right w:val="single" w:color="auto" w:sz="4" w:space="0"/>
                  </w:tcBorders>
                  <w:noWrap w:val="0"/>
                  <w:vAlign w:val="center"/>
                </w:tcPr>
                <w:p w14:paraId="482DEE3F">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w:t>
                  </w:r>
                </w:p>
              </w:tc>
              <w:tc>
                <w:tcPr>
                  <w:tcW w:w="1045" w:type="pct"/>
                  <w:tcBorders>
                    <w:top w:val="single" w:color="auto" w:sz="4" w:space="0"/>
                    <w:left w:val="single" w:color="auto" w:sz="4" w:space="0"/>
                    <w:right w:val="single" w:color="auto" w:sz="4" w:space="0"/>
                  </w:tcBorders>
                  <w:noWrap w:val="0"/>
                  <w:vAlign w:val="center"/>
                </w:tcPr>
                <w:p w14:paraId="7E6E7ACA">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rPr>
                    <w:t>有机废气</w:t>
                  </w:r>
                  <w:r>
                    <w:rPr>
                      <w:rFonts w:hint="default" w:ascii="Times New Roman" w:hAnsi="Times New Roman" w:eastAsia="宋体" w:cs="Times New Roman"/>
                      <w:color w:val="auto"/>
                      <w:kern w:val="0"/>
                      <w:sz w:val="21"/>
                      <w:szCs w:val="21"/>
                    </w:rPr>
                    <w:t>排气筒DA00</w:t>
                  </w:r>
                  <w:r>
                    <w:rPr>
                      <w:rFonts w:hint="default" w:ascii="Times New Roman" w:hAnsi="Times New Roman" w:eastAsia="宋体" w:cs="Times New Roman"/>
                      <w:color w:val="auto"/>
                      <w:kern w:val="0"/>
                      <w:sz w:val="21"/>
                      <w:szCs w:val="21"/>
                      <w:lang w:val="en-US" w:eastAsia="zh-CN"/>
                    </w:rPr>
                    <w:t>1</w:t>
                  </w:r>
                </w:p>
              </w:tc>
              <w:tc>
                <w:tcPr>
                  <w:tcW w:w="731" w:type="pct"/>
                  <w:tcBorders>
                    <w:top w:val="single" w:color="auto" w:sz="4" w:space="0"/>
                    <w:left w:val="single" w:color="auto" w:sz="4" w:space="0"/>
                    <w:right w:val="single" w:color="auto" w:sz="4" w:space="0"/>
                  </w:tcBorders>
                  <w:noWrap w:val="0"/>
                  <w:vAlign w:val="center"/>
                </w:tcPr>
                <w:p w14:paraId="7F467E56">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632" w:type="pct"/>
                  <w:tcBorders>
                    <w:top w:val="single" w:color="auto" w:sz="4" w:space="0"/>
                    <w:left w:val="single" w:color="auto" w:sz="4" w:space="0"/>
                    <w:right w:val="single" w:color="auto" w:sz="4" w:space="0"/>
                  </w:tcBorders>
                  <w:noWrap w:val="0"/>
                  <w:vAlign w:val="center"/>
                </w:tcPr>
                <w:p w14:paraId="506F56EE">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1次/年</w:t>
                  </w:r>
                </w:p>
              </w:tc>
              <w:tc>
                <w:tcPr>
                  <w:tcW w:w="2017" w:type="pct"/>
                  <w:vMerge w:val="restart"/>
                  <w:tcBorders>
                    <w:top w:val="single" w:color="auto" w:sz="4" w:space="0"/>
                    <w:left w:val="single" w:color="auto" w:sz="4" w:space="0"/>
                    <w:right w:val="nil"/>
                  </w:tcBorders>
                  <w:noWrap w:val="0"/>
                  <w:vAlign w:val="center"/>
                </w:tcPr>
                <w:p w14:paraId="7DDAF6D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《四川省固定污染源大气挥发性有机物排放标准》（DB51/2377-2017）表</w:t>
                  </w:r>
                  <w:r>
                    <w:rPr>
                      <w:rFonts w:hint="default"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排放限值</w:t>
                  </w:r>
                </w:p>
              </w:tc>
            </w:tr>
            <w:tr w14:paraId="2D04A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91" w:type="pct"/>
                  <w:vMerge w:val="continue"/>
                  <w:tcBorders>
                    <w:left w:val="nil"/>
                    <w:right w:val="single" w:color="auto" w:sz="4" w:space="0"/>
                  </w:tcBorders>
                  <w:noWrap w:val="0"/>
                  <w:vAlign w:val="center"/>
                </w:tcPr>
                <w:p w14:paraId="12C2CE0E">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p>
              </w:tc>
              <w:tc>
                <w:tcPr>
                  <w:tcW w:w="381" w:type="pct"/>
                  <w:vMerge w:val="continue"/>
                  <w:tcBorders>
                    <w:left w:val="single" w:color="auto" w:sz="4" w:space="0"/>
                    <w:right w:val="single" w:color="auto" w:sz="4" w:space="0"/>
                  </w:tcBorders>
                  <w:noWrap w:val="0"/>
                  <w:vAlign w:val="center"/>
                </w:tcPr>
                <w:p w14:paraId="07947908">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p>
              </w:tc>
              <w:tc>
                <w:tcPr>
                  <w:tcW w:w="1045" w:type="pct"/>
                  <w:tcBorders>
                    <w:top w:val="single" w:color="auto" w:sz="4" w:space="0"/>
                    <w:left w:val="single" w:color="auto" w:sz="4" w:space="0"/>
                    <w:right w:val="single" w:color="auto" w:sz="4" w:space="0"/>
                  </w:tcBorders>
                  <w:noWrap w:val="0"/>
                  <w:vAlign w:val="center"/>
                </w:tcPr>
                <w:p w14:paraId="64AFF67D">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有机废气</w:t>
                  </w:r>
                  <w:r>
                    <w:rPr>
                      <w:rFonts w:hint="default" w:ascii="Times New Roman" w:hAnsi="Times New Roman" w:eastAsia="宋体" w:cs="Times New Roman"/>
                      <w:color w:val="auto"/>
                      <w:kern w:val="0"/>
                      <w:sz w:val="21"/>
                      <w:szCs w:val="21"/>
                    </w:rPr>
                    <w:t>排气筒DA00</w:t>
                  </w:r>
                  <w:r>
                    <w:rPr>
                      <w:rFonts w:hint="eastAsia" w:ascii="Times New Roman" w:hAnsi="Times New Roman" w:eastAsia="宋体" w:cs="Times New Roman"/>
                      <w:color w:val="auto"/>
                      <w:kern w:val="0"/>
                      <w:sz w:val="21"/>
                      <w:szCs w:val="21"/>
                      <w:lang w:val="en-US" w:eastAsia="zh-CN"/>
                    </w:rPr>
                    <w:t>2</w:t>
                  </w:r>
                </w:p>
              </w:tc>
              <w:tc>
                <w:tcPr>
                  <w:tcW w:w="731" w:type="pct"/>
                  <w:tcBorders>
                    <w:top w:val="single" w:color="auto" w:sz="4" w:space="0"/>
                    <w:left w:val="single" w:color="auto" w:sz="4" w:space="0"/>
                    <w:right w:val="single" w:color="auto" w:sz="4" w:space="0"/>
                  </w:tcBorders>
                  <w:noWrap w:val="0"/>
                  <w:vAlign w:val="center"/>
                </w:tcPr>
                <w:p w14:paraId="30C424B2">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632" w:type="pct"/>
                  <w:tcBorders>
                    <w:top w:val="single" w:color="auto" w:sz="4" w:space="0"/>
                    <w:left w:val="single" w:color="auto" w:sz="4" w:space="0"/>
                    <w:right w:val="single" w:color="auto" w:sz="4" w:space="0"/>
                  </w:tcBorders>
                  <w:noWrap w:val="0"/>
                  <w:vAlign w:val="center"/>
                </w:tcPr>
                <w:p w14:paraId="70E76C19">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1次/年</w:t>
                  </w:r>
                </w:p>
              </w:tc>
              <w:tc>
                <w:tcPr>
                  <w:tcW w:w="2017" w:type="pct"/>
                  <w:vMerge w:val="continue"/>
                  <w:tcBorders>
                    <w:left w:val="single" w:color="auto" w:sz="4" w:space="0"/>
                    <w:bottom w:val="single" w:color="auto" w:sz="4" w:space="0"/>
                    <w:right w:val="nil"/>
                  </w:tcBorders>
                  <w:noWrap w:val="0"/>
                  <w:vAlign w:val="center"/>
                </w:tcPr>
                <w:p w14:paraId="04586ED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105" w:leftChars="-50" w:right="-105" w:rightChars="-50"/>
                    <w:jc w:val="left"/>
                    <w:textAlignment w:val="auto"/>
                    <w:rPr>
                      <w:rFonts w:hint="default" w:ascii="Times New Roman" w:hAnsi="Times New Roman" w:eastAsia="宋体" w:cs="Times New Roman"/>
                      <w:color w:val="auto"/>
                      <w:kern w:val="0"/>
                      <w:sz w:val="21"/>
                      <w:szCs w:val="21"/>
                    </w:rPr>
                  </w:pPr>
                </w:p>
              </w:tc>
            </w:tr>
            <w:tr w14:paraId="3A5BE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91" w:type="pct"/>
                  <w:vMerge w:val="continue"/>
                  <w:tcBorders>
                    <w:left w:val="nil"/>
                    <w:right w:val="single" w:color="auto" w:sz="4" w:space="0"/>
                  </w:tcBorders>
                  <w:noWrap w:val="0"/>
                  <w:vAlign w:val="center"/>
                </w:tcPr>
                <w:p w14:paraId="178D32FE">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p>
              </w:tc>
              <w:tc>
                <w:tcPr>
                  <w:tcW w:w="381" w:type="pct"/>
                  <w:vMerge w:val="continue"/>
                  <w:tcBorders>
                    <w:left w:val="single" w:color="auto" w:sz="4" w:space="0"/>
                    <w:right w:val="single" w:color="auto" w:sz="4" w:space="0"/>
                  </w:tcBorders>
                  <w:noWrap w:val="0"/>
                  <w:vAlign w:val="center"/>
                </w:tcPr>
                <w:p w14:paraId="437095F3">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p>
              </w:tc>
              <w:tc>
                <w:tcPr>
                  <w:tcW w:w="1045" w:type="pct"/>
                  <w:tcBorders>
                    <w:top w:val="single" w:color="auto" w:sz="4" w:space="0"/>
                    <w:left w:val="single" w:color="auto" w:sz="4" w:space="0"/>
                    <w:right w:val="single" w:color="auto" w:sz="4" w:space="0"/>
                  </w:tcBorders>
                  <w:noWrap w:val="0"/>
                  <w:vAlign w:val="center"/>
                </w:tcPr>
                <w:p w14:paraId="34F3EFF7">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有机废气</w:t>
                  </w:r>
                  <w:r>
                    <w:rPr>
                      <w:rFonts w:hint="default" w:ascii="Times New Roman" w:hAnsi="Times New Roman" w:eastAsia="宋体" w:cs="Times New Roman"/>
                      <w:color w:val="auto"/>
                      <w:kern w:val="0"/>
                      <w:sz w:val="21"/>
                      <w:szCs w:val="21"/>
                    </w:rPr>
                    <w:t>排气筒DA00</w:t>
                  </w:r>
                  <w:r>
                    <w:rPr>
                      <w:rFonts w:hint="eastAsia" w:ascii="Times New Roman" w:hAnsi="Times New Roman" w:eastAsia="宋体" w:cs="Times New Roman"/>
                      <w:color w:val="auto"/>
                      <w:kern w:val="0"/>
                      <w:sz w:val="21"/>
                      <w:szCs w:val="21"/>
                      <w:lang w:val="en-US" w:eastAsia="zh-CN"/>
                    </w:rPr>
                    <w:t>3</w:t>
                  </w:r>
                </w:p>
              </w:tc>
              <w:tc>
                <w:tcPr>
                  <w:tcW w:w="731" w:type="pct"/>
                  <w:tcBorders>
                    <w:top w:val="single" w:color="auto" w:sz="4" w:space="0"/>
                    <w:left w:val="single" w:color="auto" w:sz="4" w:space="0"/>
                    <w:right w:val="single" w:color="auto" w:sz="4" w:space="0"/>
                  </w:tcBorders>
                  <w:noWrap w:val="0"/>
                  <w:vAlign w:val="center"/>
                </w:tcPr>
                <w:p w14:paraId="3250BB86">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632" w:type="pct"/>
                  <w:tcBorders>
                    <w:top w:val="single" w:color="auto" w:sz="4" w:space="0"/>
                    <w:left w:val="single" w:color="auto" w:sz="4" w:space="0"/>
                    <w:right w:val="single" w:color="auto" w:sz="4" w:space="0"/>
                  </w:tcBorders>
                  <w:noWrap w:val="0"/>
                  <w:vAlign w:val="center"/>
                </w:tcPr>
                <w:p w14:paraId="0835186F">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1次/年</w:t>
                  </w:r>
                </w:p>
              </w:tc>
              <w:tc>
                <w:tcPr>
                  <w:tcW w:w="2017" w:type="pct"/>
                  <w:vMerge w:val="continue"/>
                  <w:tcBorders>
                    <w:left w:val="single" w:color="auto" w:sz="4" w:space="0"/>
                    <w:bottom w:val="single" w:color="auto" w:sz="4" w:space="0"/>
                    <w:right w:val="nil"/>
                  </w:tcBorders>
                  <w:noWrap w:val="0"/>
                  <w:vAlign w:val="center"/>
                </w:tcPr>
                <w:p w14:paraId="47B898A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105" w:leftChars="-50" w:right="-105" w:rightChars="-50"/>
                    <w:jc w:val="left"/>
                    <w:textAlignment w:val="auto"/>
                    <w:rPr>
                      <w:rFonts w:hint="default" w:ascii="Times New Roman" w:hAnsi="Times New Roman" w:eastAsia="宋体" w:cs="Times New Roman"/>
                      <w:color w:val="auto"/>
                      <w:kern w:val="0"/>
                      <w:sz w:val="21"/>
                      <w:szCs w:val="21"/>
                    </w:rPr>
                  </w:pPr>
                </w:p>
              </w:tc>
            </w:tr>
            <w:tr w14:paraId="25F58A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91" w:type="pct"/>
                  <w:vMerge w:val="continue"/>
                  <w:tcBorders>
                    <w:top w:val="single" w:color="auto" w:sz="4" w:space="0"/>
                    <w:left w:val="nil"/>
                    <w:bottom w:val="single" w:color="auto" w:sz="4" w:space="0"/>
                    <w:right w:val="single" w:color="auto" w:sz="4" w:space="0"/>
                  </w:tcBorders>
                  <w:noWrap w:val="0"/>
                  <w:vAlign w:val="center"/>
                </w:tcPr>
                <w:p w14:paraId="092BFBE9">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p>
              </w:tc>
              <w:tc>
                <w:tcPr>
                  <w:tcW w:w="381" w:type="pct"/>
                  <w:vMerge w:val="restart"/>
                  <w:tcBorders>
                    <w:top w:val="single" w:color="auto" w:sz="4" w:space="0"/>
                    <w:left w:val="single" w:color="auto" w:sz="4" w:space="0"/>
                    <w:right w:val="single" w:color="auto" w:sz="4" w:space="0"/>
                  </w:tcBorders>
                  <w:noWrap w:val="0"/>
                  <w:vAlign w:val="center"/>
                </w:tcPr>
                <w:p w14:paraId="4D8EB233">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tc>
              <w:tc>
                <w:tcPr>
                  <w:tcW w:w="1045" w:type="pct"/>
                  <w:tcBorders>
                    <w:top w:val="single" w:color="auto" w:sz="4" w:space="0"/>
                    <w:left w:val="single" w:color="auto" w:sz="4" w:space="0"/>
                    <w:right w:val="single" w:color="auto" w:sz="4" w:space="0"/>
                  </w:tcBorders>
                  <w:noWrap w:val="0"/>
                  <w:vAlign w:val="center"/>
                </w:tcPr>
                <w:p w14:paraId="124E08EA">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w:t>
                  </w:r>
                  <w:r>
                    <w:rPr>
                      <w:rFonts w:hint="default" w:ascii="Times New Roman" w:hAnsi="Times New Roman" w:eastAsia="宋体" w:cs="Times New Roman"/>
                      <w:color w:val="auto"/>
                      <w:sz w:val="21"/>
                      <w:szCs w:val="21"/>
                      <w:lang w:eastAsia="zh-CN"/>
                    </w:rPr>
                    <w:t>界</w:t>
                  </w:r>
                  <w:r>
                    <w:rPr>
                      <w:rFonts w:hint="default" w:ascii="Times New Roman" w:hAnsi="Times New Roman" w:eastAsia="宋体" w:cs="Times New Roman"/>
                      <w:color w:val="auto"/>
                      <w:sz w:val="21"/>
                      <w:szCs w:val="21"/>
                    </w:rPr>
                    <w:t>外上风向1个点、下风向3个点</w:t>
                  </w:r>
                </w:p>
              </w:tc>
              <w:tc>
                <w:tcPr>
                  <w:tcW w:w="731" w:type="pct"/>
                  <w:tcBorders>
                    <w:top w:val="single" w:color="auto" w:sz="4" w:space="0"/>
                    <w:left w:val="single" w:color="auto" w:sz="4" w:space="0"/>
                    <w:right w:val="single" w:color="auto" w:sz="4" w:space="0"/>
                  </w:tcBorders>
                  <w:noWrap w:val="0"/>
                  <w:vAlign w:val="center"/>
                </w:tcPr>
                <w:p w14:paraId="697AC56E">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632" w:type="pct"/>
                  <w:tcBorders>
                    <w:top w:val="single" w:color="auto" w:sz="4" w:space="0"/>
                    <w:left w:val="single" w:color="auto" w:sz="4" w:space="0"/>
                    <w:right w:val="single" w:color="auto" w:sz="4" w:space="0"/>
                  </w:tcBorders>
                  <w:noWrap w:val="0"/>
                  <w:vAlign w:val="center"/>
                </w:tcPr>
                <w:p w14:paraId="0E4B5BB9">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1次/年</w:t>
                  </w:r>
                </w:p>
              </w:tc>
              <w:tc>
                <w:tcPr>
                  <w:tcW w:w="2017" w:type="pct"/>
                  <w:tcBorders>
                    <w:top w:val="single" w:color="auto" w:sz="4" w:space="0"/>
                    <w:left w:val="single" w:color="auto" w:sz="4" w:space="0"/>
                    <w:bottom w:val="single" w:color="auto" w:sz="4" w:space="0"/>
                    <w:right w:val="nil"/>
                  </w:tcBorders>
                  <w:noWrap w:val="0"/>
                  <w:vAlign w:val="center"/>
                </w:tcPr>
                <w:p w14:paraId="4B116BD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rPr>
                    <w:t>《四川省固定污染源大气挥发性有机物排放标准》（DB51/2377-2017）表</w:t>
                  </w:r>
                  <w:r>
                    <w:rPr>
                      <w:rFonts w:hint="default"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kern w:val="0"/>
                      <w:sz w:val="21"/>
                      <w:szCs w:val="21"/>
                    </w:rPr>
                    <w:t>排放限值</w:t>
                  </w:r>
                </w:p>
              </w:tc>
            </w:tr>
            <w:tr w14:paraId="53713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1" w:type="pct"/>
                  <w:vMerge w:val="continue"/>
                  <w:tcBorders>
                    <w:top w:val="single" w:color="auto" w:sz="4" w:space="0"/>
                    <w:left w:val="nil"/>
                    <w:bottom w:val="single" w:color="auto" w:sz="4" w:space="0"/>
                    <w:right w:val="single" w:color="auto" w:sz="4" w:space="0"/>
                  </w:tcBorders>
                  <w:noWrap w:val="0"/>
                  <w:vAlign w:val="center"/>
                </w:tcPr>
                <w:p w14:paraId="4A04B95B">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p>
              </w:tc>
              <w:tc>
                <w:tcPr>
                  <w:tcW w:w="381" w:type="pct"/>
                  <w:vMerge w:val="continue"/>
                  <w:tcBorders>
                    <w:left w:val="single" w:color="auto" w:sz="4" w:space="0"/>
                    <w:bottom w:val="single" w:color="auto" w:sz="4" w:space="0"/>
                    <w:right w:val="single" w:color="auto" w:sz="4" w:space="0"/>
                  </w:tcBorders>
                  <w:noWrap w:val="0"/>
                  <w:vAlign w:val="center"/>
                </w:tcPr>
                <w:p w14:paraId="173637C6">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p>
              </w:tc>
              <w:tc>
                <w:tcPr>
                  <w:tcW w:w="1045" w:type="pct"/>
                  <w:tcBorders>
                    <w:top w:val="single" w:color="auto" w:sz="4" w:space="0"/>
                    <w:left w:val="single" w:color="auto" w:sz="4" w:space="0"/>
                    <w:bottom w:val="single" w:color="auto" w:sz="4" w:space="0"/>
                    <w:right w:val="single" w:color="auto" w:sz="4" w:space="0"/>
                  </w:tcBorders>
                  <w:noWrap w:val="0"/>
                  <w:vAlign w:val="center"/>
                </w:tcPr>
                <w:p w14:paraId="5CC6114B">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厂区内VOCS无组织排放监控点</w:t>
                  </w:r>
                </w:p>
              </w:tc>
              <w:tc>
                <w:tcPr>
                  <w:tcW w:w="731" w:type="pct"/>
                  <w:tcBorders>
                    <w:top w:val="single" w:color="auto" w:sz="4" w:space="0"/>
                    <w:left w:val="single" w:color="auto" w:sz="4" w:space="0"/>
                    <w:bottom w:val="single" w:color="auto" w:sz="4" w:space="0"/>
                    <w:right w:val="single" w:color="auto" w:sz="4" w:space="0"/>
                  </w:tcBorders>
                  <w:noWrap w:val="0"/>
                  <w:vAlign w:val="center"/>
                </w:tcPr>
                <w:p w14:paraId="43186BA5">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NMHC</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2AF73C89">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1次/年</w:t>
                  </w:r>
                </w:p>
              </w:tc>
              <w:tc>
                <w:tcPr>
                  <w:tcW w:w="2017" w:type="pct"/>
                  <w:tcBorders>
                    <w:top w:val="single" w:color="auto" w:sz="4" w:space="0"/>
                    <w:left w:val="single" w:color="auto" w:sz="4" w:space="0"/>
                    <w:bottom w:val="single" w:color="auto" w:sz="4" w:space="0"/>
                    <w:right w:val="nil"/>
                  </w:tcBorders>
                  <w:noWrap w:val="0"/>
                  <w:vAlign w:val="center"/>
                </w:tcPr>
                <w:p w14:paraId="7E5108B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《挥发性有机物无组织排放控制标准》（GB37822-2019）附录A表A.1特别排放限值</w:t>
                  </w:r>
                </w:p>
              </w:tc>
            </w:tr>
            <w:tr w14:paraId="6949CB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2" w:type="pct"/>
                  <w:gridSpan w:val="2"/>
                  <w:vMerge w:val="restart"/>
                  <w:tcBorders>
                    <w:top w:val="single" w:color="auto" w:sz="4" w:space="0"/>
                    <w:left w:val="nil"/>
                    <w:right w:val="single" w:color="auto" w:sz="4" w:space="0"/>
                  </w:tcBorders>
                  <w:noWrap w:val="0"/>
                  <w:vAlign w:val="center"/>
                </w:tcPr>
                <w:p w14:paraId="5E2228C3">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045" w:type="pct"/>
                  <w:vMerge w:val="restart"/>
                  <w:tcBorders>
                    <w:top w:val="single" w:color="auto" w:sz="4" w:space="0"/>
                    <w:left w:val="single" w:color="auto" w:sz="4" w:space="0"/>
                    <w:right w:val="single" w:color="auto" w:sz="4" w:space="0"/>
                  </w:tcBorders>
                  <w:noWrap w:val="0"/>
                  <w:vAlign w:val="center"/>
                </w:tcPr>
                <w:p w14:paraId="01A8489D">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厂区废水排口，</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个（DW0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1）</w:t>
                  </w:r>
                </w:p>
              </w:tc>
              <w:tc>
                <w:tcPr>
                  <w:tcW w:w="731" w:type="pct"/>
                  <w:tcBorders>
                    <w:top w:val="single" w:color="auto" w:sz="4" w:space="0"/>
                    <w:left w:val="single" w:color="auto" w:sz="4" w:space="0"/>
                    <w:bottom w:val="single" w:color="auto" w:sz="4" w:space="0"/>
                    <w:right w:val="single" w:color="auto" w:sz="4" w:space="0"/>
                  </w:tcBorders>
                  <w:noWrap w:val="0"/>
                  <w:vAlign w:val="center"/>
                </w:tcPr>
                <w:p w14:paraId="085D8A9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pH、COD、BOD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w:t>
                  </w:r>
                  <w:r>
                    <w:rPr>
                      <w:rFonts w:hint="eastAsia" w:cs="Times New Roman"/>
                      <w:color w:val="auto"/>
                      <w:sz w:val="21"/>
                      <w:szCs w:val="21"/>
                      <w:lang w:eastAsia="zh-CN"/>
                    </w:rPr>
                    <w:t>、</w:t>
                  </w:r>
                  <w:r>
                    <w:rPr>
                      <w:rFonts w:hint="eastAsia" w:cs="Times New Roman"/>
                      <w:color w:val="auto"/>
                      <w:sz w:val="21"/>
                      <w:szCs w:val="21"/>
                      <w:lang w:val="en-US" w:eastAsia="zh-CN"/>
                    </w:rPr>
                    <w:t>石油类、动植物油</w:t>
                  </w:r>
                </w:p>
              </w:tc>
              <w:tc>
                <w:tcPr>
                  <w:tcW w:w="632" w:type="pct"/>
                  <w:vMerge w:val="restart"/>
                  <w:tcBorders>
                    <w:top w:val="single" w:color="auto" w:sz="4" w:space="0"/>
                    <w:left w:val="single" w:color="auto" w:sz="4" w:space="0"/>
                    <w:right w:val="single" w:color="auto" w:sz="4" w:space="0"/>
                  </w:tcBorders>
                  <w:noWrap w:val="0"/>
                  <w:vAlign w:val="center"/>
                </w:tcPr>
                <w:p w14:paraId="6D4A509D">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1次/年</w:t>
                  </w:r>
                </w:p>
              </w:tc>
              <w:tc>
                <w:tcPr>
                  <w:tcW w:w="2017" w:type="pct"/>
                  <w:tcBorders>
                    <w:top w:val="single" w:color="auto" w:sz="4" w:space="0"/>
                    <w:left w:val="single" w:color="auto" w:sz="4" w:space="0"/>
                    <w:bottom w:val="single" w:color="auto" w:sz="4" w:space="0"/>
                    <w:right w:val="nil"/>
                  </w:tcBorders>
                  <w:noWrap w:val="0"/>
                  <w:vAlign w:val="center"/>
                </w:tcPr>
                <w:p w14:paraId="74FFA41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《污水综合排放标准》（GB8978-1996）中三级标准</w:t>
                  </w:r>
                </w:p>
              </w:tc>
            </w:tr>
            <w:tr w14:paraId="4341C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2" w:type="pct"/>
                  <w:gridSpan w:val="2"/>
                  <w:vMerge w:val="continue"/>
                  <w:tcBorders>
                    <w:left w:val="nil"/>
                    <w:bottom w:val="single" w:color="auto" w:sz="4" w:space="0"/>
                    <w:right w:val="single" w:color="auto" w:sz="4" w:space="0"/>
                  </w:tcBorders>
                  <w:noWrap w:val="0"/>
                  <w:vAlign w:val="center"/>
                </w:tcPr>
                <w:p w14:paraId="55913E42">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p>
              </w:tc>
              <w:tc>
                <w:tcPr>
                  <w:tcW w:w="1045" w:type="pct"/>
                  <w:vMerge w:val="continue"/>
                  <w:tcBorders>
                    <w:left w:val="single" w:color="auto" w:sz="4" w:space="0"/>
                    <w:bottom w:val="single" w:color="auto" w:sz="4" w:space="0"/>
                    <w:right w:val="single" w:color="auto" w:sz="4" w:space="0"/>
                  </w:tcBorders>
                  <w:noWrap w:val="0"/>
                  <w:vAlign w:val="center"/>
                </w:tcPr>
                <w:p w14:paraId="0F9FF56B">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p>
              </w:tc>
              <w:tc>
                <w:tcPr>
                  <w:tcW w:w="731" w:type="pct"/>
                  <w:tcBorders>
                    <w:top w:val="single" w:color="auto" w:sz="4" w:space="0"/>
                    <w:left w:val="single" w:color="auto" w:sz="4" w:space="0"/>
                    <w:bottom w:val="single" w:color="auto" w:sz="4" w:space="0"/>
                    <w:right w:val="single" w:color="auto" w:sz="4" w:space="0"/>
                  </w:tcBorders>
                  <w:noWrap w:val="0"/>
                  <w:vAlign w:val="center"/>
                </w:tcPr>
                <w:p w14:paraId="7E4037C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-N、TP</w:t>
                  </w:r>
                </w:p>
              </w:tc>
              <w:tc>
                <w:tcPr>
                  <w:tcW w:w="632" w:type="pct"/>
                  <w:vMerge w:val="continue"/>
                  <w:tcBorders>
                    <w:left w:val="single" w:color="auto" w:sz="4" w:space="0"/>
                    <w:bottom w:val="single" w:color="auto" w:sz="4" w:space="0"/>
                    <w:right w:val="single" w:color="auto" w:sz="4" w:space="0"/>
                  </w:tcBorders>
                  <w:noWrap w:val="0"/>
                  <w:vAlign w:val="center"/>
                </w:tcPr>
                <w:p w14:paraId="0D22D2DA">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p>
              </w:tc>
              <w:tc>
                <w:tcPr>
                  <w:tcW w:w="2017" w:type="pct"/>
                  <w:tcBorders>
                    <w:top w:val="single" w:color="auto" w:sz="4" w:space="0"/>
                    <w:left w:val="single" w:color="auto" w:sz="4" w:space="0"/>
                    <w:bottom w:val="single" w:color="auto" w:sz="4" w:space="0"/>
                    <w:right w:val="nil"/>
                  </w:tcBorders>
                  <w:noWrap w:val="0"/>
                  <w:vAlign w:val="center"/>
                </w:tcPr>
                <w:p w14:paraId="20CD311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参照</w:t>
                  </w:r>
                  <w:r>
                    <w:rPr>
                      <w:rFonts w:hint="default" w:ascii="Times New Roman" w:hAnsi="Times New Roman" w:eastAsia="宋体" w:cs="Times New Roman"/>
                      <w:color w:val="auto"/>
                      <w:sz w:val="21"/>
                      <w:szCs w:val="21"/>
                    </w:rPr>
                    <w:t>执行《污水排入城镇下水道水质标准》(GB/T31962-2015)B等级标准</w:t>
                  </w:r>
                </w:p>
              </w:tc>
            </w:tr>
            <w:tr w14:paraId="3BD90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72" w:type="pct"/>
                  <w:gridSpan w:val="2"/>
                  <w:tcBorders>
                    <w:top w:val="single" w:color="auto" w:sz="4" w:space="0"/>
                    <w:left w:val="nil"/>
                    <w:bottom w:val="single" w:color="auto" w:sz="12" w:space="0"/>
                    <w:right w:val="single" w:color="auto" w:sz="4" w:space="0"/>
                  </w:tcBorders>
                  <w:noWrap w:val="0"/>
                  <w:vAlign w:val="center"/>
                </w:tcPr>
                <w:p w14:paraId="773F3BEA">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045" w:type="pct"/>
                  <w:tcBorders>
                    <w:top w:val="single" w:color="auto" w:sz="4" w:space="0"/>
                    <w:left w:val="single" w:color="auto" w:sz="4" w:space="0"/>
                    <w:bottom w:val="single" w:color="auto" w:sz="12" w:space="0"/>
                    <w:right w:val="single" w:color="auto" w:sz="4" w:space="0"/>
                  </w:tcBorders>
                  <w:noWrap w:val="0"/>
                  <w:vAlign w:val="center"/>
                </w:tcPr>
                <w:p w14:paraId="3C5E602C">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厂界处4个</w:t>
                  </w:r>
                </w:p>
              </w:tc>
              <w:tc>
                <w:tcPr>
                  <w:tcW w:w="731" w:type="pct"/>
                  <w:tcBorders>
                    <w:top w:val="single" w:color="auto" w:sz="4" w:space="0"/>
                    <w:left w:val="single" w:color="auto" w:sz="4" w:space="0"/>
                    <w:bottom w:val="single" w:color="auto" w:sz="12" w:space="0"/>
                    <w:right w:val="single" w:color="auto" w:sz="4" w:space="0"/>
                  </w:tcBorders>
                  <w:noWrap w:val="0"/>
                  <w:vAlign w:val="center"/>
                </w:tcPr>
                <w:p w14:paraId="26C81A59">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等效连续A声级</w:t>
                  </w:r>
                </w:p>
              </w:tc>
              <w:tc>
                <w:tcPr>
                  <w:tcW w:w="632" w:type="pct"/>
                  <w:tcBorders>
                    <w:top w:val="single" w:color="auto" w:sz="4" w:space="0"/>
                    <w:left w:val="single" w:color="auto" w:sz="4" w:space="0"/>
                    <w:bottom w:val="single" w:color="auto" w:sz="12" w:space="0"/>
                    <w:right w:val="single" w:color="auto" w:sz="4" w:space="0"/>
                  </w:tcBorders>
                  <w:noWrap w:val="0"/>
                  <w:vAlign w:val="center"/>
                </w:tcPr>
                <w:p w14:paraId="685690C6">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1次/季；</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天/次，</w:t>
                  </w:r>
                  <w:r>
                    <w:rPr>
                      <w:color w:val="auto"/>
                      <w:szCs w:val="21"/>
                    </w:rPr>
                    <w:t>昼间监测1次</w:t>
                  </w:r>
                </w:p>
              </w:tc>
              <w:tc>
                <w:tcPr>
                  <w:tcW w:w="2017" w:type="pct"/>
                  <w:tcBorders>
                    <w:top w:val="single" w:color="auto" w:sz="4" w:space="0"/>
                    <w:left w:val="single" w:color="auto" w:sz="4" w:space="0"/>
                    <w:bottom w:val="single" w:color="auto" w:sz="12" w:space="0"/>
                    <w:right w:val="nil"/>
                  </w:tcBorders>
                  <w:noWrap w:val="0"/>
                  <w:vAlign w:val="center"/>
                </w:tcPr>
                <w:p w14:paraId="5FE7C2D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《工业企业厂界环境噪声排放标准》（GB12348-2008）中的3类标准</w:t>
                  </w:r>
                </w:p>
              </w:tc>
            </w:tr>
          </w:tbl>
          <w:p w14:paraId="6BBBB33A">
            <w:pPr>
              <w:keepNext w:val="0"/>
              <w:keepLines w:val="0"/>
              <w:suppressLineNumbers w:val="0"/>
              <w:tabs>
                <w:tab w:val="center" w:pos="3973"/>
              </w:tabs>
              <w:spacing w:before="0" w:beforeAutospacing="0" w:after="0" w:afterAutospacing="0" w:line="360" w:lineRule="auto"/>
              <w:ind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cs="Times New Roman"/>
                <w:b/>
                <w:bCs/>
                <w:color w:val="auto"/>
                <w:sz w:val="24"/>
                <w:highlight w:val="none"/>
                <w:lang w:val="en-US" w:eastAsia="zh-CN"/>
              </w:rPr>
              <w:t>9、</w:t>
            </w:r>
            <w:r>
              <w:rPr>
                <w:rFonts w:hint="default" w:ascii="Times New Roman" w:hAnsi="Times New Roman" w:eastAsia="宋体" w:cs="Times New Roman"/>
                <w:b/>
                <w:bCs/>
                <w:color w:val="auto"/>
                <w:sz w:val="24"/>
                <w:highlight w:val="none"/>
                <w:lang w:val="en-US"/>
              </w:rPr>
              <w:t>环保投资</w:t>
            </w:r>
          </w:p>
          <w:p w14:paraId="6B96123C">
            <w:pPr>
              <w:keepNext w:val="0"/>
              <w:keepLines w:val="0"/>
              <w:suppressLineNumbers w:val="0"/>
              <w:spacing w:before="0" w:beforeAutospacing="0" w:after="0" w:afterAutospacing="0" w:line="360" w:lineRule="auto"/>
              <w:ind w:left="0" w:right="0" w:firstLine="480"/>
              <w:rPr>
                <w:rFonts w:hint="eastAsia" w:ascii="宋体" w:hAnsi="宋体" w:eastAsia="宋体" w:cs="宋体"/>
                <w:b/>
                <w:bCs w:val="0"/>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本项目总投资为</w:t>
            </w:r>
            <w:r>
              <w:rPr>
                <w:rFonts w:hint="eastAsia" w:cs="Times New Roman"/>
                <w:color w:val="auto"/>
                <w:sz w:val="24"/>
                <w:szCs w:val="24"/>
                <w:highlight w:val="none"/>
                <w:lang w:val="en-US" w:eastAsia="zh-CN"/>
              </w:rPr>
              <w:t>800</w:t>
            </w:r>
            <w:r>
              <w:rPr>
                <w:rFonts w:hint="default" w:ascii="Times New Roman" w:hAnsi="Times New Roman" w:eastAsia="宋体" w:cs="Times New Roman"/>
                <w:color w:val="auto"/>
                <w:sz w:val="24"/>
                <w:szCs w:val="24"/>
                <w:highlight w:val="none"/>
                <w:lang w:eastAsia="zh-CN"/>
              </w:rPr>
              <w:t>万元，环保投资估算为</w:t>
            </w:r>
            <w:r>
              <w:rPr>
                <w:rFonts w:hint="eastAsia"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lang w:eastAsia="zh-CN"/>
              </w:rPr>
              <w:t>万元，环保投资占总投资</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%。项目环保措施及投资一览表见</w:t>
            </w:r>
            <w:r>
              <w:rPr>
                <w:rFonts w:hint="default" w:ascii="Times New Roman" w:hAnsi="Times New Roman" w:cs="Times New Roman"/>
                <w:color w:val="auto"/>
                <w:sz w:val="24"/>
                <w:szCs w:val="24"/>
                <w:highlight w:val="none"/>
                <w:lang w:eastAsia="zh-CN"/>
              </w:rPr>
              <w:t>下</w:t>
            </w:r>
            <w:r>
              <w:rPr>
                <w:rFonts w:hint="default" w:ascii="Times New Roman" w:hAnsi="Times New Roman" w:eastAsia="宋体" w:cs="Times New Roman"/>
                <w:color w:val="auto"/>
                <w:sz w:val="24"/>
                <w:szCs w:val="24"/>
                <w:highlight w:val="none"/>
                <w:lang w:eastAsia="zh-CN"/>
              </w:rPr>
              <w:t>表。</w:t>
            </w:r>
          </w:p>
          <w:p w14:paraId="377C0DFB">
            <w:pPr>
              <w:keepNext w:val="0"/>
              <w:keepLines w:val="0"/>
              <w:suppressLineNumbers w:val="0"/>
              <w:spacing w:before="0" w:beforeAutospacing="0" w:after="0" w:afterAutospacing="0" w:line="240" w:lineRule="auto"/>
              <w:ind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eastAsia="zh-CN"/>
              </w:rPr>
              <w:t>-</w:t>
            </w:r>
            <w:r>
              <w:rPr>
                <w:rFonts w:hint="eastAsia" w:cs="Times New Roman"/>
                <w:b/>
                <w:bCs/>
                <w:color w:val="auto"/>
                <w:sz w:val="21"/>
                <w:szCs w:val="21"/>
                <w:highlight w:val="none"/>
                <w:lang w:val="en-US" w:eastAsia="zh-CN"/>
              </w:rPr>
              <w:t>33</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环保措施及投资估算一览表</w:t>
            </w:r>
          </w:p>
          <w:tbl>
            <w:tblPr>
              <w:tblStyle w:val="25"/>
              <w:tblW w:w="87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5728"/>
              <w:gridCol w:w="1241"/>
              <w:gridCol w:w="1060"/>
            </w:tblGrid>
            <w:tr w14:paraId="655AAE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dxa"/>
                  <w:vAlign w:val="center"/>
                </w:tcPr>
                <w:p w14:paraId="0B37D482">
                  <w:pPr>
                    <w:spacing w:line="320" w:lineRule="exact"/>
                    <w:jc w:val="center"/>
                    <w:rPr>
                      <w:b/>
                      <w:color w:val="auto"/>
                      <w:szCs w:val="21"/>
                    </w:rPr>
                  </w:pPr>
                  <w:bookmarkStart w:id="66" w:name="_Hlk130820267"/>
                  <w:r>
                    <w:rPr>
                      <w:rFonts w:hAnsi="宋体"/>
                      <w:b/>
                      <w:color w:val="auto"/>
                      <w:szCs w:val="21"/>
                    </w:rPr>
                    <w:t>项目</w:t>
                  </w:r>
                </w:p>
              </w:tc>
              <w:tc>
                <w:tcPr>
                  <w:tcW w:w="5728" w:type="dxa"/>
                  <w:vAlign w:val="center"/>
                </w:tcPr>
                <w:p w14:paraId="77E027E9">
                  <w:pPr>
                    <w:spacing w:line="320" w:lineRule="exact"/>
                    <w:jc w:val="center"/>
                    <w:rPr>
                      <w:b/>
                      <w:color w:val="auto"/>
                      <w:szCs w:val="21"/>
                    </w:rPr>
                  </w:pPr>
                  <w:r>
                    <w:rPr>
                      <w:rFonts w:hint="eastAsia"/>
                      <w:b/>
                      <w:color w:val="auto"/>
                      <w:szCs w:val="21"/>
                    </w:rPr>
                    <w:t>环保措施</w:t>
                  </w:r>
                </w:p>
              </w:tc>
              <w:tc>
                <w:tcPr>
                  <w:tcW w:w="1241" w:type="dxa"/>
                  <w:vAlign w:val="center"/>
                </w:tcPr>
                <w:p w14:paraId="6D6807AF">
                  <w:pPr>
                    <w:spacing w:line="320" w:lineRule="exact"/>
                    <w:ind w:left="-105" w:leftChars="-50" w:right="-105" w:rightChars="-50"/>
                    <w:jc w:val="center"/>
                    <w:rPr>
                      <w:b/>
                      <w:color w:val="auto"/>
                      <w:szCs w:val="21"/>
                    </w:rPr>
                  </w:pPr>
                  <w:r>
                    <w:rPr>
                      <w:rFonts w:hAnsi="宋体"/>
                      <w:b/>
                      <w:color w:val="auto"/>
                      <w:szCs w:val="21"/>
                    </w:rPr>
                    <w:t>投资</w:t>
                  </w:r>
                </w:p>
                <w:p w14:paraId="4AFBB019">
                  <w:pPr>
                    <w:spacing w:line="320" w:lineRule="exact"/>
                    <w:ind w:left="-105" w:leftChars="-50" w:right="-105" w:rightChars="-50"/>
                    <w:jc w:val="center"/>
                    <w:rPr>
                      <w:b/>
                      <w:color w:val="auto"/>
                      <w:szCs w:val="21"/>
                    </w:rPr>
                  </w:pPr>
                  <w:r>
                    <w:rPr>
                      <w:rFonts w:hAnsi="宋体"/>
                      <w:b/>
                      <w:color w:val="auto"/>
                      <w:szCs w:val="21"/>
                    </w:rPr>
                    <w:t>（万元）</w:t>
                  </w:r>
                </w:p>
              </w:tc>
              <w:tc>
                <w:tcPr>
                  <w:tcW w:w="1060" w:type="dxa"/>
                  <w:vAlign w:val="center"/>
                </w:tcPr>
                <w:p w14:paraId="349F7BBC">
                  <w:pPr>
                    <w:spacing w:line="320" w:lineRule="exact"/>
                    <w:jc w:val="center"/>
                    <w:rPr>
                      <w:b/>
                      <w:color w:val="auto"/>
                      <w:szCs w:val="21"/>
                    </w:rPr>
                  </w:pPr>
                  <w:r>
                    <w:rPr>
                      <w:rFonts w:hAnsi="宋体"/>
                      <w:b/>
                      <w:color w:val="auto"/>
                      <w:szCs w:val="21"/>
                    </w:rPr>
                    <w:t>备注</w:t>
                  </w:r>
                </w:p>
              </w:tc>
            </w:tr>
            <w:tr w14:paraId="02FF0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dxa"/>
                  <w:vMerge w:val="restart"/>
                  <w:vAlign w:val="center"/>
                </w:tcPr>
                <w:p w14:paraId="62D87D6A">
                  <w:pPr>
                    <w:spacing w:line="320" w:lineRule="exact"/>
                    <w:jc w:val="center"/>
                    <w:rPr>
                      <w:color w:val="auto"/>
                      <w:szCs w:val="21"/>
                    </w:rPr>
                  </w:pPr>
                  <w:r>
                    <w:rPr>
                      <w:rFonts w:hint="eastAsia"/>
                      <w:color w:val="auto"/>
                      <w:szCs w:val="21"/>
                    </w:rPr>
                    <w:t>废水治理</w:t>
                  </w:r>
                </w:p>
              </w:tc>
              <w:tc>
                <w:tcPr>
                  <w:tcW w:w="5728" w:type="dxa"/>
                  <w:vAlign w:val="center"/>
                </w:tcPr>
                <w:p w14:paraId="26502486">
                  <w:pPr>
                    <w:pStyle w:val="102"/>
                    <w:spacing w:before="24" w:after="24"/>
                    <w:ind w:firstLine="0" w:firstLineChars="0"/>
                    <w:jc w:val="left"/>
                    <w:rPr>
                      <w:bCs/>
                      <w:color w:val="auto"/>
                      <w:szCs w:val="21"/>
                    </w:rPr>
                  </w:pPr>
                  <w:r>
                    <w:rPr>
                      <w:b w:val="0"/>
                      <w:bCs/>
                      <w:color w:val="auto"/>
                    </w:rPr>
                    <w:t>预处理池：1个，</w:t>
                  </w:r>
                  <w:r>
                    <w:rPr>
                      <w:rFonts w:hint="eastAsia"/>
                      <w:b w:val="0"/>
                      <w:bCs/>
                      <w:color w:val="auto"/>
                      <w:lang w:val="en-US" w:eastAsia="zh-CN"/>
                    </w:rPr>
                    <w:t>40</w:t>
                  </w:r>
                  <w:r>
                    <w:rPr>
                      <w:b w:val="0"/>
                      <w:bCs/>
                      <w:color w:val="auto"/>
                    </w:rPr>
                    <w:t>m</w:t>
                  </w:r>
                  <w:r>
                    <w:rPr>
                      <w:b w:val="0"/>
                      <w:bCs/>
                      <w:color w:val="auto"/>
                      <w:vertAlign w:val="superscript"/>
                    </w:rPr>
                    <w:t>3</w:t>
                  </w:r>
                  <w:r>
                    <w:rPr>
                      <w:b w:val="0"/>
                      <w:bCs/>
                      <w:color w:val="auto"/>
                    </w:rPr>
                    <w:t>，砖混结构</w:t>
                  </w:r>
                  <w:r>
                    <w:rPr>
                      <w:b w:val="0"/>
                      <w:bCs/>
                      <w:color w:val="auto"/>
                      <w:lang w:val="zh-CN"/>
                    </w:rPr>
                    <w:t>。</w:t>
                  </w:r>
                </w:p>
              </w:tc>
              <w:tc>
                <w:tcPr>
                  <w:tcW w:w="1241" w:type="dxa"/>
                  <w:vAlign w:val="center"/>
                </w:tcPr>
                <w:p w14:paraId="6B95FA6D">
                  <w:pPr>
                    <w:pStyle w:val="102"/>
                    <w:spacing w:before="24" w:after="24"/>
                    <w:ind w:firstLine="0" w:firstLineChars="0"/>
                    <w:rPr>
                      <w:color w:val="auto"/>
                      <w:szCs w:val="21"/>
                    </w:rPr>
                  </w:pPr>
                  <w:r>
                    <w:rPr>
                      <w:b w:val="0"/>
                      <w:bCs/>
                      <w:color w:val="auto"/>
                    </w:rPr>
                    <w:t>/</w:t>
                  </w:r>
                </w:p>
              </w:tc>
              <w:tc>
                <w:tcPr>
                  <w:tcW w:w="1060" w:type="dxa"/>
                  <w:vAlign w:val="center"/>
                </w:tcPr>
                <w:p w14:paraId="73B507F4">
                  <w:pPr>
                    <w:pStyle w:val="102"/>
                    <w:spacing w:before="24" w:after="24"/>
                    <w:ind w:firstLine="0" w:firstLineChars="0"/>
                    <w:rPr>
                      <w:color w:val="auto"/>
                    </w:rPr>
                  </w:pPr>
                  <w:r>
                    <w:rPr>
                      <w:rFonts w:hint="eastAsia"/>
                      <w:b w:val="0"/>
                      <w:bCs/>
                      <w:color w:val="auto"/>
                    </w:rPr>
                    <w:t>依托厂区</w:t>
                  </w:r>
                </w:p>
              </w:tc>
            </w:tr>
            <w:tr w14:paraId="0867A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dxa"/>
                  <w:vMerge w:val="continue"/>
                  <w:vAlign w:val="center"/>
                </w:tcPr>
                <w:p w14:paraId="5FC26DA9">
                  <w:pPr>
                    <w:spacing w:line="320" w:lineRule="exact"/>
                    <w:jc w:val="center"/>
                    <w:rPr>
                      <w:color w:val="auto"/>
                      <w:szCs w:val="21"/>
                    </w:rPr>
                  </w:pPr>
                </w:p>
              </w:tc>
              <w:tc>
                <w:tcPr>
                  <w:tcW w:w="5728" w:type="dxa"/>
                  <w:vAlign w:val="center"/>
                </w:tcPr>
                <w:p w14:paraId="40F5E1A8">
                  <w:pPr>
                    <w:pStyle w:val="102"/>
                    <w:spacing w:before="24" w:after="24"/>
                    <w:ind w:firstLine="0" w:firstLineChars="0"/>
                    <w:jc w:val="left"/>
                    <w:rPr>
                      <w:rFonts w:hint="eastAsia" w:hAnsi="宋体"/>
                      <w:b/>
                      <w:bCs/>
                      <w:color w:val="auto"/>
                      <w:szCs w:val="21"/>
                    </w:rPr>
                  </w:pPr>
                  <w:r>
                    <w:rPr>
                      <w:rFonts w:hint="eastAsia"/>
                      <w:b w:val="0"/>
                      <w:bCs/>
                      <w:color w:val="auto"/>
                    </w:rPr>
                    <w:t>食堂</w:t>
                  </w:r>
                  <w:r>
                    <w:rPr>
                      <w:rFonts w:hint="eastAsia"/>
                      <w:b w:val="0"/>
                      <w:bCs/>
                      <w:color w:val="auto"/>
                      <w:lang w:val="en-US" w:eastAsia="zh-CN"/>
                    </w:rPr>
                    <w:t>油水分离器</w:t>
                  </w:r>
                  <w:r>
                    <w:rPr>
                      <w:rFonts w:hint="eastAsia"/>
                      <w:b w:val="0"/>
                      <w:bCs/>
                      <w:color w:val="auto"/>
                    </w:rPr>
                    <w:t>：1个。</w:t>
                  </w:r>
                </w:p>
              </w:tc>
              <w:tc>
                <w:tcPr>
                  <w:tcW w:w="1241" w:type="dxa"/>
                  <w:vAlign w:val="center"/>
                </w:tcPr>
                <w:p w14:paraId="33DECE23">
                  <w:pPr>
                    <w:pStyle w:val="102"/>
                    <w:spacing w:before="24" w:after="24"/>
                    <w:ind w:firstLine="0" w:firstLineChars="0"/>
                    <w:rPr>
                      <w:rFonts w:eastAsia="等线"/>
                      <w:color w:val="auto"/>
                      <w:szCs w:val="21"/>
                    </w:rPr>
                  </w:pPr>
                  <w:r>
                    <w:rPr>
                      <w:rFonts w:hint="eastAsia"/>
                      <w:b w:val="0"/>
                      <w:bCs/>
                      <w:color w:val="auto"/>
                      <w:lang w:val="en-US" w:eastAsia="zh-CN"/>
                    </w:rPr>
                    <w:t>0.5</w:t>
                  </w:r>
                </w:p>
              </w:tc>
              <w:tc>
                <w:tcPr>
                  <w:tcW w:w="1060" w:type="dxa"/>
                  <w:vAlign w:val="center"/>
                </w:tcPr>
                <w:p w14:paraId="0596E1F8">
                  <w:pPr>
                    <w:pStyle w:val="102"/>
                    <w:spacing w:before="24" w:after="24"/>
                    <w:ind w:firstLine="0" w:firstLineChars="0"/>
                    <w:rPr>
                      <w:color w:val="auto"/>
                    </w:rPr>
                  </w:pPr>
                  <w:r>
                    <w:rPr>
                      <w:rFonts w:hint="eastAsia"/>
                      <w:b w:val="0"/>
                      <w:bCs/>
                      <w:color w:val="auto"/>
                      <w:lang w:val="en-US" w:eastAsia="zh-CN"/>
                    </w:rPr>
                    <w:t>新建</w:t>
                  </w:r>
                </w:p>
              </w:tc>
            </w:tr>
            <w:tr w14:paraId="32C6D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dxa"/>
                  <w:vMerge w:val="continue"/>
                  <w:vAlign w:val="center"/>
                </w:tcPr>
                <w:p w14:paraId="0D861A1E">
                  <w:pPr>
                    <w:spacing w:line="320" w:lineRule="exact"/>
                    <w:jc w:val="center"/>
                    <w:rPr>
                      <w:color w:val="auto"/>
                      <w:szCs w:val="21"/>
                    </w:rPr>
                  </w:pPr>
                </w:p>
              </w:tc>
              <w:tc>
                <w:tcPr>
                  <w:tcW w:w="5728" w:type="dxa"/>
                  <w:vAlign w:val="center"/>
                </w:tcPr>
                <w:p w14:paraId="6CA4B815">
                  <w:pPr>
                    <w:pStyle w:val="102"/>
                    <w:spacing w:before="24" w:after="24"/>
                    <w:ind w:firstLine="0" w:firstLineChars="0"/>
                    <w:jc w:val="left"/>
                    <w:rPr>
                      <w:rFonts w:hint="eastAsia" w:hAnsi="宋体"/>
                      <w:color w:val="auto"/>
                      <w:szCs w:val="21"/>
                    </w:rPr>
                  </w:pPr>
                  <w:r>
                    <w:rPr>
                      <w:rFonts w:hint="eastAsia"/>
                      <w:b w:val="0"/>
                      <w:bCs/>
                      <w:color w:val="auto"/>
                    </w:rPr>
                    <w:t>依托厂区已建雨污管网设施。</w:t>
                  </w:r>
                </w:p>
              </w:tc>
              <w:tc>
                <w:tcPr>
                  <w:tcW w:w="1241" w:type="dxa"/>
                  <w:vAlign w:val="center"/>
                </w:tcPr>
                <w:p w14:paraId="0636DD8A">
                  <w:pPr>
                    <w:pStyle w:val="102"/>
                    <w:spacing w:before="24" w:after="24"/>
                    <w:ind w:firstLine="0" w:firstLineChars="0"/>
                    <w:rPr>
                      <w:color w:val="auto"/>
                      <w:szCs w:val="21"/>
                    </w:rPr>
                  </w:pPr>
                  <w:r>
                    <w:rPr>
                      <w:b w:val="0"/>
                      <w:bCs/>
                      <w:color w:val="auto"/>
                    </w:rPr>
                    <w:t>/</w:t>
                  </w:r>
                </w:p>
              </w:tc>
              <w:tc>
                <w:tcPr>
                  <w:tcW w:w="1060" w:type="dxa"/>
                  <w:vAlign w:val="center"/>
                </w:tcPr>
                <w:p w14:paraId="01DDBDCB">
                  <w:pPr>
                    <w:pStyle w:val="102"/>
                    <w:spacing w:before="24" w:after="24"/>
                    <w:ind w:firstLine="0" w:firstLineChars="0"/>
                    <w:rPr>
                      <w:color w:val="auto"/>
                    </w:rPr>
                  </w:pPr>
                  <w:r>
                    <w:rPr>
                      <w:rFonts w:hint="default"/>
                      <w:b w:val="0"/>
                      <w:bCs/>
                      <w:color w:val="auto"/>
                      <w:lang w:val="en-US"/>
                    </w:rPr>
                    <w:t>依托厂区</w:t>
                  </w:r>
                </w:p>
              </w:tc>
            </w:tr>
            <w:tr w14:paraId="7167C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692" w:type="dxa"/>
                  <w:vMerge w:val="restart"/>
                  <w:vAlign w:val="center"/>
                </w:tcPr>
                <w:p w14:paraId="10A29160">
                  <w:pPr>
                    <w:spacing w:line="320" w:lineRule="exact"/>
                    <w:jc w:val="center"/>
                    <w:rPr>
                      <w:color w:val="auto"/>
                      <w:szCs w:val="21"/>
                    </w:rPr>
                  </w:pPr>
                  <w:r>
                    <w:rPr>
                      <w:rFonts w:hint="eastAsia"/>
                      <w:color w:val="auto"/>
                      <w:szCs w:val="21"/>
                    </w:rPr>
                    <w:t>废气治理</w:t>
                  </w:r>
                </w:p>
              </w:tc>
              <w:tc>
                <w:tcPr>
                  <w:tcW w:w="5728" w:type="dxa"/>
                  <w:vAlign w:val="center"/>
                </w:tcPr>
                <w:p w14:paraId="47AFBB8F">
                  <w:pPr>
                    <w:spacing w:line="320" w:lineRule="exact"/>
                    <w:rPr>
                      <w:b/>
                      <w:bCs/>
                      <w:color w:val="auto"/>
                      <w:szCs w:val="21"/>
                    </w:rPr>
                  </w:pPr>
                  <w:r>
                    <w:rPr>
                      <w:rFonts w:hint="eastAsia"/>
                      <w:b/>
                      <w:bCs/>
                      <w:color w:val="auto"/>
                      <w:szCs w:val="21"/>
                    </w:rPr>
                    <w:t>1#车间有机废气：</w:t>
                  </w:r>
                  <w:r>
                    <w:rPr>
                      <w:rFonts w:hint="eastAsia"/>
                      <w:b w:val="0"/>
                      <w:bCs w:val="0"/>
                      <w:color w:val="auto"/>
                      <w:szCs w:val="21"/>
                      <w:lang w:eastAsia="zh-CN"/>
                    </w:rPr>
                    <w:t>在</w:t>
                  </w:r>
                  <w:r>
                    <w:rPr>
                      <w:rFonts w:hint="eastAsia"/>
                      <w:b w:val="0"/>
                      <w:bCs w:val="0"/>
                      <w:color w:val="auto"/>
                      <w:szCs w:val="21"/>
                      <w:lang w:val="en-US" w:eastAsia="zh-CN"/>
                    </w:rPr>
                    <w:t>新增的1台注塑机挤</w:t>
                  </w:r>
                  <w:r>
                    <w:rPr>
                      <w:rFonts w:hint="eastAsia"/>
                      <w:b w:val="0"/>
                      <w:bCs w:val="0"/>
                      <w:color w:val="auto"/>
                      <w:szCs w:val="21"/>
                    </w:rPr>
                    <w:t>出口上方分别设置集气罩</w:t>
                  </w:r>
                  <w:r>
                    <w:rPr>
                      <w:rFonts w:hint="eastAsia"/>
                      <w:b w:val="0"/>
                      <w:bCs w:val="0"/>
                      <w:color w:val="auto"/>
                      <w:szCs w:val="21"/>
                      <w:lang w:val="en-US" w:eastAsia="zh-CN"/>
                    </w:rPr>
                    <w:t>，本</w:t>
                  </w:r>
                  <w:r>
                    <w:rPr>
                      <w:rFonts w:hint="eastAsia"/>
                      <w:b w:val="0"/>
                      <w:bCs w:val="0"/>
                      <w:color w:val="auto"/>
                      <w:szCs w:val="21"/>
                    </w:rPr>
                    <w:t>次评价对现有工程</w:t>
                  </w:r>
                  <w:r>
                    <w:rPr>
                      <w:rFonts w:hint="eastAsia"/>
                      <w:b w:val="0"/>
                      <w:bCs w:val="0"/>
                      <w:color w:val="auto"/>
                      <w:szCs w:val="21"/>
                      <w:lang w:val="en-US" w:eastAsia="zh-CN"/>
                    </w:rPr>
                    <w:t>1#车间烫金</w:t>
                  </w:r>
                  <w:r>
                    <w:rPr>
                      <w:rFonts w:hint="eastAsia"/>
                      <w:b w:val="0"/>
                      <w:bCs w:val="0"/>
                      <w:color w:val="auto"/>
                      <w:szCs w:val="21"/>
                    </w:rPr>
                    <w:t>废气采取“以新带老”措施，要求对</w:t>
                  </w:r>
                  <w:r>
                    <w:rPr>
                      <w:rFonts w:hint="eastAsia"/>
                      <w:b w:val="0"/>
                      <w:bCs w:val="0"/>
                      <w:color w:val="auto"/>
                      <w:szCs w:val="21"/>
                      <w:lang w:val="en-US" w:eastAsia="zh-CN"/>
                    </w:rPr>
                    <w:t>烫金机</w:t>
                  </w:r>
                  <w:r>
                    <w:rPr>
                      <w:rFonts w:hint="eastAsia"/>
                      <w:b w:val="0"/>
                      <w:bCs w:val="0"/>
                      <w:color w:val="auto"/>
                      <w:szCs w:val="21"/>
                    </w:rPr>
                    <w:t>增设集尘罩，</w:t>
                  </w:r>
                  <w:r>
                    <w:rPr>
                      <w:rFonts w:hint="eastAsia"/>
                      <w:b w:val="0"/>
                      <w:bCs w:val="0"/>
                      <w:color w:val="auto"/>
                      <w:szCs w:val="21"/>
                      <w:lang w:val="en-US" w:eastAsia="zh-CN"/>
                    </w:rPr>
                    <w:t>注塑有机废气和烫金有机废气经</w:t>
                  </w:r>
                  <w:r>
                    <w:rPr>
                      <w:rFonts w:hint="eastAsia"/>
                      <w:b w:val="0"/>
                      <w:bCs w:val="0"/>
                      <w:color w:val="auto"/>
                      <w:szCs w:val="21"/>
                    </w:rPr>
                    <w:t>集气罩收集后与</w:t>
                  </w:r>
                  <w:r>
                    <w:rPr>
                      <w:rFonts w:hint="eastAsia"/>
                      <w:b w:val="0"/>
                      <w:bCs w:val="0"/>
                      <w:color w:val="auto"/>
                      <w:szCs w:val="21"/>
                      <w:lang w:val="en-US" w:eastAsia="zh-CN"/>
                    </w:rPr>
                    <w:t>现有工程废气（注塑、丝印/热转印、胶粘）一起进入</w:t>
                  </w:r>
                  <w:r>
                    <w:rPr>
                      <w:rFonts w:hint="eastAsia"/>
                      <w:b w:val="0"/>
                      <w:bCs w:val="0"/>
                      <w:color w:val="auto"/>
                      <w:szCs w:val="21"/>
                    </w:rPr>
                    <w:t>两级活性炭吸附装置（TA00</w:t>
                  </w:r>
                  <w:r>
                    <w:rPr>
                      <w:rFonts w:hint="eastAsia"/>
                      <w:b w:val="0"/>
                      <w:bCs w:val="0"/>
                      <w:color w:val="auto"/>
                      <w:szCs w:val="21"/>
                      <w:lang w:val="en-US" w:eastAsia="zh-CN"/>
                    </w:rPr>
                    <w:t>1</w:t>
                  </w:r>
                  <w:r>
                    <w:rPr>
                      <w:rFonts w:hint="eastAsia"/>
                      <w:b w:val="0"/>
                      <w:bCs w:val="0"/>
                      <w:color w:val="auto"/>
                      <w:szCs w:val="21"/>
                    </w:rPr>
                    <w:t>）</w:t>
                  </w:r>
                  <w:r>
                    <w:rPr>
                      <w:rFonts w:hint="eastAsia"/>
                      <w:b w:val="0"/>
                      <w:bCs w:val="0"/>
                      <w:color w:val="auto"/>
                      <w:szCs w:val="21"/>
                      <w:lang w:eastAsia="zh-CN"/>
                    </w:rPr>
                    <w:t>（</w:t>
                  </w:r>
                  <w:r>
                    <w:rPr>
                      <w:rFonts w:hint="eastAsia"/>
                      <w:b w:val="0"/>
                      <w:bCs w:val="0"/>
                      <w:color w:val="auto"/>
                      <w:szCs w:val="21"/>
                      <w:lang w:val="en-US" w:eastAsia="zh-CN"/>
                    </w:rPr>
                    <w:t>含风冷装置</w:t>
                  </w:r>
                  <w:r>
                    <w:rPr>
                      <w:rFonts w:hint="eastAsia"/>
                      <w:b w:val="0"/>
                      <w:bCs w:val="0"/>
                      <w:color w:val="auto"/>
                      <w:szCs w:val="21"/>
                      <w:lang w:eastAsia="zh-CN"/>
                    </w:rPr>
                    <w:t>）</w:t>
                  </w:r>
                  <w:r>
                    <w:rPr>
                      <w:rFonts w:hint="eastAsia"/>
                      <w:b w:val="0"/>
                      <w:bCs w:val="0"/>
                      <w:color w:val="auto"/>
                      <w:szCs w:val="21"/>
                    </w:rPr>
                    <w:t>处理后通过15m排气筒（DA001）排放。</w:t>
                  </w:r>
                  <w:r>
                    <w:rPr>
                      <w:rFonts w:hint="default" w:ascii="Times New Roman" w:hAnsi="Times New Roman" w:eastAsia="宋体" w:cs="Times New Roman"/>
                      <w:color w:val="auto"/>
                      <w:sz w:val="21"/>
                      <w:szCs w:val="21"/>
                      <w:lang w:val="en-US" w:eastAsia="zh-CN"/>
                    </w:rPr>
                    <w:t>由于本项目扩建后</w:t>
                  </w:r>
                  <w:r>
                    <w:rPr>
                      <w:rFonts w:hint="eastAsia" w:ascii="Times New Roman" w:hAnsi="Times New Roman" w:eastAsia="宋体" w:cs="Times New Roman"/>
                      <w:color w:val="auto"/>
                      <w:sz w:val="21"/>
                      <w:szCs w:val="21"/>
                      <w:lang w:val="en-US" w:eastAsia="zh-CN"/>
                    </w:rPr>
                    <w:t>1#车间新增1台注塑机废气、烫金废气</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1#车间TA001</w:t>
                  </w:r>
                  <w:r>
                    <w:rPr>
                      <w:rFonts w:hint="default" w:ascii="Times New Roman" w:hAnsi="Times New Roman" w:eastAsia="宋体" w:cs="Times New Roman"/>
                      <w:color w:val="auto"/>
                      <w:sz w:val="21"/>
                      <w:szCs w:val="21"/>
                      <w:lang w:val="en-US" w:eastAsia="zh-CN"/>
                    </w:rPr>
                    <w:t>活性炭填充量增加，因此本项目对现有的两级活性炭吸附装置采取“以新带老”措施，更换更大的活性炭吸附箱</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可满足要求</w:t>
                  </w:r>
                </w:p>
              </w:tc>
              <w:tc>
                <w:tcPr>
                  <w:tcW w:w="1241" w:type="dxa"/>
                  <w:vAlign w:val="center"/>
                </w:tcPr>
                <w:p w14:paraId="3BBB32D1">
                  <w:pPr>
                    <w:spacing w:line="320" w:lineRule="exact"/>
                    <w:jc w:val="center"/>
                    <w:rPr>
                      <w:rFonts w:hint="default" w:eastAsia="宋体"/>
                      <w:color w:val="auto"/>
                      <w:szCs w:val="21"/>
                      <w:lang w:val="en-US" w:eastAsia="zh-CN"/>
                    </w:rPr>
                  </w:pPr>
                  <w:r>
                    <w:rPr>
                      <w:rFonts w:hint="eastAsia" w:eastAsia="等线"/>
                      <w:color w:val="auto"/>
                      <w:szCs w:val="21"/>
                      <w:lang w:val="en-US" w:eastAsia="zh-CN"/>
                    </w:rPr>
                    <w:t>5.0</w:t>
                  </w:r>
                </w:p>
              </w:tc>
              <w:tc>
                <w:tcPr>
                  <w:tcW w:w="1060" w:type="dxa"/>
                  <w:vAlign w:val="center"/>
                </w:tcPr>
                <w:p w14:paraId="17995BE9">
                  <w:pPr>
                    <w:spacing w:line="320" w:lineRule="exact"/>
                    <w:jc w:val="center"/>
                    <w:rPr>
                      <w:color w:val="auto"/>
                    </w:rPr>
                  </w:pPr>
                  <w:r>
                    <w:rPr>
                      <w:rFonts w:hint="eastAsia"/>
                      <w:color w:val="auto"/>
                      <w:lang w:val="en-US" w:eastAsia="zh-CN"/>
                    </w:rPr>
                    <w:t>依托+以新带老</w:t>
                  </w:r>
                </w:p>
              </w:tc>
            </w:tr>
            <w:tr w14:paraId="5506E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692" w:type="dxa"/>
                  <w:vMerge w:val="continue"/>
                  <w:vAlign w:val="center"/>
                </w:tcPr>
                <w:p w14:paraId="75AFBA71">
                  <w:pPr>
                    <w:spacing w:line="320" w:lineRule="exact"/>
                    <w:jc w:val="center"/>
                    <w:rPr>
                      <w:color w:val="auto"/>
                      <w:szCs w:val="21"/>
                    </w:rPr>
                  </w:pPr>
                </w:p>
              </w:tc>
              <w:tc>
                <w:tcPr>
                  <w:tcW w:w="5728" w:type="dxa"/>
                  <w:vAlign w:val="center"/>
                </w:tcPr>
                <w:p w14:paraId="719071F7">
                  <w:pPr>
                    <w:spacing w:line="320" w:lineRule="exact"/>
                    <w:rPr>
                      <w:b/>
                      <w:bCs/>
                      <w:color w:val="auto"/>
                      <w:szCs w:val="21"/>
                    </w:rPr>
                  </w:pPr>
                  <w:r>
                    <w:rPr>
                      <w:rFonts w:hint="eastAsia"/>
                      <w:b/>
                      <w:bCs/>
                      <w:color w:val="auto"/>
                      <w:szCs w:val="21"/>
                      <w:lang w:val="en-US" w:eastAsia="zh-CN"/>
                    </w:rPr>
                    <w:t>2</w:t>
                  </w:r>
                  <w:r>
                    <w:rPr>
                      <w:rFonts w:hint="eastAsia"/>
                      <w:b/>
                      <w:bCs/>
                      <w:color w:val="auto"/>
                      <w:szCs w:val="21"/>
                    </w:rPr>
                    <w:t>#</w:t>
                  </w:r>
                  <w:r>
                    <w:rPr>
                      <w:rFonts w:hint="eastAsia"/>
                      <w:b/>
                      <w:bCs/>
                      <w:color w:val="auto"/>
                      <w:szCs w:val="21"/>
                      <w:lang w:val="en-US" w:eastAsia="zh-CN"/>
                    </w:rPr>
                    <w:t>车间裱糊、粘合</w:t>
                  </w:r>
                  <w:r>
                    <w:rPr>
                      <w:rFonts w:hint="eastAsia"/>
                      <w:b/>
                      <w:bCs/>
                      <w:color w:val="auto"/>
                      <w:szCs w:val="21"/>
                    </w:rPr>
                    <w:t>：</w:t>
                  </w:r>
                  <w:r>
                    <w:rPr>
                      <w:rFonts w:hint="eastAsia"/>
                      <w:b w:val="0"/>
                      <w:bCs w:val="0"/>
                      <w:color w:val="auto"/>
                      <w:szCs w:val="21"/>
                      <w:lang w:val="en-US" w:eastAsia="zh-CN"/>
                    </w:rPr>
                    <w:t>每条生产线</w:t>
                  </w:r>
                  <w:r>
                    <w:rPr>
                      <w:rFonts w:hint="eastAsia"/>
                      <w:b w:val="0"/>
                      <w:bCs w:val="0"/>
                      <w:color w:val="auto"/>
                      <w:szCs w:val="21"/>
                    </w:rPr>
                    <w:t>共有3台上胶机，上胶装置设置于密闭罩进行，并且自带上抽风管道。</w:t>
                  </w:r>
                  <w:r>
                    <w:rPr>
                      <w:rFonts w:hint="eastAsia"/>
                      <w:b w:val="0"/>
                      <w:bCs w:val="0"/>
                      <w:color w:val="auto"/>
                      <w:szCs w:val="21"/>
                      <w:lang w:val="en-US" w:eastAsia="zh-CN"/>
                    </w:rPr>
                    <w:t>塑纸包装盒须在人工组装线粘合。共有2条人工组装线，每条人工组装线有1台上胶机，</w:t>
                  </w:r>
                  <w:r>
                    <w:rPr>
                      <w:rFonts w:hint="eastAsia"/>
                      <w:b w:val="0"/>
                      <w:bCs w:val="0"/>
                      <w:color w:val="auto"/>
                      <w:szCs w:val="21"/>
                    </w:rPr>
                    <w:t>上胶装置设置于密闭罩进行，并且自带上抽风管道。废气经抽风管道收集引至两级活性炭吸附装置（TA00</w:t>
                  </w:r>
                  <w:r>
                    <w:rPr>
                      <w:rFonts w:hint="eastAsia"/>
                      <w:b w:val="0"/>
                      <w:bCs w:val="0"/>
                      <w:color w:val="auto"/>
                      <w:szCs w:val="21"/>
                      <w:lang w:val="en-US" w:eastAsia="zh-CN"/>
                    </w:rPr>
                    <w:t>2</w:t>
                  </w:r>
                  <w:r>
                    <w:rPr>
                      <w:rFonts w:hint="eastAsia"/>
                      <w:b w:val="0"/>
                      <w:bCs w:val="0"/>
                      <w:color w:val="auto"/>
                      <w:szCs w:val="21"/>
                    </w:rPr>
                    <w:t>）+</w:t>
                  </w:r>
                  <w:r>
                    <w:rPr>
                      <w:rFonts w:hint="eastAsia"/>
                      <w:b w:val="0"/>
                      <w:bCs w:val="0"/>
                      <w:color w:val="auto"/>
                      <w:szCs w:val="21"/>
                      <w:lang w:val="en-US" w:eastAsia="zh-CN"/>
                    </w:rPr>
                    <w:t>15</w:t>
                  </w:r>
                  <w:r>
                    <w:rPr>
                      <w:rFonts w:hint="eastAsia"/>
                      <w:b w:val="0"/>
                      <w:bCs w:val="0"/>
                      <w:color w:val="auto"/>
                      <w:szCs w:val="21"/>
                    </w:rPr>
                    <w:t>m排气筒（DA00</w:t>
                  </w:r>
                  <w:r>
                    <w:rPr>
                      <w:rFonts w:hint="eastAsia"/>
                      <w:b w:val="0"/>
                      <w:bCs w:val="0"/>
                      <w:color w:val="auto"/>
                      <w:szCs w:val="21"/>
                      <w:lang w:val="en-US" w:eastAsia="zh-CN"/>
                    </w:rPr>
                    <w:t>2</w:t>
                  </w:r>
                  <w:r>
                    <w:rPr>
                      <w:rFonts w:hint="eastAsia"/>
                      <w:b w:val="0"/>
                      <w:bCs w:val="0"/>
                      <w:color w:val="auto"/>
                      <w:szCs w:val="21"/>
                    </w:rPr>
                    <w:t>）排放。</w:t>
                  </w:r>
                </w:p>
              </w:tc>
              <w:tc>
                <w:tcPr>
                  <w:tcW w:w="1241" w:type="dxa"/>
                  <w:vAlign w:val="center"/>
                </w:tcPr>
                <w:p w14:paraId="4D7106BE">
                  <w:pPr>
                    <w:spacing w:line="320" w:lineRule="exact"/>
                    <w:jc w:val="center"/>
                    <w:rPr>
                      <w:rFonts w:hint="default" w:eastAsia="等线"/>
                      <w:color w:val="auto"/>
                      <w:szCs w:val="21"/>
                      <w:lang w:val="en-US"/>
                    </w:rPr>
                  </w:pPr>
                  <w:r>
                    <w:rPr>
                      <w:rFonts w:hint="eastAsia" w:eastAsia="等线"/>
                      <w:color w:val="auto"/>
                      <w:szCs w:val="21"/>
                      <w:lang w:val="en-US" w:eastAsia="zh-CN"/>
                    </w:rPr>
                    <w:t>10</w:t>
                  </w:r>
                </w:p>
              </w:tc>
              <w:tc>
                <w:tcPr>
                  <w:tcW w:w="1060" w:type="dxa"/>
                  <w:vAlign w:val="center"/>
                </w:tcPr>
                <w:p w14:paraId="041C842A">
                  <w:pPr>
                    <w:spacing w:line="320" w:lineRule="exact"/>
                    <w:jc w:val="center"/>
                    <w:rPr>
                      <w:color w:val="auto"/>
                    </w:rPr>
                  </w:pPr>
                  <w:r>
                    <w:rPr>
                      <w:rFonts w:hint="eastAsia"/>
                      <w:color w:val="auto"/>
                    </w:rPr>
                    <w:t>新增</w:t>
                  </w:r>
                </w:p>
              </w:tc>
            </w:tr>
            <w:tr w14:paraId="19DA3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692" w:type="dxa"/>
                  <w:vMerge w:val="continue"/>
                  <w:vAlign w:val="center"/>
                </w:tcPr>
                <w:p w14:paraId="0BB5CCC3">
                  <w:pPr>
                    <w:spacing w:line="320" w:lineRule="exact"/>
                    <w:jc w:val="center"/>
                    <w:rPr>
                      <w:color w:val="auto"/>
                      <w:szCs w:val="21"/>
                    </w:rPr>
                  </w:pPr>
                </w:p>
              </w:tc>
              <w:tc>
                <w:tcPr>
                  <w:tcW w:w="5728" w:type="dxa"/>
                  <w:vAlign w:val="center"/>
                </w:tcPr>
                <w:p w14:paraId="587D1521">
                  <w:pPr>
                    <w:spacing w:line="320" w:lineRule="exact"/>
                    <w:rPr>
                      <w:b/>
                      <w:bCs/>
                      <w:color w:val="auto"/>
                      <w:szCs w:val="21"/>
                    </w:rPr>
                  </w:pPr>
                  <w:r>
                    <w:rPr>
                      <w:rFonts w:hint="eastAsia"/>
                      <w:b/>
                      <w:bCs/>
                      <w:color w:val="auto"/>
                      <w:szCs w:val="21"/>
                      <w:lang w:val="en-US" w:eastAsia="zh-CN"/>
                    </w:rPr>
                    <w:t>2#车间覆膜、烫金、打码、</w:t>
                  </w:r>
                  <w:r>
                    <w:rPr>
                      <w:rFonts w:hint="eastAsia"/>
                      <w:b/>
                      <w:bCs/>
                      <w:color w:val="auto"/>
                      <w:szCs w:val="21"/>
                    </w:rPr>
                    <w:t>UV油墨、</w:t>
                  </w:r>
                  <w:r>
                    <w:rPr>
                      <w:rFonts w:hint="eastAsia"/>
                      <w:b/>
                      <w:bCs/>
                      <w:color w:val="auto"/>
                      <w:szCs w:val="21"/>
                      <w:lang w:val="en-US" w:eastAsia="zh-CN"/>
                    </w:rPr>
                    <w:t>上光油、</w:t>
                  </w:r>
                  <w:r>
                    <w:rPr>
                      <w:rFonts w:hint="eastAsia"/>
                      <w:b/>
                      <w:bCs/>
                      <w:color w:val="auto"/>
                      <w:szCs w:val="21"/>
                    </w:rPr>
                    <w:t>丝网版清洁有机废气：</w:t>
                  </w:r>
                  <w:r>
                    <w:rPr>
                      <w:rFonts w:hint="eastAsia"/>
                      <w:b w:val="0"/>
                      <w:bCs w:val="0"/>
                      <w:color w:val="auto"/>
                      <w:szCs w:val="21"/>
                    </w:rPr>
                    <w:t>在</w:t>
                  </w:r>
                  <w:r>
                    <w:rPr>
                      <w:rFonts w:hint="eastAsia"/>
                      <w:b w:val="0"/>
                      <w:bCs w:val="0"/>
                      <w:color w:val="auto"/>
                      <w:szCs w:val="21"/>
                      <w:lang w:val="en-US" w:eastAsia="zh-CN"/>
                    </w:rPr>
                    <w:t>覆膜机</w:t>
                  </w:r>
                  <w:r>
                    <w:rPr>
                      <w:rFonts w:hint="eastAsia"/>
                      <w:b w:val="0"/>
                      <w:bCs w:val="0"/>
                      <w:color w:val="auto"/>
                      <w:szCs w:val="21"/>
                      <w:lang w:eastAsia="zh-CN"/>
                    </w:rPr>
                    <w:t>、</w:t>
                  </w:r>
                  <w:r>
                    <w:rPr>
                      <w:rFonts w:hint="eastAsia"/>
                      <w:b w:val="0"/>
                      <w:bCs w:val="0"/>
                      <w:color w:val="auto"/>
                      <w:szCs w:val="21"/>
                      <w:lang w:val="en-US" w:eastAsia="zh-CN"/>
                    </w:rPr>
                    <w:t>自动喷码机、打样机、</w:t>
                  </w:r>
                  <w:r>
                    <w:rPr>
                      <w:rFonts w:hint="eastAsia"/>
                      <w:b w:val="0"/>
                      <w:bCs w:val="0"/>
                      <w:color w:val="auto"/>
                      <w:szCs w:val="21"/>
                    </w:rPr>
                    <w:t>丝网印刷机</w:t>
                  </w:r>
                  <w:r>
                    <w:rPr>
                      <w:rFonts w:hint="eastAsia"/>
                      <w:b w:val="0"/>
                      <w:bCs w:val="0"/>
                      <w:color w:val="auto"/>
                      <w:szCs w:val="21"/>
                      <w:lang w:val="en-US" w:eastAsia="zh-CN"/>
                    </w:rPr>
                    <w:t>及冷烫机</w:t>
                  </w:r>
                  <w:r>
                    <w:rPr>
                      <w:rFonts w:hint="eastAsia"/>
                      <w:b w:val="0"/>
                      <w:bCs w:val="0"/>
                      <w:color w:val="auto"/>
                      <w:szCs w:val="21"/>
                    </w:rPr>
                    <w:t>上方设置集气罩</w:t>
                  </w:r>
                  <w:r>
                    <w:rPr>
                      <w:rFonts w:hint="eastAsia"/>
                      <w:b w:val="0"/>
                      <w:bCs w:val="0"/>
                      <w:color w:val="auto"/>
                      <w:szCs w:val="21"/>
                      <w:lang w:eastAsia="zh-CN"/>
                    </w:rPr>
                    <w:t>，</w:t>
                  </w:r>
                  <w:r>
                    <w:rPr>
                      <w:rFonts w:hint="eastAsia"/>
                      <w:b w:val="0"/>
                      <w:bCs w:val="0"/>
                      <w:color w:val="auto"/>
                      <w:szCs w:val="21"/>
                    </w:rPr>
                    <w:t>同时进一步密闭印刷车间，加强管理，</w:t>
                  </w:r>
                  <w:r>
                    <w:rPr>
                      <w:rFonts w:hint="eastAsia"/>
                      <w:b w:val="0"/>
                      <w:bCs w:val="0"/>
                      <w:color w:val="auto"/>
                      <w:szCs w:val="21"/>
                      <w:lang w:val="en-US" w:eastAsia="zh-CN"/>
                    </w:rPr>
                    <w:t>将罗兰印刷机设置在密闭印刷间内，</w:t>
                  </w:r>
                  <w:r>
                    <w:rPr>
                      <w:rFonts w:hint="eastAsia"/>
                      <w:b w:val="0"/>
                      <w:bCs w:val="0"/>
                      <w:color w:val="auto"/>
                      <w:szCs w:val="21"/>
                    </w:rPr>
                    <w:t>在车间生产过程中，密闭印刷车间，丝网版清洁过程</w:t>
                  </w:r>
                  <w:r>
                    <w:rPr>
                      <w:rFonts w:hint="eastAsia"/>
                      <w:b w:val="0"/>
                      <w:bCs w:val="0"/>
                      <w:color w:val="auto"/>
                      <w:szCs w:val="21"/>
                      <w:lang w:val="en-US" w:eastAsia="zh-CN"/>
                    </w:rPr>
                    <w:t>在丝网版清洁上方设</w:t>
                  </w:r>
                  <w:r>
                    <w:rPr>
                      <w:rFonts w:hint="eastAsia"/>
                      <w:b w:val="0"/>
                      <w:bCs w:val="0"/>
                      <w:color w:val="auto"/>
                      <w:szCs w:val="21"/>
                    </w:rPr>
                    <w:t>集气罩，</w:t>
                  </w:r>
                  <w:r>
                    <w:rPr>
                      <w:rFonts w:hint="eastAsia"/>
                      <w:b w:val="0"/>
                      <w:bCs w:val="0"/>
                      <w:color w:val="auto"/>
                      <w:szCs w:val="21"/>
                      <w:lang w:val="en-US" w:eastAsia="zh-CN"/>
                    </w:rPr>
                    <w:t>烫金机上</w:t>
                  </w:r>
                  <w:r>
                    <w:rPr>
                      <w:rFonts w:hint="eastAsia"/>
                      <w:b w:val="0"/>
                      <w:bCs w:val="0"/>
                      <w:color w:val="auto"/>
                      <w:szCs w:val="21"/>
                    </w:rPr>
                    <w:t>设集尘罩</w:t>
                  </w:r>
                  <w:r>
                    <w:rPr>
                      <w:rFonts w:hint="eastAsia"/>
                      <w:b w:val="0"/>
                      <w:bCs w:val="0"/>
                      <w:color w:val="auto"/>
                      <w:szCs w:val="21"/>
                      <w:lang w:eastAsia="zh-CN"/>
                    </w:rPr>
                    <w:t>，</w:t>
                  </w:r>
                  <w:r>
                    <w:rPr>
                      <w:rFonts w:hint="eastAsia"/>
                      <w:b w:val="0"/>
                      <w:bCs w:val="0"/>
                      <w:color w:val="auto"/>
                      <w:szCs w:val="21"/>
                    </w:rPr>
                    <w:t>有机废气经集气罩收集后引至两级活性炭吸附装置（TA00</w:t>
                  </w:r>
                  <w:r>
                    <w:rPr>
                      <w:rFonts w:hint="eastAsia"/>
                      <w:b w:val="0"/>
                      <w:bCs w:val="0"/>
                      <w:color w:val="auto"/>
                      <w:szCs w:val="21"/>
                      <w:lang w:val="en-US" w:eastAsia="zh-CN"/>
                    </w:rPr>
                    <w:t>3</w:t>
                  </w:r>
                  <w:r>
                    <w:rPr>
                      <w:rFonts w:hint="eastAsia"/>
                      <w:b w:val="0"/>
                      <w:bCs w:val="0"/>
                      <w:color w:val="auto"/>
                      <w:szCs w:val="21"/>
                    </w:rPr>
                    <w:t>）+</w:t>
                  </w:r>
                  <w:r>
                    <w:rPr>
                      <w:rFonts w:hint="eastAsia"/>
                      <w:b w:val="0"/>
                      <w:bCs w:val="0"/>
                      <w:color w:val="auto"/>
                      <w:szCs w:val="21"/>
                      <w:lang w:val="en-US" w:eastAsia="zh-CN"/>
                    </w:rPr>
                    <w:t>15</w:t>
                  </w:r>
                  <w:r>
                    <w:rPr>
                      <w:rFonts w:hint="eastAsia"/>
                      <w:b w:val="0"/>
                      <w:bCs w:val="0"/>
                      <w:color w:val="auto"/>
                      <w:szCs w:val="21"/>
                    </w:rPr>
                    <w:t>m排气筒（DA00</w:t>
                  </w:r>
                  <w:r>
                    <w:rPr>
                      <w:rFonts w:hint="eastAsia"/>
                      <w:b w:val="0"/>
                      <w:bCs w:val="0"/>
                      <w:color w:val="auto"/>
                      <w:szCs w:val="21"/>
                      <w:lang w:val="en-US" w:eastAsia="zh-CN"/>
                    </w:rPr>
                    <w:t>3</w:t>
                  </w:r>
                  <w:r>
                    <w:rPr>
                      <w:rFonts w:hint="eastAsia"/>
                      <w:b w:val="0"/>
                      <w:bCs w:val="0"/>
                      <w:color w:val="auto"/>
                      <w:szCs w:val="21"/>
                    </w:rPr>
                    <w:t>）排放。</w:t>
                  </w:r>
                </w:p>
              </w:tc>
              <w:tc>
                <w:tcPr>
                  <w:tcW w:w="1241" w:type="dxa"/>
                  <w:vAlign w:val="center"/>
                </w:tcPr>
                <w:p w14:paraId="51A066FB">
                  <w:pPr>
                    <w:spacing w:line="320" w:lineRule="exact"/>
                    <w:jc w:val="center"/>
                    <w:rPr>
                      <w:rFonts w:hint="default" w:eastAsia="等线"/>
                      <w:color w:val="auto"/>
                      <w:szCs w:val="21"/>
                      <w:lang w:val="en-US" w:eastAsia="zh-CN"/>
                    </w:rPr>
                  </w:pPr>
                  <w:r>
                    <w:rPr>
                      <w:rFonts w:hint="eastAsia" w:eastAsia="等线"/>
                      <w:color w:val="auto"/>
                      <w:szCs w:val="21"/>
                      <w:lang w:val="en-US" w:eastAsia="zh-CN"/>
                    </w:rPr>
                    <w:t>17.0</w:t>
                  </w:r>
                </w:p>
              </w:tc>
              <w:tc>
                <w:tcPr>
                  <w:tcW w:w="1060" w:type="dxa"/>
                  <w:vAlign w:val="center"/>
                </w:tcPr>
                <w:p w14:paraId="119B9CC7">
                  <w:pPr>
                    <w:spacing w:line="320" w:lineRule="exact"/>
                    <w:jc w:val="center"/>
                    <w:rPr>
                      <w:rFonts w:hint="eastAsia" w:eastAsia="宋体"/>
                      <w:color w:val="auto"/>
                      <w:lang w:eastAsia="zh-CN"/>
                    </w:rPr>
                  </w:pPr>
                  <w:r>
                    <w:rPr>
                      <w:rFonts w:hint="eastAsia"/>
                      <w:color w:val="auto"/>
                      <w:lang w:val="en-US" w:eastAsia="zh-CN"/>
                    </w:rPr>
                    <w:t>新建</w:t>
                  </w:r>
                </w:p>
              </w:tc>
            </w:tr>
            <w:tr w14:paraId="52E58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692" w:type="dxa"/>
                  <w:vMerge w:val="continue"/>
                  <w:vAlign w:val="center"/>
                </w:tcPr>
                <w:p w14:paraId="285A3FEF">
                  <w:pPr>
                    <w:spacing w:line="320" w:lineRule="exact"/>
                    <w:jc w:val="center"/>
                    <w:rPr>
                      <w:color w:val="auto"/>
                      <w:szCs w:val="21"/>
                    </w:rPr>
                  </w:pPr>
                </w:p>
              </w:tc>
              <w:tc>
                <w:tcPr>
                  <w:tcW w:w="5728" w:type="dxa"/>
                  <w:vAlign w:val="center"/>
                </w:tcPr>
                <w:p w14:paraId="0873E98D">
                  <w:pPr>
                    <w:spacing w:line="320" w:lineRule="exact"/>
                    <w:rPr>
                      <w:b/>
                      <w:bCs/>
                      <w:color w:val="auto"/>
                      <w:szCs w:val="21"/>
                    </w:rPr>
                  </w:pPr>
                  <w:r>
                    <w:rPr>
                      <w:rFonts w:hint="eastAsia"/>
                      <w:b/>
                      <w:bCs/>
                      <w:color w:val="auto"/>
                      <w:szCs w:val="21"/>
                    </w:rPr>
                    <w:t>食堂油烟：</w:t>
                  </w:r>
                  <w:r>
                    <w:rPr>
                      <w:rFonts w:hint="eastAsia"/>
                      <w:color w:val="auto"/>
                      <w:szCs w:val="21"/>
                    </w:rPr>
                    <w:t>油烟净化器+</w:t>
                  </w:r>
                  <w:r>
                    <w:rPr>
                      <w:color w:val="auto"/>
                      <w:szCs w:val="21"/>
                    </w:rPr>
                    <w:t>引至</w:t>
                  </w:r>
                  <w:r>
                    <w:rPr>
                      <w:rFonts w:hint="eastAsia"/>
                      <w:color w:val="auto"/>
                      <w:szCs w:val="21"/>
                    </w:rPr>
                    <w:t>楼顶排放。</w:t>
                  </w:r>
                </w:p>
              </w:tc>
              <w:tc>
                <w:tcPr>
                  <w:tcW w:w="1241" w:type="dxa"/>
                  <w:vAlign w:val="center"/>
                </w:tcPr>
                <w:p w14:paraId="04E2F1AB">
                  <w:pPr>
                    <w:spacing w:line="320" w:lineRule="exact"/>
                    <w:jc w:val="center"/>
                    <w:rPr>
                      <w:rFonts w:eastAsia="等线"/>
                      <w:color w:val="auto"/>
                      <w:szCs w:val="21"/>
                    </w:rPr>
                  </w:pPr>
                  <w:r>
                    <w:rPr>
                      <w:rFonts w:hint="eastAsia" w:eastAsia="等线"/>
                      <w:color w:val="auto"/>
                      <w:szCs w:val="21"/>
                    </w:rPr>
                    <w:t>/</w:t>
                  </w:r>
                </w:p>
              </w:tc>
              <w:tc>
                <w:tcPr>
                  <w:tcW w:w="1060" w:type="dxa"/>
                  <w:vAlign w:val="center"/>
                </w:tcPr>
                <w:p w14:paraId="2BF97E4F">
                  <w:pPr>
                    <w:spacing w:line="320" w:lineRule="exact"/>
                    <w:jc w:val="center"/>
                    <w:rPr>
                      <w:color w:val="auto"/>
                    </w:rPr>
                  </w:pPr>
                  <w:r>
                    <w:rPr>
                      <w:rFonts w:hint="eastAsia"/>
                      <w:color w:val="auto"/>
                      <w:lang w:val="en-US" w:eastAsia="zh-CN"/>
                    </w:rPr>
                    <w:t>新建</w:t>
                  </w:r>
                </w:p>
              </w:tc>
            </w:tr>
            <w:tr w14:paraId="3E418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92" w:type="dxa"/>
                  <w:vAlign w:val="center"/>
                </w:tcPr>
                <w:p w14:paraId="355482CD">
                  <w:pPr>
                    <w:spacing w:line="320" w:lineRule="exact"/>
                    <w:jc w:val="center"/>
                    <w:rPr>
                      <w:b w:val="0"/>
                      <w:bCs w:val="0"/>
                      <w:color w:val="auto"/>
                      <w:szCs w:val="21"/>
                    </w:rPr>
                  </w:pPr>
                  <w:r>
                    <w:rPr>
                      <w:rFonts w:hAnsi="宋体"/>
                      <w:b w:val="0"/>
                      <w:bCs w:val="0"/>
                      <w:color w:val="auto"/>
                      <w:szCs w:val="21"/>
                    </w:rPr>
                    <w:t>噪声治理</w:t>
                  </w:r>
                </w:p>
              </w:tc>
              <w:tc>
                <w:tcPr>
                  <w:tcW w:w="5728" w:type="dxa"/>
                  <w:vAlign w:val="center"/>
                </w:tcPr>
                <w:p w14:paraId="17101D77">
                  <w:pPr>
                    <w:spacing w:line="320" w:lineRule="exact"/>
                    <w:rPr>
                      <w:rFonts w:hint="eastAsia" w:hAnsi="宋体"/>
                      <w:b w:val="0"/>
                      <w:bCs w:val="0"/>
                      <w:color w:val="auto"/>
                      <w:szCs w:val="21"/>
                    </w:rPr>
                  </w:pPr>
                  <w:r>
                    <w:rPr>
                      <w:b w:val="0"/>
                      <w:bCs w:val="0"/>
                      <w:color w:val="auto"/>
                    </w:rPr>
                    <w:t>底座设减震垫</w:t>
                  </w:r>
                  <w:r>
                    <w:rPr>
                      <w:rFonts w:hint="eastAsia"/>
                      <w:b w:val="0"/>
                      <w:bCs w:val="0"/>
                      <w:color w:val="auto"/>
                    </w:rPr>
                    <w:t>、定</w:t>
                  </w:r>
                  <w:r>
                    <w:rPr>
                      <w:b w:val="0"/>
                      <w:bCs w:val="0"/>
                      <w:color w:val="auto"/>
                    </w:rPr>
                    <w:t>期维护保养、距离衰减等措施加以控制</w:t>
                  </w:r>
                  <w:r>
                    <w:rPr>
                      <w:rFonts w:hint="eastAsia"/>
                      <w:b w:val="0"/>
                      <w:bCs w:val="0"/>
                      <w:color w:val="auto"/>
                    </w:rPr>
                    <w:t>。</w:t>
                  </w:r>
                </w:p>
              </w:tc>
              <w:tc>
                <w:tcPr>
                  <w:tcW w:w="1241" w:type="dxa"/>
                  <w:vAlign w:val="center"/>
                </w:tcPr>
                <w:p w14:paraId="03A42082">
                  <w:pPr>
                    <w:spacing w:line="320" w:lineRule="exact"/>
                    <w:jc w:val="center"/>
                    <w:rPr>
                      <w:rFonts w:hint="default" w:eastAsia="宋体"/>
                      <w:color w:val="auto"/>
                      <w:szCs w:val="21"/>
                      <w:lang w:val="en-US" w:eastAsia="zh-CN"/>
                    </w:rPr>
                  </w:pPr>
                  <w:r>
                    <w:rPr>
                      <w:rFonts w:hint="eastAsia" w:eastAsia="等线"/>
                      <w:color w:val="auto"/>
                      <w:szCs w:val="21"/>
                      <w:lang w:val="en-US" w:eastAsia="zh-CN"/>
                    </w:rPr>
                    <w:t>1.0</w:t>
                  </w:r>
                </w:p>
              </w:tc>
              <w:tc>
                <w:tcPr>
                  <w:tcW w:w="1060" w:type="dxa"/>
                  <w:vAlign w:val="center"/>
                </w:tcPr>
                <w:p w14:paraId="174AB477">
                  <w:pPr>
                    <w:spacing w:line="320" w:lineRule="exact"/>
                    <w:jc w:val="center"/>
                    <w:rPr>
                      <w:color w:val="auto"/>
                    </w:rPr>
                  </w:pPr>
                  <w:r>
                    <w:rPr>
                      <w:rFonts w:hint="eastAsia"/>
                      <w:color w:val="auto"/>
                    </w:rPr>
                    <w:t>新建</w:t>
                  </w:r>
                </w:p>
              </w:tc>
            </w:tr>
            <w:tr w14:paraId="2E8B09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2" w:type="dxa"/>
                  <w:vMerge w:val="restart"/>
                  <w:vAlign w:val="center"/>
                </w:tcPr>
                <w:p w14:paraId="645B3126">
                  <w:pPr>
                    <w:spacing w:line="320" w:lineRule="exact"/>
                    <w:jc w:val="center"/>
                    <w:rPr>
                      <w:rFonts w:hint="eastAsia" w:hAnsi="宋体"/>
                      <w:b w:val="0"/>
                      <w:bCs w:val="0"/>
                      <w:color w:val="auto"/>
                      <w:szCs w:val="21"/>
                    </w:rPr>
                  </w:pPr>
                  <w:r>
                    <w:rPr>
                      <w:rFonts w:hint="eastAsia" w:hAnsi="宋体"/>
                      <w:b w:val="0"/>
                      <w:bCs w:val="0"/>
                      <w:color w:val="auto"/>
                      <w:szCs w:val="21"/>
                    </w:rPr>
                    <w:t>固废治理</w:t>
                  </w:r>
                </w:p>
              </w:tc>
              <w:tc>
                <w:tcPr>
                  <w:tcW w:w="5728" w:type="dxa"/>
                  <w:vAlign w:val="center"/>
                </w:tcPr>
                <w:p w14:paraId="19796E73">
                  <w:pPr>
                    <w:spacing w:line="320" w:lineRule="exact"/>
                    <w:rPr>
                      <w:rFonts w:hint="eastAsia" w:hAnsi="宋体"/>
                      <w:b w:val="0"/>
                      <w:bCs w:val="0"/>
                      <w:color w:val="auto"/>
                      <w:szCs w:val="21"/>
                    </w:rPr>
                  </w:pPr>
                  <w:r>
                    <w:rPr>
                      <w:rFonts w:hint="eastAsia" w:hAnsi="宋体"/>
                      <w:b w:val="0"/>
                      <w:bCs w:val="0"/>
                      <w:color w:val="auto"/>
                      <w:szCs w:val="21"/>
                    </w:rPr>
                    <w:t>一般固废暂存</w:t>
                  </w:r>
                  <w:r>
                    <w:rPr>
                      <w:rFonts w:hint="eastAsia" w:hAnsi="宋体"/>
                      <w:b w:val="0"/>
                      <w:bCs w:val="0"/>
                      <w:color w:val="auto"/>
                      <w:szCs w:val="21"/>
                      <w:lang w:val="en-US" w:eastAsia="zh-CN"/>
                    </w:rPr>
                    <w:t>间</w:t>
                  </w:r>
                  <w:r>
                    <w:rPr>
                      <w:rFonts w:hint="eastAsia" w:hAnsi="宋体"/>
                      <w:b w:val="0"/>
                      <w:bCs w:val="0"/>
                      <w:color w:val="auto"/>
                      <w:szCs w:val="21"/>
                    </w:rPr>
                    <w:t>：</w:t>
                  </w:r>
                  <w:r>
                    <w:rPr>
                      <w:rFonts w:hint="eastAsia" w:hAnsi="宋体"/>
                      <w:b w:val="0"/>
                      <w:bCs w:val="0"/>
                      <w:color w:val="auto"/>
                      <w:szCs w:val="21"/>
                      <w:lang w:val="en-US" w:eastAsia="zh-CN"/>
                    </w:rPr>
                    <w:t>依托现有1#车间的两个固废间，1个50</w:t>
                  </w:r>
                  <w:r>
                    <w:rPr>
                      <w:rFonts w:hint="eastAsia"/>
                      <w:b w:val="0"/>
                      <w:bCs w:val="0"/>
                      <w:color w:val="auto"/>
                      <w:szCs w:val="21"/>
                    </w:rPr>
                    <w:t>m</w:t>
                  </w:r>
                  <w:r>
                    <w:rPr>
                      <w:rFonts w:hint="eastAsia"/>
                      <w:b w:val="0"/>
                      <w:bCs w:val="0"/>
                      <w:color w:val="auto"/>
                      <w:szCs w:val="21"/>
                      <w:vertAlign w:val="superscript"/>
                    </w:rPr>
                    <w:t>2</w:t>
                  </w:r>
                  <w:r>
                    <w:rPr>
                      <w:rFonts w:hint="eastAsia"/>
                      <w:b w:val="0"/>
                      <w:bCs w:val="0"/>
                      <w:color w:val="auto"/>
                      <w:szCs w:val="21"/>
                      <w:vertAlign w:val="baseline"/>
                      <w:lang w:eastAsia="zh-CN"/>
                    </w:rPr>
                    <w:t>、</w:t>
                  </w:r>
                  <w:r>
                    <w:rPr>
                      <w:rFonts w:hint="eastAsia"/>
                      <w:b w:val="0"/>
                      <w:bCs w:val="0"/>
                      <w:color w:val="auto"/>
                      <w:szCs w:val="21"/>
                      <w:vertAlign w:val="baseline"/>
                      <w:lang w:val="en-US" w:eastAsia="zh-CN"/>
                    </w:rPr>
                    <w:t>1个20</w:t>
                  </w:r>
                  <w:r>
                    <w:rPr>
                      <w:rFonts w:hint="eastAsia"/>
                      <w:b w:val="0"/>
                      <w:bCs w:val="0"/>
                      <w:color w:val="auto"/>
                      <w:szCs w:val="21"/>
                    </w:rPr>
                    <w:t>m</w:t>
                  </w:r>
                  <w:r>
                    <w:rPr>
                      <w:rFonts w:hint="eastAsia"/>
                      <w:b w:val="0"/>
                      <w:bCs w:val="0"/>
                      <w:color w:val="auto"/>
                      <w:szCs w:val="21"/>
                      <w:vertAlign w:val="superscript"/>
                    </w:rPr>
                    <w:t>2</w:t>
                  </w:r>
                  <w:r>
                    <w:rPr>
                      <w:rFonts w:hint="eastAsia"/>
                      <w:b w:val="0"/>
                      <w:bCs w:val="0"/>
                      <w:color w:val="auto"/>
                      <w:szCs w:val="21"/>
                    </w:rPr>
                    <w:t>。</w:t>
                  </w:r>
                </w:p>
              </w:tc>
              <w:tc>
                <w:tcPr>
                  <w:tcW w:w="1241" w:type="dxa"/>
                  <w:vAlign w:val="center"/>
                </w:tcPr>
                <w:p w14:paraId="628EFDFA">
                  <w:pPr>
                    <w:spacing w:line="320" w:lineRule="exact"/>
                    <w:jc w:val="center"/>
                    <w:rPr>
                      <w:color w:val="auto"/>
                      <w:szCs w:val="21"/>
                    </w:rPr>
                  </w:pPr>
                  <w:r>
                    <w:rPr>
                      <w:rFonts w:hint="eastAsia" w:eastAsia="等线"/>
                      <w:color w:val="auto"/>
                      <w:szCs w:val="21"/>
                    </w:rPr>
                    <w:t>/</w:t>
                  </w:r>
                </w:p>
              </w:tc>
              <w:tc>
                <w:tcPr>
                  <w:tcW w:w="1060" w:type="dxa"/>
                  <w:vAlign w:val="center"/>
                </w:tcPr>
                <w:p w14:paraId="22B2559C">
                  <w:pPr>
                    <w:spacing w:line="320" w:lineRule="exact"/>
                    <w:jc w:val="center"/>
                    <w:rPr>
                      <w:rFonts w:hint="default" w:eastAsia="宋体"/>
                      <w:color w:val="auto"/>
                      <w:lang w:val="en-US" w:eastAsia="zh-CN"/>
                    </w:rPr>
                  </w:pPr>
                  <w:r>
                    <w:rPr>
                      <w:rFonts w:hint="eastAsia"/>
                      <w:color w:val="auto"/>
                      <w:lang w:val="en-US" w:eastAsia="zh-CN"/>
                    </w:rPr>
                    <w:t>依托</w:t>
                  </w:r>
                </w:p>
              </w:tc>
            </w:tr>
            <w:tr w14:paraId="541CF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92" w:type="dxa"/>
                  <w:vMerge w:val="continue"/>
                  <w:vAlign w:val="center"/>
                </w:tcPr>
                <w:p w14:paraId="2704E0C9">
                  <w:pPr>
                    <w:spacing w:line="320" w:lineRule="exact"/>
                    <w:jc w:val="center"/>
                    <w:rPr>
                      <w:rFonts w:hint="eastAsia" w:hAnsi="宋体"/>
                      <w:b w:val="0"/>
                      <w:bCs w:val="0"/>
                      <w:color w:val="auto"/>
                      <w:szCs w:val="21"/>
                    </w:rPr>
                  </w:pPr>
                </w:p>
              </w:tc>
              <w:tc>
                <w:tcPr>
                  <w:tcW w:w="5728" w:type="dxa"/>
                  <w:vAlign w:val="center"/>
                </w:tcPr>
                <w:p w14:paraId="01303F89">
                  <w:pPr>
                    <w:spacing w:line="320" w:lineRule="exact"/>
                    <w:rPr>
                      <w:rFonts w:hint="eastAsia" w:hAnsi="宋体"/>
                      <w:b w:val="0"/>
                      <w:bCs w:val="0"/>
                      <w:color w:val="auto"/>
                      <w:szCs w:val="21"/>
                    </w:rPr>
                  </w:pPr>
                  <w:r>
                    <w:rPr>
                      <w:rFonts w:hint="eastAsia" w:hAnsi="宋体"/>
                      <w:b w:val="0"/>
                      <w:bCs w:val="0"/>
                      <w:color w:val="auto"/>
                      <w:szCs w:val="21"/>
                    </w:rPr>
                    <w:t>依托现有危废暂存间：已进行重点防渗处理、设置围堰等</w:t>
                  </w:r>
                  <w:r>
                    <w:rPr>
                      <w:rFonts w:hint="eastAsia" w:hAnsi="宋体"/>
                      <w:b w:val="0"/>
                      <w:bCs w:val="0"/>
                      <w:color w:val="auto"/>
                      <w:szCs w:val="21"/>
                      <w:lang w:val="zh-CN"/>
                    </w:rPr>
                    <w:t>，</w:t>
                  </w:r>
                  <w:r>
                    <w:rPr>
                      <w:rFonts w:hint="eastAsia" w:hAnsi="宋体"/>
                      <w:b w:val="0"/>
                      <w:bCs w:val="0"/>
                      <w:color w:val="auto"/>
                      <w:szCs w:val="21"/>
                    </w:rPr>
                    <w:t>用于分类收集危险废物。</w:t>
                  </w:r>
                </w:p>
              </w:tc>
              <w:tc>
                <w:tcPr>
                  <w:tcW w:w="1241" w:type="dxa"/>
                  <w:vAlign w:val="center"/>
                </w:tcPr>
                <w:p w14:paraId="33022D4F">
                  <w:pPr>
                    <w:spacing w:line="320" w:lineRule="exact"/>
                    <w:jc w:val="center"/>
                    <w:rPr>
                      <w:rFonts w:hint="eastAsia" w:eastAsia="宋体"/>
                      <w:color w:val="auto"/>
                      <w:szCs w:val="21"/>
                      <w:lang w:eastAsia="zh-CN"/>
                    </w:rPr>
                  </w:pPr>
                  <w:r>
                    <w:rPr>
                      <w:rFonts w:hint="eastAsia" w:eastAsia="等线"/>
                      <w:color w:val="auto"/>
                      <w:szCs w:val="21"/>
                      <w:lang w:val="en-US" w:eastAsia="zh-CN"/>
                    </w:rPr>
                    <w:t>/</w:t>
                  </w:r>
                </w:p>
              </w:tc>
              <w:tc>
                <w:tcPr>
                  <w:tcW w:w="1060" w:type="dxa"/>
                  <w:vAlign w:val="center"/>
                </w:tcPr>
                <w:p w14:paraId="7590EE90">
                  <w:pPr>
                    <w:spacing w:line="320" w:lineRule="exact"/>
                    <w:jc w:val="center"/>
                    <w:rPr>
                      <w:color w:val="auto"/>
                    </w:rPr>
                  </w:pPr>
                  <w:r>
                    <w:rPr>
                      <w:rFonts w:hint="eastAsia"/>
                      <w:color w:val="auto"/>
                      <w:lang w:val="en-US" w:eastAsia="zh-CN"/>
                    </w:rPr>
                    <w:t>依托</w:t>
                  </w:r>
                </w:p>
              </w:tc>
            </w:tr>
            <w:tr w14:paraId="42E26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2" w:type="dxa"/>
                  <w:vMerge w:val="continue"/>
                  <w:vAlign w:val="center"/>
                </w:tcPr>
                <w:p w14:paraId="776A3FC5">
                  <w:pPr>
                    <w:spacing w:line="320" w:lineRule="exact"/>
                    <w:jc w:val="center"/>
                    <w:rPr>
                      <w:rFonts w:hint="eastAsia" w:hAnsi="宋体"/>
                      <w:color w:val="auto"/>
                      <w:szCs w:val="21"/>
                    </w:rPr>
                  </w:pPr>
                </w:p>
              </w:tc>
              <w:tc>
                <w:tcPr>
                  <w:tcW w:w="5728" w:type="dxa"/>
                  <w:vAlign w:val="center"/>
                </w:tcPr>
                <w:p w14:paraId="421D6074">
                  <w:pPr>
                    <w:spacing w:line="320" w:lineRule="exact"/>
                    <w:rPr>
                      <w:rFonts w:hint="eastAsia" w:hAnsi="宋体"/>
                      <w:bCs/>
                      <w:color w:val="auto"/>
                      <w:szCs w:val="21"/>
                    </w:rPr>
                  </w:pPr>
                  <w:r>
                    <w:rPr>
                      <w:rFonts w:hint="eastAsia"/>
                      <w:b/>
                      <w:color w:val="auto"/>
                      <w:szCs w:val="21"/>
                    </w:rPr>
                    <w:t>生活垃圾暂存区：</w:t>
                  </w:r>
                  <w:r>
                    <w:rPr>
                      <w:rFonts w:hint="eastAsia"/>
                      <w:color w:val="auto"/>
                      <w:szCs w:val="21"/>
                    </w:rPr>
                    <w:t>办公室、门卫室设置密封垃圾桶，</w:t>
                  </w:r>
                  <w:r>
                    <w:rPr>
                      <w:rFonts w:hint="eastAsia"/>
                      <w:bCs/>
                      <w:color w:val="auto"/>
                      <w:szCs w:val="21"/>
                    </w:rPr>
                    <w:t>50L/个，高密度聚氯乙烯材质，内衬垃圾专用袋，用于收集生活垃圾。</w:t>
                  </w:r>
                </w:p>
              </w:tc>
              <w:tc>
                <w:tcPr>
                  <w:tcW w:w="1241" w:type="dxa"/>
                  <w:vAlign w:val="center"/>
                </w:tcPr>
                <w:p w14:paraId="7C0A0D97">
                  <w:pPr>
                    <w:spacing w:line="320" w:lineRule="exact"/>
                    <w:jc w:val="center"/>
                    <w:rPr>
                      <w:rFonts w:hint="default" w:eastAsia="宋体"/>
                      <w:color w:val="auto"/>
                      <w:szCs w:val="21"/>
                      <w:lang w:val="en-US" w:eastAsia="zh-CN"/>
                    </w:rPr>
                  </w:pPr>
                  <w:r>
                    <w:rPr>
                      <w:rFonts w:hint="eastAsia" w:eastAsia="等线"/>
                      <w:color w:val="auto"/>
                      <w:szCs w:val="21"/>
                      <w:lang w:val="en-US" w:eastAsia="zh-CN"/>
                    </w:rPr>
                    <w:t>0.5</w:t>
                  </w:r>
                </w:p>
              </w:tc>
              <w:tc>
                <w:tcPr>
                  <w:tcW w:w="1060" w:type="dxa"/>
                  <w:vAlign w:val="center"/>
                </w:tcPr>
                <w:p w14:paraId="28B856B0">
                  <w:pPr>
                    <w:spacing w:line="320" w:lineRule="exact"/>
                    <w:jc w:val="center"/>
                    <w:rPr>
                      <w:color w:val="auto"/>
                    </w:rPr>
                  </w:pPr>
                  <w:r>
                    <w:rPr>
                      <w:rFonts w:hint="eastAsia"/>
                      <w:color w:val="auto"/>
                      <w:lang w:val="en-US" w:eastAsia="zh-CN"/>
                    </w:rPr>
                    <w:t>依托</w:t>
                  </w:r>
                </w:p>
              </w:tc>
            </w:tr>
            <w:tr w14:paraId="2A8F0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692" w:type="dxa"/>
                  <w:vMerge w:val="continue"/>
                  <w:vAlign w:val="center"/>
                </w:tcPr>
                <w:p w14:paraId="57A32248">
                  <w:pPr>
                    <w:spacing w:line="320" w:lineRule="exact"/>
                    <w:jc w:val="center"/>
                    <w:rPr>
                      <w:rFonts w:hint="eastAsia" w:hAnsi="宋体"/>
                      <w:color w:val="auto"/>
                      <w:szCs w:val="21"/>
                    </w:rPr>
                  </w:pPr>
                </w:p>
              </w:tc>
              <w:tc>
                <w:tcPr>
                  <w:tcW w:w="5728" w:type="dxa"/>
                  <w:vAlign w:val="center"/>
                </w:tcPr>
                <w:p w14:paraId="5693C785">
                  <w:pPr>
                    <w:spacing w:line="320" w:lineRule="exact"/>
                    <w:rPr>
                      <w:rFonts w:hint="eastAsia"/>
                      <w:b/>
                      <w:color w:val="auto"/>
                      <w:szCs w:val="21"/>
                    </w:rPr>
                  </w:pPr>
                  <w:r>
                    <w:rPr>
                      <w:rFonts w:hint="eastAsia"/>
                      <w:b w:val="0"/>
                      <w:bCs/>
                      <w:color w:val="auto"/>
                    </w:rPr>
                    <w:t>餐厨垃圾、</w:t>
                  </w:r>
                  <w:r>
                    <w:rPr>
                      <w:rFonts w:hint="eastAsia"/>
                      <w:b w:val="0"/>
                      <w:bCs/>
                      <w:color w:val="auto"/>
                      <w:lang w:val="en-US" w:eastAsia="zh-CN"/>
                    </w:rPr>
                    <w:t>油水分离器</w:t>
                  </w:r>
                  <w:r>
                    <w:rPr>
                      <w:rFonts w:hint="eastAsia"/>
                      <w:b w:val="0"/>
                      <w:bCs/>
                      <w:color w:val="auto"/>
                    </w:rPr>
                    <w:t>废油脂：</w:t>
                  </w:r>
                  <w:r>
                    <w:rPr>
                      <w:b w:val="0"/>
                      <w:bCs/>
                      <w:color w:val="auto"/>
                    </w:rPr>
                    <w:t>交由具有餐厨垃圾处置资质单位处置</w:t>
                  </w:r>
                  <w:r>
                    <w:rPr>
                      <w:rFonts w:hint="eastAsia"/>
                      <w:b w:val="0"/>
                      <w:bCs/>
                      <w:color w:val="auto"/>
                    </w:rPr>
                    <w:t>。</w:t>
                  </w:r>
                </w:p>
              </w:tc>
              <w:tc>
                <w:tcPr>
                  <w:tcW w:w="1241" w:type="dxa"/>
                  <w:vAlign w:val="center"/>
                </w:tcPr>
                <w:p w14:paraId="2B8258D3">
                  <w:pPr>
                    <w:spacing w:line="320" w:lineRule="exact"/>
                    <w:jc w:val="center"/>
                    <w:rPr>
                      <w:rFonts w:hint="default" w:eastAsia="等线"/>
                      <w:color w:val="auto"/>
                      <w:szCs w:val="21"/>
                      <w:lang w:val="en-US" w:eastAsia="zh-CN"/>
                    </w:rPr>
                  </w:pPr>
                  <w:r>
                    <w:rPr>
                      <w:rFonts w:hint="eastAsia" w:eastAsia="等线"/>
                      <w:color w:val="auto"/>
                      <w:szCs w:val="21"/>
                      <w:lang w:val="en-US" w:eastAsia="zh-CN"/>
                    </w:rPr>
                    <w:t>1.0</w:t>
                  </w:r>
                </w:p>
              </w:tc>
              <w:tc>
                <w:tcPr>
                  <w:tcW w:w="1060" w:type="dxa"/>
                  <w:vAlign w:val="center"/>
                </w:tcPr>
                <w:p w14:paraId="33EB356C">
                  <w:pPr>
                    <w:spacing w:line="320" w:lineRule="exact"/>
                    <w:jc w:val="center"/>
                    <w:rPr>
                      <w:rFonts w:hint="default"/>
                      <w:color w:val="auto"/>
                      <w:lang w:val="en-US" w:eastAsia="zh-CN"/>
                    </w:rPr>
                  </w:pPr>
                  <w:r>
                    <w:rPr>
                      <w:rFonts w:hint="eastAsia"/>
                      <w:color w:val="auto"/>
                      <w:lang w:val="en-US" w:eastAsia="zh-CN"/>
                    </w:rPr>
                    <w:t>新建</w:t>
                  </w:r>
                </w:p>
              </w:tc>
            </w:tr>
            <w:tr w14:paraId="787E3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dxa"/>
                  <w:vAlign w:val="center"/>
                </w:tcPr>
                <w:p w14:paraId="18C4A2C0">
                  <w:pPr>
                    <w:spacing w:line="320" w:lineRule="exact"/>
                    <w:jc w:val="center"/>
                    <w:rPr>
                      <w:rFonts w:hint="eastAsia" w:hAnsi="宋体"/>
                      <w:color w:val="auto"/>
                      <w:szCs w:val="21"/>
                    </w:rPr>
                  </w:pPr>
                  <w:r>
                    <w:rPr>
                      <w:rFonts w:hint="eastAsia" w:hAnsi="宋体"/>
                      <w:color w:val="auto"/>
                      <w:szCs w:val="21"/>
                    </w:rPr>
                    <w:t>地下水</w:t>
                  </w:r>
                </w:p>
              </w:tc>
              <w:tc>
                <w:tcPr>
                  <w:tcW w:w="5728" w:type="dxa"/>
                  <w:vAlign w:val="center"/>
                </w:tcPr>
                <w:p w14:paraId="4AA45BD8">
                  <w:pPr>
                    <w:adjustRightInd w:val="0"/>
                    <w:snapToGrid w:val="0"/>
                    <w:spacing w:line="320" w:lineRule="exact"/>
                    <w:rPr>
                      <w:rFonts w:hint="eastAsia" w:hAnsi="宋体"/>
                      <w:bCs/>
                      <w:color w:val="auto"/>
                      <w:szCs w:val="21"/>
                    </w:rPr>
                  </w:pPr>
                  <w:r>
                    <w:rPr>
                      <w:rFonts w:hint="eastAsia"/>
                      <w:b w:val="0"/>
                      <w:bCs/>
                      <w:color w:val="auto"/>
                    </w:rPr>
                    <w:t>分区防治，对液态原料库进行重点防渗，采取“防风、防晒、防雨、防漏、防渗、防腐”措施，在现有地面防渗基础上，铺设2mmHDPE膜或其他等效防渗材料，同时设置0.2m高防渗防泄漏围堰，以及设置防渗托盘。</w:t>
                  </w:r>
                </w:p>
              </w:tc>
              <w:tc>
                <w:tcPr>
                  <w:tcW w:w="1241" w:type="dxa"/>
                  <w:vAlign w:val="center"/>
                </w:tcPr>
                <w:p w14:paraId="1E643ADF">
                  <w:pPr>
                    <w:spacing w:line="320" w:lineRule="exact"/>
                    <w:jc w:val="center"/>
                    <w:rPr>
                      <w:color w:val="auto"/>
                      <w:szCs w:val="21"/>
                    </w:rPr>
                  </w:pPr>
                  <w:r>
                    <w:rPr>
                      <w:rFonts w:hint="eastAsia" w:eastAsia="等线"/>
                      <w:color w:val="auto"/>
                      <w:szCs w:val="21"/>
                    </w:rPr>
                    <w:t>2</w:t>
                  </w:r>
                  <w:r>
                    <w:rPr>
                      <w:rFonts w:eastAsia="等线"/>
                      <w:color w:val="auto"/>
                      <w:szCs w:val="21"/>
                    </w:rPr>
                    <w:t>.0</w:t>
                  </w:r>
                </w:p>
              </w:tc>
              <w:tc>
                <w:tcPr>
                  <w:tcW w:w="1060" w:type="dxa"/>
                  <w:vAlign w:val="center"/>
                </w:tcPr>
                <w:p w14:paraId="063348D8">
                  <w:pPr>
                    <w:spacing w:line="320" w:lineRule="exact"/>
                    <w:jc w:val="center"/>
                    <w:rPr>
                      <w:color w:val="auto"/>
                    </w:rPr>
                  </w:pPr>
                  <w:r>
                    <w:rPr>
                      <w:rFonts w:hint="eastAsia"/>
                      <w:bCs/>
                      <w:color w:val="auto"/>
                    </w:rPr>
                    <w:t>新建</w:t>
                  </w:r>
                </w:p>
              </w:tc>
            </w:tr>
            <w:tr w14:paraId="731FA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92" w:type="dxa"/>
                  <w:vMerge w:val="restart"/>
                  <w:vAlign w:val="center"/>
                </w:tcPr>
                <w:p w14:paraId="1C79567D">
                  <w:pPr>
                    <w:spacing w:line="320" w:lineRule="exact"/>
                    <w:jc w:val="center"/>
                    <w:rPr>
                      <w:rFonts w:hint="eastAsia" w:hAnsi="宋体"/>
                      <w:color w:val="auto"/>
                      <w:szCs w:val="21"/>
                    </w:rPr>
                  </w:pPr>
                  <w:r>
                    <w:rPr>
                      <w:rFonts w:hint="eastAsia" w:hAnsi="宋体"/>
                      <w:color w:val="auto"/>
                      <w:szCs w:val="21"/>
                    </w:rPr>
                    <w:t>环境风险</w:t>
                  </w:r>
                </w:p>
              </w:tc>
              <w:tc>
                <w:tcPr>
                  <w:tcW w:w="5728" w:type="dxa"/>
                  <w:vAlign w:val="center"/>
                </w:tcPr>
                <w:p w14:paraId="75F7A816">
                  <w:pPr>
                    <w:spacing w:line="320" w:lineRule="exact"/>
                    <w:rPr>
                      <w:rFonts w:hint="eastAsia" w:hAnsi="宋体"/>
                      <w:bCs/>
                      <w:color w:val="auto"/>
                      <w:szCs w:val="21"/>
                    </w:rPr>
                  </w:pPr>
                  <w:r>
                    <w:rPr>
                      <w:rFonts w:hint="eastAsia" w:hAnsi="宋体"/>
                      <w:bCs/>
                      <w:color w:val="auto"/>
                      <w:szCs w:val="21"/>
                    </w:rPr>
                    <w:t>对危废暂存间铺设防渗层或等效措施。</w:t>
                  </w:r>
                </w:p>
              </w:tc>
              <w:tc>
                <w:tcPr>
                  <w:tcW w:w="1241" w:type="dxa"/>
                  <w:vAlign w:val="center"/>
                </w:tcPr>
                <w:p w14:paraId="38F85A6A">
                  <w:pPr>
                    <w:spacing w:line="320" w:lineRule="exact"/>
                    <w:jc w:val="center"/>
                    <w:rPr>
                      <w:color w:val="auto"/>
                      <w:szCs w:val="21"/>
                    </w:rPr>
                  </w:pPr>
                  <w:r>
                    <w:rPr>
                      <w:rFonts w:hint="eastAsia" w:eastAsia="等线"/>
                      <w:color w:val="auto"/>
                      <w:szCs w:val="21"/>
                    </w:rPr>
                    <w:t>/</w:t>
                  </w:r>
                </w:p>
              </w:tc>
              <w:tc>
                <w:tcPr>
                  <w:tcW w:w="1060" w:type="dxa"/>
                  <w:vAlign w:val="center"/>
                </w:tcPr>
                <w:p w14:paraId="2AB16941">
                  <w:pPr>
                    <w:spacing w:line="320" w:lineRule="exact"/>
                    <w:ind w:left="-105" w:leftChars="-50" w:right="-105" w:rightChars="-50"/>
                    <w:jc w:val="center"/>
                    <w:rPr>
                      <w:color w:val="auto"/>
                    </w:rPr>
                  </w:pPr>
                  <w:r>
                    <w:rPr>
                      <w:rFonts w:hint="eastAsia"/>
                      <w:color w:val="auto"/>
                    </w:rPr>
                    <w:t>纳入地下水防范措施</w:t>
                  </w:r>
                </w:p>
              </w:tc>
            </w:tr>
            <w:tr w14:paraId="12D56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dxa"/>
                  <w:vMerge w:val="continue"/>
                  <w:vAlign w:val="center"/>
                </w:tcPr>
                <w:p w14:paraId="204EC531">
                  <w:pPr>
                    <w:spacing w:line="320" w:lineRule="exact"/>
                    <w:jc w:val="center"/>
                    <w:rPr>
                      <w:rFonts w:hint="eastAsia" w:hAnsi="宋体"/>
                      <w:color w:val="auto"/>
                      <w:szCs w:val="21"/>
                    </w:rPr>
                  </w:pPr>
                </w:p>
              </w:tc>
              <w:tc>
                <w:tcPr>
                  <w:tcW w:w="5728" w:type="dxa"/>
                  <w:vAlign w:val="center"/>
                </w:tcPr>
                <w:p w14:paraId="08EF9DA1">
                  <w:pPr>
                    <w:pStyle w:val="67"/>
                    <w:widowControl/>
                    <w:spacing w:line="320" w:lineRule="exact"/>
                    <w:jc w:val="both"/>
                    <w:rPr>
                      <w:rFonts w:ascii="Times New Roman" w:hAnsi="Times New Roman"/>
                      <w:color w:val="auto"/>
                      <w:kern w:val="2"/>
                      <w:sz w:val="21"/>
                      <w:szCs w:val="21"/>
                    </w:rPr>
                  </w:pPr>
                  <w:r>
                    <w:rPr>
                      <w:rFonts w:ascii="Times New Roman" w:hAnsi="Times New Roman"/>
                      <w:color w:val="auto"/>
                      <w:kern w:val="2"/>
                      <w:sz w:val="21"/>
                      <w:szCs w:val="21"/>
                    </w:rPr>
                    <w:t>消防设施定期检查，维护，电器线路定期检查、维修、保养</w:t>
                  </w:r>
                  <w:r>
                    <w:rPr>
                      <w:rFonts w:hint="eastAsia"/>
                      <w:color w:val="auto"/>
                      <w:szCs w:val="21"/>
                    </w:rPr>
                    <w:t>。</w:t>
                  </w:r>
                </w:p>
              </w:tc>
              <w:tc>
                <w:tcPr>
                  <w:tcW w:w="1241" w:type="dxa"/>
                  <w:vAlign w:val="center"/>
                </w:tcPr>
                <w:p w14:paraId="6B7EDF22">
                  <w:pPr>
                    <w:spacing w:line="320" w:lineRule="exact"/>
                    <w:jc w:val="center"/>
                    <w:rPr>
                      <w:color w:val="auto"/>
                      <w:szCs w:val="21"/>
                    </w:rPr>
                  </w:pPr>
                  <w:r>
                    <w:rPr>
                      <w:rFonts w:eastAsia="等线"/>
                      <w:color w:val="auto"/>
                      <w:szCs w:val="21"/>
                    </w:rPr>
                    <w:t>1.0</w:t>
                  </w:r>
                </w:p>
              </w:tc>
              <w:tc>
                <w:tcPr>
                  <w:tcW w:w="1060" w:type="dxa"/>
                  <w:vAlign w:val="center"/>
                </w:tcPr>
                <w:p w14:paraId="7D431DA6">
                  <w:pPr>
                    <w:spacing w:line="320" w:lineRule="exact"/>
                    <w:jc w:val="center"/>
                    <w:rPr>
                      <w:color w:val="auto"/>
                    </w:rPr>
                  </w:pPr>
                  <w:r>
                    <w:rPr>
                      <w:rFonts w:hint="eastAsia"/>
                      <w:color w:val="auto"/>
                    </w:rPr>
                    <w:t>/</w:t>
                  </w:r>
                </w:p>
              </w:tc>
            </w:tr>
            <w:tr w14:paraId="2BD637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dxa"/>
                  <w:vMerge w:val="continue"/>
                  <w:vAlign w:val="center"/>
                </w:tcPr>
                <w:p w14:paraId="1F857A41">
                  <w:pPr>
                    <w:spacing w:line="320" w:lineRule="exact"/>
                    <w:jc w:val="center"/>
                    <w:rPr>
                      <w:rFonts w:hint="eastAsia" w:hAnsi="宋体"/>
                      <w:color w:val="auto"/>
                      <w:szCs w:val="21"/>
                    </w:rPr>
                  </w:pPr>
                </w:p>
              </w:tc>
              <w:tc>
                <w:tcPr>
                  <w:tcW w:w="5728" w:type="dxa"/>
                  <w:vAlign w:val="center"/>
                </w:tcPr>
                <w:p w14:paraId="5EAFC4D0">
                  <w:pPr>
                    <w:widowControl/>
                    <w:spacing w:line="320" w:lineRule="exact"/>
                    <w:rPr>
                      <w:color w:val="auto"/>
                      <w:szCs w:val="21"/>
                    </w:rPr>
                  </w:pPr>
                  <w:r>
                    <w:rPr>
                      <w:rFonts w:hint="eastAsia"/>
                      <w:color w:val="auto"/>
                      <w:szCs w:val="21"/>
                    </w:rPr>
                    <w:t>制定切合企业实际情况的应急预案。</w:t>
                  </w:r>
                </w:p>
              </w:tc>
              <w:tc>
                <w:tcPr>
                  <w:tcW w:w="1241" w:type="dxa"/>
                  <w:vAlign w:val="center"/>
                </w:tcPr>
                <w:p w14:paraId="181E380E">
                  <w:pPr>
                    <w:spacing w:line="320" w:lineRule="exact"/>
                    <w:jc w:val="center"/>
                    <w:rPr>
                      <w:rFonts w:hint="default" w:eastAsia="宋体"/>
                      <w:color w:val="auto"/>
                      <w:szCs w:val="21"/>
                      <w:lang w:val="en-US" w:eastAsia="zh-CN"/>
                    </w:rPr>
                  </w:pPr>
                  <w:r>
                    <w:rPr>
                      <w:rFonts w:hint="eastAsia" w:eastAsia="等线"/>
                      <w:color w:val="auto"/>
                      <w:szCs w:val="21"/>
                      <w:lang w:val="en-US" w:eastAsia="zh-CN"/>
                    </w:rPr>
                    <w:t>1.0</w:t>
                  </w:r>
                </w:p>
              </w:tc>
              <w:tc>
                <w:tcPr>
                  <w:tcW w:w="1060" w:type="dxa"/>
                  <w:vAlign w:val="center"/>
                </w:tcPr>
                <w:p w14:paraId="5A59386B">
                  <w:pPr>
                    <w:spacing w:line="320" w:lineRule="exact"/>
                    <w:jc w:val="center"/>
                    <w:rPr>
                      <w:color w:val="auto"/>
                    </w:rPr>
                  </w:pPr>
                  <w:r>
                    <w:rPr>
                      <w:rFonts w:hint="eastAsia"/>
                      <w:color w:val="auto"/>
                    </w:rPr>
                    <w:t>/</w:t>
                  </w:r>
                </w:p>
              </w:tc>
            </w:tr>
            <w:tr w14:paraId="138783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dxa"/>
                  <w:vMerge w:val="continue"/>
                  <w:vAlign w:val="center"/>
                </w:tcPr>
                <w:p w14:paraId="54242EF6">
                  <w:pPr>
                    <w:spacing w:line="320" w:lineRule="exact"/>
                    <w:jc w:val="center"/>
                    <w:rPr>
                      <w:rFonts w:hint="eastAsia" w:hAnsi="宋体"/>
                      <w:color w:val="auto"/>
                      <w:szCs w:val="21"/>
                    </w:rPr>
                  </w:pPr>
                </w:p>
              </w:tc>
              <w:tc>
                <w:tcPr>
                  <w:tcW w:w="5728" w:type="dxa"/>
                  <w:vAlign w:val="center"/>
                </w:tcPr>
                <w:p w14:paraId="0B2A7826">
                  <w:pPr>
                    <w:widowControl/>
                    <w:spacing w:line="320" w:lineRule="exact"/>
                    <w:jc w:val="left"/>
                    <w:rPr>
                      <w:color w:val="auto"/>
                      <w:szCs w:val="21"/>
                    </w:rPr>
                  </w:pPr>
                  <w:r>
                    <w:rPr>
                      <w:color w:val="auto"/>
                      <w:szCs w:val="21"/>
                    </w:rPr>
                    <w:t>设置消防栓、灭火器</w:t>
                  </w:r>
                  <w:r>
                    <w:rPr>
                      <w:rFonts w:hint="eastAsia"/>
                      <w:color w:val="auto"/>
                      <w:szCs w:val="21"/>
                    </w:rPr>
                    <w:t xml:space="preserve">、防火标牌。 </w:t>
                  </w:r>
                </w:p>
              </w:tc>
              <w:tc>
                <w:tcPr>
                  <w:tcW w:w="1241" w:type="dxa"/>
                  <w:vAlign w:val="center"/>
                </w:tcPr>
                <w:p w14:paraId="7750090B">
                  <w:pPr>
                    <w:spacing w:line="320" w:lineRule="exact"/>
                    <w:jc w:val="center"/>
                    <w:rPr>
                      <w:color w:val="auto"/>
                      <w:szCs w:val="21"/>
                    </w:rPr>
                  </w:pPr>
                  <w:r>
                    <w:rPr>
                      <w:rFonts w:eastAsia="等线"/>
                      <w:color w:val="auto"/>
                      <w:szCs w:val="21"/>
                    </w:rPr>
                    <w:t>1.0</w:t>
                  </w:r>
                </w:p>
              </w:tc>
              <w:tc>
                <w:tcPr>
                  <w:tcW w:w="1060" w:type="dxa"/>
                  <w:vAlign w:val="center"/>
                </w:tcPr>
                <w:p w14:paraId="5477D086">
                  <w:pPr>
                    <w:spacing w:line="320" w:lineRule="exact"/>
                    <w:jc w:val="center"/>
                    <w:rPr>
                      <w:color w:val="auto"/>
                    </w:rPr>
                  </w:pPr>
                  <w:r>
                    <w:rPr>
                      <w:rFonts w:hint="eastAsia"/>
                      <w:color w:val="auto"/>
                    </w:rPr>
                    <w:t>/</w:t>
                  </w:r>
                </w:p>
              </w:tc>
            </w:tr>
            <w:tr w14:paraId="492FF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0" w:type="dxa"/>
                  <w:gridSpan w:val="2"/>
                  <w:vAlign w:val="center"/>
                </w:tcPr>
                <w:p w14:paraId="50C57DB6">
                  <w:pPr>
                    <w:spacing w:line="320" w:lineRule="exact"/>
                    <w:jc w:val="center"/>
                    <w:rPr>
                      <w:rFonts w:hint="eastAsia" w:hAnsi="宋体"/>
                      <w:bCs/>
                      <w:color w:val="auto"/>
                      <w:szCs w:val="21"/>
                    </w:rPr>
                  </w:pPr>
                  <w:r>
                    <w:rPr>
                      <w:rFonts w:hint="eastAsia" w:hAnsi="宋体"/>
                      <w:bCs/>
                      <w:color w:val="auto"/>
                      <w:szCs w:val="21"/>
                    </w:rPr>
                    <w:t>合计</w:t>
                  </w:r>
                </w:p>
              </w:tc>
              <w:tc>
                <w:tcPr>
                  <w:tcW w:w="1241" w:type="dxa"/>
                  <w:vAlign w:val="center"/>
                </w:tcPr>
                <w:p w14:paraId="43748D4D">
                  <w:pPr>
                    <w:spacing w:line="320" w:lineRule="exact"/>
                    <w:jc w:val="center"/>
                    <w:rPr>
                      <w:rFonts w:hint="default" w:eastAsia="宋体"/>
                      <w:color w:val="auto"/>
                      <w:szCs w:val="21"/>
                      <w:lang w:val="en-US" w:eastAsia="zh-CN"/>
                    </w:rPr>
                  </w:pPr>
                  <w:r>
                    <w:rPr>
                      <w:rFonts w:hint="eastAsia"/>
                      <w:color w:val="auto"/>
                      <w:szCs w:val="21"/>
                      <w:lang w:val="en-US" w:eastAsia="zh-CN"/>
                    </w:rPr>
                    <w:t>40.0</w:t>
                  </w:r>
                </w:p>
              </w:tc>
              <w:tc>
                <w:tcPr>
                  <w:tcW w:w="1060" w:type="dxa"/>
                  <w:vAlign w:val="center"/>
                </w:tcPr>
                <w:p w14:paraId="695DA92C">
                  <w:pPr>
                    <w:spacing w:line="320" w:lineRule="exact"/>
                    <w:jc w:val="center"/>
                    <w:rPr>
                      <w:color w:val="auto"/>
                    </w:rPr>
                  </w:pPr>
                </w:p>
              </w:tc>
            </w:tr>
            <w:bookmarkEnd w:id="66"/>
          </w:tbl>
          <w:p w14:paraId="70A69705">
            <w:pPr>
              <w:autoSpaceDE w:val="0"/>
              <w:autoSpaceDN w:val="0"/>
              <w:adjustRightInd w:val="0"/>
              <w:spacing w:line="360" w:lineRule="auto"/>
              <w:ind w:firstLine="482" w:firstLineChars="200"/>
              <w:jc w:val="left"/>
              <w:rPr>
                <w:b/>
                <w:color w:val="auto"/>
                <w:sz w:val="24"/>
                <w:highlight w:val="none"/>
              </w:rPr>
            </w:pPr>
            <w:r>
              <w:rPr>
                <w:rFonts w:hint="eastAsia"/>
                <w:b/>
                <w:color w:val="auto"/>
                <w:sz w:val="24"/>
                <w:highlight w:val="none"/>
              </w:rPr>
              <w:t>1</w:t>
            </w:r>
            <w:r>
              <w:rPr>
                <w:b/>
                <w:color w:val="auto"/>
                <w:sz w:val="24"/>
                <w:highlight w:val="none"/>
              </w:rPr>
              <w:t>0</w:t>
            </w:r>
            <w:r>
              <w:rPr>
                <w:rFonts w:hint="eastAsia"/>
                <w:b/>
                <w:color w:val="auto"/>
                <w:sz w:val="24"/>
                <w:highlight w:val="none"/>
              </w:rPr>
              <w:t>、本项目三本账</w:t>
            </w:r>
          </w:p>
          <w:p w14:paraId="623EECD1">
            <w:pPr>
              <w:adjustRightInd w:val="0"/>
              <w:snapToGrid w:val="0"/>
              <w:spacing w:line="360" w:lineRule="auto"/>
              <w:ind w:firstLine="480" w:firstLineChars="200"/>
              <w:rPr>
                <w:bCs/>
                <w:color w:val="auto"/>
                <w:sz w:val="24"/>
                <w:highlight w:val="none"/>
              </w:rPr>
            </w:pPr>
            <w:r>
              <w:rPr>
                <w:bCs/>
                <w:color w:val="auto"/>
                <w:sz w:val="24"/>
                <w:highlight w:val="none"/>
              </w:rPr>
              <w:t>本项目</w:t>
            </w:r>
            <w:r>
              <w:rPr>
                <w:rFonts w:hint="eastAsia"/>
                <w:bCs/>
                <w:color w:val="auto"/>
                <w:sz w:val="24"/>
                <w:highlight w:val="none"/>
              </w:rPr>
              <w:t>建设</w:t>
            </w:r>
            <w:r>
              <w:rPr>
                <w:bCs/>
                <w:color w:val="auto"/>
                <w:sz w:val="24"/>
                <w:highlight w:val="none"/>
              </w:rPr>
              <w:t>后，项目污染源“三本账”情况见</w:t>
            </w:r>
            <w:r>
              <w:rPr>
                <w:rFonts w:hint="eastAsia"/>
                <w:bCs/>
                <w:color w:val="auto"/>
                <w:sz w:val="24"/>
                <w:highlight w:val="none"/>
              </w:rPr>
              <w:t>下表</w:t>
            </w:r>
            <w:r>
              <w:rPr>
                <w:bCs/>
                <w:color w:val="auto"/>
                <w:sz w:val="24"/>
                <w:highlight w:val="none"/>
              </w:rPr>
              <w:t>。</w:t>
            </w:r>
          </w:p>
          <w:p w14:paraId="046BC35F">
            <w:pPr>
              <w:jc w:val="center"/>
              <w:rPr>
                <w:b/>
                <w:color w:val="auto"/>
                <w:szCs w:val="21"/>
                <w:highlight w:val="none"/>
              </w:rPr>
            </w:pPr>
            <w:r>
              <w:rPr>
                <w:b/>
                <w:color w:val="auto"/>
                <w:szCs w:val="21"/>
                <w:highlight w:val="none"/>
              </w:rPr>
              <w:t>表4-</w:t>
            </w:r>
            <w:r>
              <w:rPr>
                <w:rFonts w:hint="eastAsia"/>
                <w:b/>
                <w:color w:val="auto"/>
                <w:szCs w:val="21"/>
                <w:highlight w:val="none"/>
                <w:lang w:val="en-US" w:eastAsia="zh-CN"/>
              </w:rPr>
              <w:t>34</w:t>
            </w:r>
            <w:r>
              <w:rPr>
                <w:b/>
                <w:color w:val="auto"/>
                <w:szCs w:val="21"/>
                <w:highlight w:val="none"/>
              </w:rPr>
              <w:t xml:space="preserve">  项目建成后污染源“三本账”</w:t>
            </w:r>
          </w:p>
          <w:tbl>
            <w:tblPr>
              <w:tblStyle w:val="25"/>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1425"/>
              <w:gridCol w:w="1094"/>
              <w:gridCol w:w="1250"/>
              <w:gridCol w:w="960"/>
              <w:gridCol w:w="1080"/>
              <w:gridCol w:w="2047"/>
            </w:tblGrid>
            <w:tr w14:paraId="713D63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9" w:type="pct"/>
                  <w:tcBorders>
                    <w:tl2br w:val="nil"/>
                    <w:tr2bl w:val="nil"/>
                  </w:tcBorders>
                  <w:vAlign w:val="center"/>
                </w:tcPr>
                <w:p w14:paraId="0CD16F8B">
                  <w:pPr>
                    <w:spacing w:line="320" w:lineRule="exact"/>
                    <w:ind w:left="-105" w:leftChars="-50" w:right="-105" w:rightChars="-50"/>
                    <w:jc w:val="center"/>
                    <w:rPr>
                      <w:b/>
                      <w:color w:val="auto"/>
                      <w:szCs w:val="21"/>
                      <w:highlight w:val="none"/>
                    </w:rPr>
                  </w:pPr>
                  <w:r>
                    <w:rPr>
                      <w:b/>
                      <w:color w:val="auto"/>
                      <w:szCs w:val="21"/>
                      <w:highlight w:val="none"/>
                    </w:rPr>
                    <w:t>类别</w:t>
                  </w:r>
                </w:p>
              </w:tc>
              <w:tc>
                <w:tcPr>
                  <w:tcW w:w="805" w:type="pct"/>
                  <w:tcBorders>
                    <w:tl2br w:val="nil"/>
                    <w:tr2bl w:val="nil"/>
                  </w:tcBorders>
                  <w:vAlign w:val="center"/>
                </w:tcPr>
                <w:p w14:paraId="6366E763">
                  <w:pPr>
                    <w:spacing w:line="320" w:lineRule="exact"/>
                    <w:ind w:left="-105" w:leftChars="-50" w:right="-105" w:rightChars="-50"/>
                    <w:jc w:val="center"/>
                    <w:rPr>
                      <w:b/>
                      <w:color w:val="auto"/>
                      <w:szCs w:val="21"/>
                      <w:highlight w:val="none"/>
                    </w:rPr>
                  </w:pPr>
                  <w:r>
                    <w:rPr>
                      <w:b/>
                      <w:color w:val="auto"/>
                      <w:szCs w:val="21"/>
                      <w:highlight w:val="none"/>
                    </w:rPr>
                    <w:t>污染物名称</w:t>
                  </w:r>
                </w:p>
              </w:tc>
              <w:tc>
                <w:tcPr>
                  <w:tcW w:w="618" w:type="pct"/>
                  <w:tcBorders>
                    <w:tl2br w:val="nil"/>
                    <w:tr2bl w:val="nil"/>
                  </w:tcBorders>
                  <w:vAlign w:val="center"/>
                </w:tcPr>
                <w:p w14:paraId="4F94A9E5">
                  <w:pPr>
                    <w:spacing w:line="320" w:lineRule="exact"/>
                    <w:ind w:left="-105" w:leftChars="-50" w:right="-105" w:rightChars="-50"/>
                    <w:jc w:val="center"/>
                    <w:rPr>
                      <w:b/>
                      <w:bCs/>
                      <w:color w:val="auto"/>
                      <w:szCs w:val="21"/>
                      <w:highlight w:val="none"/>
                    </w:rPr>
                  </w:pPr>
                  <w:r>
                    <w:rPr>
                      <w:b/>
                      <w:bCs/>
                      <w:color w:val="auto"/>
                      <w:szCs w:val="21"/>
                      <w:highlight w:val="none"/>
                    </w:rPr>
                    <w:t>现有工程</w:t>
                  </w:r>
                </w:p>
                <w:p w14:paraId="4060485A">
                  <w:pPr>
                    <w:spacing w:line="320" w:lineRule="exact"/>
                    <w:ind w:left="-105" w:leftChars="-50" w:right="-105" w:rightChars="-50"/>
                    <w:jc w:val="center"/>
                    <w:rPr>
                      <w:b/>
                      <w:color w:val="auto"/>
                      <w:szCs w:val="21"/>
                      <w:highlight w:val="none"/>
                    </w:rPr>
                  </w:pPr>
                  <w:r>
                    <w:rPr>
                      <w:b/>
                      <w:bCs/>
                      <w:color w:val="auto"/>
                      <w:szCs w:val="21"/>
                      <w:highlight w:val="none"/>
                    </w:rPr>
                    <w:t>排放量</w:t>
                  </w:r>
                </w:p>
              </w:tc>
              <w:tc>
                <w:tcPr>
                  <w:tcW w:w="706" w:type="pct"/>
                  <w:tcBorders>
                    <w:tl2br w:val="nil"/>
                    <w:tr2bl w:val="nil"/>
                  </w:tcBorders>
                  <w:vAlign w:val="center"/>
                </w:tcPr>
                <w:p w14:paraId="3BF35481">
                  <w:pPr>
                    <w:spacing w:line="320" w:lineRule="exact"/>
                    <w:ind w:left="-105" w:leftChars="-50" w:right="-105" w:rightChars="-50"/>
                    <w:jc w:val="center"/>
                    <w:rPr>
                      <w:b/>
                      <w:color w:val="auto"/>
                      <w:szCs w:val="21"/>
                      <w:highlight w:val="none"/>
                    </w:rPr>
                  </w:pPr>
                  <w:r>
                    <w:rPr>
                      <w:b/>
                      <w:color w:val="auto"/>
                      <w:szCs w:val="21"/>
                      <w:highlight w:val="none"/>
                    </w:rPr>
                    <w:t>“以新带老”</w:t>
                  </w:r>
                </w:p>
                <w:p w14:paraId="7BF24456">
                  <w:pPr>
                    <w:spacing w:line="320" w:lineRule="exact"/>
                    <w:ind w:left="-105" w:leftChars="-50" w:right="-105" w:rightChars="-50"/>
                    <w:jc w:val="center"/>
                    <w:rPr>
                      <w:b/>
                      <w:color w:val="auto"/>
                      <w:szCs w:val="21"/>
                      <w:highlight w:val="none"/>
                    </w:rPr>
                  </w:pPr>
                  <w:r>
                    <w:rPr>
                      <w:b/>
                      <w:color w:val="auto"/>
                      <w:szCs w:val="21"/>
                      <w:highlight w:val="none"/>
                    </w:rPr>
                    <w:t>削减量</w:t>
                  </w:r>
                </w:p>
              </w:tc>
              <w:tc>
                <w:tcPr>
                  <w:tcW w:w="542" w:type="pct"/>
                  <w:tcBorders>
                    <w:tl2br w:val="nil"/>
                    <w:tr2bl w:val="nil"/>
                  </w:tcBorders>
                  <w:vAlign w:val="center"/>
                </w:tcPr>
                <w:p w14:paraId="31DFF750">
                  <w:pPr>
                    <w:spacing w:line="320" w:lineRule="exact"/>
                    <w:ind w:left="-105" w:leftChars="-50" w:right="-105" w:rightChars="-50"/>
                    <w:jc w:val="center"/>
                    <w:rPr>
                      <w:b/>
                      <w:color w:val="auto"/>
                      <w:szCs w:val="21"/>
                      <w:highlight w:val="none"/>
                    </w:rPr>
                  </w:pPr>
                  <w:r>
                    <w:rPr>
                      <w:b/>
                      <w:bCs/>
                      <w:color w:val="auto"/>
                      <w:szCs w:val="21"/>
                      <w:highlight w:val="none"/>
                    </w:rPr>
                    <w:t>本项目排放量</w:t>
                  </w:r>
                </w:p>
              </w:tc>
              <w:tc>
                <w:tcPr>
                  <w:tcW w:w="610" w:type="pct"/>
                  <w:tcBorders>
                    <w:tl2br w:val="nil"/>
                    <w:tr2bl w:val="nil"/>
                  </w:tcBorders>
                  <w:vAlign w:val="center"/>
                </w:tcPr>
                <w:p w14:paraId="225937B7">
                  <w:pPr>
                    <w:spacing w:line="320" w:lineRule="exact"/>
                    <w:ind w:left="-105" w:leftChars="-50" w:right="-105" w:rightChars="-50"/>
                    <w:jc w:val="center"/>
                    <w:rPr>
                      <w:b/>
                      <w:color w:val="auto"/>
                      <w:szCs w:val="21"/>
                      <w:highlight w:val="none"/>
                    </w:rPr>
                  </w:pPr>
                  <w:r>
                    <w:rPr>
                      <w:b/>
                      <w:bCs/>
                      <w:color w:val="auto"/>
                      <w:szCs w:val="21"/>
                      <w:highlight w:val="none"/>
                    </w:rPr>
                    <w:t>本项目建设后总排放量</w:t>
                  </w:r>
                </w:p>
              </w:tc>
              <w:tc>
                <w:tcPr>
                  <w:tcW w:w="1156" w:type="pct"/>
                  <w:tcBorders>
                    <w:tl2br w:val="nil"/>
                    <w:tr2bl w:val="nil"/>
                  </w:tcBorders>
                  <w:vAlign w:val="center"/>
                </w:tcPr>
                <w:p w14:paraId="577890C9">
                  <w:pPr>
                    <w:jc w:val="center"/>
                    <w:rPr>
                      <w:b/>
                      <w:bCs/>
                      <w:color w:val="auto"/>
                      <w:szCs w:val="21"/>
                      <w:highlight w:val="none"/>
                    </w:rPr>
                  </w:pPr>
                  <w:r>
                    <w:rPr>
                      <w:b/>
                      <w:bCs/>
                      <w:color w:val="auto"/>
                      <w:szCs w:val="21"/>
                      <w:highlight w:val="none"/>
                    </w:rPr>
                    <w:t>本项目建设前后排放增减量（增：+；减：-）</w:t>
                  </w:r>
                </w:p>
              </w:tc>
            </w:tr>
            <w:tr w14:paraId="4FA599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559" w:type="pct"/>
                  <w:vMerge w:val="restart"/>
                  <w:tcBorders>
                    <w:tl2br w:val="nil"/>
                    <w:tr2bl w:val="nil"/>
                  </w:tcBorders>
                  <w:vAlign w:val="center"/>
                </w:tcPr>
                <w:p w14:paraId="5C47131B">
                  <w:pPr>
                    <w:spacing w:line="320" w:lineRule="exact"/>
                    <w:ind w:left="-105" w:leftChars="-50" w:right="-105" w:rightChars="-50"/>
                    <w:jc w:val="center"/>
                    <w:rPr>
                      <w:color w:val="auto"/>
                      <w:szCs w:val="21"/>
                      <w:highlight w:val="none"/>
                    </w:rPr>
                  </w:pPr>
                  <w:r>
                    <w:rPr>
                      <w:color w:val="auto"/>
                      <w:szCs w:val="21"/>
                      <w:highlight w:val="none"/>
                    </w:rPr>
                    <w:t>废水</w:t>
                  </w:r>
                </w:p>
                <w:p w14:paraId="7870F9E5">
                  <w:pPr>
                    <w:spacing w:line="320" w:lineRule="exact"/>
                    <w:ind w:left="-105" w:leftChars="-50" w:right="-105" w:rightChars="-50"/>
                    <w:jc w:val="center"/>
                    <w:rPr>
                      <w:color w:val="auto"/>
                      <w:szCs w:val="21"/>
                      <w:highlight w:val="none"/>
                    </w:rPr>
                  </w:pPr>
                  <w:r>
                    <w:rPr>
                      <w:color w:val="auto"/>
                      <w:szCs w:val="21"/>
                      <w:highlight w:val="none"/>
                    </w:rPr>
                    <w:t>（企业排口）</w:t>
                  </w:r>
                </w:p>
              </w:tc>
              <w:tc>
                <w:tcPr>
                  <w:tcW w:w="805" w:type="pct"/>
                  <w:tcBorders>
                    <w:tl2br w:val="nil"/>
                    <w:tr2bl w:val="nil"/>
                  </w:tcBorders>
                  <w:vAlign w:val="center"/>
                </w:tcPr>
                <w:p w14:paraId="5A9960ED">
                  <w:pPr>
                    <w:spacing w:line="320" w:lineRule="exact"/>
                    <w:ind w:left="-105" w:leftChars="-50" w:right="-105" w:rightChars="-50"/>
                    <w:jc w:val="center"/>
                    <w:rPr>
                      <w:color w:val="auto"/>
                      <w:szCs w:val="21"/>
                      <w:highlight w:val="none"/>
                    </w:rPr>
                  </w:pPr>
                  <w:r>
                    <w:rPr>
                      <w:color w:val="auto"/>
                      <w:szCs w:val="21"/>
                      <w:highlight w:val="none"/>
                    </w:rPr>
                    <w:t>废水量m</w:t>
                  </w:r>
                  <w:r>
                    <w:rPr>
                      <w:color w:val="auto"/>
                      <w:szCs w:val="21"/>
                      <w:highlight w:val="none"/>
                      <w:vertAlign w:val="superscript"/>
                    </w:rPr>
                    <w:t>3</w:t>
                  </w:r>
                  <w:r>
                    <w:rPr>
                      <w:color w:val="auto"/>
                      <w:szCs w:val="21"/>
                      <w:highlight w:val="none"/>
                    </w:rPr>
                    <w:t>/a</w:t>
                  </w:r>
                </w:p>
              </w:tc>
              <w:tc>
                <w:tcPr>
                  <w:tcW w:w="618" w:type="pct"/>
                  <w:tcBorders>
                    <w:tl2br w:val="nil"/>
                    <w:tr2bl w:val="nil"/>
                  </w:tcBorders>
                  <w:vAlign w:val="center"/>
                </w:tcPr>
                <w:p w14:paraId="18490006">
                  <w:pPr>
                    <w:pStyle w:val="7"/>
                    <w:spacing w:line="320" w:lineRule="exact"/>
                    <w:ind w:left="-50" w:right="-5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kern w:val="0"/>
                      <w:sz w:val="21"/>
                      <w:szCs w:val="21"/>
                      <w:highlight w:val="none"/>
                      <w:lang w:val="en-US" w:eastAsia="zh-CN"/>
                    </w:rPr>
                    <w:t>588</w:t>
                  </w:r>
                </w:p>
              </w:tc>
              <w:tc>
                <w:tcPr>
                  <w:tcW w:w="706" w:type="pct"/>
                  <w:tcBorders>
                    <w:tl2br w:val="nil"/>
                    <w:tr2bl w:val="nil"/>
                  </w:tcBorders>
                  <w:vAlign w:val="center"/>
                </w:tcPr>
                <w:p w14:paraId="0F303E66">
                  <w:pPr>
                    <w:pStyle w:val="7"/>
                    <w:spacing w:line="320" w:lineRule="exact"/>
                    <w:ind w:left="-50" w:right="-5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kern w:val="0"/>
                      <w:sz w:val="21"/>
                      <w:szCs w:val="21"/>
                      <w:highlight w:val="none"/>
                      <w:lang w:val="en-US" w:eastAsia="zh-CN"/>
                    </w:rPr>
                    <w:t>0</w:t>
                  </w:r>
                </w:p>
              </w:tc>
              <w:tc>
                <w:tcPr>
                  <w:tcW w:w="542" w:type="pct"/>
                  <w:tcBorders>
                    <w:tl2br w:val="nil"/>
                    <w:tr2bl w:val="nil"/>
                  </w:tcBorders>
                  <w:vAlign w:val="center"/>
                </w:tcPr>
                <w:p w14:paraId="10BD79F3">
                  <w:pPr>
                    <w:pStyle w:val="7"/>
                    <w:spacing w:line="320" w:lineRule="exact"/>
                    <w:ind w:left="-50" w:right="-5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4152</w:t>
                  </w:r>
                </w:p>
              </w:tc>
              <w:tc>
                <w:tcPr>
                  <w:tcW w:w="610" w:type="pct"/>
                  <w:tcBorders>
                    <w:tl2br w:val="nil"/>
                    <w:tr2bl w:val="nil"/>
                  </w:tcBorders>
                  <w:vAlign w:val="center"/>
                </w:tcPr>
                <w:p w14:paraId="28220750">
                  <w:pPr>
                    <w:pStyle w:val="7"/>
                    <w:spacing w:line="320" w:lineRule="exact"/>
                    <w:ind w:left="-50" w:right="-50"/>
                    <w:jc w:val="center"/>
                    <w:rPr>
                      <w:rFonts w:hint="default" w:ascii="Times New Roman" w:hAnsi="Times New Roman"/>
                      <w:color w:val="auto"/>
                      <w:sz w:val="21"/>
                      <w:szCs w:val="21"/>
                      <w:highlight w:val="none"/>
                      <w:lang w:val="en-US"/>
                    </w:rPr>
                  </w:pPr>
                  <w:r>
                    <w:rPr>
                      <w:rFonts w:hint="eastAsia" w:ascii="Times New Roman" w:hAnsi="Times New Roman"/>
                      <w:color w:val="auto"/>
                      <w:sz w:val="21"/>
                      <w:szCs w:val="21"/>
                      <w:highlight w:val="none"/>
                      <w:lang w:val="en-US" w:eastAsia="zh-CN"/>
                    </w:rPr>
                    <w:t>4740</w:t>
                  </w:r>
                </w:p>
              </w:tc>
              <w:tc>
                <w:tcPr>
                  <w:tcW w:w="1156" w:type="pct"/>
                  <w:tcBorders>
                    <w:tl2br w:val="nil"/>
                    <w:tr2bl w:val="nil"/>
                  </w:tcBorders>
                  <w:vAlign w:val="center"/>
                </w:tcPr>
                <w:p w14:paraId="7DF49655">
                  <w:pPr>
                    <w:pStyle w:val="7"/>
                    <w:spacing w:line="320" w:lineRule="exact"/>
                    <w:ind w:left="-50" w:right="-50"/>
                    <w:jc w:val="center"/>
                    <w:rPr>
                      <w:rFonts w:hint="default" w:ascii="Times New Roman" w:hAnsi="Times New Roman" w:eastAsia="宋体"/>
                      <w:color w:val="auto"/>
                      <w:sz w:val="21"/>
                      <w:szCs w:val="21"/>
                      <w:highlight w:val="none"/>
                      <w:lang w:val="en-US" w:eastAsia="zh-CN"/>
                    </w:rPr>
                  </w:pPr>
                  <w:r>
                    <w:rPr>
                      <w:rFonts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4152</w:t>
                  </w:r>
                </w:p>
              </w:tc>
            </w:tr>
            <w:tr w14:paraId="3ED568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9" w:type="pct"/>
                  <w:vMerge w:val="continue"/>
                  <w:tcBorders>
                    <w:tl2br w:val="nil"/>
                    <w:tr2bl w:val="nil"/>
                  </w:tcBorders>
                  <w:vAlign w:val="center"/>
                </w:tcPr>
                <w:p w14:paraId="220AC213">
                  <w:pPr>
                    <w:spacing w:line="320" w:lineRule="exact"/>
                    <w:rPr>
                      <w:color w:val="auto"/>
                      <w:szCs w:val="21"/>
                      <w:highlight w:val="none"/>
                    </w:rPr>
                  </w:pPr>
                </w:p>
              </w:tc>
              <w:tc>
                <w:tcPr>
                  <w:tcW w:w="805" w:type="pct"/>
                  <w:tcBorders>
                    <w:tl2br w:val="nil"/>
                    <w:tr2bl w:val="nil"/>
                  </w:tcBorders>
                  <w:vAlign w:val="center"/>
                </w:tcPr>
                <w:p w14:paraId="2CA6A2B6">
                  <w:pPr>
                    <w:spacing w:line="320" w:lineRule="exact"/>
                    <w:ind w:left="-105" w:leftChars="-50" w:right="-105" w:rightChars="-50"/>
                    <w:jc w:val="center"/>
                    <w:rPr>
                      <w:color w:val="auto"/>
                      <w:szCs w:val="21"/>
                      <w:highlight w:val="none"/>
                    </w:rPr>
                  </w:pPr>
                  <w:r>
                    <w:rPr>
                      <w:color w:val="auto"/>
                      <w:szCs w:val="21"/>
                      <w:highlight w:val="none"/>
                    </w:rPr>
                    <w:t>COD</w:t>
                  </w:r>
                  <w:r>
                    <w:rPr>
                      <w:color w:val="auto"/>
                      <w:szCs w:val="21"/>
                      <w:highlight w:val="none"/>
                      <w:vertAlign w:val="subscript"/>
                    </w:rPr>
                    <w:t xml:space="preserve">Cr </w:t>
                  </w:r>
                  <w:r>
                    <w:rPr>
                      <w:color w:val="auto"/>
                      <w:szCs w:val="21"/>
                      <w:highlight w:val="none"/>
                    </w:rPr>
                    <w:t>t/a</w:t>
                  </w:r>
                </w:p>
              </w:tc>
              <w:tc>
                <w:tcPr>
                  <w:tcW w:w="1091" w:type="dxa"/>
                  <w:tcBorders>
                    <w:tl2br w:val="nil"/>
                    <w:tr2bl w:val="nil"/>
                  </w:tcBorders>
                  <w:vAlign w:val="center"/>
                </w:tcPr>
                <w:p w14:paraId="3B66704C">
                  <w:pPr>
                    <w:spacing w:line="240" w:lineRule="exact"/>
                    <w:jc w:val="center"/>
                    <w:rPr>
                      <w:rFonts w:hint="default" w:ascii="Times New Roman" w:hAnsi="Times New Roman" w:eastAsia="宋体"/>
                      <w:color w:val="auto"/>
                      <w:sz w:val="21"/>
                      <w:szCs w:val="21"/>
                      <w:highlight w:val="none"/>
                      <w:lang w:val="en-US" w:eastAsia="zh-CN"/>
                    </w:rPr>
                  </w:pPr>
                  <w:r>
                    <w:rPr>
                      <w:color w:val="auto"/>
                      <w:sz w:val="21"/>
                      <w:szCs w:val="21"/>
                      <w:highlight w:val="none"/>
                    </w:rPr>
                    <w:t xml:space="preserve"> </w:t>
                  </w:r>
                  <w:r>
                    <w:rPr>
                      <w:rFonts w:hint="eastAsia"/>
                      <w:color w:val="auto"/>
                      <w:sz w:val="21"/>
                      <w:szCs w:val="21"/>
                      <w:highlight w:val="none"/>
                      <w:lang w:val="en-US" w:eastAsia="zh-CN"/>
                    </w:rPr>
                    <w:t>0.294</w:t>
                  </w:r>
                </w:p>
              </w:tc>
              <w:tc>
                <w:tcPr>
                  <w:tcW w:w="706" w:type="pct"/>
                  <w:tcBorders>
                    <w:tl2br w:val="nil"/>
                    <w:tr2bl w:val="nil"/>
                  </w:tcBorders>
                  <w:vAlign w:val="center"/>
                </w:tcPr>
                <w:p w14:paraId="1F3F5AE2">
                  <w:pPr>
                    <w:spacing w:line="320" w:lineRule="exact"/>
                    <w:ind w:left="-50" w:right="-50"/>
                    <w:jc w:val="center"/>
                    <w:rPr>
                      <w:rFonts w:ascii="Times New Roman" w:hAnsi="Times New Roman"/>
                      <w:color w:val="auto"/>
                      <w:sz w:val="21"/>
                      <w:szCs w:val="21"/>
                      <w:highlight w:val="none"/>
                    </w:rPr>
                  </w:pPr>
                  <w:r>
                    <w:rPr>
                      <w:rFonts w:hint="eastAsia" w:ascii="Times New Roman" w:hAnsi="Times New Roman"/>
                      <w:color w:val="auto"/>
                      <w:kern w:val="0"/>
                      <w:sz w:val="21"/>
                      <w:szCs w:val="21"/>
                      <w:highlight w:val="none"/>
                      <w:lang w:val="en-US" w:eastAsia="zh-CN"/>
                    </w:rPr>
                    <w:t>0</w:t>
                  </w:r>
                </w:p>
              </w:tc>
              <w:tc>
                <w:tcPr>
                  <w:tcW w:w="957" w:type="dxa"/>
                  <w:tcBorders>
                    <w:tl2br w:val="nil"/>
                    <w:tr2bl w:val="nil"/>
                  </w:tcBorders>
                  <w:vAlign w:val="center"/>
                </w:tcPr>
                <w:p w14:paraId="05402B3D">
                  <w:pPr>
                    <w:spacing w:line="240" w:lineRule="exact"/>
                    <w:jc w:val="center"/>
                    <w:rPr>
                      <w:rFonts w:ascii="Times New Roman" w:hAnsi="Times New Roman"/>
                      <w:color w:val="auto"/>
                      <w:sz w:val="21"/>
                      <w:szCs w:val="21"/>
                      <w:highlight w:val="none"/>
                    </w:rPr>
                  </w:pPr>
                  <w:r>
                    <w:rPr>
                      <w:rFonts w:hint="eastAsia"/>
                      <w:color w:val="auto"/>
                      <w:sz w:val="21"/>
                      <w:szCs w:val="21"/>
                      <w:lang w:val="en-US" w:eastAsia="zh-CN"/>
                    </w:rPr>
                    <w:t>2.082</w:t>
                  </w:r>
                </w:p>
              </w:tc>
              <w:tc>
                <w:tcPr>
                  <w:tcW w:w="1077" w:type="dxa"/>
                  <w:tcBorders>
                    <w:tl2br w:val="nil"/>
                    <w:tr2bl w:val="nil"/>
                  </w:tcBorders>
                  <w:vAlign w:val="center"/>
                </w:tcPr>
                <w:p w14:paraId="4EFF9B61">
                  <w:pPr>
                    <w:widowControl/>
                    <w:jc w:val="center"/>
                    <w:textAlignment w:val="center"/>
                    <w:rPr>
                      <w:rFonts w:ascii="Times New Roman" w:hAnsi="Times New Roman"/>
                      <w:color w:val="auto"/>
                      <w:sz w:val="21"/>
                      <w:szCs w:val="21"/>
                      <w:highlight w:val="none"/>
                    </w:rPr>
                  </w:pPr>
                  <w:r>
                    <w:rPr>
                      <w:rFonts w:hint="eastAsia"/>
                      <w:color w:val="auto"/>
                      <w:szCs w:val="21"/>
                      <w:highlight w:val="none"/>
                      <w:lang w:val="en-US" w:eastAsia="zh-CN"/>
                    </w:rPr>
                    <w:t>2.376</w:t>
                  </w:r>
                </w:p>
              </w:tc>
              <w:tc>
                <w:tcPr>
                  <w:tcW w:w="1156" w:type="pct"/>
                  <w:tcBorders>
                    <w:tl2br w:val="nil"/>
                    <w:tr2bl w:val="nil"/>
                  </w:tcBorders>
                  <w:vAlign w:val="center"/>
                </w:tcPr>
                <w:p w14:paraId="6527F1B5">
                  <w:pPr>
                    <w:pStyle w:val="7"/>
                    <w:spacing w:line="320" w:lineRule="exact"/>
                    <w:ind w:left="-50" w:right="-50"/>
                    <w:jc w:val="center"/>
                    <w:rPr>
                      <w:rFonts w:hint="default" w:ascii="Times New Roman" w:hAnsi="Times New Roman"/>
                      <w:color w:val="auto"/>
                      <w:sz w:val="21"/>
                      <w:szCs w:val="21"/>
                      <w:highlight w:val="none"/>
                      <w:lang w:val="en-US"/>
                    </w:rPr>
                  </w:pPr>
                  <w:r>
                    <w:rPr>
                      <w:rFonts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2.082</w:t>
                  </w:r>
                </w:p>
              </w:tc>
            </w:tr>
            <w:tr w14:paraId="7C7970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9" w:type="pct"/>
                  <w:vMerge w:val="continue"/>
                  <w:tcBorders>
                    <w:tl2br w:val="nil"/>
                    <w:tr2bl w:val="nil"/>
                  </w:tcBorders>
                  <w:vAlign w:val="center"/>
                </w:tcPr>
                <w:p w14:paraId="74E272B7">
                  <w:pPr>
                    <w:spacing w:line="320" w:lineRule="exact"/>
                    <w:rPr>
                      <w:color w:val="auto"/>
                      <w:szCs w:val="21"/>
                      <w:highlight w:val="none"/>
                    </w:rPr>
                  </w:pPr>
                </w:p>
              </w:tc>
              <w:tc>
                <w:tcPr>
                  <w:tcW w:w="805" w:type="pct"/>
                  <w:tcBorders>
                    <w:tl2br w:val="nil"/>
                    <w:tr2bl w:val="nil"/>
                  </w:tcBorders>
                  <w:vAlign w:val="center"/>
                </w:tcPr>
                <w:p w14:paraId="598D1082">
                  <w:pPr>
                    <w:spacing w:line="320" w:lineRule="exact"/>
                    <w:ind w:left="-105" w:leftChars="-50" w:right="-105" w:rightChars="-50"/>
                    <w:jc w:val="center"/>
                    <w:rPr>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 t/a</w:t>
                  </w:r>
                </w:p>
              </w:tc>
              <w:tc>
                <w:tcPr>
                  <w:tcW w:w="1091" w:type="dxa"/>
                  <w:tcBorders>
                    <w:tl2br w:val="nil"/>
                    <w:tr2bl w:val="nil"/>
                  </w:tcBorders>
                  <w:vAlign w:val="center"/>
                </w:tcPr>
                <w:p w14:paraId="485A4888">
                  <w:pPr>
                    <w:spacing w:line="240" w:lineRule="exact"/>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0.026</w:t>
                  </w:r>
                </w:p>
              </w:tc>
              <w:tc>
                <w:tcPr>
                  <w:tcW w:w="706" w:type="pct"/>
                  <w:tcBorders>
                    <w:tl2br w:val="nil"/>
                    <w:tr2bl w:val="nil"/>
                  </w:tcBorders>
                  <w:vAlign w:val="center"/>
                </w:tcPr>
                <w:p w14:paraId="55E0ED13">
                  <w:pPr>
                    <w:spacing w:line="320" w:lineRule="exact"/>
                    <w:ind w:left="-50" w:right="-50"/>
                    <w:jc w:val="center"/>
                    <w:rPr>
                      <w:rFonts w:ascii="Times New Roman" w:hAnsi="Times New Roman"/>
                      <w:color w:val="auto"/>
                      <w:sz w:val="21"/>
                      <w:szCs w:val="21"/>
                      <w:highlight w:val="none"/>
                    </w:rPr>
                  </w:pPr>
                  <w:r>
                    <w:rPr>
                      <w:rFonts w:hint="eastAsia" w:ascii="Times New Roman" w:hAnsi="Times New Roman"/>
                      <w:color w:val="auto"/>
                      <w:kern w:val="0"/>
                      <w:sz w:val="21"/>
                      <w:szCs w:val="21"/>
                      <w:highlight w:val="none"/>
                      <w:lang w:val="en-US" w:eastAsia="zh-CN"/>
                    </w:rPr>
                    <w:t>0</w:t>
                  </w:r>
                </w:p>
              </w:tc>
              <w:tc>
                <w:tcPr>
                  <w:tcW w:w="957" w:type="dxa"/>
                  <w:tcBorders>
                    <w:tl2br w:val="nil"/>
                    <w:tr2bl w:val="nil"/>
                  </w:tcBorders>
                  <w:vAlign w:val="center"/>
                </w:tcPr>
                <w:p w14:paraId="68226E20">
                  <w:pPr>
                    <w:spacing w:line="240" w:lineRule="exact"/>
                    <w:jc w:val="center"/>
                    <w:rPr>
                      <w:rFonts w:ascii="Times New Roman" w:hAnsi="Times New Roman"/>
                      <w:color w:val="auto"/>
                      <w:sz w:val="21"/>
                      <w:szCs w:val="21"/>
                      <w:highlight w:val="none"/>
                    </w:rPr>
                  </w:pPr>
                  <w:r>
                    <w:rPr>
                      <w:rFonts w:hint="eastAsia"/>
                      <w:color w:val="auto"/>
                      <w:sz w:val="21"/>
                      <w:szCs w:val="21"/>
                      <w:lang w:val="en-US" w:eastAsia="zh-CN"/>
                    </w:rPr>
                    <w:t>0.1873</w:t>
                  </w:r>
                </w:p>
              </w:tc>
              <w:tc>
                <w:tcPr>
                  <w:tcW w:w="1077" w:type="dxa"/>
                  <w:tcBorders>
                    <w:tl2br w:val="nil"/>
                    <w:tr2bl w:val="nil"/>
                  </w:tcBorders>
                  <w:vAlign w:val="center"/>
                </w:tcPr>
                <w:p w14:paraId="3350605F">
                  <w:pPr>
                    <w:widowControl/>
                    <w:jc w:val="center"/>
                    <w:textAlignment w:val="center"/>
                    <w:rPr>
                      <w:rFonts w:ascii="Times New Roman" w:hAnsi="Times New Roman"/>
                      <w:color w:val="auto"/>
                      <w:sz w:val="21"/>
                      <w:szCs w:val="21"/>
                      <w:highlight w:val="none"/>
                    </w:rPr>
                  </w:pPr>
                  <w:r>
                    <w:rPr>
                      <w:rFonts w:hint="eastAsia"/>
                      <w:color w:val="auto"/>
                      <w:szCs w:val="21"/>
                      <w:lang w:val="en-US" w:eastAsia="zh-CN"/>
                    </w:rPr>
                    <w:t>0.2133</w:t>
                  </w:r>
                </w:p>
              </w:tc>
              <w:tc>
                <w:tcPr>
                  <w:tcW w:w="1156" w:type="pct"/>
                  <w:tcBorders>
                    <w:tl2br w:val="nil"/>
                    <w:tr2bl w:val="nil"/>
                  </w:tcBorders>
                  <w:vAlign w:val="center"/>
                </w:tcPr>
                <w:p w14:paraId="0D25F45D">
                  <w:pPr>
                    <w:pStyle w:val="7"/>
                    <w:spacing w:line="320" w:lineRule="exact"/>
                    <w:ind w:left="-50" w:right="-50"/>
                    <w:jc w:val="center"/>
                    <w:rPr>
                      <w:rFonts w:ascii="Times New Roman" w:hAnsi="Times New Roman"/>
                      <w:color w:val="auto"/>
                      <w:sz w:val="21"/>
                      <w:szCs w:val="21"/>
                      <w:highlight w:val="none"/>
                    </w:rPr>
                  </w:pPr>
                  <w:r>
                    <w:rPr>
                      <w:rFonts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0.1868</w:t>
                  </w:r>
                </w:p>
              </w:tc>
            </w:tr>
            <w:tr w14:paraId="385CE7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9" w:type="pct"/>
                  <w:vMerge w:val="restart"/>
                  <w:tcBorders>
                    <w:tl2br w:val="nil"/>
                    <w:tr2bl w:val="nil"/>
                  </w:tcBorders>
                  <w:vAlign w:val="center"/>
                </w:tcPr>
                <w:p w14:paraId="0CAA6A0F">
                  <w:pPr>
                    <w:spacing w:line="320" w:lineRule="exact"/>
                    <w:jc w:val="center"/>
                    <w:rPr>
                      <w:color w:val="auto"/>
                      <w:szCs w:val="21"/>
                      <w:highlight w:val="none"/>
                    </w:rPr>
                  </w:pPr>
                  <w:r>
                    <w:rPr>
                      <w:color w:val="auto"/>
                      <w:szCs w:val="21"/>
                      <w:highlight w:val="none"/>
                    </w:rPr>
                    <w:t>废水</w:t>
                  </w:r>
                </w:p>
                <w:p w14:paraId="2C53EC0C">
                  <w:pPr>
                    <w:spacing w:line="320" w:lineRule="exact"/>
                    <w:jc w:val="center"/>
                    <w:rPr>
                      <w:color w:val="auto"/>
                      <w:szCs w:val="21"/>
                      <w:highlight w:val="none"/>
                    </w:rPr>
                  </w:pPr>
                  <w:r>
                    <w:rPr>
                      <w:color w:val="auto"/>
                      <w:szCs w:val="21"/>
                      <w:highlight w:val="none"/>
                    </w:rPr>
                    <w:t>（污水处理厂排口）</w:t>
                  </w:r>
                </w:p>
              </w:tc>
              <w:tc>
                <w:tcPr>
                  <w:tcW w:w="805" w:type="pct"/>
                  <w:tcBorders>
                    <w:tl2br w:val="nil"/>
                    <w:tr2bl w:val="nil"/>
                  </w:tcBorders>
                  <w:vAlign w:val="center"/>
                </w:tcPr>
                <w:p w14:paraId="4476F146">
                  <w:pPr>
                    <w:spacing w:line="320" w:lineRule="exact"/>
                    <w:ind w:left="-105" w:leftChars="-50" w:right="-105" w:rightChars="-50"/>
                    <w:jc w:val="center"/>
                    <w:rPr>
                      <w:color w:val="auto"/>
                      <w:szCs w:val="21"/>
                      <w:highlight w:val="none"/>
                    </w:rPr>
                  </w:pPr>
                  <w:r>
                    <w:rPr>
                      <w:color w:val="auto"/>
                      <w:szCs w:val="21"/>
                      <w:highlight w:val="none"/>
                    </w:rPr>
                    <w:t>废水量 m</w:t>
                  </w:r>
                  <w:r>
                    <w:rPr>
                      <w:color w:val="auto"/>
                      <w:szCs w:val="21"/>
                      <w:highlight w:val="none"/>
                      <w:vertAlign w:val="superscript"/>
                    </w:rPr>
                    <w:t>3</w:t>
                  </w:r>
                  <w:r>
                    <w:rPr>
                      <w:color w:val="auto"/>
                      <w:szCs w:val="21"/>
                      <w:highlight w:val="none"/>
                    </w:rPr>
                    <w:t>/a</w:t>
                  </w:r>
                </w:p>
              </w:tc>
              <w:tc>
                <w:tcPr>
                  <w:tcW w:w="1091" w:type="dxa"/>
                  <w:tcBorders>
                    <w:tl2br w:val="nil"/>
                    <w:tr2bl w:val="nil"/>
                  </w:tcBorders>
                  <w:vAlign w:val="center"/>
                </w:tcPr>
                <w:p w14:paraId="6737C99D">
                  <w:pPr>
                    <w:pStyle w:val="7"/>
                    <w:spacing w:line="320" w:lineRule="exact"/>
                    <w:ind w:left="-50" w:leftChars="0" w:right="-50" w:rightChars="0"/>
                    <w:jc w:val="center"/>
                    <w:rPr>
                      <w:rFonts w:ascii="Times New Roman" w:hAnsi="Times New Roman"/>
                      <w:color w:val="auto"/>
                      <w:sz w:val="21"/>
                      <w:szCs w:val="21"/>
                      <w:highlight w:val="none"/>
                    </w:rPr>
                  </w:pPr>
                  <w:r>
                    <w:rPr>
                      <w:rFonts w:hint="eastAsia" w:ascii="Times New Roman" w:hAnsi="Times New Roman"/>
                      <w:color w:val="auto"/>
                      <w:kern w:val="0"/>
                      <w:sz w:val="21"/>
                      <w:szCs w:val="21"/>
                      <w:highlight w:val="none"/>
                      <w:lang w:val="en-US" w:eastAsia="zh-CN"/>
                    </w:rPr>
                    <w:t>588</w:t>
                  </w:r>
                </w:p>
              </w:tc>
              <w:tc>
                <w:tcPr>
                  <w:tcW w:w="1247" w:type="dxa"/>
                  <w:tcBorders>
                    <w:tl2br w:val="nil"/>
                    <w:tr2bl w:val="nil"/>
                  </w:tcBorders>
                  <w:vAlign w:val="center"/>
                </w:tcPr>
                <w:p w14:paraId="1AE79D21">
                  <w:pPr>
                    <w:pStyle w:val="7"/>
                    <w:spacing w:line="320" w:lineRule="exact"/>
                    <w:ind w:left="-50" w:leftChars="0" w:right="-50" w:rightChars="0"/>
                    <w:jc w:val="center"/>
                    <w:rPr>
                      <w:rFonts w:ascii="Times New Roman" w:hAnsi="Times New Roman"/>
                      <w:color w:val="auto"/>
                      <w:sz w:val="21"/>
                      <w:szCs w:val="21"/>
                      <w:highlight w:val="none"/>
                    </w:rPr>
                  </w:pPr>
                  <w:r>
                    <w:rPr>
                      <w:rFonts w:hint="eastAsia" w:ascii="Times New Roman" w:hAnsi="Times New Roman"/>
                      <w:color w:val="auto"/>
                      <w:kern w:val="0"/>
                      <w:sz w:val="21"/>
                      <w:szCs w:val="21"/>
                      <w:highlight w:val="none"/>
                      <w:lang w:val="en-US" w:eastAsia="zh-CN"/>
                    </w:rPr>
                    <w:t>0</w:t>
                  </w:r>
                </w:p>
              </w:tc>
              <w:tc>
                <w:tcPr>
                  <w:tcW w:w="957" w:type="dxa"/>
                  <w:tcBorders>
                    <w:tl2br w:val="nil"/>
                    <w:tr2bl w:val="nil"/>
                  </w:tcBorders>
                  <w:vAlign w:val="center"/>
                </w:tcPr>
                <w:p w14:paraId="104B63F2">
                  <w:pPr>
                    <w:pStyle w:val="7"/>
                    <w:spacing w:line="320" w:lineRule="exact"/>
                    <w:ind w:left="-50" w:leftChars="0" w:right="-50" w:right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4152</w:t>
                  </w:r>
                </w:p>
              </w:tc>
              <w:tc>
                <w:tcPr>
                  <w:tcW w:w="1077" w:type="dxa"/>
                  <w:tcBorders>
                    <w:tl2br w:val="nil"/>
                    <w:tr2bl w:val="nil"/>
                  </w:tcBorders>
                  <w:vAlign w:val="center"/>
                </w:tcPr>
                <w:p w14:paraId="5D0B3F6E">
                  <w:pPr>
                    <w:pStyle w:val="7"/>
                    <w:spacing w:line="320" w:lineRule="exact"/>
                    <w:ind w:left="-50" w:leftChars="0" w:right="-50" w:right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4740</w:t>
                  </w:r>
                </w:p>
              </w:tc>
              <w:tc>
                <w:tcPr>
                  <w:tcW w:w="2042" w:type="dxa"/>
                  <w:tcBorders>
                    <w:tl2br w:val="nil"/>
                    <w:tr2bl w:val="nil"/>
                  </w:tcBorders>
                  <w:vAlign w:val="center"/>
                </w:tcPr>
                <w:p w14:paraId="16B7641F">
                  <w:pPr>
                    <w:pStyle w:val="7"/>
                    <w:spacing w:line="320" w:lineRule="exact"/>
                    <w:ind w:left="-50" w:leftChars="0" w:right="-50" w:rightChars="0"/>
                    <w:jc w:val="center"/>
                    <w:rPr>
                      <w:rFonts w:ascii="Times New Roman" w:hAnsi="Times New Roman"/>
                      <w:color w:val="auto"/>
                      <w:sz w:val="21"/>
                      <w:szCs w:val="21"/>
                      <w:highlight w:val="none"/>
                    </w:rPr>
                  </w:pPr>
                  <w:r>
                    <w:rPr>
                      <w:rFonts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4152</w:t>
                  </w:r>
                </w:p>
              </w:tc>
            </w:tr>
            <w:tr w14:paraId="7F4692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9" w:type="pct"/>
                  <w:vMerge w:val="continue"/>
                  <w:tcBorders>
                    <w:tl2br w:val="nil"/>
                    <w:tr2bl w:val="nil"/>
                  </w:tcBorders>
                  <w:vAlign w:val="center"/>
                </w:tcPr>
                <w:p w14:paraId="2A844026">
                  <w:pPr>
                    <w:spacing w:line="320" w:lineRule="exact"/>
                    <w:jc w:val="center"/>
                    <w:rPr>
                      <w:color w:val="auto"/>
                      <w:szCs w:val="21"/>
                      <w:highlight w:val="none"/>
                    </w:rPr>
                  </w:pPr>
                </w:p>
              </w:tc>
              <w:tc>
                <w:tcPr>
                  <w:tcW w:w="805" w:type="pct"/>
                  <w:tcBorders>
                    <w:tl2br w:val="nil"/>
                    <w:tr2bl w:val="nil"/>
                  </w:tcBorders>
                  <w:vAlign w:val="center"/>
                </w:tcPr>
                <w:p w14:paraId="272A4DF1">
                  <w:pPr>
                    <w:spacing w:line="320" w:lineRule="exact"/>
                    <w:ind w:left="-105" w:leftChars="-50" w:right="-105" w:rightChars="-50"/>
                    <w:jc w:val="center"/>
                    <w:rPr>
                      <w:color w:val="auto"/>
                      <w:szCs w:val="21"/>
                      <w:highlight w:val="none"/>
                    </w:rPr>
                  </w:pPr>
                  <w:r>
                    <w:rPr>
                      <w:color w:val="auto"/>
                      <w:szCs w:val="21"/>
                      <w:highlight w:val="none"/>
                    </w:rPr>
                    <w:t>COD</w:t>
                  </w:r>
                  <w:r>
                    <w:rPr>
                      <w:color w:val="auto"/>
                      <w:szCs w:val="21"/>
                      <w:highlight w:val="none"/>
                      <w:vertAlign w:val="subscript"/>
                    </w:rPr>
                    <w:t xml:space="preserve">Cr </w:t>
                  </w:r>
                  <w:r>
                    <w:rPr>
                      <w:color w:val="auto"/>
                      <w:szCs w:val="21"/>
                      <w:highlight w:val="none"/>
                    </w:rPr>
                    <w:t>t/a</w:t>
                  </w:r>
                </w:p>
              </w:tc>
              <w:tc>
                <w:tcPr>
                  <w:tcW w:w="1091" w:type="dxa"/>
                  <w:tcBorders>
                    <w:tl2br w:val="nil"/>
                    <w:tr2bl w:val="nil"/>
                  </w:tcBorders>
                  <w:vAlign w:val="center"/>
                </w:tcPr>
                <w:p w14:paraId="2FC6D7FE">
                  <w:pPr>
                    <w:spacing w:line="240" w:lineRule="exact"/>
                    <w:jc w:val="center"/>
                    <w:rPr>
                      <w:rFonts w:hint="default" w:ascii="Times New Roman" w:hAnsi="Times New Roman" w:eastAsia="宋体"/>
                      <w:color w:val="auto"/>
                      <w:sz w:val="21"/>
                      <w:szCs w:val="21"/>
                      <w:highlight w:val="none"/>
                      <w:lang w:val="en-US" w:eastAsia="zh-CN"/>
                    </w:rPr>
                  </w:pPr>
                  <w:r>
                    <w:rPr>
                      <w:rFonts w:hint="eastAsia" w:cs="Times New Roman"/>
                      <w:color w:val="auto"/>
                      <w:sz w:val="21"/>
                      <w:szCs w:val="21"/>
                      <w:highlight w:val="none"/>
                      <w:lang w:val="en-US" w:eastAsia="zh-CN"/>
                    </w:rPr>
                    <w:t>0.012</w:t>
                  </w:r>
                </w:p>
              </w:tc>
              <w:tc>
                <w:tcPr>
                  <w:tcW w:w="1247" w:type="dxa"/>
                  <w:tcBorders>
                    <w:tl2br w:val="nil"/>
                    <w:tr2bl w:val="nil"/>
                  </w:tcBorders>
                  <w:vAlign w:val="center"/>
                </w:tcPr>
                <w:p w14:paraId="5940557A">
                  <w:pPr>
                    <w:jc w:val="center"/>
                    <w:rPr>
                      <w:rFonts w:ascii="Times New Roman" w:hAnsi="Times New Roman"/>
                      <w:color w:val="auto"/>
                      <w:sz w:val="21"/>
                      <w:szCs w:val="21"/>
                      <w:highlight w:val="none"/>
                    </w:rPr>
                  </w:pPr>
                  <w:r>
                    <w:rPr>
                      <w:rFonts w:hint="eastAsia"/>
                      <w:color w:val="auto"/>
                      <w:sz w:val="21"/>
                      <w:szCs w:val="21"/>
                      <w:highlight w:val="none"/>
                    </w:rPr>
                    <w:t>0</w:t>
                  </w:r>
                </w:p>
              </w:tc>
              <w:tc>
                <w:tcPr>
                  <w:tcW w:w="957" w:type="dxa"/>
                  <w:tcBorders>
                    <w:tl2br w:val="nil"/>
                    <w:tr2bl w:val="nil"/>
                  </w:tcBorders>
                  <w:vAlign w:val="center"/>
                </w:tcPr>
                <w:p w14:paraId="1590468F">
                  <w:pPr>
                    <w:spacing w:line="240" w:lineRule="exact"/>
                    <w:jc w:val="center"/>
                    <w:rPr>
                      <w:rFonts w:ascii="Times New Roman" w:hAnsi="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0.0833</w:t>
                  </w:r>
                </w:p>
              </w:tc>
              <w:tc>
                <w:tcPr>
                  <w:tcW w:w="1077" w:type="dxa"/>
                  <w:tcBorders>
                    <w:tl2br w:val="nil"/>
                    <w:tr2bl w:val="nil"/>
                  </w:tcBorders>
                  <w:vAlign w:val="center"/>
                </w:tcPr>
                <w:p w14:paraId="4BAC3138">
                  <w:pPr>
                    <w:spacing w:line="240" w:lineRule="exact"/>
                    <w:jc w:val="center"/>
                    <w:rPr>
                      <w:rFonts w:ascii="Times New Roman" w:hAnsi="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0.0953</w:t>
                  </w:r>
                </w:p>
              </w:tc>
              <w:tc>
                <w:tcPr>
                  <w:tcW w:w="2042" w:type="dxa"/>
                  <w:tcBorders>
                    <w:tl2br w:val="nil"/>
                    <w:tr2bl w:val="nil"/>
                  </w:tcBorders>
                  <w:vAlign w:val="center"/>
                </w:tcPr>
                <w:p w14:paraId="6BE35CDE">
                  <w:pPr>
                    <w:widowControl/>
                    <w:jc w:val="center"/>
                    <w:textAlignment w:val="center"/>
                    <w:rPr>
                      <w:rFonts w:ascii="Times New Roman" w:hAnsi="Times New Roman"/>
                      <w:color w:val="auto"/>
                      <w:sz w:val="21"/>
                      <w:szCs w:val="21"/>
                      <w:highlight w:val="none"/>
                    </w:rPr>
                  </w:pPr>
                  <w:r>
                    <w:rPr>
                      <w:rFonts w:hint="eastAsia"/>
                      <w:color w:val="auto"/>
                      <w:szCs w:val="21"/>
                      <w:highlight w:val="none"/>
                    </w:rPr>
                    <w:t>+</w:t>
                  </w:r>
                  <w:r>
                    <w:rPr>
                      <w:rFonts w:hint="eastAsia"/>
                      <w:color w:val="auto"/>
                      <w:sz w:val="21"/>
                      <w:szCs w:val="21"/>
                      <w:highlight w:val="none"/>
                    </w:rPr>
                    <w:t xml:space="preserve"> </w:t>
                  </w:r>
                  <w:r>
                    <w:rPr>
                      <w:rFonts w:hint="eastAsia" w:ascii="Times New Roman" w:hAnsi="Times New Roman" w:eastAsia="宋体" w:cs="Times New Roman"/>
                      <w:color w:val="auto"/>
                      <w:sz w:val="21"/>
                      <w:szCs w:val="21"/>
                      <w:highlight w:val="none"/>
                      <w:lang w:val="en-US" w:eastAsia="zh-CN"/>
                    </w:rPr>
                    <w:t>0.0833</w:t>
                  </w:r>
                </w:p>
              </w:tc>
            </w:tr>
            <w:tr w14:paraId="238A37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559" w:type="pct"/>
                  <w:vMerge w:val="continue"/>
                  <w:tcBorders>
                    <w:tl2br w:val="nil"/>
                    <w:tr2bl w:val="nil"/>
                  </w:tcBorders>
                  <w:vAlign w:val="center"/>
                </w:tcPr>
                <w:p w14:paraId="57E8D855">
                  <w:pPr>
                    <w:spacing w:line="320" w:lineRule="exact"/>
                    <w:jc w:val="center"/>
                    <w:rPr>
                      <w:color w:val="auto"/>
                      <w:szCs w:val="21"/>
                      <w:highlight w:val="none"/>
                    </w:rPr>
                  </w:pPr>
                </w:p>
              </w:tc>
              <w:tc>
                <w:tcPr>
                  <w:tcW w:w="805" w:type="pct"/>
                  <w:tcBorders>
                    <w:tl2br w:val="nil"/>
                    <w:tr2bl w:val="nil"/>
                  </w:tcBorders>
                  <w:vAlign w:val="center"/>
                </w:tcPr>
                <w:p w14:paraId="73C1F748">
                  <w:pPr>
                    <w:spacing w:line="320" w:lineRule="exact"/>
                    <w:ind w:left="-105" w:leftChars="-50" w:right="-105" w:rightChars="-50"/>
                    <w:jc w:val="center"/>
                    <w:rPr>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 t/a</w:t>
                  </w:r>
                </w:p>
              </w:tc>
              <w:tc>
                <w:tcPr>
                  <w:tcW w:w="1091" w:type="dxa"/>
                  <w:tcBorders>
                    <w:tl2br w:val="nil"/>
                    <w:tr2bl w:val="nil"/>
                  </w:tcBorders>
                  <w:vAlign w:val="center"/>
                </w:tcPr>
                <w:p w14:paraId="52B220AA">
                  <w:pPr>
                    <w:spacing w:line="240" w:lineRule="exact"/>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rPr>
                    <w:t xml:space="preserve"> </w:t>
                  </w:r>
                  <w:r>
                    <w:rPr>
                      <w:rFonts w:hint="eastAsia" w:cs="Times New Roman"/>
                      <w:color w:val="auto"/>
                      <w:sz w:val="21"/>
                      <w:szCs w:val="21"/>
                      <w:highlight w:val="none"/>
                      <w:vertAlign w:val="baseline"/>
                      <w:lang w:val="en-US" w:eastAsia="zh-CN"/>
                    </w:rPr>
                    <w:t>0.0006</w:t>
                  </w:r>
                </w:p>
              </w:tc>
              <w:tc>
                <w:tcPr>
                  <w:tcW w:w="1247" w:type="dxa"/>
                  <w:tcBorders>
                    <w:tl2br w:val="nil"/>
                    <w:tr2bl w:val="nil"/>
                  </w:tcBorders>
                  <w:vAlign w:val="center"/>
                </w:tcPr>
                <w:p w14:paraId="00362F87">
                  <w:pPr>
                    <w:jc w:val="center"/>
                    <w:rPr>
                      <w:rFonts w:ascii="Times New Roman" w:hAnsi="Times New Roman"/>
                      <w:color w:val="auto"/>
                      <w:sz w:val="21"/>
                      <w:szCs w:val="21"/>
                      <w:highlight w:val="none"/>
                    </w:rPr>
                  </w:pPr>
                  <w:r>
                    <w:rPr>
                      <w:rFonts w:hint="eastAsia"/>
                      <w:color w:val="auto"/>
                      <w:sz w:val="21"/>
                      <w:szCs w:val="21"/>
                      <w:highlight w:val="none"/>
                    </w:rPr>
                    <w:t>0</w:t>
                  </w:r>
                </w:p>
              </w:tc>
              <w:tc>
                <w:tcPr>
                  <w:tcW w:w="957" w:type="dxa"/>
                  <w:tcBorders>
                    <w:tl2br w:val="nil"/>
                    <w:tr2bl w:val="nil"/>
                  </w:tcBorders>
                  <w:vAlign w:val="center"/>
                </w:tcPr>
                <w:p w14:paraId="1F64C3A1">
                  <w:pPr>
                    <w:spacing w:line="240" w:lineRule="exact"/>
                    <w:jc w:val="center"/>
                    <w:rPr>
                      <w:rFonts w:ascii="Times New Roman" w:hAnsi="Times New Roman"/>
                      <w:color w:val="auto"/>
                      <w:sz w:val="21"/>
                      <w:szCs w:val="21"/>
                      <w:highlight w:val="none"/>
                    </w:rPr>
                  </w:pPr>
                  <w:r>
                    <w:rPr>
                      <w:rFonts w:hint="eastAsia"/>
                      <w:color w:val="auto"/>
                      <w:sz w:val="21"/>
                      <w:szCs w:val="21"/>
                      <w:highlight w:val="none"/>
                      <w:lang w:val="en-US" w:eastAsia="zh-CN"/>
                    </w:rPr>
                    <w:t>0.0042</w:t>
                  </w:r>
                </w:p>
              </w:tc>
              <w:tc>
                <w:tcPr>
                  <w:tcW w:w="1077" w:type="dxa"/>
                  <w:tcBorders>
                    <w:tl2br w:val="nil"/>
                    <w:tr2bl w:val="nil"/>
                  </w:tcBorders>
                  <w:vAlign w:val="center"/>
                </w:tcPr>
                <w:p w14:paraId="67E264F1">
                  <w:pPr>
                    <w:widowControl/>
                    <w:jc w:val="center"/>
                    <w:textAlignment w:val="center"/>
                    <w:rPr>
                      <w:rFonts w:ascii="Times New Roman" w:hAnsi="Times New Roman"/>
                      <w:color w:val="auto"/>
                      <w:sz w:val="21"/>
                      <w:szCs w:val="21"/>
                      <w:highlight w:val="none"/>
                    </w:rPr>
                  </w:pPr>
                  <w:r>
                    <w:rPr>
                      <w:rFonts w:hint="eastAsia"/>
                      <w:color w:val="auto"/>
                      <w:szCs w:val="21"/>
                      <w:lang w:val="en-US" w:eastAsia="zh-CN"/>
                    </w:rPr>
                    <w:t>0.0048</w:t>
                  </w:r>
                </w:p>
              </w:tc>
              <w:tc>
                <w:tcPr>
                  <w:tcW w:w="2042" w:type="dxa"/>
                  <w:tcBorders>
                    <w:tl2br w:val="nil"/>
                    <w:tr2bl w:val="nil"/>
                  </w:tcBorders>
                  <w:vAlign w:val="center"/>
                </w:tcPr>
                <w:p w14:paraId="1F34BB8A">
                  <w:pPr>
                    <w:widowControl/>
                    <w:jc w:val="center"/>
                    <w:textAlignment w:val="center"/>
                    <w:rPr>
                      <w:rFonts w:ascii="Times New Roman" w:hAnsi="Times New Roman"/>
                      <w:color w:val="auto"/>
                      <w:sz w:val="21"/>
                      <w:szCs w:val="21"/>
                      <w:highlight w:val="none"/>
                    </w:rPr>
                  </w:pPr>
                  <w:r>
                    <w:rPr>
                      <w:rFonts w:hint="eastAsia"/>
                      <w:color w:val="auto"/>
                      <w:szCs w:val="21"/>
                      <w:highlight w:val="none"/>
                    </w:rPr>
                    <w:t>+</w:t>
                  </w:r>
                  <w:r>
                    <w:rPr>
                      <w:rFonts w:hint="eastAsia"/>
                      <w:color w:val="auto"/>
                      <w:sz w:val="21"/>
                      <w:szCs w:val="21"/>
                      <w:highlight w:val="none"/>
                      <w:lang w:val="en-US" w:eastAsia="zh-CN"/>
                    </w:rPr>
                    <w:t>0.0042</w:t>
                  </w:r>
                </w:p>
              </w:tc>
            </w:tr>
            <w:tr w14:paraId="7F716B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559" w:type="pct"/>
                  <w:tcBorders>
                    <w:tl2br w:val="nil"/>
                    <w:tr2bl w:val="nil"/>
                  </w:tcBorders>
                  <w:vAlign w:val="center"/>
                </w:tcPr>
                <w:p w14:paraId="52324D6E">
                  <w:pPr>
                    <w:spacing w:line="320" w:lineRule="exact"/>
                    <w:ind w:left="-105" w:leftChars="-50" w:right="-105" w:rightChars="-50"/>
                    <w:jc w:val="center"/>
                    <w:rPr>
                      <w:color w:val="auto"/>
                      <w:szCs w:val="21"/>
                      <w:highlight w:val="none"/>
                    </w:rPr>
                  </w:pPr>
                  <w:r>
                    <w:rPr>
                      <w:color w:val="auto"/>
                      <w:szCs w:val="21"/>
                      <w:highlight w:val="none"/>
                    </w:rPr>
                    <w:t>废气</w:t>
                  </w:r>
                </w:p>
              </w:tc>
              <w:tc>
                <w:tcPr>
                  <w:tcW w:w="805" w:type="pct"/>
                  <w:tcBorders>
                    <w:tl2br w:val="nil"/>
                    <w:tr2bl w:val="nil"/>
                  </w:tcBorders>
                  <w:vAlign w:val="center"/>
                </w:tcPr>
                <w:p w14:paraId="6F26549B">
                  <w:pPr>
                    <w:pStyle w:val="7"/>
                    <w:spacing w:line="320" w:lineRule="exact"/>
                    <w:ind w:left="-105" w:leftChars="-50" w:right="-105" w:rightChars="-50"/>
                    <w:jc w:val="center"/>
                    <w:rPr>
                      <w:rFonts w:hint="eastAsia" w:ascii="Times New Roman" w:hAnsi="Times New Roman" w:eastAsia="宋体"/>
                      <w:color w:val="auto"/>
                      <w:sz w:val="21"/>
                      <w:szCs w:val="21"/>
                      <w:highlight w:val="none"/>
                      <w:lang w:val="en-US" w:eastAsia="zh-CN"/>
                    </w:rPr>
                  </w:pPr>
                  <w:r>
                    <w:rPr>
                      <w:rFonts w:ascii="Times New Roman" w:hAnsi="Times New Roman"/>
                      <w:color w:val="auto"/>
                      <w:sz w:val="21"/>
                      <w:szCs w:val="21"/>
                      <w:highlight w:val="none"/>
                    </w:rPr>
                    <w:t>VOCs t/a</w:t>
                  </w:r>
                </w:p>
              </w:tc>
              <w:tc>
                <w:tcPr>
                  <w:tcW w:w="1091" w:type="dxa"/>
                  <w:tcBorders>
                    <w:tl2br w:val="nil"/>
                    <w:tr2bl w:val="nil"/>
                  </w:tcBorders>
                  <w:vAlign w:val="center"/>
                </w:tcPr>
                <w:p w14:paraId="34C3BC9C">
                  <w:pPr>
                    <w:widowControl/>
                    <w:adjustRightInd w:val="0"/>
                    <w:snapToGrid w:val="0"/>
                    <w:jc w:val="center"/>
                    <w:rPr>
                      <w:rFonts w:hint="eastAsia" w:ascii="Times New Roman" w:hAnsi="Times New Roman"/>
                      <w:color w:val="auto"/>
                      <w:sz w:val="21"/>
                      <w:szCs w:val="21"/>
                      <w:highlight w:val="none"/>
                      <w:lang w:val="en-US" w:eastAsia="zh-CN"/>
                    </w:rPr>
                  </w:pPr>
                  <w:r>
                    <w:rPr>
                      <w:rFonts w:hint="eastAsia"/>
                      <w:color w:val="auto"/>
                      <w:kern w:val="0"/>
                      <w:szCs w:val="21"/>
                      <w:highlight w:val="none"/>
                      <w:lang w:val="en-US" w:eastAsia="zh-CN"/>
                    </w:rPr>
                    <w:t>0.204</w:t>
                  </w:r>
                </w:p>
              </w:tc>
              <w:tc>
                <w:tcPr>
                  <w:tcW w:w="1247" w:type="dxa"/>
                  <w:tcBorders>
                    <w:tl2br w:val="nil"/>
                    <w:tr2bl w:val="nil"/>
                  </w:tcBorders>
                  <w:vAlign w:val="center"/>
                </w:tcPr>
                <w:p w14:paraId="1F7BCDE6">
                  <w:pPr>
                    <w:jc w:val="center"/>
                    <w:rPr>
                      <w:rFonts w:hint="eastAsia" w:ascii="Times New Roman" w:hAnsi="Times New Roman"/>
                      <w:color w:val="auto"/>
                      <w:sz w:val="21"/>
                      <w:szCs w:val="21"/>
                      <w:highlight w:val="none"/>
                      <w:lang w:val="en-US" w:eastAsia="zh-CN"/>
                    </w:rPr>
                  </w:pPr>
                  <w:r>
                    <w:rPr>
                      <w:rFonts w:hint="eastAsia"/>
                      <w:color w:val="auto"/>
                      <w:kern w:val="0"/>
                      <w:szCs w:val="21"/>
                      <w:highlight w:val="none"/>
                    </w:rPr>
                    <w:t>0</w:t>
                  </w:r>
                </w:p>
              </w:tc>
              <w:tc>
                <w:tcPr>
                  <w:tcW w:w="957" w:type="dxa"/>
                  <w:tcBorders>
                    <w:tl2br w:val="nil"/>
                    <w:tr2bl w:val="nil"/>
                  </w:tcBorders>
                  <w:vAlign w:val="center"/>
                </w:tcPr>
                <w:p w14:paraId="1321EC40">
                  <w:pPr>
                    <w:jc w:val="center"/>
                    <w:rPr>
                      <w:rFonts w:hint="default" w:ascii="Times New Roman" w:hAnsi="Times New Roman" w:eastAsia="等线" w:cs="Times New Roman"/>
                      <w:color w:val="auto"/>
                      <w:sz w:val="21"/>
                      <w:szCs w:val="21"/>
                      <w:highlight w:val="none"/>
                      <w:lang w:val="en-US" w:eastAsia="zh-CN"/>
                    </w:rPr>
                  </w:pPr>
                  <w:r>
                    <w:rPr>
                      <w:rFonts w:hint="eastAsia"/>
                      <w:bCs/>
                      <w:color w:val="auto"/>
                      <w:kern w:val="0"/>
                      <w:szCs w:val="21"/>
                      <w:highlight w:val="none"/>
                      <w:lang w:val="en-US" w:eastAsia="zh-CN" w:bidi="ar"/>
                    </w:rPr>
                    <w:t>0.0966</w:t>
                  </w:r>
                </w:p>
              </w:tc>
              <w:tc>
                <w:tcPr>
                  <w:tcW w:w="1077" w:type="dxa"/>
                  <w:tcBorders>
                    <w:tl2br w:val="nil"/>
                    <w:tr2bl w:val="nil"/>
                  </w:tcBorders>
                  <w:vAlign w:val="center"/>
                </w:tcPr>
                <w:p w14:paraId="02E42597">
                  <w:pPr>
                    <w:jc w:val="center"/>
                    <w:rPr>
                      <w:rFonts w:hint="default" w:ascii="Times New Roman" w:hAnsi="Times New Roman" w:eastAsia="等线" w:cs="Times New Roman"/>
                      <w:color w:val="auto"/>
                      <w:sz w:val="21"/>
                      <w:szCs w:val="21"/>
                      <w:highlight w:val="none"/>
                      <w:lang w:val="en-US" w:eastAsia="zh-CN"/>
                    </w:rPr>
                  </w:pPr>
                  <w:r>
                    <w:rPr>
                      <w:rFonts w:hint="eastAsia"/>
                      <w:bCs/>
                      <w:color w:val="auto"/>
                      <w:kern w:val="0"/>
                      <w:szCs w:val="21"/>
                      <w:highlight w:val="none"/>
                      <w:lang w:val="en-US" w:eastAsia="zh-CN" w:bidi="ar"/>
                    </w:rPr>
                    <w:t>0.3006</w:t>
                  </w:r>
                </w:p>
              </w:tc>
              <w:tc>
                <w:tcPr>
                  <w:tcW w:w="2042" w:type="dxa"/>
                  <w:tcBorders>
                    <w:tl2br w:val="nil"/>
                    <w:tr2bl w:val="nil"/>
                  </w:tcBorders>
                  <w:vAlign w:val="center"/>
                </w:tcPr>
                <w:p w14:paraId="5384B6D1">
                  <w:pPr>
                    <w:jc w:val="center"/>
                    <w:rPr>
                      <w:rFonts w:ascii="Times New Roman" w:hAnsi="Times New Roman"/>
                      <w:color w:val="auto"/>
                      <w:sz w:val="21"/>
                      <w:szCs w:val="21"/>
                      <w:highlight w:val="none"/>
                    </w:rPr>
                  </w:pPr>
                  <w:r>
                    <w:rPr>
                      <w:rFonts w:hint="eastAsia" w:eastAsia="等线"/>
                      <w:color w:val="auto"/>
                      <w:szCs w:val="21"/>
                      <w:highlight w:val="none"/>
                    </w:rPr>
                    <w:t>+</w:t>
                  </w:r>
                  <w:r>
                    <w:rPr>
                      <w:rFonts w:hint="eastAsia"/>
                      <w:bCs/>
                      <w:color w:val="auto"/>
                      <w:kern w:val="0"/>
                      <w:szCs w:val="21"/>
                      <w:highlight w:val="none"/>
                      <w:lang w:val="en-US" w:eastAsia="zh-CN" w:bidi="ar"/>
                    </w:rPr>
                    <w:t>0.0966</w:t>
                  </w:r>
                </w:p>
              </w:tc>
            </w:tr>
          </w:tbl>
          <w:p w14:paraId="20DC79BC">
            <w:pPr>
              <w:pStyle w:val="73"/>
              <w:ind w:firstLine="480"/>
              <w:rPr>
                <w:color w:val="auto"/>
              </w:rPr>
            </w:pPr>
          </w:p>
        </w:tc>
      </w:tr>
    </w:tbl>
    <w:p w14:paraId="4F02CB36">
      <w:pPr>
        <w:pStyle w:val="59"/>
        <w:ind w:firstLine="0" w:firstLineChars="0"/>
        <w:rPr>
          <w:snapToGrid w:val="0"/>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E53454E">
      <w:pPr>
        <w:pStyle w:val="21"/>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五、</w:t>
      </w:r>
      <w:bookmarkStart w:id="67" w:name="_Hlk54167917"/>
      <w:r>
        <w:rPr>
          <w:rFonts w:ascii="Times New Roman" w:hAnsi="Times New Roman" w:eastAsia="黑体"/>
          <w:snapToGrid w:val="0"/>
          <w:color w:val="auto"/>
          <w:sz w:val="30"/>
          <w:szCs w:val="30"/>
        </w:rPr>
        <w:t>环境保护措施监督检查清单</w:t>
      </w:r>
      <w:bookmarkEnd w:id="67"/>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30"/>
        <w:gridCol w:w="1447"/>
        <w:gridCol w:w="10"/>
        <w:gridCol w:w="1130"/>
        <w:gridCol w:w="2983"/>
        <w:gridCol w:w="2060"/>
      </w:tblGrid>
      <w:tr w14:paraId="7EA4C0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0" w:type="dxa"/>
            <w:tcBorders>
              <w:tl2br w:val="single" w:color="auto" w:sz="4" w:space="0"/>
            </w:tcBorders>
            <w:noWrap w:val="0"/>
            <w:vAlign w:val="top"/>
          </w:tcPr>
          <w:p w14:paraId="0DB2C4ED">
            <w:pPr>
              <w:keepNext w:val="0"/>
              <w:keepLines w:val="0"/>
              <w:suppressLineNumbers w:val="0"/>
              <w:adjustRightInd w:val="0"/>
              <w:snapToGrid w:val="0"/>
              <w:spacing w:before="0" w:beforeAutospacing="0" w:after="0" w:afterAutospacing="0"/>
              <w:ind w:left="0" w:right="0"/>
              <w:jc w:val="righ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内容</w:t>
            </w:r>
          </w:p>
          <w:p w14:paraId="5A243B63">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要素</w:t>
            </w:r>
          </w:p>
        </w:tc>
        <w:tc>
          <w:tcPr>
            <w:tcW w:w="1447" w:type="dxa"/>
            <w:noWrap w:val="0"/>
            <w:vAlign w:val="center"/>
          </w:tcPr>
          <w:p w14:paraId="50DC731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排放口(编号、名称)/污染源</w:t>
            </w:r>
          </w:p>
        </w:tc>
        <w:tc>
          <w:tcPr>
            <w:tcW w:w="1140" w:type="dxa"/>
            <w:gridSpan w:val="2"/>
            <w:noWrap w:val="0"/>
            <w:vAlign w:val="center"/>
          </w:tcPr>
          <w:p w14:paraId="0C6915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污染物项目</w:t>
            </w:r>
          </w:p>
        </w:tc>
        <w:tc>
          <w:tcPr>
            <w:tcW w:w="2983" w:type="dxa"/>
            <w:noWrap w:val="0"/>
            <w:vAlign w:val="center"/>
          </w:tcPr>
          <w:p w14:paraId="1E28CE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环境保护措施</w:t>
            </w:r>
          </w:p>
        </w:tc>
        <w:tc>
          <w:tcPr>
            <w:tcW w:w="2060" w:type="dxa"/>
            <w:noWrap w:val="0"/>
            <w:vAlign w:val="center"/>
          </w:tcPr>
          <w:p w14:paraId="460780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执行标准</w:t>
            </w:r>
          </w:p>
        </w:tc>
      </w:tr>
      <w:tr w14:paraId="4AB36F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1430" w:type="dxa"/>
            <w:vMerge w:val="restart"/>
            <w:noWrap w:val="0"/>
            <w:vAlign w:val="center"/>
          </w:tcPr>
          <w:p w14:paraId="4785AF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大气环境</w:t>
            </w:r>
          </w:p>
        </w:tc>
        <w:tc>
          <w:tcPr>
            <w:tcW w:w="1447" w:type="dxa"/>
            <w:tcBorders>
              <w:bottom w:val="single" w:color="auto" w:sz="4" w:space="0"/>
            </w:tcBorders>
            <w:noWrap w:val="0"/>
            <w:vAlign w:val="center"/>
          </w:tcPr>
          <w:p w14:paraId="574F0BFF">
            <w:pPr>
              <w:pStyle w:val="91"/>
              <w:keepNext w:val="0"/>
              <w:keepLines w:val="0"/>
              <w:suppressLineNumbers w:val="0"/>
              <w:tabs>
                <w:tab w:val="left" w:pos="9615"/>
              </w:tabs>
              <w:spacing w:before="0" w:beforeAutospacing="0" w:after="0" w:afterAutospacing="0"/>
              <w:ind w:left="0" w:leftChars="0" w:right="0" w:rightChars="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DA001</w:t>
            </w:r>
          </w:p>
        </w:tc>
        <w:tc>
          <w:tcPr>
            <w:tcW w:w="1140" w:type="dxa"/>
            <w:gridSpan w:val="2"/>
            <w:noWrap w:val="0"/>
            <w:vAlign w:val="center"/>
          </w:tcPr>
          <w:p w14:paraId="651E3A96">
            <w:pPr>
              <w:pStyle w:val="91"/>
              <w:keepNext w:val="0"/>
              <w:keepLines w:val="0"/>
              <w:suppressLineNumbers w:val="0"/>
              <w:tabs>
                <w:tab w:val="left" w:pos="9615"/>
              </w:tabs>
              <w:spacing w:before="0" w:beforeAutospacing="0" w:after="0" w:afterAutospacing="0"/>
              <w:ind w:left="0" w:leftChars="0" w:right="0" w:rightChars="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VOC</w:t>
            </w:r>
            <w:r>
              <w:rPr>
                <w:rFonts w:hint="default" w:ascii="Times New Roman" w:hAnsi="Times New Roman" w:eastAsia="宋体" w:cs="Times New Roman"/>
                <w:color w:val="auto"/>
                <w:sz w:val="24"/>
                <w:szCs w:val="24"/>
                <w:lang w:val="en-US" w:eastAsia="zh-CN"/>
              </w:rPr>
              <w:t>s</w:t>
            </w:r>
          </w:p>
        </w:tc>
        <w:tc>
          <w:tcPr>
            <w:tcW w:w="2983" w:type="dxa"/>
            <w:noWrap w:val="0"/>
            <w:vAlign w:val="center"/>
          </w:tcPr>
          <w:p w14:paraId="4B0C32F0">
            <w:pPr>
              <w:pStyle w:val="61"/>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集气罩+两级活性炭吸附装置（TA001）+15m排气筒（DA001）</w:t>
            </w:r>
          </w:p>
        </w:tc>
        <w:tc>
          <w:tcPr>
            <w:tcW w:w="2060" w:type="dxa"/>
            <w:vMerge w:val="restart"/>
            <w:noWrap w:val="0"/>
            <w:vAlign w:val="center"/>
          </w:tcPr>
          <w:p w14:paraId="56CC2525">
            <w:pPr>
              <w:keepNext w:val="0"/>
              <w:keepLines w:val="0"/>
              <w:suppressLineNumbers w:val="0"/>
              <w:wordWrap w:val="0"/>
              <w:spacing w:before="0" w:beforeAutospacing="0" w:after="0" w:afterAutospacing="0"/>
              <w:ind w:left="-105" w:leftChars="-50" w:right="-105" w:rightChars="-5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《四川省固定污染源大气挥发性有机物排放标准》（DB51/2377-2017）中表3排放限值</w:t>
            </w:r>
          </w:p>
        </w:tc>
      </w:tr>
      <w:tr w14:paraId="0B0C58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430" w:type="dxa"/>
            <w:vMerge w:val="continue"/>
            <w:noWrap w:val="0"/>
            <w:vAlign w:val="center"/>
          </w:tcPr>
          <w:p w14:paraId="412A5A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p>
        </w:tc>
        <w:tc>
          <w:tcPr>
            <w:tcW w:w="1447" w:type="dxa"/>
            <w:tcBorders>
              <w:bottom w:val="single" w:color="000000" w:sz="6" w:space="0"/>
            </w:tcBorders>
            <w:noWrap w:val="0"/>
            <w:vAlign w:val="center"/>
          </w:tcPr>
          <w:p w14:paraId="064DB8B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DA002</w:t>
            </w:r>
          </w:p>
        </w:tc>
        <w:tc>
          <w:tcPr>
            <w:tcW w:w="1140" w:type="dxa"/>
            <w:gridSpan w:val="2"/>
            <w:noWrap w:val="0"/>
            <w:vAlign w:val="center"/>
          </w:tcPr>
          <w:p w14:paraId="1B135C6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VOC</w:t>
            </w:r>
            <w:r>
              <w:rPr>
                <w:rFonts w:hint="default" w:ascii="Times New Roman" w:hAnsi="Times New Roman" w:eastAsia="宋体" w:cs="Times New Roman"/>
                <w:color w:val="auto"/>
                <w:sz w:val="24"/>
                <w:szCs w:val="24"/>
                <w:lang w:val="en-US" w:eastAsia="zh-CN"/>
              </w:rPr>
              <w:t>s</w:t>
            </w:r>
          </w:p>
        </w:tc>
        <w:tc>
          <w:tcPr>
            <w:tcW w:w="2983" w:type="dxa"/>
            <w:noWrap w:val="0"/>
            <w:vAlign w:val="center"/>
          </w:tcPr>
          <w:p w14:paraId="1931ADFA">
            <w:pPr>
              <w:pStyle w:val="91"/>
              <w:keepNext w:val="0"/>
              <w:keepLines w:val="0"/>
              <w:suppressLineNumbers w:val="0"/>
              <w:tabs>
                <w:tab w:val="left" w:pos="9615"/>
              </w:tabs>
              <w:spacing w:before="0" w:beforeAutospacing="0" w:after="0" w:afterAutospacing="0"/>
              <w:ind w:left="0" w:leftChars="0" w:right="0" w:rightChars="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密闭罩+两级活性炭吸附装置（TA002+15m排气筒（DA002）</w:t>
            </w:r>
          </w:p>
        </w:tc>
        <w:tc>
          <w:tcPr>
            <w:tcW w:w="2060" w:type="dxa"/>
            <w:vMerge w:val="continue"/>
            <w:noWrap w:val="0"/>
            <w:vAlign w:val="center"/>
          </w:tcPr>
          <w:p w14:paraId="629608DD">
            <w:pPr>
              <w:keepNext w:val="0"/>
              <w:keepLines w:val="0"/>
              <w:suppressLineNumbers w:val="0"/>
              <w:wordWrap w:val="0"/>
              <w:spacing w:before="0" w:beforeAutospacing="0" w:after="0" w:afterAutospacing="0"/>
              <w:ind w:left="-105" w:leftChars="-50" w:right="-105" w:rightChars="-50"/>
              <w:jc w:val="center"/>
              <w:rPr>
                <w:rFonts w:hint="default" w:ascii="Times New Roman" w:hAnsi="Times New Roman" w:eastAsia="宋体" w:cs="Times New Roman"/>
                <w:color w:val="auto"/>
                <w:kern w:val="0"/>
                <w:sz w:val="24"/>
                <w:szCs w:val="24"/>
                <w:lang w:val="en-US" w:eastAsia="zh-CN" w:bidi="ar-SA"/>
              </w:rPr>
            </w:pPr>
          </w:p>
        </w:tc>
      </w:tr>
      <w:tr w14:paraId="57CB48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30" w:type="dxa"/>
            <w:vMerge w:val="continue"/>
            <w:noWrap w:val="0"/>
            <w:vAlign w:val="center"/>
          </w:tcPr>
          <w:p w14:paraId="40869C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p>
        </w:tc>
        <w:tc>
          <w:tcPr>
            <w:tcW w:w="1447" w:type="dxa"/>
            <w:tcBorders>
              <w:top w:val="single" w:color="000000" w:sz="6" w:space="0"/>
            </w:tcBorders>
            <w:noWrap w:val="0"/>
            <w:vAlign w:val="center"/>
          </w:tcPr>
          <w:p w14:paraId="4EA6444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DA003</w:t>
            </w:r>
          </w:p>
        </w:tc>
        <w:tc>
          <w:tcPr>
            <w:tcW w:w="1140" w:type="dxa"/>
            <w:gridSpan w:val="2"/>
            <w:noWrap w:val="0"/>
            <w:vAlign w:val="center"/>
          </w:tcPr>
          <w:p w14:paraId="1E12D8D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VOC</w:t>
            </w:r>
            <w:r>
              <w:rPr>
                <w:rFonts w:hint="default" w:ascii="Times New Roman" w:hAnsi="Times New Roman" w:eastAsia="宋体" w:cs="Times New Roman"/>
                <w:color w:val="auto"/>
                <w:sz w:val="24"/>
                <w:szCs w:val="24"/>
                <w:lang w:val="en-US" w:eastAsia="zh-CN"/>
              </w:rPr>
              <w:t>s</w:t>
            </w:r>
          </w:p>
        </w:tc>
        <w:tc>
          <w:tcPr>
            <w:tcW w:w="2983" w:type="dxa"/>
            <w:noWrap w:val="0"/>
            <w:vAlign w:val="center"/>
          </w:tcPr>
          <w:p w14:paraId="736E0078">
            <w:pPr>
              <w:pStyle w:val="91"/>
              <w:keepNext w:val="0"/>
              <w:keepLines w:val="0"/>
              <w:suppressLineNumbers w:val="0"/>
              <w:tabs>
                <w:tab w:val="left" w:pos="9615"/>
              </w:tabs>
              <w:spacing w:before="0" w:beforeAutospacing="0" w:after="0" w:afterAutospacing="0"/>
              <w:ind w:left="0" w:leftChars="0" w:right="0" w:rightChars="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集气罩/密闭间+两级活性炭吸附装置（TA003）+15m排气筒（DA003）</w:t>
            </w:r>
          </w:p>
        </w:tc>
        <w:tc>
          <w:tcPr>
            <w:tcW w:w="2060" w:type="dxa"/>
            <w:vMerge w:val="continue"/>
            <w:tcBorders>
              <w:bottom w:val="single" w:color="000000" w:sz="6" w:space="0"/>
            </w:tcBorders>
            <w:noWrap w:val="0"/>
            <w:vAlign w:val="center"/>
          </w:tcPr>
          <w:p w14:paraId="50F4D442">
            <w:pPr>
              <w:keepNext w:val="0"/>
              <w:keepLines w:val="0"/>
              <w:suppressLineNumbers w:val="0"/>
              <w:wordWrap w:val="0"/>
              <w:spacing w:before="0" w:beforeAutospacing="0" w:after="0" w:afterAutospacing="0"/>
              <w:ind w:left="-105" w:leftChars="-50" w:right="-105" w:rightChars="-50"/>
              <w:jc w:val="center"/>
              <w:rPr>
                <w:rFonts w:hint="default" w:ascii="Times New Roman" w:hAnsi="Times New Roman" w:eastAsia="宋体" w:cs="Times New Roman"/>
                <w:color w:val="auto"/>
                <w:kern w:val="0"/>
                <w:sz w:val="24"/>
                <w:szCs w:val="24"/>
                <w:lang w:val="en-US" w:eastAsia="zh-CN" w:bidi="ar-SA"/>
              </w:rPr>
            </w:pPr>
          </w:p>
        </w:tc>
      </w:tr>
      <w:tr w14:paraId="4DB990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1430" w:type="dxa"/>
            <w:vMerge w:val="continue"/>
            <w:noWrap w:val="0"/>
            <w:vAlign w:val="center"/>
          </w:tcPr>
          <w:p w14:paraId="21F359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p>
        </w:tc>
        <w:tc>
          <w:tcPr>
            <w:tcW w:w="1447" w:type="dxa"/>
            <w:tcBorders>
              <w:top w:val="single" w:color="000000" w:sz="6" w:space="0"/>
            </w:tcBorders>
            <w:noWrap w:val="0"/>
            <w:vAlign w:val="center"/>
          </w:tcPr>
          <w:p w14:paraId="1962A78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厂界</w:t>
            </w:r>
            <w:r>
              <w:rPr>
                <w:rFonts w:hint="default" w:ascii="Times New Roman" w:hAnsi="Times New Roman" w:eastAsia="宋体" w:cs="Times New Roman"/>
                <w:color w:val="auto"/>
                <w:sz w:val="24"/>
                <w:szCs w:val="24"/>
                <w:lang w:eastAsia="zh-CN"/>
              </w:rPr>
              <w:t>无组织</w:t>
            </w:r>
          </w:p>
        </w:tc>
        <w:tc>
          <w:tcPr>
            <w:tcW w:w="1140" w:type="dxa"/>
            <w:gridSpan w:val="2"/>
            <w:tcBorders>
              <w:top w:val="single" w:color="000000" w:sz="6" w:space="0"/>
            </w:tcBorders>
            <w:noWrap w:val="0"/>
            <w:vAlign w:val="center"/>
          </w:tcPr>
          <w:p w14:paraId="22C49164">
            <w:pPr>
              <w:pStyle w:val="91"/>
              <w:keepNext w:val="0"/>
              <w:keepLines w:val="0"/>
              <w:suppressLineNumbers w:val="0"/>
              <w:tabs>
                <w:tab w:val="left" w:pos="9615"/>
              </w:tabs>
              <w:spacing w:before="0" w:beforeAutospacing="0" w:after="0" w:afterAutospacing="0"/>
              <w:ind w:left="0" w:leftChars="0" w:right="0" w:right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VOC</w:t>
            </w:r>
            <w:r>
              <w:rPr>
                <w:rFonts w:hint="default" w:ascii="Times New Roman" w:hAnsi="Times New Roman" w:eastAsia="宋体" w:cs="Times New Roman"/>
                <w:color w:val="auto"/>
                <w:sz w:val="24"/>
                <w:szCs w:val="24"/>
                <w:lang w:val="en-US" w:eastAsia="zh-CN"/>
              </w:rPr>
              <w:t>s</w:t>
            </w:r>
          </w:p>
        </w:tc>
        <w:tc>
          <w:tcPr>
            <w:tcW w:w="2983" w:type="dxa"/>
            <w:tcBorders>
              <w:top w:val="single" w:color="000000" w:sz="6" w:space="0"/>
            </w:tcBorders>
            <w:noWrap w:val="0"/>
            <w:vAlign w:val="center"/>
          </w:tcPr>
          <w:p w14:paraId="6DBF6040">
            <w:pPr>
              <w:pStyle w:val="61"/>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2060" w:type="dxa"/>
            <w:tcBorders>
              <w:top w:val="single" w:color="000000" w:sz="6" w:space="0"/>
              <w:bottom w:val="single" w:color="000000" w:sz="4" w:space="0"/>
            </w:tcBorders>
            <w:noWrap w:val="0"/>
            <w:vAlign w:val="center"/>
          </w:tcPr>
          <w:p w14:paraId="0009BB28">
            <w:pPr>
              <w:keepNext w:val="0"/>
              <w:keepLines w:val="0"/>
              <w:suppressLineNumbers w:val="0"/>
              <w:wordWrap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《四川省固定污染源大气挥发性有机物排放标准》（DB51/2377-2017）</w:t>
            </w:r>
            <w:r>
              <w:rPr>
                <w:rFonts w:hint="default" w:ascii="Times New Roman" w:hAnsi="Times New Roman" w:eastAsia="宋体" w:cs="Times New Roman"/>
                <w:color w:val="auto"/>
                <w:sz w:val="24"/>
                <w:szCs w:val="24"/>
              </w:rPr>
              <w:t>中表</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排放限值</w:t>
            </w:r>
          </w:p>
        </w:tc>
      </w:tr>
      <w:tr w14:paraId="1E7E7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430" w:type="dxa"/>
            <w:vMerge w:val="continue"/>
            <w:noWrap w:val="0"/>
            <w:vAlign w:val="center"/>
          </w:tcPr>
          <w:p w14:paraId="29D801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p>
        </w:tc>
        <w:tc>
          <w:tcPr>
            <w:tcW w:w="1447" w:type="dxa"/>
            <w:noWrap w:val="0"/>
            <w:vAlign w:val="center"/>
          </w:tcPr>
          <w:p w14:paraId="54670BE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厂区无组织</w:t>
            </w:r>
          </w:p>
        </w:tc>
        <w:tc>
          <w:tcPr>
            <w:tcW w:w="1140" w:type="dxa"/>
            <w:gridSpan w:val="2"/>
            <w:noWrap w:val="0"/>
            <w:vAlign w:val="center"/>
          </w:tcPr>
          <w:p w14:paraId="27ADA39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NMHC</w:t>
            </w:r>
          </w:p>
        </w:tc>
        <w:tc>
          <w:tcPr>
            <w:tcW w:w="2983" w:type="dxa"/>
            <w:tcBorders>
              <w:top w:val="single" w:color="000000" w:sz="4" w:space="0"/>
            </w:tcBorders>
            <w:noWrap w:val="0"/>
            <w:vAlign w:val="center"/>
          </w:tcPr>
          <w:p w14:paraId="1E86753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2060" w:type="dxa"/>
            <w:tcBorders>
              <w:top w:val="single" w:color="000000" w:sz="4" w:space="0"/>
            </w:tcBorders>
            <w:noWrap w:val="0"/>
            <w:vAlign w:val="center"/>
          </w:tcPr>
          <w:p w14:paraId="1EAE5158">
            <w:pPr>
              <w:keepNext w:val="0"/>
              <w:keepLines w:val="0"/>
              <w:suppressLineNumbers w:val="0"/>
              <w:wordWrap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《挥发性有机物无组织排放控制标准》（GB37822-2019）附录A表A.1特别排放限值</w:t>
            </w:r>
          </w:p>
        </w:tc>
      </w:tr>
      <w:tr w14:paraId="6F83FE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7" w:hRule="atLeast"/>
          <w:jc w:val="center"/>
        </w:trPr>
        <w:tc>
          <w:tcPr>
            <w:tcW w:w="1430" w:type="dxa"/>
            <w:noWrap w:val="0"/>
            <w:vAlign w:val="center"/>
          </w:tcPr>
          <w:p w14:paraId="47383B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地表水环境</w:t>
            </w:r>
          </w:p>
        </w:tc>
        <w:tc>
          <w:tcPr>
            <w:tcW w:w="1457" w:type="dxa"/>
            <w:gridSpan w:val="2"/>
            <w:noWrap w:val="0"/>
            <w:vAlign w:val="center"/>
          </w:tcPr>
          <w:p w14:paraId="2A716457">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生活污水</w:t>
            </w:r>
          </w:p>
        </w:tc>
        <w:tc>
          <w:tcPr>
            <w:tcW w:w="1130" w:type="dxa"/>
            <w:noWrap w:val="0"/>
            <w:vAlign w:val="center"/>
          </w:tcPr>
          <w:p w14:paraId="05DBF5BD">
            <w:pPr>
              <w:keepNext w:val="0"/>
              <w:keepLines w:val="0"/>
              <w:suppressLineNumbers w:val="0"/>
              <w:adjustRightInd w:val="0"/>
              <w:snapToGrid w:val="0"/>
              <w:spacing w:before="0" w:beforeAutospacing="0" w:after="0" w:afterAutospacing="0"/>
              <w:ind w:left="-105" w:leftChars="-50" w:right="-105" w:rightChars="-50"/>
              <w:jc w:val="center"/>
              <w:rPr>
                <w:rFonts w:hint="eastAsia" w:ascii="Times New Roman" w:hAnsi="Times New Roman" w:eastAsia="宋体" w:cs="Times New Roman"/>
                <w:color w:val="auto"/>
                <w:sz w:val="24"/>
                <w:szCs w:val="24"/>
                <w:lang w:val="en-US" w:eastAsia="zh-CN"/>
              </w:rPr>
            </w:pPr>
            <w:r>
              <w:rPr>
                <w:color w:val="auto"/>
                <w:sz w:val="24"/>
              </w:rPr>
              <w:t>COD、BOD</w:t>
            </w:r>
            <w:r>
              <w:rPr>
                <w:color w:val="auto"/>
                <w:sz w:val="24"/>
                <w:vertAlign w:val="subscript"/>
              </w:rPr>
              <w:t>5</w:t>
            </w:r>
            <w:r>
              <w:rPr>
                <w:color w:val="auto"/>
                <w:sz w:val="24"/>
              </w:rPr>
              <w:t>、SS、NH</w:t>
            </w:r>
            <w:r>
              <w:rPr>
                <w:color w:val="auto"/>
                <w:sz w:val="24"/>
                <w:vertAlign w:val="subscript"/>
              </w:rPr>
              <w:t>3</w:t>
            </w:r>
            <w:r>
              <w:rPr>
                <w:color w:val="auto"/>
                <w:sz w:val="24"/>
              </w:rPr>
              <w:t>-N、</w:t>
            </w:r>
            <w:r>
              <w:rPr>
                <w:rFonts w:hint="eastAsia"/>
                <w:color w:val="auto"/>
                <w:sz w:val="24"/>
              </w:rPr>
              <w:t>TP、动植物油</w:t>
            </w:r>
          </w:p>
        </w:tc>
        <w:tc>
          <w:tcPr>
            <w:tcW w:w="2983" w:type="dxa"/>
            <w:noWrap w:val="0"/>
            <w:vAlign w:val="center"/>
          </w:tcPr>
          <w:p w14:paraId="2B8776CA">
            <w:pPr>
              <w:pStyle w:val="91"/>
              <w:keepNext w:val="0"/>
              <w:keepLines w:val="0"/>
              <w:suppressLineNumbers w:val="0"/>
              <w:tabs>
                <w:tab w:val="left" w:pos="9615"/>
              </w:tabs>
              <w:spacing w:before="0" w:beforeAutospacing="0" w:after="0" w:afterAutospacing="0"/>
              <w:ind w:left="0" w:leftChars="0" w:right="0" w:rightChars="0"/>
              <w:rPr>
                <w:rFonts w:hint="default" w:ascii="Times New Roman" w:hAnsi="Times New Roman" w:eastAsia="宋体" w:cs="Times New Roman"/>
                <w:color w:val="auto"/>
                <w:kern w:val="2"/>
                <w:sz w:val="24"/>
                <w:szCs w:val="24"/>
                <w:lang w:val="en-US" w:eastAsia="zh-CN" w:bidi="ar-SA"/>
              </w:rPr>
            </w:pPr>
            <w:r>
              <w:rPr>
                <w:rFonts w:hint="eastAsia"/>
                <w:color w:val="auto"/>
                <w:sz w:val="24"/>
              </w:rPr>
              <w:t>餐饮废水经</w:t>
            </w:r>
            <w:r>
              <w:rPr>
                <w:rFonts w:hint="eastAsia"/>
                <w:color w:val="auto"/>
                <w:sz w:val="24"/>
                <w:lang w:val="en-US" w:eastAsia="zh-CN"/>
              </w:rPr>
              <w:t>油水分离器</w:t>
            </w:r>
            <w:r>
              <w:rPr>
                <w:rFonts w:hint="eastAsia"/>
                <w:color w:val="auto"/>
                <w:sz w:val="24"/>
              </w:rPr>
              <w:t>处理后，与其他生活污水依托厂内预处理池处理</w:t>
            </w:r>
          </w:p>
        </w:tc>
        <w:tc>
          <w:tcPr>
            <w:tcW w:w="2060" w:type="dxa"/>
            <w:noWrap w:val="0"/>
            <w:vAlign w:val="center"/>
          </w:tcPr>
          <w:p w14:paraId="2739F73F">
            <w:pPr>
              <w:pStyle w:val="91"/>
              <w:keepNext w:val="0"/>
              <w:keepLines w:val="0"/>
              <w:suppressLineNumbers w:val="0"/>
              <w:tabs>
                <w:tab w:val="left" w:pos="9615"/>
              </w:tabs>
              <w:spacing w:before="0" w:beforeAutospacing="0" w:after="0" w:afterAutospacing="0"/>
              <w:ind w:left="0" w:leftChars="0" w:right="0" w:rightChars="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《污水综合排放标准》（GB8978-1996）三级标准</w:t>
            </w:r>
          </w:p>
        </w:tc>
      </w:tr>
      <w:tr w14:paraId="46885D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0" w:type="dxa"/>
            <w:noWrap w:val="0"/>
            <w:vAlign w:val="center"/>
          </w:tcPr>
          <w:p w14:paraId="7485756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声环境</w:t>
            </w:r>
          </w:p>
        </w:tc>
        <w:tc>
          <w:tcPr>
            <w:tcW w:w="1447" w:type="dxa"/>
            <w:noWrap w:val="0"/>
            <w:vAlign w:val="center"/>
          </w:tcPr>
          <w:p w14:paraId="041FF24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生产车间</w:t>
            </w:r>
          </w:p>
        </w:tc>
        <w:tc>
          <w:tcPr>
            <w:tcW w:w="1140" w:type="dxa"/>
            <w:gridSpan w:val="2"/>
            <w:noWrap w:val="0"/>
            <w:vAlign w:val="center"/>
          </w:tcPr>
          <w:p w14:paraId="77A7B0A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等效连续A声级</w:t>
            </w:r>
          </w:p>
        </w:tc>
        <w:tc>
          <w:tcPr>
            <w:tcW w:w="2983" w:type="dxa"/>
            <w:noWrap w:val="0"/>
            <w:vAlign w:val="center"/>
          </w:tcPr>
          <w:p w14:paraId="41D1F55D">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基础减振</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设备隔声、</w:t>
            </w:r>
            <w:r>
              <w:rPr>
                <w:rFonts w:hint="default" w:ascii="Times New Roman" w:hAnsi="Times New Roman" w:eastAsia="宋体" w:cs="Times New Roman"/>
                <w:color w:val="auto"/>
                <w:sz w:val="24"/>
                <w:szCs w:val="24"/>
                <w:lang w:eastAsia="zh-CN"/>
              </w:rPr>
              <w:t>距离衰减等，</w:t>
            </w:r>
            <w:r>
              <w:rPr>
                <w:rFonts w:hint="default" w:ascii="Times New Roman" w:hAnsi="Times New Roman" w:eastAsia="宋体" w:cs="Times New Roman"/>
                <w:color w:val="auto"/>
                <w:sz w:val="24"/>
                <w:szCs w:val="24"/>
              </w:rPr>
              <w:t>加强</w:t>
            </w:r>
            <w:r>
              <w:rPr>
                <w:rFonts w:hint="default" w:ascii="Times New Roman" w:hAnsi="Times New Roman" w:eastAsia="宋体" w:cs="Times New Roman"/>
                <w:color w:val="auto"/>
                <w:sz w:val="24"/>
                <w:szCs w:val="24"/>
                <w:lang w:eastAsia="zh-CN"/>
              </w:rPr>
              <w:t>设备</w:t>
            </w:r>
            <w:r>
              <w:rPr>
                <w:rFonts w:hint="default" w:ascii="Times New Roman" w:hAnsi="Times New Roman" w:eastAsia="宋体" w:cs="Times New Roman"/>
                <w:color w:val="auto"/>
                <w:sz w:val="24"/>
                <w:szCs w:val="24"/>
              </w:rPr>
              <w:t>维护保养</w:t>
            </w:r>
          </w:p>
        </w:tc>
        <w:tc>
          <w:tcPr>
            <w:tcW w:w="2060" w:type="dxa"/>
            <w:noWrap w:val="0"/>
            <w:vAlign w:val="center"/>
          </w:tcPr>
          <w:p w14:paraId="5F6BC5EF">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《工业企业厂界环境噪声排放标准》（GB12348-2008）中的3类标准</w:t>
            </w:r>
          </w:p>
        </w:tc>
      </w:tr>
      <w:tr w14:paraId="290D72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0" w:type="dxa"/>
            <w:noWrap w:val="0"/>
            <w:vAlign w:val="center"/>
          </w:tcPr>
          <w:p w14:paraId="492F0F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电磁辐射</w:t>
            </w:r>
          </w:p>
        </w:tc>
        <w:tc>
          <w:tcPr>
            <w:tcW w:w="7630" w:type="dxa"/>
            <w:gridSpan w:val="5"/>
            <w:noWrap w:val="0"/>
            <w:vAlign w:val="center"/>
          </w:tcPr>
          <w:p w14:paraId="07B4DD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14:paraId="499711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30" w:type="dxa"/>
            <w:noWrap w:val="0"/>
            <w:vAlign w:val="center"/>
          </w:tcPr>
          <w:p w14:paraId="2C5761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固体废物</w:t>
            </w:r>
          </w:p>
        </w:tc>
        <w:tc>
          <w:tcPr>
            <w:tcW w:w="7630" w:type="dxa"/>
            <w:gridSpan w:val="5"/>
            <w:noWrap w:val="0"/>
            <w:vAlign w:val="center"/>
          </w:tcPr>
          <w:p w14:paraId="13825AA7">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（1）一般固废：依托建设单位</w:t>
            </w:r>
            <w:r>
              <w:rPr>
                <w:rFonts w:hint="default" w:ascii="Times New Roman" w:hAnsi="Times New Roman" w:eastAsia="宋体" w:cs="Times New Roman"/>
                <w:color w:val="auto"/>
                <w:sz w:val="24"/>
                <w:szCs w:val="24"/>
                <w:lang w:val="en-US" w:eastAsia="zh-CN"/>
              </w:rPr>
              <w:t>在1#车间西南角设置的一处占地约50m2的残次品堆放间，专用于堆放生产过程中产生的残次品，依托在1#车间东南角设置的一处占地20m2的固废暂存间，用于暂存及管理生产过程产生的其余一般生产固废</w:t>
            </w:r>
            <w:r>
              <w:rPr>
                <w:rFonts w:hint="default" w:ascii="Times New Roman" w:hAnsi="Times New Roman" w:eastAsia="宋体" w:cs="Times New Roman"/>
                <w:color w:val="auto"/>
                <w:sz w:val="24"/>
                <w:szCs w:val="24"/>
              </w:rPr>
              <w:t>，评价要求对各类一般固废进行分类存放。废烫金纸、废边角料、残次品、废包装材料，分类收集，定期进行外售综合利用；生活垃圾收集于垃圾桶内，由环卫部门定期清运；餐厨垃圾及</w:t>
            </w:r>
            <w:r>
              <w:rPr>
                <w:rFonts w:hint="default" w:ascii="Times New Roman" w:hAnsi="Times New Roman" w:eastAsia="宋体" w:cs="Times New Roman"/>
                <w:color w:val="auto"/>
                <w:sz w:val="24"/>
                <w:szCs w:val="24"/>
                <w:lang w:val="en-US" w:eastAsia="zh-CN"/>
              </w:rPr>
              <w:t>油水分离器</w:t>
            </w:r>
            <w:r>
              <w:rPr>
                <w:rFonts w:hint="default" w:ascii="Times New Roman" w:hAnsi="Times New Roman" w:eastAsia="宋体" w:cs="Times New Roman"/>
                <w:color w:val="auto"/>
                <w:sz w:val="24"/>
                <w:szCs w:val="24"/>
              </w:rPr>
              <w:t>废油脂交有餐厨垃圾处理资质</w:t>
            </w:r>
            <w:bookmarkStart w:id="68" w:name="_GoBack"/>
            <w:bookmarkEnd w:id="68"/>
            <w:r>
              <w:rPr>
                <w:rFonts w:hint="default" w:ascii="Times New Roman" w:hAnsi="Times New Roman" w:eastAsia="宋体" w:cs="Times New Roman"/>
                <w:color w:val="auto"/>
                <w:sz w:val="24"/>
                <w:szCs w:val="24"/>
              </w:rPr>
              <w:t>的单位处置。</w:t>
            </w:r>
          </w:p>
          <w:p w14:paraId="7E976D9E">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（2）危险废物：</w:t>
            </w:r>
            <w:r>
              <w:rPr>
                <w:rFonts w:hint="eastAsia"/>
                <w:color w:val="auto"/>
                <w:sz w:val="24"/>
                <w:lang w:val="en-US" w:eastAsia="zh-CN"/>
              </w:rPr>
              <w:t>厂区西北侧已建一处占地100m</w:t>
            </w:r>
            <w:r>
              <w:rPr>
                <w:rFonts w:hint="eastAsia"/>
                <w:color w:val="auto"/>
                <w:sz w:val="24"/>
                <w:vertAlign w:val="superscript"/>
                <w:lang w:val="en-US" w:eastAsia="zh-CN"/>
              </w:rPr>
              <w:t>2</w:t>
            </w:r>
            <w:r>
              <w:rPr>
                <w:rFonts w:hint="eastAsia"/>
                <w:color w:val="auto"/>
                <w:sz w:val="24"/>
                <w:lang w:val="en-US" w:eastAsia="zh-CN"/>
              </w:rPr>
              <w:t>的危废暂存间</w:t>
            </w:r>
            <w:r>
              <w:rPr>
                <w:rFonts w:hint="eastAsia"/>
                <w:color w:val="auto"/>
                <w:sz w:val="24"/>
              </w:rPr>
              <w:t>，</w:t>
            </w:r>
            <w:r>
              <w:rPr>
                <w:rFonts w:hint="eastAsia"/>
                <w:color w:val="auto"/>
                <w:sz w:val="24"/>
                <w:lang w:val="en-US" w:eastAsia="zh-CN"/>
              </w:rPr>
              <w:t>暂存项目产生的废包装桶、废显影液、洗版废液、废滤材滤渣、清洁丝网版棉布手套、废丝网版、废CTP版、废UV灯管、废润滑油、废棉纱手套、废活性炭</w:t>
            </w:r>
            <w:r>
              <w:rPr>
                <w:rFonts w:hint="default" w:ascii="Times New Roman" w:hAnsi="Times New Roman" w:eastAsia="宋体" w:cs="Times New Roman"/>
                <w:color w:val="auto"/>
                <w:sz w:val="24"/>
                <w:szCs w:val="24"/>
                <w:lang w:eastAsia="zh-CN"/>
              </w:rPr>
              <w:t>等危险废物</w:t>
            </w:r>
            <w:r>
              <w:rPr>
                <w:rFonts w:hint="eastAsia"/>
                <w:color w:val="auto"/>
                <w:sz w:val="24"/>
                <w:lang w:eastAsia="zh-CN"/>
              </w:rPr>
              <w:t>。根据危险废物类别划设贮存分区，每个贮存区应设置挡墙间隔，设置标识牌，并对危废暂存间液态危废设置边缘高20cm、容积0.2m</w:t>
            </w:r>
            <w:r>
              <w:rPr>
                <w:rFonts w:hint="eastAsia"/>
                <w:color w:val="auto"/>
                <w:sz w:val="24"/>
                <w:vertAlign w:val="superscript"/>
                <w:lang w:eastAsia="zh-CN"/>
              </w:rPr>
              <w:t>3</w:t>
            </w:r>
            <w:r>
              <w:rPr>
                <w:rFonts w:hint="eastAsia"/>
                <w:color w:val="auto"/>
                <w:sz w:val="24"/>
                <w:lang w:eastAsia="zh-CN"/>
              </w:rPr>
              <w:t>的钢制托盘，作重点防渗，防渗系数应不小于10-10cm/s。设置危险废物警示标志、标志牌。危废分类暂存，委托有危废处理资质的单位定期处置。</w:t>
            </w:r>
          </w:p>
        </w:tc>
      </w:tr>
      <w:tr w14:paraId="60498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30" w:type="dxa"/>
            <w:noWrap w:val="0"/>
            <w:vAlign w:val="center"/>
          </w:tcPr>
          <w:p w14:paraId="31E13E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土壤及地下水污染防治措施</w:t>
            </w:r>
          </w:p>
        </w:tc>
        <w:tc>
          <w:tcPr>
            <w:tcW w:w="7630" w:type="dxa"/>
            <w:gridSpan w:val="5"/>
            <w:noWrap w:val="0"/>
            <w:vAlign w:val="center"/>
          </w:tcPr>
          <w:p w14:paraId="6C979319">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sz w:val="24"/>
                <w:szCs w:val="24"/>
                <w:lang w:eastAsia="zh-CN"/>
              </w:rPr>
            </w:pPr>
            <w:r>
              <w:rPr>
                <w:color w:val="auto"/>
                <w:sz w:val="24"/>
              </w:rPr>
              <w:t>厂区分为重点防渗区、一般防渗区、简单防渗区。危废暂存间</w:t>
            </w:r>
            <w:r>
              <w:rPr>
                <w:rFonts w:hint="eastAsia"/>
                <w:color w:val="auto"/>
                <w:sz w:val="24"/>
              </w:rPr>
              <w:t>、                                                                                     液态原料</w:t>
            </w:r>
            <w:r>
              <w:rPr>
                <w:rFonts w:hint="eastAsia"/>
                <w:color w:val="auto"/>
                <w:sz w:val="24"/>
                <w:lang w:val="en-US" w:eastAsia="zh-CN"/>
              </w:rPr>
              <w:t>库房</w:t>
            </w:r>
            <w:r>
              <w:rPr>
                <w:rFonts w:hint="eastAsia"/>
                <w:color w:val="auto"/>
                <w:sz w:val="24"/>
              </w:rPr>
              <w:t>、印刷区域</w:t>
            </w:r>
            <w:r>
              <w:rPr>
                <w:color w:val="auto"/>
                <w:sz w:val="24"/>
              </w:rPr>
              <w:t>为重点防渗区，地面应按规范进行防渗、防腐处理或等效措施；一般防渗区为厂房内除重点防渗外的其他区域，已铺设防渗混凝土；简单防渗区为办公室、道路地坪，已做地面硬化，能够满足简单防渗区要求。</w:t>
            </w:r>
          </w:p>
        </w:tc>
      </w:tr>
      <w:tr w14:paraId="2D08F6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30" w:type="dxa"/>
            <w:noWrap w:val="0"/>
            <w:vAlign w:val="center"/>
          </w:tcPr>
          <w:p w14:paraId="01AF02A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生态保护</w:t>
            </w:r>
          </w:p>
          <w:p w14:paraId="4766683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措施</w:t>
            </w:r>
          </w:p>
        </w:tc>
        <w:tc>
          <w:tcPr>
            <w:tcW w:w="7630" w:type="dxa"/>
            <w:gridSpan w:val="5"/>
            <w:noWrap w:val="0"/>
            <w:vAlign w:val="center"/>
          </w:tcPr>
          <w:p w14:paraId="0B22E7D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w:t>
            </w:r>
          </w:p>
        </w:tc>
      </w:tr>
      <w:tr w14:paraId="05A5D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30" w:type="dxa"/>
            <w:noWrap w:val="0"/>
            <w:vAlign w:val="center"/>
          </w:tcPr>
          <w:p w14:paraId="586EE0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pacing w:val="-8"/>
                <w:sz w:val="24"/>
                <w:szCs w:val="24"/>
              </w:rPr>
            </w:pPr>
            <w:r>
              <w:rPr>
                <w:rFonts w:hint="default" w:ascii="Times New Roman" w:hAnsi="Times New Roman" w:eastAsia="宋体" w:cs="Times New Roman"/>
                <w:b/>
                <w:bCs/>
                <w:color w:val="auto"/>
                <w:spacing w:val="-8"/>
                <w:sz w:val="24"/>
                <w:szCs w:val="24"/>
              </w:rPr>
              <w:t>环境风险</w:t>
            </w:r>
          </w:p>
          <w:p w14:paraId="3A843C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pacing w:val="-8"/>
                <w:sz w:val="24"/>
                <w:szCs w:val="24"/>
              </w:rPr>
            </w:pPr>
            <w:r>
              <w:rPr>
                <w:rFonts w:hint="default" w:ascii="Times New Roman" w:hAnsi="Times New Roman" w:eastAsia="宋体" w:cs="Times New Roman"/>
                <w:b/>
                <w:bCs/>
                <w:color w:val="auto"/>
                <w:spacing w:val="-8"/>
                <w:sz w:val="24"/>
                <w:szCs w:val="24"/>
              </w:rPr>
              <w:t>防范措施</w:t>
            </w:r>
          </w:p>
        </w:tc>
        <w:tc>
          <w:tcPr>
            <w:tcW w:w="7630" w:type="dxa"/>
            <w:gridSpan w:val="5"/>
            <w:noWrap w:val="0"/>
            <w:vAlign w:val="center"/>
          </w:tcPr>
          <w:p w14:paraId="57D44B74">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（1）厂区内严禁烟火，并在生产场所内配备足够数量的相应消防设施。</w:t>
            </w:r>
          </w:p>
          <w:p w14:paraId="493AF343">
            <w:pPr>
              <w:keepNext w:val="0"/>
              <w:keepLines w:val="0"/>
              <w:suppressLineNumbers w:val="0"/>
              <w:autoSpaceDE w:val="0"/>
              <w:autoSpaceDN w:val="0"/>
              <w:adjustRightInd w:val="0"/>
              <w:spacing w:before="0" w:beforeAutospacing="0" w:after="0" w:afterAutospacing="0" w:line="240" w:lineRule="auto"/>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（2）定期检查环保设备；一旦出现相应废气超标排放，立即停止产生废气的工序，进行设备检修，待设备检修好后才能进行</w:t>
            </w:r>
            <w:r>
              <w:rPr>
                <w:rFonts w:hint="default" w:ascii="Times New Roman" w:hAnsi="Times New Roman" w:eastAsia="宋体" w:cs="Times New Roman"/>
                <w:color w:val="auto"/>
                <w:sz w:val="24"/>
                <w:szCs w:val="24"/>
                <w:lang w:eastAsia="zh-CN"/>
              </w:rPr>
              <w:t>废气产生</w:t>
            </w:r>
            <w:r>
              <w:rPr>
                <w:rFonts w:hint="default" w:ascii="Times New Roman" w:hAnsi="Times New Roman" w:eastAsia="宋体" w:cs="Times New Roman"/>
                <w:color w:val="auto"/>
                <w:sz w:val="24"/>
                <w:szCs w:val="24"/>
              </w:rPr>
              <w:t>等工序。</w:t>
            </w:r>
          </w:p>
          <w:p w14:paraId="11ED44B6">
            <w:pPr>
              <w:keepNext w:val="0"/>
              <w:keepLines w:val="0"/>
              <w:suppressLineNumbers w:val="0"/>
              <w:autoSpaceDE w:val="0"/>
              <w:autoSpaceDN w:val="0"/>
              <w:adjustRightInd w:val="0"/>
              <w:spacing w:before="0" w:beforeAutospacing="0" w:after="0" w:afterAutospacing="0" w:line="240" w:lineRule="auto"/>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lang w:eastAsia="zh-CN"/>
              </w:rPr>
              <w:t>危废暂存间</w:t>
            </w:r>
            <w:r>
              <w:rPr>
                <w:rFonts w:hint="default" w:ascii="Times New Roman" w:hAnsi="Times New Roman" w:eastAsia="宋体" w:cs="Times New Roman"/>
                <w:color w:val="auto"/>
                <w:sz w:val="24"/>
                <w:szCs w:val="24"/>
              </w:rPr>
              <w:t>门口贴标识标牌，设防火提示牌，门口设置警示牌；液态危废采用专用密闭容器收集暂存，且容器下方设置不锈钢托盘，并设置空桶作为备用收容设施；</w:t>
            </w:r>
            <w:r>
              <w:rPr>
                <w:rFonts w:hint="default" w:ascii="Times New Roman" w:hAnsi="Times New Roman" w:eastAsia="宋体" w:cs="Times New Roman"/>
                <w:color w:val="auto"/>
                <w:sz w:val="24"/>
                <w:szCs w:val="24"/>
                <w:lang w:eastAsia="zh-CN"/>
              </w:rPr>
              <w:t>危废暂存间</w:t>
            </w:r>
            <w:r>
              <w:rPr>
                <w:rFonts w:hint="default" w:ascii="Times New Roman" w:hAnsi="Times New Roman" w:eastAsia="宋体" w:cs="Times New Roman"/>
                <w:color w:val="auto"/>
                <w:sz w:val="24"/>
                <w:szCs w:val="24"/>
              </w:rPr>
              <w:t>地面全部进行防渗处理。</w:t>
            </w:r>
          </w:p>
          <w:p w14:paraId="351634B8">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（4）项目</w:t>
            </w:r>
            <w:r>
              <w:rPr>
                <w:rFonts w:hint="default" w:ascii="Times New Roman" w:hAnsi="Times New Roman" w:eastAsia="宋体" w:cs="Times New Roman"/>
                <w:color w:val="auto"/>
                <w:sz w:val="24"/>
                <w:szCs w:val="24"/>
                <w:lang w:val="en-US" w:eastAsia="zh-CN"/>
              </w:rPr>
              <w:t>油墨、清洗剂在油墨库房</w:t>
            </w:r>
            <w:r>
              <w:rPr>
                <w:rFonts w:hint="default" w:ascii="Times New Roman" w:hAnsi="Times New Roman" w:eastAsia="宋体" w:cs="Times New Roman"/>
                <w:color w:val="auto"/>
                <w:sz w:val="24"/>
                <w:szCs w:val="24"/>
              </w:rPr>
              <w:t>独立布置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地面进行防渗处理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万一发生包装材料破裂而发生泄漏时，泄漏的物料可被截留在仓库内；</w:t>
            </w:r>
            <w:r>
              <w:rPr>
                <w:rFonts w:hint="default" w:ascii="Times New Roman" w:hAnsi="Times New Roman" w:eastAsia="宋体" w:cs="Times New Roman"/>
                <w:color w:val="auto"/>
                <w:sz w:val="24"/>
                <w:szCs w:val="24"/>
                <w:lang w:val="en-US" w:eastAsia="zh-CN"/>
              </w:rPr>
              <w:t>油墨库房配备边缘高20cm的堵截泄漏的围挡</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并设置空桶作为备用收容设施</w:t>
            </w:r>
          </w:p>
          <w:p w14:paraId="798BE7B4">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w:t>
            </w:r>
            <w:r>
              <w:rPr>
                <w:rFonts w:hint="eastAsia"/>
                <w:color w:val="auto"/>
                <w:sz w:val="24"/>
              </w:rPr>
              <w:t>液态原料</w:t>
            </w:r>
            <w:r>
              <w:rPr>
                <w:rFonts w:hint="eastAsia"/>
                <w:color w:val="auto"/>
                <w:sz w:val="24"/>
                <w:lang w:val="en-US" w:eastAsia="zh-CN"/>
              </w:rPr>
              <w:t>库房</w:t>
            </w:r>
            <w:r>
              <w:rPr>
                <w:rFonts w:hint="default" w:ascii="Times New Roman" w:hAnsi="Times New Roman" w:eastAsia="宋体" w:cs="Times New Roman"/>
                <w:color w:val="auto"/>
                <w:sz w:val="24"/>
                <w:szCs w:val="24"/>
                <w:lang w:val="en-US" w:eastAsia="zh-CN"/>
              </w:rPr>
              <w:t>、生产车间印刷区、危废暂存间，</w:t>
            </w:r>
            <w:r>
              <w:rPr>
                <w:rFonts w:hint="default" w:ascii="Times New Roman" w:hAnsi="Times New Roman" w:eastAsia="宋体" w:cs="Times New Roman"/>
                <w:color w:val="auto"/>
                <w:sz w:val="24"/>
                <w:szCs w:val="24"/>
              </w:rPr>
              <w:t>铺设2mm厚</w:t>
            </w:r>
            <w:r>
              <w:rPr>
                <w:rFonts w:hint="default" w:ascii="Times New Roman" w:hAnsi="Times New Roman" w:eastAsia="宋体" w:cs="Times New Roman"/>
                <w:color w:val="auto"/>
                <w:sz w:val="24"/>
                <w:szCs w:val="24"/>
                <w:lang w:val="en-US" w:eastAsia="zh-CN"/>
              </w:rPr>
              <w:t>HDPE防渗膜或其他等效防渗层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并油墨库房设置边缘高20cm的堵截泄漏的围挡</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危废暂存间</w:t>
            </w:r>
            <w:r>
              <w:rPr>
                <w:rFonts w:hint="default" w:ascii="Times New Roman" w:hAnsi="Times New Roman" w:eastAsia="宋体" w:cs="Times New Roman"/>
                <w:color w:val="auto"/>
                <w:sz w:val="24"/>
                <w:szCs w:val="24"/>
                <w:lang w:val="en-US" w:eastAsia="zh-CN"/>
              </w:rPr>
              <w:t>进行防风、防晒、防雨、防漏、防渗、防腐的“六防”处理，地面已进行防渗混凝土硬化，地面铺设</w:t>
            </w:r>
            <w:r>
              <w:rPr>
                <w:rFonts w:hint="default" w:ascii="Times New Roman" w:hAnsi="Times New Roman" w:eastAsia="宋体" w:cs="Times New Roman"/>
                <w:color w:val="auto"/>
                <w:sz w:val="24"/>
                <w:szCs w:val="24"/>
              </w:rPr>
              <w:t>2mm厚</w:t>
            </w:r>
            <w:r>
              <w:rPr>
                <w:rFonts w:hint="default" w:ascii="Times New Roman" w:hAnsi="Times New Roman" w:eastAsia="宋体" w:cs="Times New Roman"/>
                <w:color w:val="auto"/>
                <w:sz w:val="24"/>
                <w:szCs w:val="24"/>
                <w:lang w:val="en-US" w:eastAsia="zh-CN"/>
              </w:rPr>
              <w:t>HDPE防渗膜或其他等效防渗层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并配备</w:t>
            </w:r>
            <w:r>
              <w:rPr>
                <w:rFonts w:hint="default" w:ascii="Times New Roman" w:hAnsi="Times New Roman" w:eastAsia="宋体" w:cs="Times New Roman"/>
                <w:color w:val="auto"/>
                <w:sz w:val="24"/>
                <w:szCs w:val="24"/>
              </w:rPr>
              <w:t>边缘高20cm、容积0.2m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的钢制托盘</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val="0"/>
                <w:color w:val="auto"/>
                <w:sz w:val="24"/>
                <w:szCs w:val="24"/>
              </w:rPr>
              <w:t>除重点防渗区、简易防渗区以外的生产车间</w:t>
            </w:r>
            <w:r>
              <w:rPr>
                <w:rFonts w:hint="default" w:ascii="Times New Roman" w:hAnsi="Times New Roman" w:eastAsia="宋体" w:cs="Times New Roman"/>
                <w:b w:val="0"/>
                <w:bCs w:val="0"/>
                <w:color w:val="auto"/>
                <w:sz w:val="24"/>
                <w:szCs w:val="24"/>
                <w:lang w:eastAsia="zh-CN"/>
              </w:rPr>
              <w:t>满足</w:t>
            </w:r>
            <w:r>
              <w:rPr>
                <w:rFonts w:hint="default" w:ascii="Times New Roman" w:hAnsi="Times New Roman" w:eastAsia="宋体" w:cs="Times New Roman"/>
                <w:b w:val="0"/>
                <w:bCs w:val="0"/>
                <w:color w:val="auto"/>
                <w:sz w:val="24"/>
                <w:szCs w:val="24"/>
              </w:rPr>
              <w:t>一般防渗</w:t>
            </w:r>
            <w:r>
              <w:rPr>
                <w:rFonts w:hint="default" w:ascii="Times New Roman" w:hAnsi="Times New Roman" w:eastAsia="宋体" w:cs="Times New Roman"/>
                <w:b w:val="0"/>
                <w:bCs w:val="0"/>
                <w:color w:val="auto"/>
                <w:sz w:val="24"/>
                <w:szCs w:val="24"/>
                <w:lang w:eastAsia="zh-CN"/>
              </w:rPr>
              <w:t>要求（</w:t>
            </w:r>
            <w:r>
              <w:rPr>
                <w:rFonts w:hint="default" w:ascii="Times New Roman" w:hAnsi="Times New Roman" w:eastAsia="宋体" w:cs="Times New Roman"/>
                <w:b w:val="0"/>
                <w:bCs w:val="0"/>
                <w:color w:val="auto"/>
                <w:sz w:val="24"/>
                <w:szCs w:val="24"/>
              </w:rPr>
              <w:t>等效粘土防渗层Mb≥1.5m，K≤10</w:t>
            </w:r>
            <w:r>
              <w:rPr>
                <w:rFonts w:hint="default" w:ascii="Times New Roman" w:hAnsi="Times New Roman" w:eastAsia="宋体" w:cs="Times New Roman"/>
                <w:b w:val="0"/>
                <w:bCs w:val="0"/>
                <w:color w:val="auto"/>
                <w:sz w:val="24"/>
                <w:szCs w:val="24"/>
                <w:vertAlign w:val="superscript"/>
              </w:rPr>
              <w:t>-7</w:t>
            </w:r>
            <w:r>
              <w:rPr>
                <w:rFonts w:hint="default" w:ascii="Times New Roman" w:hAnsi="Times New Roman" w:eastAsia="宋体" w:cs="Times New Roman"/>
                <w:b w:val="0"/>
                <w:bCs w:val="0"/>
                <w:color w:val="auto"/>
                <w:sz w:val="24"/>
                <w:szCs w:val="24"/>
              </w:rPr>
              <w:t>cm/s</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办公区满足</w:t>
            </w:r>
            <w:r>
              <w:rPr>
                <w:rFonts w:hint="default" w:ascii="Times New Roman" w:hAnsi="Times New Roman" w:eastAsia="宋体" w:cs="Times New Roman"/>
                <w:b w:val="0"/>
                <w:bCs w:val="0"/>
                <w:color w:val="auto"/>
                <w:sz w:val="24"/>
                <w:szCs w:val="24"/>
              </w:rPr>
              <w:t>简单防渗</w:t>
            </w:r>
            <w:r>
              <w:rPr>
                <w:rFonts w:hint="default" w:ascii="Times New Roman" w:hAnsi="Times New Roman" w:eastAsia="宋体" w:cs="Times New Roman"/>
                <w:b w:val="0"/>
                <w:bCs w:val="0"/>
                <w:color w:val="auto"/>
                <w:sz w:val="24"/>
                <w:szCs w:val="24"/>
                <w:lang w:eastAsia="zh-CN"/>
              </w:rPr>
              <w:t>要求。</w:t>
            </w:r>
          </w:p>
        </w:tc>
      </w:tr>
      <w:tr w14:paraId="771A4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30" w:type="dxa"/>
            <w:noWrap w:val="0"/>
            <w:vAlign w:val="center"/>
          </w:tcPr>
          <w:p w14:paraId="07E80F8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pacing w:val="-8"/>
                <w:sz w:val="24"/>
                <w:szCs w:val="24"/>
              </w:rPr>
            </w:pPr>
            <w:r>
              <w:rPr>
                <w:rFonts w:hint="default" w:ascii="Times New Roman" w:hAnsi="Times New Roman" w:eastAsia="宋体" w:cs="Times New Roman"/>
                <w:b/>
                <w:bCs/>
                <w:color w:val="auto"/>
                <w:spacing w:val="-8"/>
                <w:sz w:val="24"/>
                <w:szCs w:val="24"/>
              </w:rPr>
              <w:t>其他环境</w:t>
            </w:r>
          </w:p>
          <w:p w14:paraId="6CCD66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pacing w:val="-8"/>
                <w:sz w:val="24"/>
                <w:szCs w:val="24"/>
              </w:rPr>
            </w:pPr>
            <w:r>
              <w:rPr>
                <w:rFonts w:hint="default" w:ascii="Times New Roman" w:hAnsi="Times New Roman" w:eastAsia="宋体" w:cs="Times New Roman"/>
                <w:b/>
                <w:bCs/>
                <w:color w:val="auto"/>
                <w:spacing w:val="-8"/>
                <w:sz w:val="24"/>
                <w:szCs w:val="24"/>
              </w:rPr>
              <w:t>管理要求</w:t>
            </w:r>
          </w:p>
        </w:tc>
        <w:tc>
          <w:tcPr>
            <w:tcW w:w="7630" w:type="dxa"/>
            <w:gridSpan w:val="5"/>
            <w:noWrap w:val="0"/>
            <w:vAlign w:val="center"/>
          </w:tcPr>
          <w:p w14:paraId="52BCF6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为了有效地控制项目运营期对环境的不良影响，项目应做好环境管理工作。项目由专人负责环境保护，建立环境管理制度；经常进行环境意识宣传教育，培养全体职工的环保意识，保护周围生态环境</w:t>
            </w:r>
            <w:r>
              <w:rPr>
                <w:rFonts w:hint="eastAsia"/>
                <w:color w:val="auto"/>
                <w:sz w:val="24"/>
              </w:rPr>
              <w:t>，</w:t>
            </w:r>
            <w:r>
              <w:rPr>
                <w:color w:val="auto"/>
                <w:sz w:val="24"/>
              </w:rPr>
              <w:t>使其对周围环境造成的污染影响降至最低。</w:t>
            </w:r>
          </w:p>
          <w:p w14:paraId="365ACB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项目环境保护责任人应认真履行相应职责，关心并积极听取可能受项目影响的附近单位、居民的反映，定期向当地环保部门汇报项目环境保护工作的情况，同时接受当地环境保护部门的监督和管理。</w:t>
            </w:r>
          </w:p>
          <w:p w14:paraId="544E22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本项目</w:t>
            </w:r>
            <w:r>
              <w:rPr>
                <w:color w:val="auto"/>
                <w:sz w:val="24"/>
              </w:rPr>
              <w:t>具体环境管理如下：</w:t>
            </w:r>
          </w:p>
          <w:p w14:paraId="548ACB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（1）根据国家环保政策、标准及环境监测要求，制定该项目运行期环境管理规章制度、各种污染物排放指标。</w:t>
            </w:r>
          </w:p>
          <w:p w14:paraId="6BAAA7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（2）对项目区内的公建设施和环保设施进行定期维护和检修，确保公建设施的正常运行及管网畅通。</w:t>
            </w:r>
          </w:p>
          <w:p w14:paraId="0CE22B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（3）危险废物必须严格按照本环评要求分类收集，存放于密闭收集桶内</w:t>
            </w:r>
            <w:r>
              <w:rPr>
                <w:rFonts w:hint="eastAsia"/>
                <w:color w:val="auto"/>
                <w:sz w:val="24"/>
              </w:rPr>
              <w:t>，放置于</w:t>
            </w:r>
            <w:r>
              <w:rPr>
                <w:color w:val="auto"/>
                <w:sz w:val="24"/>
              </w:rPr>
              <w:t>危废暂存间，</w:t>
            </w:r>
            <w:r>
              <w:rPr>
                <w:rFonts w:hint="eastAsia"/>
                <w:color w:val="auto"/>
                <w:sz w:val="24"/>
              </w:rPr>
              <w:t>交</w:t>
            </w:r>
            <w:r>
              <w:rPr>
                <w:color w:val="auto"/>
                <w:sz w:val="24"/>
              </w:rPr>
              <w:t>由危废处置单位处理。</w:t>
            </w:r>
          </w:p>
          <w:p w14:paraId="6E46F8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b/>
                <w:color w:val="auto"/>
                <w:sz w:val="24"/>
                <w:szCs w:val="24"/>
              </w:rPr>
            </w:pPr>
            <w:r>
              <w:rPr>
                <w:color w:val="auto"/>
                <w:sz w:val="24"/>
              </w:rPr>
              <w:t>（4）定期组织</w:t>
            </w:r>
            <w:r>
              <w:rPr>
                <w:rFonts w:hint="eastAsia"/>
                <w:color w:val="auto"/>
                <w:sz w:val="24"/>
              </w:rPr>
              <w:t>职工</w:t>
            </w:r>
            <w:r>
              <w:rPr>
                <w:color w:val="auto"/>
                <w:sz w:val="24"/>
              </w:rPr>
              <w:t>进行技能培训和安全教育，做到防患于未然。</w:t>
            </w:r>
          </w:p>
          <w:p w14:paraId="2C942B3B">
            <w:pPr>
              <w:pStyle w:val="5"/>
              <w:suppressLineNumbers w:val="0"/>
              <w:spacing w:beforeAutospacing="0" w:afterAutospacing="0"/>
              <w:ind w:left="0" w:right="0"/>
              <w:rPr>
                <w:rFonts w:hint="default" w:ascii="Times New Roman" w:hAnsi="Times New Roman" w:eastAsia="宋体" w:cs="Times New Roman"/>
                <w:b w:val="0"/>
                <w:color w:val="auto"/>
                <w:sz w:val="24"/>
                <w:szCs w:val="24"/>
              </w:rPr>
            </w:pPr>
          </w:p>
          <w:p w14:paraId="72537B14">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b/>
                <w:color w:val="auto"/>
                <w:sz w:val="24"/>
                <w:szCs w:val="24"/>
              </w:rPr>
            </w:pPr>
          </w:p>
          <w:p w14:paraId="19288799">
            <w:pPr>
              <w:keepNext w:val="0"/>
              <w:keepLines w:val="0"/>
              <w:suppressLineNumbers w:val="0"/>
              <w:tabs>
                <w:tab w:val="left" w:pos="0"/>
              </w:tabs>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auto"/>
                <w:sz w:val="24"/>
                <w:szCs w:val="24"/>
              </w:rPr>
            </w:pPr>
          </w:p>
        </w:tc>
      </w:tr>
    </w:tbl>
    <w:p w14:paraId="1B2DAC2E">
      <w:pPr>
        <w:pStyle w:val="59"/>
        <w:ind w:firstLine="480"/>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BF704EB">
      <w:pPr>
        <w:pStyle w:val="21"/>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六、结论</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CFD2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4494D5E7">
            <w:pPr>
              <w:spacing w:line="360" w:lineRule="auto"/>
              <w:ind w:firstLine="482" w:firstLineChars="200"/>
              <w:rPr>
                <w:b/>
                <w:bCs/>
                <w:color w:val="auto"/>
                <w:sz w:val="24"/>
              </w:rPr>
            </w:pPr>
            <w:r>
              <w:rPr>
                <w:rFonts w:hint="eastAsia"/>
                <w:b/>
                <w:bCs/>
                <w:color w:val="auto"/>
                <w:sz w:val="24"/>
              </w:rPr>
              <w:t>1、结论</w:t>
            </w:r>
          </w:p>
          <w:p w14:paraId="007CD37D">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Cs/>
                <w:color w:val="auto"/>
                <w:sz w:val="24"/>
              </w:rPr>
            </w:pPr>
            <w:r>
              <w:rPr>
                <w:rFonts w:hint="eastAsia" w:ascii="宋体" w:hAnsi="宋体" w:eastAsia="宋体" w:cs="宋体"/>
                <w:bCs/>
                <w:color w:val="auto"/>
                <w:sz w:val="24"/>
              </w:rPr>
              <w:t>本项目符合国家产业政策，属于允许类项目，选址符合规划。项目所在区域无重大环境制约要素，环境质量现状一般。项目贯彻了</w:t>
            </w:r>
            <w:r>
              <w:rPr>
                <w:rFonts w:hint="eastAsia" w:ascii="宋体" w:hAnsi="宋体" w:eastAsia="宋体" w:cs="宋体"/>
                <w:bCs/>
                <w:color w:val="auto"/>
                <w:sz w:val="24"/>
                <w:lang w:eastAsia="zh-CN"/>
              </w:rPr>
              <w:t>“</w:t>
            </w:r>
            <w:r>
              <w:rPr>
                <w:rFonts w:hint="eastAsia" w:ascii="宋体" w:hAnsi="宋体" w:eastAsia="宋体" w:cs="宋体"/>
                <w:bCs/>
                <w:color w:val="auto"/>
                <w:sz w:val="24"/>
              </w:rPr>
              <w:t>总量控制</w:t>
            </w:r>
            <w:r>
              <w:rPr>
                <w:rFonts w:hint="eastAsia" w:ascii="宋体" w:hAnsi="宋体" w:eastAsia="宋体" w:cs="宋体"/>
                <w:bCs/>
                <w:color w:val="auto"/>
                <w:sz w:val="24"/>
                <w:lang w:eastAsia="zh-CN"/>
              </w:rPr>
              <w:t>”</w:t>
            </w:r>
            <w:r>
              <w:rPr>
                <w:rFonts w:hint="eastAsia" w:ascii="宋体" w:hAnsi="宋体" w:eastAsia="宋体" w:cs="宋体"/>
                <w:bCs/>
                <w:color w:val="auto"/>
                <w:sz w:val="24"/>
              </w:rPr>
              <w:t>和</w:t>
            </w:r>
            <w:r>
              <w:rPr>
                <w:rFonts w:hint="eastAsia" w:ascii="宋体" w:hAnsi="宋体" w:eastAsia="宋体" w:cs="宋体"/>
                <w:bCs/>
                <w:color w:val="auto"/>
                <w:sz w:val="24"/>
                <w:lang w:eastAsia="zh-CN"/>
              </w:rPr>
              <w:t>“</w:t>
            </w:r>
            <w:r>
              <w:rPr>
                <w:rFonts w:hint="eastAsia" w:ascii="宋体" w:hAnsi="宋体" w:eastAsia="宋体" w:cs="宋体"/>
                <w:bCs/>
                <w:color w:val="auto"/>
                <w:sz w:val="24"/>
              </w:rPr>
              <w:t>达标排放</w:t>
            </w:r>
            <w:r>
              <w:rPr>
                <w:rFonts w:hint="eastAsia" w:ascii="宋体" w:hAnsi="宋体" w:eastAsia="宋体" w:cs="宋体"/>
                <w:bCs/>
                <w:color w:val="auto"/>
                <w:sz w:val="24"/>
                <w:lang w:eastAsia="zh-CN"/>
              </w:rPr>
              <w:t>”</w:t>
            </w:r>
            <w:r>
              <w:rPr>
                <w:rFonts w:hint="eastAsia" w:ascii="宋体" w:hAnsi="宋体" w:eastAsia="宋体" w:cs="宋体"/>
                <w:bCs/>
                <w:color w:val="auto"/>
                <w:sz w:val="24"/>
              </w:rPr>
              <w:t>原则，采取的污染物治理方案均技术可行，措施有效。工程实施后对环境影响小，基本维持当地环境质量现状级别。只要落实本报告表提出的环保对策措施，</w:t>
            </w:r>
            <w:r>
              <w:rPr>
                <w:rFonts w:hint="eastAsia" w:ascii="宋体" w:hAnsi="宋体" w:eastAsia="宋体" w:cs="宋体"/>
                <w:color w:val="auto"/>
                <w:sz w:val="24"/>
              </w:rPr>
              <w:t>从环境保护角度</w:t>
            </w:r>
            <w:r>
              <w:rPr>
                <w:rFonts w:hint="eastAsia" w:ascii="宋体" w:hAnsi="宋体" w:eastAsia="宋体" w:cs="宋体"/>
                <w:color w:val="auto"/>
                <w:sz w:val="24"/>
                <w:lang w:eastAsia="zh-CN"/>
              </w:rPr>
              <w:t>而言</w:t>
            </w:r>
            <w:r>
              <w:rPr>
                <w:rFonts w:hint="eastAsia" w:ascii="宋体" w:hAnsi="宋体" w:eastAsia="宋体" w:cs="宋体"/>
                <w:color w:val="auto"/>
                <w:sz w:val="24"/>
              </w:rPr>
              <w:t>，项目建设可行</w:t>
            </w:r>
            <w:r>
              <w:rPr>
                <w:rFonts w:hint="eastAsia" w:ascii="宋体" w:hAnsi="宋体" w:eastAsia="宋体" w:cs="宋体"/>
                <w:bCs/>
                <w:color w:val="auto"/>
                <w:sz w:val="24"/>
              </w:rPr>
              <w:t>。</w:t>
            </w:r>
          </w:p>
          <w:p w14:paraId="74896503">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2、要求及建议</w:t>
            </w:r>
          </w:p>
          <w:p w14:paraId="6240F67D">
            <w:pPr>
              <w:keepNext w:val="0"/>
              <w:keepLines w:val="0"/>
              <w:suppressLineNumbers w:val="0"/>
              <w:tabs>
                <w:tab w:val="left" w:pos="1260"/>
              </w:tabs>
              <w:adjustRightInd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24"/>
                <w:sz w:val="24"/>
              </w:rPr>
            </w:pPr>
            <w:r>
              <w:rPr>
                <w:rFonts w:hint="default" w:ascii="Times New Roman" w:hAnsi="Times New Roman" w:eastAsia="宋体" w:cs="Times New Roman"/>
                <w:b/>
                <w:bCs/>
                <w:color w:val="auto"/>
                <w:kern w:val="24"/>
                <w:sz w:val="24"/>
              </w:rPr>
              <w:t>2.1要求</w:t>
            </w:r>
          </w:p>
          <w:p w14:paraId="1802B27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（1）项目实施后应保证足够的环保资金，以实施污染治理措施，做好项目建设的“三同时”工作。</w:t>
            </w:r>
          </w:p>
          <w:p w14:paraId="61E30AE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（2）</w:t>
            </w:r>
            <w:r>
              <w:rPr>
                <w:rFonts w:hint="default" w:ascii="Times New Roman" w:hAnsi="Times New Roman" w:eastAsia="宋体" w:cs="Times New Roman"/>
                <w:color w:val="auto"/>
                <w:sz w:val="24"/>
                <w:lang w:eastAsia="zh-CN"/>
              </w:rPr>
              <w:t>严格按规定使用原辅材料，控制原辅料中</w:t>
            </w:r>
            <w:r>
              <w:rPr>
                <w:rFonts w:hint="default" w:ascii="Times New Roman" w:hAnsi="Times New Roman" w:cs="Times New Roman"/>
                <w:color w:val="auto"/>
                <w:sz w:val="24"/>
                <w:lang w:eastAsia="zh-CN"/>
              </w:rPr>
              <w:t>有毒有害</w:t>
            </w:r>
            <w:r>
              <w:rPr>
                <w:rFonts w:hint="default" w:ascii="Times New Roman" w:hAnsi="Times New Roman" w:eastAsia="宋体" w:cs="Times New Roman"/>
                <w:color w:val="auto"/>
                <w:sz w:val="24"/>
                <w:lang w:eastAsia="zh-CN"/>
              </w:rPr>
              <w:t>元素成分。</w:t>
            </w:r>
          </w:p>
          <w:p w14:paraId="299BEA4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加强管理，杜绝生产过程中的跑、冒、滴、漏。建立、健全公司环保规章制度；严格在岗职工按环保要求进行操作管理，操作人员需通过培训和定期考核，方可上岗；同时加强设备、管道、各项治污措施的定期检修和维护工作。</w:t>
            </w:r>
          </w:p>
          <w:p w14:paraId="1F83DE2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w:t>
            </w:r>
            <w:r>
              <w:rPr>
                <w:rFonts w:hint="default" w:ascii="Times New Roman" w:hAnsi="Times New Roman" w:cs="Times New Roman"/>
                <w:color w:val="auto"/>
                <w:sz w:val="24"/>
                <w:lang w:eastAsia="zh-CN"/>
              </w:rPr>
              <w:t>做好</w:t>
            </w:r>
            <w:r>
              <w:rPr>
                <w:rFonts w:hint="default" w:ascii="Times New Roman" w:hAnsi="Times New Roman" w:eastAsia="宋体" w:cs="Times New Roman"/>
                <w:color w:val="auto"/>
                <w:sz w:val="24"/>
              </w:rPr>
              <w:t>运营期废水“雨污分流，清污分流”</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生活污水避免直接进入地表水。</w:t>
            </w:r>
          </w:p>
          <w:p w14:paraId="3B76E745">
            <w:pPr>
              <w:keepNext w:val="0"/>
              <w:keepLines w:val="0"/>
              <w:suppressLineNumbers w:val="0"/>
              <w:tabs>
                <w:tab w:val="left" w:pos="1260"/>
              </w:tabs>
              <w:adjustRightInd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24"/>
                <w:sz w:val="24"/>
              </w:rPr>
            </w:pPr>
            <w:r>
              <w:rPr>
                <w:rFonts w:hint="default" w:ascii="Times New Roman" w:hAnsi="Times New Roman" w:eastAsia="宋体" w:cs="Times New Roman"/>
                <w:b/>
                <w:bCs/>
                <w:color w:val="auto"/>
                <w:kern w:val="24"/>
                <w:sz w:val="24"/>
              </w:rPr>
              <w:t>2.2建议</w:t>
            </w:r>
          </w:p>
          <w:p w14:paraId="3EB6DB8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default" w:ascii="Times New Roman" w:hAnsi="Times New Roman" w:eastAsia="宋体" w:cs="Times New Roman"/>
                <w:color w:val="auto"/>
                <w:sz w:val="24"/>
                <w:lang w:eastAsia="zh-CN"/>
              </w:rPr>
              <w:t>运营</w:t>
            </w:r>
            <w:r>
              <w:rPr>
                <w:rFonts w:hint="default" w:ascii="Times New Roman" w:hAnsi="Times New Roman" w:eastAsia="宋体" w:cs="Times New Roman"/>
                <w:color w:val="auto"/>
                <w:sz w:val="24"/>
              </w:rPr>
              <w:t>过程中要</w:t>
            </w:r>
            <w:r>
              <w:rPr>
                <w:rFonts w:hint="default" w:ascii="Times New Roman" w:hAnsi="Times New Roman" w:eastAsia="宋体" w:cs="Times New Roman"/>
                <w:color w:val="auto"/>
                <w:sz w:val="24"/>
                <w:lang w:eastAsia="zh-CN"/>
              </w:rPr>
              <w:t>加强原辅材料的</w:t>
            </w:r>
            <w:r>
              <w:rPr>
                <w:rFonts w:hint="default" w:ascii="Times New Roman" w:hAnsi="Times New Roman" w:eastAsia="宋体" w:cs="Times New Roman"/>
                <w:color w:val="auto"/>
                <w:sz w:val="24"/>
              </w:rPr>
              <w:t>资源回收利用。</w:t>
            </w:r>
          </w:p>
          <w:p w14:paraId="4B7075F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（2）建立相应的环保机构，配置专职环保人员。定期对污染源和周围环境进行监测，并建立污染源管理档案。</w:t>
            </w:r>
          </w:p>
          <w:p w14:paraId="55EDAC2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eastAsia="zh-CN"/>
              </w:rPr>
              <w:t>）及时签订危废处置协议，</w:t>
            </w:r>
            <w:r>
              <w:rPr>
                <w:rFonts w:hint="default" w:ascii="Times New Roman" w:hAnsi="Times New Roman" w:eastAsia="宋体" w:cs="Times New Roman"/>
                <w:color w:val="auto"/>
                <w:sz w:val="24"/>
                <w:lang w:val="en-US" w:eastAsia="zh-CN"/>
              </w:rPr>
              <w:t>危废处置协议到期后及时与危废单位续签。</w:t>
            </w:r>
          </w:p>
          <w:p w14:paraId="6AF0525C">
            <w:pPr>
              <w:spacing w:line="360" w:lineRule="auto"/>
              <w:rPr>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根据《中华人民共和国环境保护法》等有关法律法规和《国务院办公厅关于印发控制污染物排放许可制实施方案的通知》的相关规定，</w:t>
            </w:r>
            <w:r>
              <w:rPr>
                <w:rFonts w:hint="default" w:ascii="Times New Roman" w:hAnsi="Times New Roman" w:eastAsia="宋体" w:cs="Times New Roman"/>
                <w:color w:val="auto"/>
                <w:sz w:val="24"/>
                <w:lang w:eastAsia="zh-CN"/>
              </w:rPr>
              <w:t>建设单位</w:t>
            </w:r>
            <w:r>
              <w:rPr>
                <w:rFonts w:hint="default" w:ascii="Times New Roman" w:hAnsi="Times New Roman" w:eastAsia="宋体" w:cs="Times New Roman"/>
                <w:color w:val="auto"/>
                <w:sz w:val="24"/>
                <w:lang w:val="en-US" w:eastAsia="zh-CN"/>
              </w:rPr>
              <w:t>应当在启动生产设施或者发生实际排污之前申请取得排污许可证或者填报排污登记表。</w:t>
            </w:r>
          </w:p>
        </w:tc>
      </w:tr>
    </w:tbl>
    <w:p w14:paraId="0E8F63C6">
      <w:pPr>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86D3753">
      <w:pPr>
        <w:pStyle w:val="21"/>
        <w:adjustRightInd w:val="0"/>
        <w:snapToGrid w:val="0"/>
        <w:spacing w:before="0" w:beforeAutospacing="0" w:after="0" w:afterAutospacing="0" w:line="320" w:lineRule="exact"/>
        <w:outlineLvl w:val="0"/>
        <w:rPr>
          <w:rFonts w:ascii="Times New Roman" w:hAnsi="Times New Roman" w:eastAsia="黑体"/>
          <w:snapToGrid w:val="0"/>
          <w:color w:val="auto"/>
          <w:sz w:val="28"/>
          <w:szCs w:val="28"/>
        </w:rPr>
      </w:pPr>
      <w:r>
        <w:rPr>
          <w:rFonts w:ascii="Times New Roman" w:hAnsi="Times New Roman" w:eastAsia="黑体"/>
          <w:snapToGrid w:val="0"/>
          <w:color w:val="auto"/>
          <w:sz w:val="28"/>
          <w:szCs w:val="28"/>
        </w:rPr>
        <w:t>附表</w:t>
      </w:r>
    </w:p>
    <w:p w14:paraId="62D09416">
      <w:pPr>
        <w:pStyle w:val="21"/>
        <w:adjustRightInd w:val="0"/>
        <w:snapToGrid w:val="0"/>
        <w:spacing w:before="0" w:beforeAutospacing="0" w:after="0" w:afterAutospacing="0" w:line="320" w:lineRule="exact"/>
        <w:jc w:val="center"/>
        <w:outlineLvl w:val="0"/>
        <w:rPr>
          <w:rFonts w:ascii="Times New Roman" w:hAnsi="Times New Roman" w:eastAsia="方正小标宋_GBK"/>
          <w:snapToGrid w:val="0"/>
          <w:color w:val="auto"/>
          <w:sz w:val="28"/>
          <w:szCs w:val="28"/>
        </w:rPr>
      </w:pPr>
      <w:r>
        <w:rPr>
          <w:rFonts w:ascii="Times New Roman" w:hAnsi="Times New Roman" w:eastAsia="方正小标宋_GBK"/>
          <w:snapToGrid w:val="0"/>
          <w:color w:val="auto"/>
          <w:sz w:val="28"/>
          <w:szCs w:val="28"/>
        </w:rPr>
        <w:t>建设项目污染物排放量汇总表</w:t>
      </w:r>
    </w:p>
    <w:tbl>
      <w:tblPr>
        <w:tblStyle w:val="2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2089"/>
        <w:gridCol w:w="1455"/>
        <w:gridCol w:w="1276"/>
        <w:gridCol w:w="1701"/>
        <w:gridCol w:w="1559"/>
        <w:gridCol w:w="1761"/>
        <w:gridCol w:w="1499"/>
        <w:gridCol w:w="1286"/>
      </w:tblGrid>
      <w:tr w14:paraId="6E5D71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62" w:type="dxa"/>
            <w:tcBorders>
              <w:tl2br w:val="single" w:color="auto" w:sz="4" w:space="0"/>
            </w:tcBorders>
            <w:tcMar>
              <w:left w:w="28" w:type="dxa"/>
              <w:right w:w="28" w:type="dxa"/>
            </w:tcMar>
            <w:vAlign w:val="center"/>
          </w:tcPr>
          <w:p w14:paraId="454BBAF1">
            <w:pPr>
              <w:pStyle w:val="50"/>
              <w:spacing w:beforeLines="0" w:afterLines="0" w:line="300" w:lineRule="exact"/>
              <w:rPr>
                <w:rFonts w:ascii="Times New Roman"/>
                <w:b/>
                <w:bCs/>
                <w:snapToGrid w:val="0"/>
                <w:color w:val="auto"/>
                <w:spacing w:val="-6"/>
                <w:kern w:val="21"/>
                <w:sz w:val="21"/>
                <w:szCs w:val="21"/>
              </w:rPr>
            </w:pPr>
            <w:r>
              <w:rPr>
                <w:rFonts w:hint="eastAsia" w:ascii="Times New Roman"/>
                <w:b/>
                <w:bCs/>
                <w:snapToGrid w:val="0"/>
                <w:color w:val="auto"/>
                <w:spacing w:val="-6"/>
                <w:kern w:val="21"/>
                <w:sz w:val="21"/>
                <w:szCs w:val="21"/>
              </w:rPr>
              <w:t xml:space="preserve"> </w:t>
            </w:r>
            <w:r>
              <w:rPr>
                <w:rFonts w:ascii="Times New Roman"/>
                <w:b/>
                <w:bCs/>
                <w:snapToGrid w:val="0"/>
                <w:color w:val="auto"/>
                <w:spacing w:val="-6"/>
                <w:kern w:val="21"/>
                <w:sz w:val="21"/>
                <w:szCs w:val="21"/>
              </w:rPr>
              <w:t xml:space="preserve">        项目</w:t>
            </w:r>
          </w:p>
          <w:p w14:paraId="44E2B106">
            <w:pPr>
              <w:pStyle w:val="50"/>
              <w:spacing w:beforeLines="0" w:afterLines="0" w:line="300" w:lineRule="exact"/>
              <w:jc w:val="both"/>
              <w:rPr>
                <w:rFonts w:ascii="Times New Roman"/>
                <w:b/>
                <w:bCs/>
                <w:snapToGrid w:val="0"/>
                <w:color w:val="auto"/>
                <w:spacing w:val="-6"/>
                <w:kern w:val="21"/>
                <w:sz w:val="21"/>
                <w:szCs w:val="21"/>
              </w:rPr>
            </w:pPr>
            <w:r>
              <w:rPr>
                <w:rFonts w:ascii="Times New Roman"/>
                <w:b/>
                <w:bCs/>
                <w:snapToGrid w:val="0"/>
                <w:color w:val="auto"/>
                <w:spacing w:val="-6"/>
                <w:kern w:val="21"/>
                <w:sz w:val="21"/>
                <w:szCs w:val="21"/>
              </w:rPr>
              <w:t>分类</w:t>
            </w:r>
          </w:p>
        </w:tc>
        <w:tc>
          <w:tcPr>
            <w:tcW w:w="2089" w:type="dxa"/>
            <w:tcMar>
              <w:left w:w="28" w:type="dxa"/>
              <w:right w:w="28" w:type="dxa"/>
            </w:tcMar>
            <w:vAlign w:val="center"/>
          </w:tcPr>
          <w:p w14:paraId="69FAB3D2">
            <w:pPr>
              <w:pStyle w:val="50"/>
              <w:spacing w:beforeLines="0" w:afterLines="0" w:line="300" w:lineRule="exact"/>
              <w:rPr>
                <w:rFonts w:ascii="Times New Roman"/>
                <w:b/>
                <w:bCs/>
                <w:snapToGrid w:val="0"/>
                <w:color w:val="auto"/>
                <w:spacing w:val="-6"/>
                <w:kern w:val="21"/>
                <w:sz w:val="21"/>
                <w:szCs w:val="21"/>
              </w:rPr>
            </w:pPr>
            <w:r>
              <w:rPr>
                <w:rFonts w:ascii="Times New Roman"/>
                <w:b/>
                <w:bCs/>
                <w:snapToGrid w:val="0"/>
                <w:color w:val="auto"/>
                <w:spacing w:val="-6"/>
                <w:kern w:val="21"/>
                <w:sz w:val="21"/>
                <w:szCs w:val="21"/>
              </w:rPr>
              <w:t>污染物名称</w:t>
            </w:r>
          </w:p>
        </w:tc>
        <w:tc>
          <w:tcPr>
            <w:tcW w:w="1455" w:type="dxa"/>
            <w:tcMar>
              <w:left w:w="28" w:type="dxa"/>
              <w:right w:w="28" w:type="dxa"/>
            </w:tcMar>
            <w:vAlign w:val="center"/>
          </w:tcPr>
          <w:p w14:paraId="748BC42F">
            <w:pPr>
              <w:pStyle w:val="50"/>
              <w:spacing w:beforeLines="0" w:afterLines="0" w:line="300" w:lineRule="exact"/>
              <w:rPr>
                <w:rFonts w:ascii="Times New Roman"/>
                <w:b/>
                <w:bCs/>
                <w:snapToGrid w:val="0"/>
                <w:color w:val="auto"/>
                <w:spacing w:val="-6"/>
                <w:kern w:val="21"/>
                <w:sz w:val="21"/>
                <w:szCs w:val="21"/>
              </w:rPr>
            </w:pPr>
            <w:r>
              <w:rPr>
                <w:rFonts w:ascii="Times New Roman"/>
                <w:b/>
                <w:bCs/>
                <w:snapToGrid w:val="0"/>
                <w:color w:val="auto"/>
                <w:spacing w:val="-6"/>
                <w:kern w:val="21"/>
                <w:sz w:val="21"/>
                <w:szCs w:val="21"/>
              </w:rPr>
              <w:t>现有工程</w:t>
            </w:r>
          </w:p>
          <w:p w14:paraId="5D5CED18">
            <w:pPr>
              <w:pStyle w:val="50"/>
              <w:spacing w:beforeLines="0" w:afterLines="0" w:line="300" w:lineRule="exact"/>
              <w:rPr>
                <w:rFonts w:ascii="Times New Roman"/>
                <w:b/>
                <w:bCs/>
                <w:snapToGrid w:val="0"/>
                <w:color w:val="auto"/>
                <w:spacing w:val="-6"/>
                <w:kern w:val="21"/>
                <w:sz w:val="21"/>
                <w:szCs w:val="21"/>
              </w:rPr>
            </w:pPr>
            <w:r>
              <w:rPr>
                <w:rFonts w:ascii="Times New Roman"/>
                <w:b/>
                <w:bCs/>
                <w:snapToGrid w:val="0"/>
                <w:color w:val="auto"/>
                <w:spacing w:val="-6"/>
                <w:kern w:val="21"/>
                <w:sz w:val="21"/>
                <w:szCs w:val="21"/>
              </w:rPr>
              <w:t>排放量（固体废物产生量）</w:t>
            </w:r>
            <w:r>
              <w:rPr>
                <w:rFonts w:ascii="Times New Roman"/>
                <w:b/>
                <w:bCs/>
                <w:snapToGrid w:val="0"/>
                <w:color w:val="auto"/>
                <w:spacing w:val="-6"/>
                <w:kern w:val="21"/>
                <w:sz w:val="21"/>
                <w:szCs w:val="21"/>
              </w:rPr>
              <w:fldChar w:fldCharType="begin"/>
            </w:r>
            <w:r>
              <w:rPr>
                <w:rFonts w:ascii="Times New Roman"/>
                <w:b/>
                <w:bCs/>
                <w:snapToGrid w:val="0"/>
                <w:color w:val="auto"/>
                <w:spacing w:val="-6"/>
                <w:kern w:val="21"/>
                <w:sz w:val="21"/>
                <w:szCs w:val="21"/>
              </w:rPr>
              <w:instrText xml:space="preserve"> = 1 \* GB3 \* MERGEFORMAT </w:instrText>
            </w:r>
            <w:r>
              <w:rPr>
                <w:rFonts w:ascii="Times New Roman"/>
                <w:b/>
                <w:bCs/>
                <w:snapToGrid w:val="0"/>
                <w:color w:val="auto"/>
                <w:spacing w:val="-6"/>
                <w:kern w:val="21"/>
                <w:sz w:val="21"/>
                <w:szCs w:val="21"/>
              </w:rPr>
              <w:fldChar w:fldCharType="separate"/>
            </w:r>
            <w:r>
              <w:rPr>
                <w:rFonts w:hint="eastAsia" w:hAnsi="宋体" w:cs="宋体"/>
                <w:b/>
                <w:bCs/>
                <w:color w:val="auto"/>
                <w:kern w:val="2"/>
                <w:sz w:val="21"/>
                <w:szCs w:val="21"/>
              </w:rPr>
              <w:t>①</w:t>
            </w:r>
            <w:r>
              <w:rPr>
                <w:rFonts w:ascii="Times New Roman"/>
                <w:b/>
                <w:bCs/>
                <w:snapToGrid w:val="0"/>
                <w:color w:val="auto"/>
                <w:spacing w:val="-6"/>
                <w:kern w:val="21"/>
                <w:sz w:val="21"/>
                <w:szCs w:val="21"/>
              </w:rPr>
              <w:fldChar w:fldCharType="end"/>
            </w:r>
          </w:p>
        </w:tc>
        <w:tc>
          <w:tcPr>
            <w:tcW w:w="1276" w:type="dxa"/>
            <w:tcMar>
              <w:left w:w="28" w:type="dxa"/>
              <w:right w:w="28" w:type="dxa"/>
            </w:tcMar>
            <w:vAlign w:val="center"/>
          </w:tcPr>
          <w:p w14:paraId="59AD6496">
            <w:pPr>
              <w:pStyle w:val="50"/>
              <w:spacing w:beforeLines="0" w:afterLines="0" w:line="300" w:lineRule="exact"/>
              <w:rPr>
                <w:rFonts w:ascii="Times New Roman"/>
                <w:b/>
                <w:bCs/>
                <w:snapToGrid w:val="0"/>
                <w:color w:val="auto"/>
                <w:spacing w:val="-6"/>
                <w:kern w:val="21"/>
                <w:sz w:val="21"/>
                <w:szCs w:val="21"/>
              </w:rPr>
            </w:pPr>
            <w:r>
              <w:rPr>
                <w:rFonts w:ascii="Times New Roman"/>
                <w:b/>
                <w:bCs/>
                <w:snapToGrid w:val="0"/>
                <w:color w:val="auto"/>
                <w:spacing w:val="-6"/>
                <w:kern w:val="21"/>
                <w:sz w:val="21"/>
                <w:szCs w:val="21"/>
              </w:rPr>
              <w:t>现有工程</w:t>
            </w:r>
          </w:p>
          <w:p w14:paraId="4302DC1F">
            <w:pPr>
              <w:pStyle w:val="50"/>
              <w:spacing w:beforeLines="0" w:afterLines="0" w:line="300" w:lineRule="exact"/>
              <w:rPr>
                <w:rFonts w:ascii="Times New Roman"/>
                <w:b/>
                <w:bCs/>
                <w:snapToGrid w:val="0"/>
                <w:color w:val="auto"/>
                <w:spacing w:val="-6"/>
                <w:kern w:val="21"/>
                <w:sz w:val="21"/>
                <w:szCs w:val="21"/>
              </w:rPr>
            </w:pPr>
            <w:r>
              <w:rPr>
                <w:rFonts w:ascii="Times New Roman"/>
                <w:b/>
                <w:bCs/>
                <w:snapToGrid w:val="0"/>
                <w:color w:val="auto"/>
                <w:spacing w:val="-6"/>
                <w:kern w:val="21"/>
                <w:sz w:val="21"/>
                <w:szCs w:val="21"/>
              </w:rPr>
              <w:t>许可排放量</w:t>
            </w:r>
          </w:p>
          <w:p w14:paraId="5CB92534">
            <w:pPr>
              <w:pStyle w:val="50"/>
              <w:spacing w:beforeLines="0" w:afterLines="0" w:line="300" w:lineRule="exact"/>
              <w:rPr>
                <w:rFonts w:ascii="Times New Roman"/>
                <w:b/>
                <w:bCs/>
                <w:snapToGrid w:val="0"/>
                <w:color w:val="auto"/>
                <w:spacing w:val="-6"/>
                <w:kern w:val="21"/>
                <w:sz w:val="21"/>
                <w:szCs w:val="21"/>
              </w:rPr>
            </w:pPr>
            <w:r>
              <w:rPr>
                <w:rFonts w:ascii="Times New Roman"/>
                <w:b/>
                <w:bCs/>
                <w:snapToGrid w:val="0"/>
                <w:color w:val="auto"/>
                <w:spacing w:val="-6"/>
                <w:kern w:val="21"/>
                <w:sz w:val="21"/>
                <w:szCs w:val="21"/>
              </w:rPr>
              <w:fldChar w:fldCharType="begin"/>
            </w:r>
            <w:r>
              <w:rPr>
                <w:rFonts w:ascii="Times New Roman"/>
                <w:b/>
                <w:bCs/>
                <w:snapToGrid w:val="0"/>
                <w:color w:val="auto"/>
                <w:spacing w:val="-6"/>
                <w:kern w:val="21"/>
                <w:sz w:val="21"/>
                <w:szCs w:val="21"/>
              </w:rPr>
              <w:instrText xml:space="preserve"> = 2 \* GB3 \* MERGEFORMAT </w:instrText>
            </w:r>
            <w:r>
              <w:rPr>
                <w:rFonts w:ascii="Times New Roman"/>
                <w:b/>
                <w:bCs/>
                <w:snapToGrid w:val="0"/>
                <w:color w:val="auto"/>
                <w:spacing w:val="-6"/>
                <w:kern w:val="21"/>
                <w:sz w:val="21"/>
                <w:szCs w:val="21"/>
              </w:rPr>
              <w:fldChar w:fldCharType="separate"/>
            </w:r>
            <w:r>
              <w:rPr>
                <w:rFonts w:hint="eastAsia" w:hAnsi="宋体" w:cs="宋体"/>
                <w:b/>
                <w:bCs/>
                <w:snapToGrid w:val="0"/>
                <w:color w:val="auto"/>
                <w:spacing w:val="-6"/>
                <w:kern w:val="21"/>
                <w:sz w:val="21"/>
                <w:szCs w:val="21"/>
              </w:rPr>
              <w:t>②</w:t>
            </w:r>
            <w:r>
              <w:rPr>
                <w:rFonts w:ascii="Times New Roman"/>
                <w:b/>
                <w:bCs/>
                <w:snapToGrid w:val="0"/>
                <w:color w:val="auto"/>
                <w:spacing w:val="-6"/>
                <w:kern w:val="21"/>
                <w:sz w:val="21"/>
                <w:szCs w:val="21"/>
              </w:rPr>
              <w:fldChar w:fldCharType="end"/>
            </w:r>
          </w:p>
        </w:tc>
        <w:tc>
          <w:tcPr>
            <w:tcW w:w="1701" w:type="dxa"/>
            <w:tcMar>
              <w:left w:w="28" w:type="dxa"/>
              <w:right w:w="28" w:type="dxa"/>
            </w:tcMar>
            <w:vAlign w:val="center"/>
          </w:tcPr>
          <w:p w14:paraId="1128729C">
            <w:pPr>
              <w:pStyle w:val="50"/>
              <w:spacing w:beforeLines="0" w:afterLines="0" w:line="300" w:lineRule="exact"/>
              <w:rPr>
                <w:rFonts w:ascii="Times New Roman"/>
                <w:b/>
                <w:bCs/>
                <w:snapToGrid w:val="0"/>
                <w:color w:val="auto"/>
                <w:spacing w:val="-6"/>
                <w:kern w:val="21"/>
                <w:sz w:val="21"/>
                <w:szCs w:val="21"/>
              </w:rPr>
            </w:pPr>
            <w:r>
              <w:rPr>
                <w:rFonts w:ascii="Times New Roman"/>
                <w:b/>
                <w:bCs/>
                <w:snapToGrid w:val="0"/>
                <w:color w:val="auto"/>
                <w:spacing w:val="-6"/>
                <w:kern w:val="21"/>
                <w:sz w:val="21"/>
                <w:szCs w:val="21"/>
              </w:rPr>
              <w:t>在建工程</w:t>
            </w:r>
          </w:p>
          <w:p w14:paraId="6B2CBA01">
            <w:pPr>
              <w:pStyle w:val="50"/>
              <w:spacing w:beforeLines="0" w:afterLines="0" w:line="300" w:lineRule="exact"/>
              <w:rPr>
                <w:rFonts w:ascii="Times New Roman"/>
                <w:b/>
                <w:bCs/>
                <w:snapToGrid w:val="0"/>
                <w:color w:val="auto"/>
                <w:spacing w:val="-6"/>
                <w:kern w:val="21"/>
                <w:sz w:val="21"/>
                <w:szCs w:val="21"/>
              </w:rPr>
            </w:pPr>
            <w:r>
              <w:rPr>
                <w:rFonts w:ascii="Times New Roman"/>
                <w:b/>
                <w:bCs/>
                <w:snapToGrid w:val="0"/>
                <w:color w:val="auto"/>
                <w:spacing w:val="-6"/>
                <w:kern w:val="21"/>
                <w:sz w:val="21"/>
                <w:szCs w:val="21"/>
              </w:rPr>
              <w:t>排放量（固体废物产生量）</w:t>
            </w:r>
            <w:r>
              <w:rPr>
                <w:rFonts w:ascii="Times New Roman"/>
                <w:b/>
                <w:bCs/>
                <w:snapToGrid w:val="0"/>
                <w:color w:val="auto"/>
                <w:spacing w:val="-6"/>
                <w:kern w:val="21"/>
                <w:sz w:val="21"/>
                <w:szCs w:val="21"/>
              </w:rPr>
              <w:fldChar w:fldCharType="begin"/>
            </w:r>
            <w:r>
              <w:rPr>
                <w:rFonts w:ascii="Times New Roman"/>
                <w:b/>
                <w:bCs/>
                <w:snapToGrid w:val="0"/>
                <w:color w:val="auto"/>
                <w:spacing w:val="-6"/>
                <w:kern w:val="21"/>
                <w:sz w:val="21"/>
                <w:szCs w:val="21"/>
              </w:rPr>
              <w:instrText xml:space="preserve"> = 3 \* GB3 \* MERGEFORMAT </w:instrText>
            </w:r>
            <w:r>
              <w:rPr>
                <w:rFonts w:ascii="Times New Roman"/>
                <w:b/>
                <w:bCs/>
                <w:snapToGrid w:val="0"/>
                <w:color w:val="auto"/>
                <w:spacing w:val="-6"/>
                <w:kern w:val="21"/>
                <w:sz w:val="21"/>
                <w:szCs w:val="21"/>
              </w:rPr>
              <w:fldChar w:fldCharType="separate"/>
            </w:r>
            <w:r>
              <w:rPr>
                <w:rFonts w:hint="eastAsia" w:hAnsi="宋体" w:cs="宋体"/>
                <w:b/>
                <w:bCs/>
                <w:color w:val="auto"/>
                <w:kern w:val="2"/>
                <w:sz w:val="21"/>
                <w:szCs w:val="21"/>
              </w:rPr>
              <w:t>③</w:t>
            </w:r>
            <w:r>
              <w:rPr>
                <w:rFonts w:ascii="Times New Roman"/>
                <w:b/>
                <w:bCs/>
                <w:snapToGrid w:val="0"/>
                <w:color w:val="auto"/>
                <w:spacing w:val="-6"/>
                <w:kern w:val="21"/>
                <w:sz w:val="21"/>
                <w:szCs w:val="21"/>
              </w:rPr>
              <w:fldChar w:fldCharType="end"/>
            </w:r>
          </w:p>
        </w:tc>
        <w:tc>
          <w:tcPr>
            <w:tcW w:w="1559" w:type="dxa"/>
            <w:tcMar>
              <w:left w:w="28" w:type="dxa"/>
              <w:right w:w="28" w:type="dxa"/>
            </w:tcMar>
            <w:vAlign w:val="center"/>
          </w:tcPr>
          <w:p w14:paraId="00FB9FAB">
            <w:pPr>
              <w:pStyle w:val="50"/>
              <w:spacing w:beforeLines="0" w:afterLines="0" w:line="300" w:lineRule="exact"/>
              <w:rPr>
                <w:rFonts w:ascii="Times New Roman"/>
                <w:b/>
                <w:bCs/>
                <w:snapToGrid w:val="0"/>
                <w:color w:val="auto"/>
                <w:spacing w:val="-6"/>
                <w:kern w:val="21"/>
                <w:sz w:val="21"/>
                <w:szCs w:val="21"/>
              </w:rPr>
            </w:pPr>
            <w:r>
              <w:rPr>
                <w:rFonts w:ascii="Times New Roman"/>
                <w:b/>
                <w:bCs/>
                <w:snapToGrid w:val="0"/>
                <w:color w:val="auto"/>
                <w:spacing w:val="-6"/>
                <w:kern w:val="21"/>
                <w:sz w:val="21"/>
                <w:szCs w:val="21"/>
              </w:rPr>
              <w:t>本项目</w:t>
            </w:r>
          </w:p>
          <w:p w14:paraId="66637A5F">
            <w:pPr>
              <w:pStyle w:val="50"/>
              <w:spacing w:beforeLines="0" w:afterLines="0" w:line="300" w:lineRule="exact"/>
              <w:rPr>
                <w:rFonts w:ascii="Times New Roman"/>
                <w:b/>
                <w:bCs/>
                <w:snapToGrid w:val="0"/>
                <w:color w:val="auto"/>
                <w:spacing w:val="-6"/>
                <w:kern w:val="21"/>
                <w:sz w:val="21"/>
                <w:szCs w:val="21"/>
              </w:rPr>
            </w:pPr>
            <w:r>
              <w:rPr>
                <w:rFonts w:ascii="Times New Roman"/>
                <w:b/>
                <w:bCs/>
                <w:snapToGrid w:val="0"/>
                <w:color w:val="auto"/>
                <w:spacing w:val="-6"/>
                <w:kern w:val="21"/>
                <w:sz w:val="21"/>
                <w:szCs w:val="21"/>
              </w:rPr>
              <w:t>排放量（固体废物产生量）</w:t>
            </w:r>
            <w:r>
              <w:rPr>
                <w:rFonts w:ascii="Times New Roman"/>
                <w:b/>
                <w:bCs/>
                <w:snapToGrid w:val="0"/>
                <w:color w:val="auto"/>
                <w:spacing w:val="-6"/>
                <w:kern w:val="21"/>
                <w:sz w:val="21"/>
                <w:szCs w:val="21"/>
              </w:rPr>
              <w:fldChar w:fldCharType="begin"/>
            </w:r>
            <w:r>
              <w:rPr>
                <w:rFonts w:ascii="Times New Roman"/>
                <w:b/>
                <w:bCs/>
                <w:snapToGrid w:val="0"/>
                <w:color w:val="auto"/>
                <w:spacing w:val="-6"/>
                <w:kern w:val="21"/>
                <w:sz w:val="21"/>
                <w:szCs w:val="21"/>
              </w:rPr>
              <w:instrText xml:space="preserve"> = 4 \* GB3 \* MERGEFORMAT </w:instrText>
            </w:r>
            <w:r>
              <w:rPr>
                <w:rFonts w:ascii="Times New Roman"/>
                <w:b/>
                <w:bCs/>
                <w:snapToGrid w:val="0"/>
                <w:color w:val="auto"/>
                <w:spacing w:val="-6"/>
                <w:kern w:val="21"/>
                <w:sz w:val="21"/>
                <w:szCs w:val="21"/>
              </w:rPr>
              <w:fldChar w:fldCharType="separate"/>
            </w:r>
            <w:r>
              <w:rPr>
                <w:rFonts w:hint="eastAsia" w:hAnsi="宋体" w:cs="宋体"/>
                <w:b/>
                <w:bCs/>
                <w:color w:val="auto"/>
                <w:kern w:val="2"/>
                <w:sz w:val="21"/>
                <w:szCs w:val="21"/>
              </w:rPr>
              <w:t>④</w:t>
            </w:r>
            <w:r>
              <w:rPr>
                <w:rFonts w:ascii="Times New Roman"/>
                <w:b/>
                <w:bCs/>
                <w:snapToGrid w:val="0"/>
                <w:color w:val="auto"/>
                <w:spacing w:val="-6"/>
                <w:kern w:val="21"/>
                <w:sz w:val="21"/>
                <w:szCs w:val="21"/>
              </w:rPr>
              <w:fldChar w:fldCharType="end"/>
            </w:r>
          </w:p>
        </w:tc>
        <w:tc>
          <w:tcPr>
            <w:tcW w:w="1761" w:type="dxa"/>
            <w:tcMar>
              <w:left w:w="28" w:type="dxa"/>
              <w:right w:w="28" w:type="dxa"/>
            </w:tcMar>
            <w:vAlign w:val="center"/>
          </w:tcPr>
          <w:p w14:paraId="2BA25559">
            <w:pPr>
              <w:pStyle w:val="50"/>
              <w:spacing w:beforeLines="0" w:afterLines="0" w:line="300" w:lineRule="exact"/>
              <w:rPr>
                <w:rFonts w:ascii="Times New Roman"/>
                <w:b/>
                <w:bCs/>
                <w:snapToGrid w:val="0"/>
                <w:color w:val="auto"/>
                <w:spacing w:val="-16"/>
                <w:kern w:val="21"/>
                <w:sz w:val="21"/>
                <w:szCs w:val="21"/>
              </w:rPr>
            </w:pPr>
            <w:r>
              <w:rPr>
                <w:rFonts w:ascii="Times New Roman"/>
                <w:b/>
                <w:bCs/>
                <w:snapToGrid w:val="0"/>
                <w:color w:val="auto"/>
                <w:spacing w:val="-16"/>
                <w:kern w:val="21"/>
                <w:sz w:val="21"/>
                <w:szCs w:val="21"/>
              </w:rPr>
              <w:t>以新带老削减量</w:t>
            </w:r>
          </w:p>
          <w:p w14:paraId="71476477">
            <w:pPr>
              <w:pStyle w:val="50"/>
              <w:spacing w:beforeLines="0" w:afterLines="0" w:line="300" w:lineRule="exact"/>
              <w:rPr>
                <w:rFonts w:ascii="Times New Roman"/>
                <w:b/>
                <w:bCs/>
                <w:snapToGrid w:val="0"/>
                <w:color w:val="auto"/>
                <w:spacing w:val="-16"/>
                <w:kern w:val="21"/>
                <w:sz w:val="21"/>
                <w:szCs w:val="21"/>
              </w:rPr>
            </w:pPr>
            <w:r>
              <w:rPr>
                <w:rFonts w:ascii="Times New Roman"/>
                <w:b/>
                <w:bCs/>
                <w:snapToGrid w:val="0"/>
                <w:color w:val="auto"/>
                <w:spacing w:val="-16"/>
                <w:kern w:val="21"/>
                <w:sz w:val="21"/>
                <w:szCs w:val="21"/>
              </w:rPr>
              <w:t>（新建项目不填）</w:t>
            </w:r>
            <w:r>
              <w:rPr>
                <w:rFonts w:ascii="Times New Roman"/>
                <w:b/>
                <w:bCs/>
                <w:snapToGrid w:val="0"/>
                <w:color w:val="auto"/>
                <w:spacing w:val="-16"/>
                <w:kern w:val="21"/>
                <w:sz w:val="21"/>
                <w:szCs w:val="21"/>
              </w:rPr>
              <w:fldChar w:fldCharType="begin"/>
            </w:r>
            <w:r>
              <w:rPr>
                <w:rFonts w:ascii="Times New Roman"/>
                <w:b/>
                <w:bCs/>
                <w:snapToGrid w:val="0"/>
                <w:color w:val="auto"/>
                <w:spacing w:val="-16"/>
                <w:kern w:val="21"/>
                <w:sz w:val="21"/>
                <w:szCs w:val="21"/>
              </w:rPr>
              <w:instrText xml:space="preserve"> = 5 \* GB3 \* MERGEFORMAT </w:instrText>
            </w:r>
            <w:r>
              <w:rPr>
                <w:rFonts w:ascii="Times New Roman"/>
                <w:b/>
                <w:bCs/>
                <w:snapToGrid w:val="0"/>
                <w:color w:val="auto"/>
                <w:spacing w:val="-16"/>
                <w:kern w:val="21"/>
                <w:sz w:val="21"/>
                <w:szCs w:val="21"/>
              </w:rPr>
              <w:fldChar w:fldCharType="separate"/>
            </w:r>
            <w:r>
              <w:rPr>
                <w:rFonts w:hint="eastAsia" w:hAnsi="宋体" w:cs="宋体"/>
                <w:b/>
                <w:bCs/>
                <w:color w:val="auto"/>
                <w:kern w:val="2"/>
                <w:sz w:val="21"/>
                <w:szCs w:val="21"/>
              </w:rPr>
              <w:t>⑤</w:t>
            </w:r>
            <w:r>
              <w:rPr>
                <w:rFonts w:ascii="Times New Roman"/>
                <w:b/>
                <w:bCs/>
                <w:snapToGrid w:val="0"/>
                <w:color w:val="auto"/>
                <w:spacing w:val="-16"/>
                <w:kern w:val="21"/>
                <w:sz w:val="21"/>
                <w:szCs w:val="21"/>
              </w:rPr>
              <w:fldChar w:fldCharType="end"/>
            </w:r>
          </w:p>
        </w:tc>
        <w:tc>
          <w:tcPr>
            <w:tcW w:w="1499" w:type="dxa"/>
            <w:tcMar>
              <w:left w:w="28" w:type="dxa"/>
              <w:right w:w="28" w:type="dxa"/>
            </w:tcMar>
            <w:vAlign w:val="center"/>
          </w:tcPr>
          <w:p w14:paraId="1AC7E848">
            <w:pPr>
              <w:pStyle w:val="50"/>
              <w:spacing w:beforeLines="0" w:afterLines="0" w:line="300" w:lineRule="exact"/>
              <w:rPr>
                <w:rFonts w:ascii="Times New Roman"/>
                <w:b/>
                <w:bCs/>
                <w:snapToGrid w:val="0"/>
                <w:color w:val="auto"/>
                <w:spacing w:val="-16"/>
                <w:kern w:val="21"/>
                <w:sz w:val="21"/>
                <w:szCs w:val="21"/>
              </w:rPr>
            </w:pPr>
            <w:r>
              <w:rPr>
                <w:rFonts w:ascii="Times New Roman"/>
                <w:b/>
                <w:bCs/>
                <w:snapToGrid w:val="0"/>
                <w:color w:val="auto"/>
                <w:spacing w:val="-16"/>
                <w:kern w:val="21"/>
                <w:sz w:val="21"/>
                <w:szCs w:val="21"/>
              </w:rPr>
              <w:t>本项目建成后</w:t>
            </w:r>
          </w:p>
          <w:p w14:paraId="0030150F">
            <w:pPr>
              <w:pStyle w:val="50"/>
              <w:spacing w:beforeLines="0" w:afterLines="0" w:line="300" w:lineRule="exact"/>
              <w:rPr>
                <w:rFonts w:ascii="Times New Roman"/>
                <w:b/>
                <w:bCs/>
                <w:snapToGrid w:val="0"/>
                <w:color w:val="auto"/>
                <w:spacing w:val="-16"/>
                <w:kern w:val="21"/>
                <w:sz w:val="21"/>
                <w:szCs w:val="21"/>
              </w:rPr>
            </w:pPr>
            <w:r>
              <w:rPr>
                <w:rFonts w:ascii="Times New Roman"/>
                <w:b/>
                <w:bCs/>
                <w:snapToGrid w:val="0"/>
                <w:color w:val="auto"/>
                <w:spacing w:val="-16"/>
                <w:kern w:val="21"/>
                <w:sz w:val="21"/>
                <w:szCs w:val="21"/>
              </w:rPr>
              <w:t>全厂排放量（固体废物产生量）</w:t>
            </w:r>
            <w:r>
              <w:rPr>
                <w:rFonts w:ascii="Times New Roman"/>
                <w:b/>
                <w:bCs/>
                <w:snapToGrid w:val="0"/>
                <w:color w:val="auto"/>
                <w:spacing w:val="-16"/>
                <w:kern w:val="21"/>
                <w:sz w:val="21"/>
                <w:szCs w:val="21"/>
              </w:rPr>
              <w:fldChar w:fldCharType="begin"/>
            </w:r>
            <w:r>
              <w:rPr>
                <w:rFonts w:ascii="Times New Roman"/>
                <w:b/>
                <w:bCs/>
                <w:snapToGrid w:val="0"/>
                <w:color w:val="auto"/>
                <w:spacing w:val="-16"/>
                <w:kern w:val="21"/>
                <w:sz w:val="21"/>
                <w:szCs w:val="21"/>
              </w:rPr>
              <w:instrText xml:space="preserve"> = 6 \* GB3 \* MERGEFORMAT </w:instrText>
            </w:r>
            <w:r>
              <w:rPr>
                <w:rFonts w:ascii="Times New Roman"/>
                <w:b/>
                <w:bCs/>
                <w:snapToGrid w:val="0"/>
                <w:color w:val="auto"/>
                <w:spacing w:val="-16"/>
                <w:kern w:val="21"/>
                <w:sz w:val="21"/>
                <w:szCs w:val="21"/>
              </w:rPr>
              <w:fldChar w:fldCharType="separate"/>
            </w:r>
            <w:r>
              <w:rPr>
                <w:rFonts w:hint="eastAsia" w:hAnsi="宋体" w:cs="宋体"/>
                <w:b/>
                <w:bCs/>
                <w:color w:val="auto"/>
                <w:kern w:val="2"/>
                <w:sz w:val="21"/>
                <w:szCs w:val="21"/>
              </w:rPr>
              <w:t>⑥</w:t>
            </w:r>
            <w:r>
              <w:rPr>
                <w:rFonts w:ascii="Times New Roman"/>
                <w:b/>
                <w:bCs/>
                <w:snapToGrid w:val="0"/>
                <w:color w:val="auto"/>
                <w:spacing w:val="-16"/>
                <w:kern w:val="21"/>
                <w:sz w:val="21"/>
                <w:szCs w:val="21"/>
              </w:rPr>
              <w:fldChar w:fldCharType="end"/>
            </w:r>
          </w:p>
        </w:tc>
        <w:tc>
          <w:tcPr>
            <w:tcW w:w="1286" w:type="dxa"/>
            <w:tcMar>
              <w:left w:w="28" w:type="dxa"/>
              <w:right w:w="28" w:type="dxa"/>
            </w:tcMar>
            <w:vAlign w:val="center"/>
          </w:tcPr>
          <w:p w14:paraId="72B594F9">
            <w:pPr>
              <w:pStyle w:val="50"/>
              <w:spacing w:beforeLines="0" w:afterLines="0" w:line="300" w:lineRule="exact"/>
              <w:rPr>
                <w:rFonts w:ascii="Times New Roman"/>
                <w:b/>
                <w:bCs/>
                <w:snapToGrid w:val="0"/>
                <w:color w:val="auto"/>
                <w:spacing w:val="-6"/>
                <w:kern w:val="21"/>
                <w:sz w:val="21"/>
                <w:szCs w:val="21"/>
              </w:rPr>
            </w:pPr>
            <w:r>
              <w:rPr>
                <w:rFonts w:ascii="Times New Roman"/>
                <w:b/>
                <w:bCs/>
                <w:snapToGrid w:val="0"/>
                <w:color w:val="auto"/>
                <w:spacing w:val="-6"/>
                <w:kern w:val="21"/>
                <w:sz w:val="21"/>
                <w:szCs w:val="21"/>
              </w:rPr>
              <w:t>变化量</w:t>
            </w:r>
          </w:p>
          <w:p w14:paraId="46D09037">
            <w:pPr>
              <w:pStyle w:val="50"/>
              <w:spacing w:beforeLines="0" w:afterLines="0" w:line="300" w:lineRule="exact"/>
              <w:rPr>
                <w:rFonts w:ascii="Times New Roman"/>
                <w:b/>
                <w:bCs/>
                <w:snapToGrid w:val="0"/>
                <w:color w:val="auto"/>
                <w:spacing w:val="-6"/>
                <w:kern w:val="21"/>
                <w:sz w:val="21"/>
                <w:szCs w:val="21"/>
              </w:rPr>
            </w:pPr>
            <w:r>
              <w:rPr>
                <w:rFonts w:ascii="Times New Roman"/>
                <w:b/>
                <w:bCs/>
                <w:snapToGrid w:val="0"/>
                <w:color w:val="auto"/>
                <w:spacing w:val="-6"/>
                <w:kern w:val="21"/>
                <w:sz w:val="21"/>
                <w:szCs w:val="21"/>
              </w:rPr>
              <w:fldChar w:fldCharType="begin"/>
            </w:r>
            <w:r>
              <w:rPr>
                <w:rFonts w:ascii="Times New Roman"/>
                <w:b/>
                <w:bCs/>
                <w:snapToGrid w:val="0"/>
                <w:color w:val="auto"/>
                <w:spacing w:val="-6"/>
                <w:kern w:val="21"/>
                <w:sz w:val="21"/>
                <w:szCs w:val="21"/>
              </w:rPr>
              <w:instrText xml:space="preserve"> = 7 \* GB3 \* MERGEFORMAT </w:instrText>
            </w:r>
            <w:r>
              <w:rPr>
                <w:rFonts w:ascii="Times New Roman"/>
                <w:b/>
                <w:bCs/>
                <w:snapToGrid w:val="0"/>
                <w:color w:val="auto"/>
                <w:spacing w:val="-6"/>
                <w:kern w:val="21"/>
                <w:sz w:val="21"/>
                <w:szCs w:val="21"/>
              </w:rPr>
              <w:fldChar w:fldCharType="separate"/>
            </w:r>
            <w:r>
              <w:rPr>
                <w:rFonts w:hint="eastAsia" w:hAnsi="宋体" w:cs="宋体"/>
                <w:b/>
                <w:bCs/>
                <w:color w:val="auto"/>
                <w:kern w:val="2"/>
                <w:sz w:val="21"/>
                <w:szCs w:val="21"/>
              </w:rPr>
              <w:t>⑦</w:t>
            </w:r>
            <w:r>
              <w:rPr>
                <w:rFonts w:ascii="Times New Roman"/>
                <w:b/>
                <w:bCs/>
                <w:snapToGrid w:val="0"/>
                <w:color w:val="auto"/>
                <w:spacing w:val="-6"/>
                <w:kern w:val="21"/>
                <w:sz w:val="21"/>
                <w:szCs w:val="21"/>
              </w:rPr>
              <w:fldChar w:fldCharType="end"/>
            </w:r>
          </w:p>
        </w:tc>
      </w:tr>
      <w:tr w14:paraId="34B6D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2" w:type="dxa"/>
            <w:vAlign w:val="center"/>
          </w:tcPr>
          <w:p w14:paraId="1DEF6B71">
            <w:pPr>
              <w:pStyle w:val="50"/>
              <w:spacing w:beforeLines="0" w:afterLines="0" w:line="300" w:lineRule="exact"/>
              <w:rPr>
                <w:rFonts w:ascii="Times New Roman"/>
                <w:snapToGrid w:val="0"/>
                <w:color w:val="auto"/>
                <w:kern w:val="21"/>
                <w:sz w:val="21"/>
                <w:szCs w:val="21"/>
              </w:rPr>
            </w:pPr>
            <w:r>
              <w:rPr>
                <w:rFonts w:ascii="Times New Roman"/>
                <w:snapToGrid w:val="0"/>
                <w:color w:val="auto"/>
                <w:kern w:val="21"/>
                <w:sz w:val="21"/>
                <w:szCs w:val="21"/>
              </w:rPr>
              <w:t>废气</w:t>
            </w:r>
          </w:p>
        </w:tc>
        <w:tc>
          <w:tcPr>
            <w:tcW w:w="2089" w:type="dxa"/>
            <w:vAlign w:val="center"/>
          </w:tcPr>
          <w:p w14:paraId="609AD843">
            <w:pPr>
              <w:pStyle w:val="50"/>
              <w:spacing w:beforeLines="0" w:afterLines="0" w:line="300" w:lineRule="exact"/>
              <w:rPr>
                <w:rFonts w:ascii="Times New Roman"/>
                <w:snapToGrid w:val="0"/>
                <w:color w:val="auto"/>
                <w:kern w:val="21"/>
                <w:sz w:val="21"/>
                <w:szCs w:val="21"/>
              </w:rPr>
            </w:pPr>
            <w:r>
              <w:rPr>
                <w:rFonts w:ascii="Times New Roman"/>
                <w:snapToGrid w:val="0"/>
                <w:color w:val="auto"/>
                <w:kern w:val="21"/>
                <w:sz w:val="21"/>
                <w:szCs w:val="21"/>
              </w:rPr>
              <w:t>有机废气</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vAlign w:val="center"/>
          </w:tcPr>
          <w:p w14:paraId="4F8EDC02">
            <w:pPr>
              <w:pStyle w:val="50"/>
              <w:spacing w:beforeLines="0" w:afterLines="0" w:line="300" w:lineRule="exact"/>
              <w:rPr>
                <w:rFonts w:ascii="Times New Roman"/>
                <w:snapToGrid w:val="0"/>
                <w:color w:val="auto"/>
                <w:kern w:val="21"/>
                <w:sz w:val="21"/>
                <w:szCs w:val="21"/>
              </w:rPr>
            </w:pPr>
            <w:r>
              <w:rPr>
                <w:rFonts w:hint="eastAsia" w:ascii="Times New Roman"/>
                <w:snapToGrid w:val="0"/>
                <w:color w:val="auto"/>
                <w:kern w:val="21"/>
                <w:sz w:val="21"/>
                <w:szCs w:val="21"/>
                <w:lang w:val="en-US" w:eastAsia="zh-CN"/>
              </w:rPr>
              <w:t>0.204</w:t>
            </w:r>
          </w:p>
        </w:tc>
        <w:tc>
          <w:tcPr>
            <w:tcW w:w="1276" w:type="dxa"/>
            <w:vAlign w:val="center"/>
          </w:tcPr>
          <w:p w14:paraId="2C0DA27A">
            <w:pPr>
              <w:spacing w:beforeLines="0" w:afterLines="0" w:line="300" w:lineRule="exact"/>
              <w:jc w:val="center"/>
              <w:rPr>
                <w:rFonts w:ascii="Times New Roman"/>
                <w:b/>
                <w:bCs/>
                <w:snapToGrid w:val="0"/>
                <w:color w:val="auto"/>
                <w:kern w:val="21"/>
                <w:sz w:val="21"/>
                <w:szCs w:val="21"/>
              </w:rPr>
            </w:pPr>
            <w:r>
              <w:rPr>
                <w:rFonts w:ascii="Times New Roman"/>
                <w:snapToGrid w:val="0"/>
                <w:color w:val="auto"/>
                <w:kern w:val="21"/>
                <w:sz w:val="21"/>
                <w:szCs w:val="21"/>
              </w:rPr>
              <w:t>/</w:t>
            </w:r>
          </w:p>
        </w:tc>
        <w:tc>
          <w:tcPr>
            <w:tcW w:w="1701" w:type="dxa"/>
            <w:vAlign w:val="center"/>
          </w:tcPr>
          <w:p w14:paraId="5D9833BB">
            <w:pPr>
              <w:pStyle w:val="50"/>
              <w:spacing w:beforeLines="0" w:afterLines="0" w:line="300" w:lineRule="exact"/>
              <w:rPr>
                <w:rFonts w:ascii="Times New Roman"/>
                <w:snapToGrid w:val="0"/>
                <w:color w:val="auto"/>
                <w:kern w:val="21"/>
                <w:sz w:val="21"/>
                <w:szCs w:val="21"/>
              </w:rPr>
            </w:pPr>
            <w:r>
              <w:rPr>
                <w:rFonts w:ascii="Times New Roman"/>
                <w:snapToGrid w:val="0"/>
                <w:color w:val="auto"/>
                <w:kern w:val="21"/>
                <w:sz w:val="21"/>
                <w:szCs w:val="21"/>
              </w:rPr>
              <w:t>/</w:t>
            </w:r>
          </w:p>
        </w:tc>
        <w:tc>
          <w:tcPr>
            <w:tcW w:w="1559" w:type="dxa"/>
            <w:vAlign w:val="center"/>
          </w:tcPr>
          <w:p w14:paraId="27DAB3FC">
            <w:pPr>
              <w:pStyle w:val="50"/>
              <w:spacing w:beforeLines="0" w:afterLines="0" w:line="300" w:lineRule="exact"/>
              <w:rPr>
                <w:rFonts w:ascii="Times New Roman"/>
                <w:color w:val="auto"/>
                <w:sz w:val="21"/>
                <w:szCs w:val="21"/>
              </w:rPr>
            </w:pPr>
            <w:r>
              <w:rPr>
                <w:rFonts w:hint="eastAsia" w:ascii="Times New Roman"/>
                <w:color w:val="auto"/>
                <w:sz w:val="21"/>
                <w:szCs w:val="21"/>
                <w:lang w:val="en-US" w:eastAsia="zh-CN"/>
              </w:rPr>
              <w:t>0.0966</w:t>
            </w:r>
          </w:p>
        </w:tc>
        <w:tc>
          <w:tcPr>
            <w:tcW w:w="1761" w:type="dxa"/>
            <w:vAlign w:val="center"/>
          </w:tcPr>
          <w:p w14:paraId="22595B08">
            <w:pPr>
              <w:pStyle w:val="50"/>
              <w:spacing w:beforeLines="0" w:afterLines="0" w:line="300" w:lineRule="exact"/>
              <w:rPr>
                <w:rFonts w:ascii="Times New Roman"/>
                <w:color w:val="auto"/>
                <w:sz w:val="21"/>
                <w:szCs w:val="21"/>
              </w:rPr>
            </w:pPr>
            <w:r>
              <w:rPr>
                <w:rFonts w:ascii="Times New Roman"/>
                <w:color w:val="auto"/>
                <w:sz w:val="21"/>
                <w:szCs w:val="21"/>
              </w:rPr>
              <w:t>/</w:t>
            </w:r>
          </w:p>
        </w:tc>
        <w:tc>
          <w:tcPr>
            <w:tcW w:w="1499" w:type="dxa"/>
            <w:vAlign w:val="center"/>
          </w:tcPr>
          <w:p w14:paraId="1CA250B6">
            <w:pPr>
              <w:pStyle w:val="50"/>
              <w:spacing w:beforeLines="0" w:afterLines="0" w:line="300" w:lineRule="exact"/>
              <w:rPr>
                <w:rFonts w:hint="eastAsia"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0.3006</w:t>
            </w:r>
          </w:p>
        </w:tc>
        <w:tc>
          <w:tcPr>
            <w:tcW w:w="1286" w:type="dxa"/>
            <w:vAlign w:val="center"/>
          </w:tcPr>
          <w:p w14:paraId="091AB4FD">
            <w:pPr>
              <w:pStyle w:val="50"/>
              <w:spacing w:beforeLines="0" w:afterLines="0" w:line="300" w:lineRule="exact"/>
              <w:rPr>
                <w:rFonts w:ascii="Times New Roman"/>
                <w:color w:val="auto"/>
                <w:sz w:val="21"/>
                <w:szCs w:val="21"/>
              </w:rPr>
            </w:pPr>
            <w:r>
              <w:rPr>
                <w:rFonts w:hint="default" w:ascii="Times New Roman"/>
                <w:color w:val="auto"/>
                <w:sz w:val="21"/>
                <w:szCs w:val="21"/>
              </w:rPr>
              <w:t>+</w:t>
            </w:r>
            <w:r>
              <w:rPr>
                <w:rFonts w:hint="default" w:ascii="Times New Roman"/>
                <w:color w:val="auto"/>
                <w:sz w:val="21"/>
                <w:szCs w:val="21"/>
                <w:lang w:val="en-US" w:eastAsia="zh-CN"/>
              </w:rPr>
              <w:t>0.0966</w:t>
            </w:r>
          </w:p>
        </w:tc>
      </w:tr>
      <w:tr w14:paraId="718493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162" w:type="dxa"/>
            <w:vMerge w:val="restart"/>
            <w:vAlign w:val="center"/>
          </w:tcPr>
          <w:p w14:paraId="339A2812">
            <w:pPr>
              <w:pStyle w:val="50"/>
              <w:spacing w:beforeLines="0" w:afterLines="0" w:line="300" w:lineRule="exact"/>
              <w:rPr>
                <w:rFonts w:ascii="Times New Roman"/>
                <w:snapToGrid w:val="0"/>
                <w:color w:val="auto"/>
                <w:kern w:val="21"/>
                <w:sz w:val="21"/>
                <w:szCs w:val="21"/>
              </w:rPr>
            </w:pPr>
            <w:r>
              <w:rPr>
                <w:rFonts w:ascii="Times New Roman"/>
                <w:snapToGrid w:val="0"/>
                <w:color w:val="auto"/>
                <w:kern w:val="21"/>
                <w:sz w:val="21"/>
                <w:szCs w:val="21"/>
              </w:rPr>
              <w:t>废水</w:t>
            </w:r>
          </w:p>
        </w:tc>
        <w:tc>
          <w:tcPr>
            <w:tcW w:w="2089" w:type="dxa"/>
            <w:vAlign w:val="center"/>
          </w:tcPr>
          <w:p w14:paraId="6D3595DF">
            <w:pPr>
              <w:pStyle w:val="50"/>
              <w:spacing w:beforeLines="0" w:afterLines="0" w:line="300" w:lineRule="exact"/>
              <w:rPr>
                <w:rFonts w:ascii="Times New Roman"/>
                <w:snapToGrid w:val="0"/>
                <w:color w:val="auto"/>
                <w:kern w:val="21"/>
                <w:sz w:val="21"/>
                <w:szCs w:val="21"/>
              </w:rPr>
            </w:pPr>
            <w:r>
              <w:rPr>
                <w:rFonts w:ascii="Times New Roman"/>
                <w:snapToGrid w:val="0"/>
                <w:color w:val="auto"/>
                <w:kern w:val="21"/>
                <w:sz w:val="21"/>
                <w:szCs w:val="21"/>
              </w:rPr>
              <w:t>废水量</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vAlign w:val="center"/>
          </w:tcPr>
          <w:p w14:paraId="2F0BD51D">
            <w:pPr>
              <w:pStyle w:val="50"/>
              <w:spacing w:beforeLines="0" w:afterLines="0" w:line="300" w:lineRule="exact"/>
              <w:rPr>
                <w:rFonts w:ascii="Times New Roman"/>
                <w:snapToGrid w:val="0"/>
                <w:color w:val="auto"/>
                <w:kern w:val="21"/>
                <w:sz w:val="21"/>
                <w:szCs w:val="21"/>
              </w:rPr>
            </w:pPr>
            <w:r>
              <w:rPr>
                <w:rFonts w:hint="eastAsia" w:ascii="Times New Roman"/>
                <w:snapToGrid w:val="0"/>
                <w:color w:val="auto"/>
                <w:kern w:val="21"/>
                <w:sz w:val="21"/>
                <w:szCs w:val="21"/>
                <w:lang w:val="en-US" w:eastAsia="zh-CN"/>
              </w:rPr>
              <w:t>588</w:t>
            </w:r>
          </w:p>
        </w:tc>
        <w:tc>
          <w:tcPr>
            <w:tcW w:w="1276" w:type="dxa"/>
            <w:vAlign w:val="center"/>
          </w:tcPr>
          <w:p w14:paraId="495202EE">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696C964A">
            <w:pPr>
              <w:pStyle w:val="50"/>
              <w:spacing w:beforeLines="0" w:afterLines="0" w:line="300" w:lineRule="exact"/>
              <w:rPr>
                <w:rFonts w:ascii="Times New Roman"/>
                <w:snapToGrid w:val="0"/>
                <w:color w:val="auto"/>
                <w:kern w:val="21"/>
                <w:sz w:val="21"/>
                <w:szCs w:val="21"/>
              </w:rPr>
            </w:pPr>
            <w:r>
              <w:rPr>
                <w:rFonts w:ascii="Times New Roman"/>
                <w:snapToGrid w:val="0"/>
                <w:color w:val="auto"/>
                <w:kern w:val="21"/>
                <w:sz w:val="21"/>
                <w:szCs w:val="21"/>
              </w:rPr>
              <w:t>/</w:t>
            </w:r>
          </w:p>
        </w:tc>
        <w:tc>
          <w:tcPr>
            <w:tcW w:w="1559" w:type="dxa"/>
            <w:vAlign w:val="center"/>
          </w:tcPr>
          <w:p w14:paraId="00DA6651">
            <w:pPr>
              <w:pStyle w:val="50"/>
              <w:spacing w:beforeLines="0" w:afterLines="0" w:line="300" w:lineRule="exact"/>
              <w:rPr>
                <w:rFonts w:hint="default" w:ascii="Times New Roman"/>
                <w:snapToGrid w:val="0"/>
                <w:color w:val="auto"/>
                <w:kern w:val="21"/>
                <w:sz w:val="21"/>
                <w:szCs w:val="21"/>
                <w:lang w:val="en-US"/>
              </w:rPr>
            </w:pPr>
            <w:r>
              <w:rPr>
                <w:rFonts w:hint="eastAsia" w:ascii="Times New Roman"/>
                <w:color w:val="auto"/>
                <w:sz w:val="21"/>
                <w:szCs w:val="21"/>
                <w:lang w:val="en-US" w:eastAsia="zh-CN"/>
              </w:rPr>
              <w:t>4152</w:t>
            </w:r>
          </w:p>
        </w:tc>
        <w:tc>
          <w:tcPr>
            <w:tcW w:w="1761" w:type="dxa"/>
            <w:vAlign w:val="center"/>
          </w:tcPr>
          <w:p w14:paraId="30716EF0">
            <w:pPr>
              <w:pStyle w:val="50"/>
              <w:spacing w:beforeLines="0" w:afterLines="0" w:line="300" w:lineRule="exact"/>
              <w:rPr>
                <w:rFonts w:ascii="Times New Roman"/>
                <w:snapToGrid w:val="0"/>
                <w:color w:val="auto"/>
                <w:kern w:val="21"/>
                <w:sz w:val="21"/>
                <w:szCs w:val="21"/>
              </w:rPr>
            </w:pPr>
            <w:r>
              <w:rPr>
                <w:rFonts w:ascii="Times New Roman"/>
                <w:color w:val="auto"/>
                <w:sz w:val="21"/>
                <w:szCs w:val="21"/>
              </w:rPr>
              <w:t>/</w:t>
            </w:r>
          </w:p>
        </w:tc>
        <w:tc>
          <w:tcPr>
            <w:tcW w:w="1499" w:type="dxa"/>
            <w:vAlign w:val="center"/>
          </w:tcPr>
          <w:p w14:paraId="696092FA">
            <w:pPr>
              <w:pStyle w:val="50"/>
              <w:spacing w:beforeLines="0" w:afterLines="0" w:line="300" w:lineRule="exact"/>
              <w:rPr>
                <w:rFonts w:hint="eastAsia" w:ascii="Times New Roman"/>
                <w:snapToGrid w:val="0"/>
                <w:color w:val="auto"/>
                <w:kern w:val="21"/>
                <w:sz w:val="21"/>
                <w:szCs w:val="21"/>
                <w:lang w:val="en-US" w:eastAsia="zh-CN"/>
              </w:rPr>
            </w:pPr>
            <w:r>
              <w:rPr>
                <w:rFonts w:hint="eastAsia" w:ascii="Times New Roman" w:hAnsi="Times New Roman"/>
                <w:color w:val="auto"/>
                <w:sz w:val="21"/>
                <w:szCs w:val="21"/>
                <w:highlight w:val="none"/>
                <w:lang w:val="en-US" w:eastAsia="zh-CN"/>
              </w:rPr>
              <w:t>4740</w:t>
            </w:r>
          </w:p>
        </w:tc>
        <w:tc>
          <w:tcPr>
            <w:tcW w:w="1286" w:type="dxa"/>
            <w:vAlign w:val="center"/>
          </w:tcPr>
          <w:p w14:paraId="795AB97A">
            <w:pPr>
              <w:pStyle w:val="50"/>
              <w:spacing w:beforeLines="0" w:afterLines="0" w:line="300" w:lineRule="exact"/>
              <w:rPr>
                <w:rFonts w:ascii="Times New Roman"/>
                <w:snapToGrid w:val="0"/>
                <w:color w:val="auto"/>
                <w:kern w:val="21"/>
                <w:sz w:val="21"/>
                <w:szCs w:val="21"/>
              </w:rPr>
            </w:pPr>
            <w:r>
              <w:rPr>
                <w:rFonts w:ascii="Times New Roman"/>
                <w:color w:val="auto"/>
                <w:sz w:val="21"/>
                <w:szCs w:val="21"/>
              </w:rPr>
              <w:t>+</w:t>
            </w:r>
            <w:r>
              <w:rPr>
                <w:rFonts w:hint="eastAsia" w:ascii="Times New Roman"/>
                <w:color w:val="auto"/>
                <w:sz w:val="21"/>
                <w:szCs w:val="21"/>
                <w:lang w:val="en-US" w:eastAsia="zh-CN"/>
              </w:rPr>
              <w:t>4152</w:t>
            </w:r>
          </w:p>
        </w:tc>
      </w:tr>
      <w:tr w14:paraId="267A7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162" w:type="dxa"/>
            <w:vMerge w:val="continue"/>
            <w:vAlign w:val="center"/>
          </w:tcPr>
          <w:p w14:paraId="67979C5B">
            <w:pPr>
              <w:pStyle w:val="50"/>
              <w:spacing w:beforeLines="0" w:afterLines="0" w:line="300" w:lineRule="exact"/>
              <w:rPr>
                <w:rFonts w:ascii="Times New Roman"/>
                <w:snapToGrid w:val="0"/>
                <w:color w:val="auto"/>
                <w:kern w:val="21"/>
                <w:sz w:val="21"/>
                <w:szCs w:val="21"/>
              </w:rPr>
            </w:pPr>
          </w:p>
        </w:tc>
        <w:tc>
          <w:tcPr>
            <w:tcW w:w="2089" w:type="dxa"/>
            <w:vAlign w:val="center"/>
          </w:tcPr>
          <w:p w14:paraId="4B12D975">
            <w:pPr>
              <w:pStyle w:val="50"/>
              <w:spacing w:beforeLines="0" w:afterLines="0" w:line="300" w:lineRule="exact"/>
              <w:rPr>
                <w:rFonts w:ascii="Times New Roman"/>
                <w:snapToGrid w:val="0"/>
                <w:color w:val="auto"/>
                <w:kern w:val="21"/>
                <w:sz w:val="21"/>
                <w:szCs w:val="21"/>
              </w:rPr>
            </w:pPr>
            <w:r>
              <w:rPr>
                <w:rFonts w:ascii="Times New Roman"/>
                <w:snapToGrid w:val="0"/>
                <w:color w:val="auto"/>
                <w:kern w:val="21"/>
                <w:sz w:val="21"/>
                <w:szCs w:val="21"/>
              </w:rPr>
              <w:t>COD</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vAlign w:val="center"/>
          </w:tcPr>
          <w:p w14:paraId="3181C891">
            <w:pPr>
              <w:spacing w:line="240" w:lineRule="exact"/>
              <w:jc w:val="center"/>
              <w:rPr>
                <w:rFonts w:ascii="Times New Roman"/>
                <w:snapToGrid w:val="0"/>
                <w:color w:val="auto"/>
                <w:kern w:val="21"/>
                <w:sz w:val="21"/>
                <w:szCs w:val="21"/>
              </w:rPr>
            </w:pPr>
            <w:r>
              <w:rPr>
                <w:color w:val="auto"/>
                <w:sz w:val="21"/>
                <w:szCs w:val="21"/>
                <w:highlight w:val="none"/>
              </w:rPr>
              <w:t xml:space="preserve"> </w:t>
            </w:r>
            <w:r>
              <w:rPr>
                <w:rFonts w:hint="eastAsia"/>
                <w:color w:val="auto"/>
                <w:sz w:val="21"/>
                <w:szCs w:val="21"/>
                <w:highlight w:val="none"/>
                <w:lang w:val="en-US" w:eastAsia="zh-CN"/>
              </w:rPr>
              <w:t>0.294</w:t>
            </w:r>
          </w:p>
        </w:tc>
        <w:tc>
          <w:tcPr>
            <w:tcW w:w="1276" w:type="dxa"/>
            <w:vAlign w:val="center"/>
          </w:tcPr>
          <w:p w14:paraId="1E34F8C5">
            <w:pPr>
              <w:spacing w:line="24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06AA20CC">
            <w:pPr>
              <w:pStyle w:val="50"/>
              <w:spacing w:beforeLines="0" w:afterLines="0" w:line="300" w:lineRule="exact"/>
              <w:rPr>
                <w:rFonts w:ascii="Times New Roman"/>
                <w:snapToGrid w:val="0"/>
                <w:color w:val="auto"/>
                <w:kern w:val="21"/>
                <w:sz w:val="21"/>
                <w:szCs w:val="21"/>
              </w:rPr>
            </w:pPr>
            <w:r>
              <w:rPr>
                <w:rFonts w:ascii="Times New Roman"/>
                <w:snapToGrid w:val="0"/>
                <w:color w:val="auto"/>
                <w:kern w:val="21"/>
                <w:sz w:val="21"/>
                <w:szCs w:val="21"/>
              </w:rPr>
              <w:t>/</w:t>
            </w:r>
          </w:p>
        </w:tc>
        <w:tc>
          <w:tcPr>
            <w:tcW w:w="1559" w:type="dxa"/>
            <w:vAlign w:val="center"/>
          </w:tcPr>
          <w:p w14:paraId="1AC3721B">
            <w:pPr>
              <w:spacing w:line="240" w:lineRule="exact"/>
              <w:jc w:val="center"/>
              <w:rPr>
                <w:rFonts w:ascii="Times New Roman"/>
                <w:snapToGrid w:val="0"/>
                <w:color w:val="auto"/>
                <w:kern w:val="21"/>
                <w:sz w:val="21"/>
                <w:szCs w:val="21"/>
              </w:rPr>
            </w:pPr>
            <w:r>
              <w:rPr>
                <w:rFonts w:hint="eastAsia"/>
                <w:color w:val="auto"/>
                <w:sz w:val="21"/>
                <w:szCs w:val="21"/>
                <w:lang w:val="en-US" w:eastAsia="zh-CN"/>
              </w:rPr>
              <w:t>2.082</w:t>
            </w:r>
          </w:p>
        </w:tc>
        <w:tc>
          <w:tcPr>
            <w:tcW w:w="1761" w:type="dxa"/>
            <w:vAlign w:val="center"/>
          </w:tcPr>
          <w:p w14:paraId="520BF9DA">
            <w:pPr>
              <w:spacing w:beforeLines="0" w:afterLines="0" w:line="300" w:lineRule="exact"/>
              <w:jc w:val="center"/>
              <w:rPr>
                <w:rFonts w:ascii="Times New Roman"/>
                <w:snapToGrid w:val="0"/>
                <w:color w:val="auto"/>
                <w:kern w:val="21"/>
                <w:sz w:val="21"/>
                <w:szCs w:val="21"/>
              </w:rPr>
            </w:pPr>
            <w:r>
              <w:rPr>
                <w:rFonts w:ascii="Times New Roman"/>
                <w:color w:val="auto"/>
                <w:sz w:val="21"/>
                <w:szCs w:val="21"/>
              </w:rPr>
              <w:t>/</w:t>
            </w:r>
          </w:p>
        </w:tc>
        <w:tc>
          <w:tcPr>
            <w:tcW w:w="1499" w:type="dxa"/>
            <w:vAlign w:val="center"/>
          </w:tcPr>
          <w:p w14:paraId="6DE19F04">
            <w:pPr>
              <w:widowControl/>
              <w:jc w:val="center"/>
              <w:textAlignment w:val="center"/>
              <w:rPr>
                <w:rFonts w:ascii="Times New Roman"/>
                <w:snapToGrid w:val="0"/>
                <w:color w:val="auto"/>
                <w:kern w:val="21"/>
                <w:sz w:val="21"/>
                <w:szCs w:val="21"/>
              </w:rPr>
            </w:pPr>
            <w:r>
              <w:rPr>
                <w:rFonts w:hint="eastAsia"/>
                <w:color w:val="auto"/>
                <w:szCs w:val="21"/>
                <w:highlight w:val="none"/>
                <w:lang w:val="en-US" w:eastAsia="zh-CN"/>
              </w:rPr>
              <w:t>2.376</w:t>
            </w:r>
          </w:p>
        </w:tc>
        <w:tc>
          <w:tcPr>
            <w:tcW w:w="1286" w:type="dxa"/>
            <w:vAlign w:val="center"/>
          </w:tcPr>
          <w:p w14:paraId="458AE377">
            <w:pPr>
              <w:widowControl/>
              <w:jc w:val="center"/>
              <w:textAlignment w:val="center"/>
              <w:rPr>
                <w:rFonts w:ascii="Times New Roman"/>
                <w:snapToGrid w:val="0"/>
                <w:color w:val="auto"/>
                <w:kern w:val="21"/>
                <w:sz w:val="21"/>
                <w:szCs w:val="21"/>
              </w:rPr>
            </w:pPr>
            <w:r>
              <w:rPr>
                <w:rFonts w:hint="eastAsia"/>
                <w:color w:val="auto"/>
                <w:szCs w:val="21"/>
                <w:highlight w:val="none"/>
              </w:rPr>
              <w:t>+</w:t>
            </w:r>
            <w:r>
              <w:rPr>
                <w:rFonts w:hint="eastAsia"/>
                <w:color w:val="auto"/>
                <w:sz w:val="21"/>
                <w:szCs w:val="21"/>
                <w:highlight w:val="none"/>
              </w:rPr>
              <w:t xml:space="preserve"> </w:t>
            </w:r>
            <w:r>
              <w:rPr>
                <w:rFonts w:hint="eastAsia"/>
                <w:color w:val="auto"/>
                <w:sz w:val="21"/>
                <w:szCs w:val="21"/>
                <w:lang w:val="en-US" w:eastAsia="zh-CN"/>
              </w:rPr>
              <w:t>2.082</w:t>
            </w:r>
          </w:p>
        </w:tc>
      </w:tr>
      <w:tr w14:paraId="531C29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62" w:type="dxa"/>
            <w:vMerge w:val="continue"/>
            <w:vAlign w:val="center"/>
          </w:tcPr>
          <w:p w14:paraId="4177CFD0">
            <w:pPr>
              <w:pStyle w:val="50"/>
              <w:spacing w:beforeLines="0" w:afterLines="0" w:line="300" w:lineRule="exact"/>
              <w:rPr>
                <w:rFonts w:ascii="Times New Roman"/>
                <w:snapToGrid w:val="0"/>
                <w:color w:val="auto"/>
                <w:kern w:val="21"/>
                <w:sz w:val="21"/>
                <w:szCs w:val="21"/>
              </w:rPr>
            </w:pPr>
          </w:p>
        </w:tc>
        <w:tc>
          <w:tcPr>
            <w:tcW w:w="2089" w:type="dxa"/>
            <w:vAlign w:val="center"/>
          </w:tcPr>
          <w:p w14:paraId="2233B04D">
            <w:pPr>
              <w:pStyle w:val="50"/>
              <w:spacing w:beforeLines="0" w:afterLines="0" w:line="300" w:lineRule="exact"/>
              <w:rPr>
                <w:rFonts w:ascii="Times New Roman"/>
                <w:snapToGrid w:val="0"/>
                <w:color w:val="auto"/>
                <w:kern w:val="21"/>
                <w:sz w:val="21"/>
                <w:szCs w:val="21"/>
              </w:rPr>
            </w:pPr>
            <w:r>
              <w:rPr>
                <w:rFonts w:ascii="Times New Roman"/>
                <w:snapToGrid w:val="0"/>
                <w:color w:val="auto"/>
                <w:kern w:val="21"/>
                <w:sz w:val="21"/>
                <w:szCs w:val="21"/>
              </w:rPr>
              <w:t>NH</w:t>
            </w:r>
            <w:r>
              <w:rPr>
                <w:rFonts w:ascii="Times New Roman"/>
                <w:snapToGrid w:val="0"/>
                <w:color w:val="auto"/>
                <w:kern w:val="21"/>
                <w:sz w:val="21"/>
                <w:szCs w:val="21"/>
                <w:vertAlign w:val="subscript"/>
              </w:rPr>
              <w:t>3</w:t>
            </w:r>
            <w:r>
              <w:rPr>
                <w:rFonts w:ascii="Times New Roman"/>
                <w:snapToGrid w:val="0"/>
                <w:color w:val="auto"/>
                <w:kern w:val="21"/>
                <w:sz w:val="21"/>
                <w:szCs w:val="21"/>
              </w:rPr>
              <w:t>-N</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vAlign w:val="center"/>
          </w:tcPr>
          <w:p w14:paraId="5A6FAEE6">
            <w:pPr>
              <w:spacing w:line="240" w:lineRule="exact"/>
              <w:jc w:val="center"/>
              <w:rPr>
                <w:rFonts w:ascii="Times New Roman"/>
                <w:snapToGrid w:val="0"/>
                <w:color w:val="auto"/>
                <w:kern w:val="21"/>
                <w:sz w:val="21"/>
                <w:szCs w:val="21"/>
              </w:rPr>
            </w:pPr>
            <w:r>
              <w:rPr>
                <w:rFonts w:hint="eastAsia"/>
                <w:color w:val="auto"/>
                <w:sz w:val="21"/>
                <w:szCs w:val="21"/>
                <w:highlight w:val="none"/>
                <w:lang w:val="en-US" w:eastAsia="zh-CN"/>
              </w:rPr>
              <w:t>0.026</w:t>
            </w:r>
          </w:p>
        </w:tc>
        <w:tc>
          <w:tcPr>
            <w:tcW w:w="1276" w:type="dxa"/>
            <w:vAlign w:val="center"/>
          </w:tcPr>
          <w:p w14:paraId="5257E9EC">
            <w:pPr>
              <w:spacing w:line="24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5CFADC48">
            <w:pPr>
              <w:pStyle w:val="50"/>
              <w:spacing w:beforeLines="0" w:afterLines="0" w:line="300" w:lineRule="exact"/>
              <w:rPr>
                <w:rFonts w:ascii="Times New Roman"/>
                <w:snapToGrid w:val="0"/>
                <w:color w:val="auto"/>
                <w:kern w:val="21"/>
                <w:sz w:val="21"/>
                <w:szCs w:val="21"/>
              </w:rPr>
            </w:pPr>
            <w:r>
              <w:rPr>
                <w:rFonts w:ascii="Times New Roman"/>
                <w:snapToGrid w:val="0"/>
                <w:color w:val="auto"/>
                <w:kern w:val="21"/>
                <w:sz w:val="21"/>
                <w:szCs w:val="21"/>
              </w:rPr>
              <w:t>/</w:t>
            </w:r>
          </w:p>
        </w:tc>
        <w:tc>
          <w:tcPr>
            <w:tcW w:w="1559" w:type="dxa"/>
            <w:vAlign w:val="center"/>
          </w:tcPr>
          <w:p w14:paraId="4A18E978">
            <w:pPr>
              <w:spacing w:line="240" w:lineRule="exact"/>
              <w:jc w:val="center"/>
              <w:rPr>
                <w:rFonts w:ascii="Times New Roman"/>
                <w:snapToGrid w:val="0"/>
                <w:color w:val="auto"/>
                <w:kern w:val="21"/>
                <w:sz w:val="21"/>
                <w:szCs w:val="21"/>
              </w:rPr>
            </w:pPr>
            <w:r>
              <w:rPr>
                <w:rFonts w:hint="eastAsia"/>
                <w:color w:val="auto"/>
                <w:sz w:val="21"/>
                <w:szCs w:val="21"/>
                <w:lang w:val="en-US" w:eastAsia="zh-CN"/>
              </w:rPr>
              <w:t>0.1873</w:t>
            </w:r>
          </w:p>
        </w:tc>
        <w:tc>
          <w:tcPr>
            <w:tcW w:w="1761" w:type="dxa"/>
            <w:vAlign w:val="center"/>
          </w:tcPr>
          <w:p w14:paraId="6B9DB83C">
            <w:pPr>
              <w:spacing w:beforeLines="0" w:afterLines="0" w:line="300" w:lineRule="exact"/>
              <w:jc w:val="center"/>
              <w:rPr>
                <w:rFonts w:ascii="Times New Roman"/>
                <w:snapToGrid w:val="0"/>
                <w:color w:val="auto"/>
                <w:kern w:val="21"/>
                <w:sz w:val="21"/>
                <w:szCs w:val="21"/>
              </w:rPr>
            </w:pPr>
            <w:r>
              <w:rPr>
                <w:rFonts w:ascii="Times New Roman"/>
                <w:color w:val="auto"/>
                <w:sz w:val="21"/>
                <w:szCs w:val="21"/>
              </w:rPr>
              <w:t>/</w:t>
            </w:r>
          </w:p>
        </w:tc>
        <w:tc>
          <w:tcPr>
            <w:tcW w:w="1499" w:type="dxa"/>
            <w:vAlign w:val="center"/>
          </w:tcPr>
          <w:p w14:paraId="59B16C95">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olor w:val="auto"/>
                <w:szCs w:val="21"/>
                <w:lang w:val="en-US" w:eastAsia="zh-CN"/>
              </w:rPr>
              <w:t>0.2133</w:t>
            </w:r>
          </w:p>
        </w:tc>
        <w:tc>
          <w:tcPr>
            <w:tcW w:w="1286" w:type="dxa"/>
            <w:vAlign w:val="center"/>
          </w:tcPr>
          <w:p w14:paraId="4C3B1934">
            <w:pPr>
              <w:widowControl/>
              <w:jc w:val="center"/>
              <w:textAlignment w:val="center"/>
              <w:rPr>
                <w:rFonts w:ascii="Times New Roman"/>
                <w:snapToGrid w:val="0"/>
                <w:color w:val="auto"/>
                <w:kern w:val="21"/>
                <w:sz w:val="21"/>
                <w:szCs w:val="21"/>
              </w:rPr>
            </w:pPr>
            <w:r>
              <w:rPr>
                <w:rFonts w:hint="eastAsia"/>
                <w:color w:val="auto"/>
                <w:szCs w:val="21"/>
                <w:highlight w:val="none"/>
              </w:rPr>
              <w:t>+</w:t>
            </w:r>
            <w:r>
              <w:rPr>
                <w:rFonts w:hint="eastAsia"/>
                <w:color w:val="auto"/>
                <w:sz w:val="21"/>
                <w:szCs w:val="21"/>
                <w:lang w:val="en-US" w:eastAsia="zh-CN"/>
              </w:rPr>
              <w:t>0.1873</w:t>
            </w:r>
          </w:p>
        </w:tc>
      </w:tr>
      <w:tr w14:paraId="2C5AAB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162" w:type="dxa"/>
            <w:vMerge w:val="restart"/>
            <w:vAlign w:val="center"/>
          </w:tcPr>
          <w:p w14:paraId="76552887">
            <w:pPr>
              <w:pStyle w:val="50"/>
              <w:spacing w:beforeLines="0" w:afterLines="0" w:line="300" w:lineRule="exact"/>
              <w:rPr>
                <w:rFonts w:ascii="Times New Roman"/>
                <w:snapToGrid w:val="0"/>
                <w:color w:val="auto"/>
                <w:kern w:val="21"/>
                <w:sz w:val="21"/>
                <w:szCs w:val="21"/>
              </w:rPr>
            </w:pPr>
            <w:r>
              <w:rPr>
                <w:rFonts w:ascii="Times New Roman"/>
                <w:snapToGrid w:val="0"/>
                <w:color w:val="auto"/>
                <w:kern w:val="21"/>
                <w:sz w:val="21"/>
                <w:szCs w:val="21"/>
              </w:rPr>
              <w:t>一般工业</w:t>
            </w:r>
          </w:p>
          <w:p w14:paraId="6265C178">
            <w:pPr>
              <w:pStyle w:val="50"/>
              <w:spacing w:beforeLines="0" w:afterLines="0" w:line="300" w:lineRule="exact"/>
              <w:rPr>
                <w:rFonts w:ascii="Times New Roman"/>
                <w:snapToGrid w:val="0"/>
                <w:color w:val="auto"/>
                <w:kern w:val="21"/>
                <w:sz w:val="21"/>
                <w:szCs w:val="21"/>
              </w:rPr>
            </w:pPr>
            <w:r>
              <w:rPr>
                <w:rFonts w:ascii="Times New Roman"/>
                <w:snapToGrid w:val="0"/>
                <w:color w:val="auto"/>
                <w:kern w:val="21"/>
                <w:sz w:val="21"/>
                <w:szCs w:val="21"/>
              </w:rPr>
              <w:t>固体废物</w:t>
            </w:r>
          </w:p>
        </w:tc>
        <w:tc>
          <w:tcPr>
            <w:tcW w:w="2089" w:type="dxa"/>
            <w:tcBorders>
              <w:top w:val="single" w:color="auto" w:sz="4" w:space="0"/>
            </w:tcBorders>
            <w:vAlign w:val="center"/>
          </w:tcPr>
          <w:p w14:paraId="677F1491">
            <w:pPr>
              <w:wordWrap w:val="0"/>
              <w:ind w:left="-105" w:leftChars="-50" w:right="-105" w:rightChars="-50"/>
              <w:jc w:val="center"/>
              <w:rPr>
                <w:rFonts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highlight w:val="none"/>
              </w:rPr>
              <w:t>废烫金纸</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vAlign w:val="center"/>
          </w:tcPr>
          <w:p w14:paraId="5CAF61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0</w:t>
            </w:r>
          </w:p>
        </w:tc>
        <w:tc>
          <w:tcPr>
            <w:tcW w:w="1276" w:type="dxa"/>
            <w:vAlign w:val="center"/>
          </w:tcPr>
          <w:p w14:paraId="69152C79">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1B6EA7E5">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559" w:type="dxa"/>
            <w:tcBorders>
              <w:bottom w:val="single" w:color="auto" w:sz="4" w:space="0"/>
            </w:tcBorders>
            <w:vAlign w:val="center"/>
          </w:tcPr>
          <w:p w14:paraId="5A5F220E">
            <w:pPr>
              <w:adjustRightInd w:val="0"/>
              <w:snapToGrid w:val="0"/>
              <w:jc w:val="center"/>
              <w:rPr>
                <w:rFonts w:hint="default" w:ascii="Times New Roman" w:eastAsia="宋体"/>
                <w:color w:val="auto"/>
                <w:sz w:val="21"/>
                <w:szCs w:val="21"/>
                <w:lang w:val="en-US" w:eastAsia="zh-CN"/>
              </w:rPr>
            </w:pPr>
            <w:r>
              <w:rPr>
                <w:rFonts w:hint="eastAsia" w:ascii="Times New Roman" w:hAnsi="Times New Roman" w:cs="Times New Roman"/>
                <w:bCs/>
                <w:color w:val="auto"/>
                <w:kern w:val="21"/>
                <w:sz w:val="21"/>
                <w:szCs w:val="21"/>
                <w:lang w:val="en-US" w:eastAsia="zh-CN"/>
              </w:rPr>
              <w:t>1.0</w:t>
            </w:r>
          </w:p>
        </w:tc>
        <w:tc>
          <w:tcPr>
            <w:tcW w:w="1761" w:type="dxa"/>
            <w:tcBorders>
              <w:top w:val="single" w:color="auto" w:sz="4" w:space="0"/>
            </w:tcBorders>
            <w:vAlign w:val="center"/>
          </w:tcPr>
          <w:p w14:paraId="024913BA">
            <w:pPr>
              <w:spacing w:before="24" w:after="24" w:line="300" w:lineRule="exact"/>
              <w:jc w:val="center"/>
              <w:rPr>
                <w:rFonts w:ascii="Times New Roman"/>
                <w:color w:val="auto"/>
                <w:sz w:val="21"/>
                <w:szCs w:val="21"/>
              </w:rPr>
            </w:pPr>
            <w:r>
              <w:rPr>
                <w:rFonts w:ascii="Times New Roman"/>
                <w:snapToGrid w:val="0"/>
                <w:color w:val="auto"/>
                <w:kern w:val="21"/>
                <w:sz w:val="21"/>
                <w:szCs w:val="21"/>
              </w:rPr>
              <w:t>/</w:t>
            </w:r>
          </w:p>
        </w:tc>
        <w:tc>
          <w:tcPr>
            <w:tcW w:w="1499" w:type="dxa"/>
            <w:tcBorders>
              <w:top w:val="single" w:color="auto" w:sz="4" w:space="0"/>
              <w:bottom w:val="single" w:color="auto" w:sz="4" w:space="0"/>
            </w:tcBorders>
            <w:vAlign w:val="center"/>
          </w:tcPr>
          <w:p w14:paraId="01F72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286" w:type="dxa"/>
            <w:tcBorders>
              <w:top w:val="single" w:color="auto" w:sz="4" w:space="0"/>
            </w:tcBorders>
            <w:vAlign w:val="center"/>
          </w:tcPr>
          <w:p w14:paraId="7E14E490">
            <w:pPr>
              <w:adjustRightInd w:val="0"/>
              <w:snapToGrid w:val="0"/>
              <w:jc w:val="center"/>
              <w:rPr>
                <w:rFonts w:ascii="Times New Roman"/>
                <w:snapToGrid w:val="0"/>
                <w:color w:val="auto"/>
                <w:kern w:val="21"/>
                <w:sz w:val="21"/>
                <w:szCs w:val="21"/>
              </w:rPr>
            </w:pPr>
            <w:r>
              <w:rPr>
                <w:rFonts w:hint="eastAsia" w:ascii="Times New Roman" w:hAnsi="Times New Roman" w:cs="Times New Roman"/>
                <w:bCs/>
                <w:color w:val="auto"/>
                <w:kern w:val="21"/>
                <w:sz w:val="21"/>
                <w:szCs w:val="21"/>
                <w:lang w:val="en-US" w:eastAsia="zh-CN"/>
              </w:rPr>
              <w:t>+1.0</w:t>
            </w:r>
          </w:p>
        </w:tc>
      </w:tr>
      <w:tr w14:paraId="3CD90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162" w:type="dxa"/>
            <w:vMerge w:val="continue"/>
            <w:vAlign w:val="center"/>
          </w:tcPr>
          <w:p w14:paraId="393DC929">
            <w:pPr>
              <w:pStyle w:val="50"/>
              <w:spacing w:beforeLines="0" w:afterLines="0" w:line="300" w:lineRule="exact"/>
              <w:rPr>
                <w:rFonts w:ascii="Times New Roman"/>
                <w:snapToGrid w:val="0"/>
                <w:color w:val="auto"/>
                <w:kern w:val="21"/>
                <w:sz w:val="21"/>
                <w:szCs w:val="21"/>
              </w:rPr>
            </w:pPr>
          </w:p>
        </w:tc>
        <w:tc>
          <w:tcPr>
            <w:tcW w:w="2089" w:type="dxa"/>
            <w:tcBorders>
              <w:top w:val="single" w:color="auto" w:sz="4" w:space="0"/>
            </w:tcBorders>
            <w:vAlign w:val="center"/>
          </w:tcPr>
          <w:p w14:paraId="64BE0E14">
            <w:pPr>
              <w:wordWrap w:val="0"/>
              <w:ind w:left="-105" w:leftChars="-50" w:right="-105" w:rightChars="-50"/>
              <w:jc w:val="center"/>
              <w:rPr>
                <w:rFonts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rPr>
              <w:t>废边角料</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tcBorders>
              <w:top w:val="single" w:color="auto" w:sz="4" w:space="0"/>
            </w:tcBorders>
            <w:vAlign w:val="center"/>
          </w:tcPr>
          <w:p w14:paraId="5D1D3C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2.0</w:t>
            </w:r>
          </w:p>
        </w:tc>
        <w:tc>
          <w:tcPr>
            <w:tcW w:w="1276" w:type="dxa"/>
            <w:vAlign w:val="center"/>
          </w:tcPr>
          <w:p w14:paraId="042B4C85">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5891BE14">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559" w:type="dxa"/>
            <w:tcBorders>
              <w:top w:val="single" w:color="auto" w:sz="4" w:space="0"/>
            </w:tcBorders>
            <w:vAlign w:val="center"/>
          </w:tcPr>
          <w:p w14:paraId="0F7933BE">
            <w:pPr>
              <w:adjustRightInd w:val="0"/>
              <w:snapToGrid w:val="0"/>
              <w:jc w:val="center"/>
              <w:rPr>
                <w:rFonts w:hint="default" w:ascii="Times New Roman" w:eastAsia="宋体"/>
                <w:color w:val="auto"/>
                <w:sz w:val="21"/>
                <w:szCs w:val="21"/>
                <w:lang w:val="en-US" w:eastAsia="zh-CN"/>
              </w:rPr>
            </w:pPr>
            <w:r>
              <w:rPr>
                <w:rFonts w:hint="eastAsia" w:ascii="Times New Roman" w:hAnsi="Times New Roman" w:cs="Times New Roman"/>
                <w:bCs/>
                <w:color w:val="auto"/>
                <w:kern w:val="21"/>
                <w:sz w:val="21"/>
                <w:szCs w:val="21"/>
                <w:lang w:val="en-US" w:eastAsia="zh-CN"/>
              </w:rPr>
              <w:t>1.0</w:t>
            </w:r>
          </w:p>
        </w:tc>
        <w:tc>
          <w:tcPr>
            <w:tcW w:w="1761" w:type="dxa"/>
            <w:tcBorders>
              <w:top w:val="single" w:color="auto" w:sz="4" w:space="0"/>
            </w:tcBorders>
            <w:vAlign w:val="center"/>
          </w:tcPr>
          <w:p w14:paraId="5D2A0A85">
            <w:pPr>
              <w:spacing w:before="24" w:after="24" w:line="300" w:lineRule="exact"/>
              <w:jc w:val="center"/>
              <w:rPr>
                <w:rFonts w:ascii="Times New Roman"/>
                <w:color w:val="auto"/>
                <w:sz w:val="21"/>
                <w:szCs w:val="21"/>
              </w:rPr>
            </w:pPr>
            <w:r>
              <w:rPr>
                <w:rFonts w:ascii="Times New Roman"/>
                <w:snapToGrid w:val="0"/>
                <w:color w:val="auto"/>
                <w:kern w:val="21"/>
                <w:sz w:val="21"/>
                <w:szCs w:val="21"/>
              </w:rPr>
              <w:t>/</w:t>
            </w:r>
          </w:p>
        </w:tc>
        <w:tc>
          <w:tcPr>
            <w:tcW w:w="1499" w:type="dxa"/>
            <w:tcBorders>
              <w:top w:val="single" w:color="auto" w:sz="4" w:space="0"/>
            </w:tcBorders>
            <w:vAlign w:val="center"/>
          </w:tcPr>
          <w:p w14:paraId="1AF88B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1286" w:type="dxa"/>
            <w:tcBorders>
              <w:top w:val="single" w:color="auto" w:sz="4" w:space="0"/>
            </w:tcBorders>
            <w:vAlign w:val="center"/>
          </w:tcPr>
          <w:p w14:paraId="34D4026B">
            <w:pPr>
              <w:adjustRightInd w:val="0"/>
              <w:snapToGrid w:val="0"/>
              <w:jc w:val="center"/>
              <w:rPr>
                <w:rFonts w:ascii="Times New Roman"/>
                <w:snapToGrid w:val="0"/>
                <w:color w:val="auto"/>
                <w:kern w:val="21"/>
                <w:sz w:val="21"/>
                <w:szCs w:val="21"/>
              </w:rPr>
            </w:pPr>
            <w:r>
              <w:rPr>
                <w:rFonts w:hint="eastAsia" w:ascii="Times New Roman" w:hAnsi="Times New Roman" w:cs="Times New Roman"/>
                <w:bCs/>
                <w:color w:val="auto"/>
                <w:kern w:val="21"/>
                <w:sz w:val="21"/>
                <w:szCs w:val="21"/>
                <w:lang w:val="en-US" w:eastAsia="zh-CN"/>
              </w:rPr>
              <w:t>+1.0</w:t>
            </w:r>
          </w:p>
        </w:tc>
      </w:tr>
      <w:tr w14:paraId="1DABCF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162" w:type="dxa"/>
            <w:vMerge w:val="continue"/>
            <w:vAlign w:val="center"/>
          </w:tcPr>
          <w:p w14:paraId="4986B30A">
            <w:pPr>
              <w:pStyle w:val="50"/>
              <w:spacing w:beforeLines="0" w:afterLines="0" w:line="300" w:lineRule="exact"/>
              <w:rPr>
                <w:rFonts w:ascii="Times New Roman"/>
                <w:snapToGrid w:val="0"/>
                <w:color w:val="auto"/>
                <w:kern w:val="21"/>
                <w:sz w:val="21"/>
                <w:szCs w:val="21"/>
              </w:rPr>
            </w:pPr>
          </w:p>
        </w:tc>
        <w:tc>
          <w:tcPr>
            <w:tcW w:w="2089" w:type="dxa"/>
            <w:tcBorders>
              <w:top w:val="single" w:color="auto" w:sz="4" w:space="0"/>
            </w:tcBorders>
            <w:vAlign w:val="center"/>
          </w:tcPr>
          <w:p w14:paraId="3109A397">
            <w:pPr>
              <w:wordWrap w:val="0"/>
              <w:ind w:left="-105" w:leftChars="-50" w:right="-105" w:rightChars="-50"/>
              <w:jc w:val="center"/>
              <w:rPr>
                <w:rFonts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rPr>
              <w:t>残次品</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vAlign w:val="center"/>
          </w:tcPr>
          <w:p w14:paraId="1A2C0C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5.0</w:t>
            </w:r>
          </w:p>
        </w:tc>
        <w:tc>
          <w:tcPr>
            <w:tcW w:w="1276" w:type="dxa"/>
            <w:vAlign w:val="center"/>
          </w:tcPr>
          <w:p w14:paraId="17FA4D8E">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7A5746D7">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559" w:type="dxa"/>
            <w:tcBorders>
              <w:top w:val="single" w:color="auto" w:sz="4" w:space="0"/>
            </w:tcBorders>
            <w:vAlign w:val="center"/>
          </w:tcPr>
          <w:p w14:paraId="46C116FC">
            <w:pPr>
              <w:adjustRightInd w:val="0"/>
              <w:snapToGrid w:val="0"/>
              <w:jc w:val="center"/>
              <w:rPr>
                <w:rFonts w:hint="default" w:ascii="Times New Roman"/>
                <w:color w:val="auto"/>
                <w:sz w:val="21"/>
                <w:szCs w:val="21"/>
                <w:lang w:val="en-US"/>
              </w:rPr>
            </w:pPr>
            <w:r>
              <w:rPr>
                <w:rFonts w:hint="eastAsia" w:ascii="Times New Roman" w:hAnsi="Times New Roman" w:cs="Times New Roman"/>
                <w:bCs/>
                <w:color w:val="auto"/>
                <w:kern w:val="21"/>
                <w:sz w:val="21"/>
                <w:szCs w:val="21"/>
                <w:lang w:val="en-US" w:eastAsia="zh-CN"/>
              </w:rPr>
              <w:t>1.0</w:t>
            </w:r>
          </w:p>
        </w:tc>
        <w:tc>
          <w:tcPr>
            <w:tcW w:w="1761" w:type="dxa"/>
            <w:vAlign w:val="center"/>
          </w:tcPr>
          <w:p w14:paraId="4FF3509A">
            <w:pPr>
              <w:spacing w:before="24" w:after="24"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499" w:type="dxa"/>
            <w:vAlign w:val="center"/>
          </w:tcPr>
          <w:p w14:paraId="27C893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1286" w:type="dxa"/>
            <w:vAlign w:val="center"/>
          </w:tcPr>
          <w:p w14:paraId="329400A3">
            <w:pPr>
              <w:adjustRightInd w:val="0"/>
              <w:snapToGrid w:val="0"/>
              <w:jc w:val="center"/>
              <w:rPr>
                <w:rFonts w:ascii="Times New Roman"/>
                <w:color w:val="auto"/>
                <w:sz w:val="21"/>
                <w:szCs w:val="21"/>
              </w:rPr>
            </w:pPr>
            <w:r>
              <w:rPr>
                <w:rFonts w:hint="eastAsia" w:ascii="Times New Roman" w:hAnsi="Times New Roman" w:cs="Times New Roman"/>
                <w:bCs/>
                <w:color w:val="auto"/>
                <w:kern w:val="21"/>
                <w:sz w:val="21"/>
                <w:szCs w:val="21"/>
                <w:lang w:val="en-US" w:eastAsia="zh-CN"/>
              </w:rPr>
              <w:t>+1.0</w:t>
            </w:r>
          </w:p>
        </w:tc>
      </w:tr>
      <w:tr w14:paraId="074AE6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162" w:type="dxa"/>
            <w:vMerge w:val="continue"/>
            <w:vAlign w:val="center"/>
          </w:tcPr>
          <w:p w14:paraId="69157BD5">
            <w:pPr>
              <w:pStyle w:val="50"/>
              <w:spacing w:beforeLines="0" w:afterLines="0" w:line="300" w:lineRule="exact"/>
              <w:rPr>
                <w:rFonts w:ascii="Times New Roman"/>
                <w:snapToGrid w:val="0"/>
                <w:color w:val="auto"/>
                <w:kern w:val="21"/>
                <w:sz w:val="21"/>
                <w:szCs w:val="21"/>
              </w:rPr>
            </w:pPr>
          </w:p>
        </w:tc>
        <w:tc>
          <w:tcPr>
            <w:tcW w:w="2089" w:type="dxa"/>
            <w:tcBorders>
              <w:top w:val="single" w:color="auto" w:sz="4" w:space="0"/>
            </w:tcBorders>
            <w:vAlign w:val="center"/>
          </w:tcPr>
          <w:p w14:paraId="2829923F">
            <w:pPr>
              <w:wordWrap w:val="0"/>
              <w:ind w:left="-105" w:leftChars="-50" w:right="-105" w:rightChars="-50"/>
              <w:jc w:val="center"/>
              <w:rPr>
                <w:rFonts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rPr>
              <w:t>废包装材料</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vAlign w:val="center"/>
          </w:tcPr>
          <w:p w14:paraId="2AADCE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1.0</w:t>
            </w:r>
          </w:p>
        </w:tc>
        <w:tc>
          <w:tcPr>
            <w:tcW w:w="1276" w:type="dxa"/>
            <w:vAlign w:val="center"/>
          </w:tcPr>
          <w:p w14:paraId="79D52044">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6DCDFBDA">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559" w:type="dxa"/>
            <w:tcBorders>
              <w:top w:val="single" w:color="auto" w:sz="4" w:space="0"/>
            </w:tcBorders>
            <w:vAlign w:val="center"/>
          </w:tcPr>
          <w:p w14:paraId="7EC4F13B">
            <w:pPr>
              <w:adjustRightInd w:val="0"/>
              <w:snapToGrid w:val="0"/>
              <w:jc w:val="center"/>
              <w:rPr>
                <w:rFonts w:hint="default" w:ascii="Times New Roman" w:eastAsia="宋体"/>
                <w:color w:val="auto"/>
                <w:sz w:val="21"/>
                <w:szCs w:val="21"/>
                <w:lang w:val="en-US" w:eastAsia="zh-CN"/>
              </w:rPr>
            </w:pPr>
            <w:r>
              <w:rPr>
                <w:rFonts w:hint="eastAsia" w:ascii="Times New Roman" w:hAnsi="Times New Roman" w:cs="Times New Roman"/>
                <w:bCs/>
                <w:color w:val="auto"/>
                <w:kern w:val="21"/>
                <w:sz w:val="21"/>
                <w:szCs w:val="21"/>
                <w:lang w:val="en-US" w:eastAsia="zh-CN"/>
              </w:rPr>
              <w:t>1.0</w:t>
            </w:r>
          </w:p>
        </w:tc>
        <w:tc>
          <w:tcPr>
            <w:tcW w:w="1761" w:type="dxa"/>
            <w:vAlign w:val="center"/>
          </w:tcPr>
          <w:p w14:paraId="4A0F9340">
            <w:pPr>
              <w:spacing w:before="24" w:after="24"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499" w:type="dxa"/>
            <w:vAlign w:val="center"/>
          </w:tcPr>
          <w:p w14:paraId="7CB74A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286" w:type="dxa"/>
            <w:vAlign w:val="center"/>
          </w:tcPr>
          <w:p w14:paraId="48163D47">
            <w:pPr>
              <w:adjustRightInd w:val="0"/>
              <w:snapToGrid w:val="0"/>
              <w:jc w:val="center"/>
              <w:rPr>
                <w:rFonts w:ascii="Times New Roman"/>
                <w:color w:val="auto"/>
                <w:sz w:val="21"/>
                <w:szCs w:val="21"/>
              </w:rPr>
            </w:pPr>
            <w:r>
              <w:rPr>
                <w:rFonts w:hint="eastAsia" w:ascii="Times New Roman" w:hAnsi="Times New Roman" w:cs="Times New Roman"/>
                <w:bCs/>
                <w:color w:val="auto"/>
                <w:kern w:val="21"/>
                <w:sz w:val="21"/>
                <w:szCs w:val="21"/>
                <w:lang w:val="en-US" w:eastAsia="zh-CN"/>
              </w:rPr>
              <w:t>+1.0</w:t>
            </w:r>
          </w:p>
        </w:tc>
      </w:tr>
      <w:tr w14:paraId="211074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162" w:type="dxa"/>
            <w:vMerge w:val="continue"/>
            <w:vAlign w:val="center"/>
          </w:tcPr>
          <w:p w14:paraId="56FC821E">
            <w:pPr>
              <w:pStyle w:val="50"/>
              <w:spacing w:beforeLines="0" w:afterLines="0" w:line="300" w:lineRule="exact"/>
              <w:rPr>
                <w:rFonts w:ascii="Times New Roman"/>
                <w:snapToGrid w:val="0"/>
                <w:color w:val="auto"/>
                <w:kern w:val="21"/>
                <w:sz w:val="21"/>
                <w:szCs w:val="21"/>
              </w:rPr>
            </w:pPr>
          </w:p>
        </w:tc>
        <w:tc>
          <w:tcPr>
            <w:tcW w:w="2089" w:type="dxa"/>
            <w:tcBorders>
              <w:top w:val="single" w:color="auto" w:sz="4" w:space="0"/>
            </w:tcBorders>
            <w:vAlign w:val="center"/>
          </w:tcPr>
          <w:p w14:paraId="66D97F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color w:val="auto"/>
                <w:sz w:val="21"/>
                <w:szCs w:val="21"/>
                <w:lang w:val="en-US" w:eastAsia="zh-CN"/>
              </w:rPr>
              <w:t>生活垃圾</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vAlign w:val="center"/>
          </w:tcPr>
          <w:p w14:paraId="5BC15F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5.25</w:t>
            </w:r>
          </w:p>
        </w:tc>
        <w:tc>
          <w:tcPr>
            <w:tcW w:w="1276" w:type="dxa"/>
            <w:vAlign w:val="center"/>
          </w:tcPr>
          <w:p w14:paraId="6A40D076">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1CEC577A">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559" w:type="dxa"/>
            <w:tcBorders>
              <w:top w:val="single" w:color="auto" w:sz="4" w:space="0"/>
            </w:tcBorders>
            <w:vAlign w:val="center"/>
          </w:tcPr>
          <w:p w14:paraId="295D9CFE">
            <w:pPr>
              <w:adjustRightInd w:val="0"/>
              <w:snapToGrid w:val="0"/>
              <w:jc w:val="center"/>
              <w:rPr>
                <w:rFonts w:hint="eastAsia" w:ascii="Times New Roman"/>
                <w:color w:val="auto"/>
                <w:sz w:val="21"/>
                <w:szCs w:val="21"/>
                <w:lang w:val="en-US" w:eastAsia="zh-CN"/>
              </w:rPr>
            </w:pPr>
            <w:r>
              <w:rPr>
                <w:rFonts w:hint="eastAsia" w:ascii="Times New Roman" w:hAnsi="Times New Roman" w:cs="Times New Roman"/>
                <w:bCs/>
                <w:color w:val="auto"/>
                <w:kern w:val="21"/>
                <w:sz w:val="21"/>
                <w:szCs w:val="21"/>
                <w:lang w:val="en-US" w:eastAsia="zh-CN"/>
              </w:rPr>
              <w:t>18.75</w:t>
            </w:r>
          </w:p>
        </w:tc>
        <w:tc>
          <w:tcPr>
            <w:tcW w:w="1761" w:type="dxa"/>
            <w:vAlign w:val="center"/>
          </w:tcPr>
          <w:p w14:paraId="1D72B281">
            <w:pPr>
              <w:spacing w:before="24" w:after="24"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499" w:type="dxa"/>
            <w:vAlign w:val="center"/>
          </w:tcPr>
          <w:p w14:paraId="5C4E75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24.0</w:t>
            </w:r>
          </w:p>
        </w:tc>
        <w:tc>
          <w:tcPr>
            <w:tcW w:w="1286" w:type="dxa"/>
            <w:vAlign w:val="center"/>
          </w:tcPr>
          <w:p w14:paraId="5ACD2373">
            <w:pPr>
              <w:adjustRightInd w:val="0"/>
              <w:snapToGrid w:val="0"/>
              <w:jc w:val="center"/>
              <w:rPr>
                <w:rFonts w:hint="eastAsia" w:ascii="Times New Roman"/>
                <w:color w:val="auto"/>
                <w:sz w:val="21"/>
                <w:szCs w:val="21"/>
              </w:rPr>
            </w:pPr>
            <w:r>
              <w:rPr>
                <w:rFonts w:hint="eastAsia" w:ascii="Times New Roman" w:hAnsi="Times New Roman" w:cs="Times New Roman"/>
                <w:bCs/>
                <w:color w:val="auto"/>
                <w:kern w:val="21"/>
                <w:sz w:val="21"/>
                <w:szCs w:val="21"/>
                <w:lang w:val="en-US" w:eastAsia="zh-CN"/>
              </w:rPr>
              <w:t>+18.75</w:t>
            </w:r>
          </w:p>
        </w:tc>
      </w:tr>
      <w:tr w14:paraId="5DA99B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162" w:type="dxa"/>
            <w:vMerge w:val="continue"/>
            <w:vAlign w:val="center"/>
          </w:tcPr>
          <w:p w14:paraId="0A601584">
            <w:pPr>
              <w:pStyle w:val="50"/>
              <w:spacing w:beforeLines="0" w:afterLines="0" w:line="300" w:lineRule="exact"/>
              <w:rPr>
                <w:rFonts w:ascii="Times New Roman"/>
                <w:snapToGrid w:val="0"/>
                <w:color w:val="auto"/>
                <w:kern w:val="21"/>
                <w:sz w:val="21"/>
                <w:szCs w:val="21"/>
              </w:rPr>
            </w:pPr>
          </w:p>
        </w:tc>
        <w:tc>
          <w:tcPr>
            <w:tcW w:w="2089" w:type="dxa"/>
            <w:tcBorders>
              <w:top w:val="single" w:color="auto" w:sz="4" w:space="0"/>
            </w:tcBorders>
            <w:vAlign w:val="center"/>
          </w:tcPr>
          <w:p w14:paraId="528521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bCs/>
                <w:color w:val="auto"/>
                <w:sz w:val="21"/>
                <w:szCs w:val="21"/>
              </w:rPr>
              <w:t>餐厨垃圾</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vAlign w:val="center"/>
          </w:tcPr>
          <w:p w14:paraId="0A1DCE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0</w:t>
            </w:r>
          </w:p>
        </w:tc>
        <w:tc>
          <w:tcPr>
            <w:tcW w:w="1276" w:type="dxa"/>
            <w:vAlign w:val="center"/>
          </w:tcPr>
          <w:p w14:paraId="704ABEDD">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5F8C51F6">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559" w:type="dxa"/>
            <w:tcBorders>
              <w:top w:val="single" w:color="auto" w:sz="4" w:space="0"/>
            </w:tcBorders>
            <w:vAlign w:val="center"/>
          </w:tcPr>
          <w:p w14:paraId="6490CB55">
            <w:pPr>
              <w:adjustRightInd w:val="0"/>
              <w:snapToGrid w:val="0"/>
              <w:jc w:val="center"/>
              <w:rPr>
                <w:rFonts w:hint="eastAsia" w:ascii="Times New Roman"/>
                <w:color w:val="auto"/>
                <w:sz w:val="21"/>
                <w:szCs w:val="21"/>
                <w:lang w:val="en-US" w:eastAsia="zh-CN"/>
              </w:rPr>
            </w:pPr>
            <w:r>
              <w:rPr>
                <w:rFonts w:hint="eastAsia" w:ascii="Times New Roman" w:hAnsi="Times New Roman" w:cs="Times New Roman"/>
                <w:bCs/>
                <w:color w:val="auto"/>
                <w:kern w:val="21"/>
                <w:sz w:val="21"/>
                <w:szCs w:val="21"/>
                <w:lang w:val="en-US" w:eastAsia="zh-CN"/>
              </w:rPr>
              <w:t>7.2</w:t>
            </w:r>
          </w:p>
        </w:tc>
        <w:tc>
          <w:tcPr>
            <w:tcW w:w="1761" w:type="dxa"/>
            <w:vAlign w:val="center"/>
          </w:tcPr>
          <w:p w14:paraId="12D19FA0">
            <w:pPr>
              <w:spacing w:before="24" w:after="24"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499" w:type="dxa"/>
            <w:vAlign w:val="center"/>
          </w:tcPr>
          <w:p w14:paraId="465184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w:t>
            </w:r>
          </w:p>
        </w:tc>
        <w:tc>
          <w:tcPr>
            <w:tcW w:w="1286" w:type="dxa"/>
            <w:vAlign w:val="center"/>
          </w:tcPr>
          <w:p w14:paraId="151B5B2F">
            <w:pPr>
              <w:adjustRightInd w:val="0"/>
              <w:snapToGrid w:val="0"/>
              <w:jc w:val="center"/>
              <w:rPr>
                <w:rFonts w:hint="eastAsia" w:ascii="Times New Roman"/>
                <w:color w:val="auto"/>
                <w:sz w:val="21"/>
                <w:szCs w:val="21"/>
              </w:rPr>
            </w:pPr>
            <w:r>
              <w:rPr>
                <w:rFonts w:hint="eastAsia" w:ascii="Times New Roman" w:hAnsi="Times New Roman" w:cs="Times New Roman"/>
                <w:bCs/>
                <w:color w:val="auto"/>
                <w:kern w:val="21"/>
                <w:sz w:val="21"/>
                <w:szCs w:val="21"/>
                <w:lang w:val="en-US" w:eastAsia="zh-CN"/>
              </w:rPr>
              <w:t>+7.2</w:t>
            </w:r>
          </w:p>
        </w:tc>
      </w:tr>
      <w:tr w14:paraId="792922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1162" w:type="dxa"/>
            <w:vMerge w:val="continue"/>
            <w:vAlign w:val="center"/>
          </w:tcPr>
          <w:p w14:paraId="5ED1DE98">
            <w:pPr>
              <w:pStyle w:val="50"/>
              <w:spacing w:beforeLines="0" w:afterLines="0" w:line="300" w:lineRule="exact"/>
              <w:rPr>
                <w:rFonts w:ascii="Times New Roman"/>
                <w:snapToGrid w:val="0"/>
                <w:color w:val="auto"/>
                <w:kern w:val="21"/>
                <w:sz w:val="21"/>
                <w:szCs w:val="21"/>
              </w:rPr>
            </w:pPr>
          </w:p>
        </w:tc>
        <w:tc>
          <w:tcPr>
            <w:tcW w:w="2089" w:type="dxa"/>
            <w:tcBorders>
              <w:top w:val="single" w:color="auto" w:sz="4" w:space="0"/>
            </w:tcBorders>
            <w:vAlign w:val="center"/>
          </w:tcPr>
          <w:p w14:paraId="604229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color w:val="auto"/>
                <w:sz w:val="21"/>
                <w:szCs w:val="21"/>
                <w:lang w:val="en-US" w:eastAsia="zh-CN"/>
              </w:rPr>
              <w:t>油水分离器废油脂</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vAlign w:val="center"/>
          </w:tcPr>
          <w:p w14:paraId="19063B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0</w:t>
            </w:r>
          </w:p>
        </w:tc>
        <w:tc>
          <w:tcPr>
            <w:tcW w:w="1276" w:type="dxa"/>
            <w:vAlign w:val="center"/>
          </w:tcPr>
          <w:p w14:paraId="4099B0A0">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526617BE">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559" w:type="dxa"/>
            <w:tcBorders>
              <w:top w:val="single" w:color="auto" w:sz="4" w:space="0"/>
            </w:tcBorders>
            <w:vAlign w:val="center"/>
          </w:tcPr>
          <w:p w14:paraId="3A3B3703">
            <w:pPr>
              <w:adjustRightInd w:val="0"/>
              <w:snapToGrid w:val="0"/>
              <w:jc w:val="center"/>
              <w:rPr>
                <w:rFonts w:hint="eastAsia" w:ascii="Times New Roman"/>
                <w:color w:val="auto"/>
                <w:sz w:val="21"/>
                <w:szCs w:val="21"/>
                <w:lang w:val="en-US" w:eastAsia="zh-CN"/>
              </w:rPr>
            </w:pPr>
            <w:r>
              <w:rPr>
                <w:rFonts w:hint="eastAsia" w:ascii="Times New Roman" w:hAnsi="Times New Roman" w:cs="Times New Roman"/>
                <w:bCs/>
                <w:color w:val="auto"/>
                <w:kern w:val="21"/>
                <w:sz w:val="21"/>
                <w:szCs w:val="21"/>
                <w:lang w:val="en-US" w:eastAsia="zh-CN"/>
              </w:rPr>
              <w:t>0.1</w:t>
            </w:r>
          </w:p>
        </w:tc>
        <w:tc>
          <w:tcPr>
            <w:tcW w:w="1761" w:type="dxa"/>
            <w:vAlign w:val="center"/>
          </w:tcPr>
          <w:p w14:paraId="3B922E7A">
            <w:pPr>
              <w:spacing w:before="24" w:after="24"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499" w:type="dxa"/>
            <w:vAlign w:val="center"/>
          </w:tcPr>
          <w:p w14:paraId="159D4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1286" w:type="dxa"/>
            <w:vAlign w:val="center"/>
          </w:tcPr>
          <w:p w14:paraId="2F72876F">
            <w:pPr>
              <w:adjustRightInd w:val="0"/>
              <w:snapToGrid w:val="0"/>
              <w:jc w:val="center"/>
              <w:rPr>
                <w:rFonts w:hint="eastAsia" w:ascii="Times New Roman"/>
                <w:color w:val="auto"/>
                <w:sz w:val="21"/>
                <w:szCs w:val="21"/>
              </w:rPr>
            </w:pPr>
            <w:r>
              <w:rPr>
                <w:rFonts w:hint="eastAsia" w:ascii="Times New Roman" w:hAnsi="Times New Roman" w:cs="Times New Roman"/>
                <w:bCs/>
                <w:color w:val="auto"/>
                <w:kern w:val="21"/>
                <w:sz w:val="21"/>
                <w:szCs w:val="21"/>
                <w:lang w:val="en-US" w:eastAsia="zh-CN"/>
              </w:rPr>
              <w:t>+0.1</w:t>
            </w:r>
          </w:p>
        </w:tc>
      </w:tr>
      <w:tr w14:paraId="77F0C0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162" w:type="dxa"/>
            <w:vMerge w:val="restart"/>
            <w:vAlign w:val="center"/>
          </w:tcPr>
          <w:p w14:paraId="7990F338">
            <w:pPr>
              <w:pStyle w:val="50"/>
              <w:spacing w:beforeLines="0" w:afterLines="0" w:line="300" w:lineRule="exact"/>
              <w:rPr>
                <w:rFonts w:ascii="Times New Roman"/>
                <w:snapToGrid w:val="0"/>
                <w:color w:val="auto"/>
                <w:kern w:val="21"/>
                <w:sz w:val="21"/>
                <w:szCs w:val="21"/>
              </w:rPr>
            </w:pPr>
            <w:r>
              <w:rPr>
                <w:rFonts w:ascii="Times New Roman"/>
                <w:snapToGrid w:val="0"/>
                <w:color w:val="auto"/>
                <w:kern w:val="21"/>
                <w:sz w:val="21"/>
                <w:szCs w:val="21"/>
              </w:rPr>
              <w:t>危险废物</w:t>
            </w:r>
          </w:p>
        </w:tc>
        <w:tc>
          <w:tcPr>
            <w:tcW w:w="2089" w:type="dxa"/>
            <w:vAlign w:val="center"/>
          </w:tcPr>
          <w:p w14:paraId="030F1BDA">
            <w:pPr>
              <w:ind w:left="-105" w:leftChars="-50" w:right="-105" w:rightChars="-50"/>
              <w:jc w:val="center"/>
              <w:rPr>
                <w:rFonts w:ascii="Times New Roman" w:hAnsi="Times New Roman" w:eastAsia="宋体" w:cs="Times New Roman"/>
                <w:snapToGrid w:val="0"/>
                <w:color w:val="auto"/>
                <w:kern w:val="21"/>
                <w:sz w:val="21"/>
                <w:szCs w:val="21"/>
              </w:rPr>
            </w:pPr>
            <w:r>
              <w:rPr>
                <w:rFonts w:hint="eastAsia"/>
                <w:color w:val="auto"/>
                <w:sz w:val="21"/>
                <w:szCs w:val="21"/>
                <w:lang w:val="en-US" w:eastAsia="zh-CN"/>
              </w:rPr>
              <w:t>废包装桶</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vAlign w:val="center"/>
          </w:tcPr>
          <w:p w14:paraId="4E42C0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0.3</w:t>
            </w:r>
          </w:p>
        </w:tc>
        <w:tc>
          <w:tcPr>
            <w:tcW w:w="1276" w:type="dxa"/>
            <w:vAlign w:val="center"/>
          </w:tcPr>
          <w:p w14:paraId="3D8DADB2">
            <w:pPr>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1A29F311">
            <w:pPr>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w:t>
            </w:r>
          </w:p>
        </w:tc>
        <w:tc>
          <w:tcPr>
            <w:tcW w:w="1559" w:type="dxa"/>
            <w:vAlign w:val="center"/>
          </w:tcPr>
          <w:p w14:paraId="1BE047F8">
            <w:pPr>
              <w:ind w:left="-105" w:leftChars="-50" w:right="-105" w:rightChars="-50"/>
              <w:jc w:val="center"/>
              <w:rPr>
                <w:rFonts w:hint="default" w:ascii="Times New Roman" w:eastAsia="宋体"/>
                <w:color w:val="auto"/>
                <w:sz w:val="21"/>
                <w:szCs w:val="21"/>
                <w:lang w:val="en-US" w:eastAsia="zh-CN"/>
              </w:rPr>
            </w:pPr>
            <w:r>
              <w:rPr>
                <w:rFonts w:hint="eastAsia"/>
                <w:color w:val="auto"/>
                <w:sz w:val="21"/>
                <w:szCs w:val="21"/>
                <w:lang w:val="en-US" w:eastAsia="zh-CN"/>
              </w:rPr>
              <w:t>0.5</w:t>
            </w:r>
          </w:p>
        </w:tc>
        <w:tc>
          <w:tcPr>
            <w:tcW w:w="1761" w:type="dxa"/>
            <w:vAlign w:val="center"/>
          </w:tcPr>
          <w:p w14:paraId="60FD7CDF">
            <w:pPr>
              <w:spacing w:beforeLines="0" w:afterLines="0" w:line="300" w:lineRule="exact"/>
              <w:jc w:val="center"/>
              <w:rPr>
                <w:rFonts w:ascii="Times New Roman"/>
                <w:color w:val="auto"/>
                <w:sz w:val="21"/>
                <w:szCs w:val="21"/>
              </w:rPr>
            </w:pPr>
            <w:r>
              <w:rPr>
                <w:rFonts w:ascii="Times New Roman"/>
                <w:snapToGrid w:val="0"/>
                <w:color w:val="auto"/>
                <w:kern w:val="21"/>
                <w:sz w:val="21"/>
                <w:szCs w:val="21"/>
              </w:rPr>
              <w:t>/</w:t>
            </w:r>
          </w:p>
        </w:tc>
        <w:tc>
          <w:tcPr>
            <w:tcW w:w="1499" w:type="dxa"/>
            <w:vAlign w:val="center"/>
          </w:tcPr>
          <w:p w14:paraId="5C1E78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w:t>
            </w:r>
          </w:p>
        </w:tc>
        <w:tc>
          <w:tcPr>
            <w:tcW w:w="1286" w:type="dxa"/>
            <w:vAlign w:val="center"/>
          </w:tcPr>
          <w:p w14:paraId="4583D26E">
            <w:pPr>
              <w:ind w:left="-105" w:leftChars="-50" w:right="-105" w:rightChars="-50"/>
              <w:jc w:val="center"/>
              <w:rPr>
                <w:rFonts w:ascii="Times New Roman"/>
                <w:snapToGrid w:val="0"/>
                <w:color w:val="auto"/>
                <w:kern w:val="21"/>
                <w:sz w:val="21"/>
                <w:szCs w:val="21"/>
              </w:rPr>
            </w:pPr>
            <w:r>
              <w:rPr>
                <w:rFonts w:hint="eastAsia" w:ascii="Times New Roman" w:hAnsi="Times New Roman" w:cs="Times New Roman"/>
                <w:bCs/>
                <w:color w:val="auto"/>
                <w:kern w:val="21"/>
                <w:sz w:val="21"/>
                <w:szCs w:val="21"/>
                <w:lang w:val="en-US" w:eastAsia="zh-CN"/>
              </w:rPr>
              <w:t>+</w:t>
            </w:r>
            <w:r>
              <w:rPr>
                <w:rFonts w:hint="eastAsia"/>
                <w:color w:val="auto"/>
                <w:sz w:val="21"/>
                <w:szCs w:val="21"/>
                <w:lang w:val="en-US" w:eastAsia="zh-CN"/>
              </w:rPr>
              <w:t>0.5</w:t>
            </w:r>
          </w:p>
        </w:tc>
      </w:tr>
      <w:tr w14:paraId="75096E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162" w:type="dxa"/>
            <w:vMerge w:val="continue"/>
            <w:vAlign w:val="center"/>
          </w:tcPr>
          <w:p w14:paraId="09D13E8A">
            <w:pPr>
              <w:pStyle w:val="50"/>
              <w:spacing w:beforeLines="0" w:afterLines="0" w:line="300" w:lineRule="exact"/>
              <w:rPr>
                <w:rFonts w:ascii="Times New Roman"/>
                <w:snapToGrid w:val="0"/>
                <w:color w:val="auto"/>
                <w:kern w:val="21"/>
                <w:sz w:val="21"/>
                <w:szCs w:val="21"/>
              </w:rPr>
            </w:pPr>
          </w:p>
        </w:tc>
        <w:tc>
          <w:tcPr>
            <w:tcW w:w="2089" w:type="dxa"/>
            <w:vAlign w:val="center"/>
          </w:tcPr>
          <w:p w14:paraId="59EC95EB">
            <w:pPr>
              <w:ind w:left="-105" w:leftChars="-50" w:right="-105" w:rightChars="-50"/>
              <w:jc w:val="center"/>
              <w:rPr>
                <w:rFonts w:hint="eastAsia" w:ascii="Times New Roman" w:hAnsi="Times New Roman" w:eastAsia="宋体" w:cs="Times New Roman"/>
                <w:snapToGrid w:val="0"/>
                <w:color w:val="auto"/>
                <w:kern w:val="21"/>
                <w:sz w:val="21"/>
                <w:szCs w:val="21"/>
                <w:lang w:val="en-US" w:eastAsia="zh-CN"/>
              </w:rPr>
            </w:pPr>
            <w:r>
              <w:rPr>
                <w:rFonts w:hint="eastAsia"/>
                <w:color w:val="auto"/>
                <w:sz w:val="21"/>
                <w:szCs w:val="21"/>
              </w:rPr>
              <w:t>废显影液</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vAlign w:val="center"/>
          </w:tcPr>
          <w:p w14:paraId="6F45F6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0</w:t>
            </w:r>
          </w:p>
        </w:tc>
        <w:tc>
          <w:tcPr>
            <w:tcW w:w="1276" w:type="dxa"/>
            <w:vAlign w:val="center"/>
          </w:tcPr>
          <w:p w14:paraId="1D82BA41">
            <w:pPr>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027F8632">
            <w:pPr>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w:t>
            </w:r>
          </w:p>
        </w:tc>
        <w:tc>
          <w:tcPr>
            <w:tcW w:w="1559" w:type="dxa"/>
            <w:vAlign w:val="center"/>
          </w:tcPr>
          <w:p w14:paraId="0CEC666A">
            <w:pPr>
              <w:ind w:left="-105" w:leftChars="-50" w:right="-105" w:rightChars="-50"/>
              <w:jc w:val="center"/>
              <w:rPr>
                <w:rFonts w:hint="eastAsia" w:ascii="Times New Roman"/>
                <w:bCs/>
                <w:color w:val="auto"/>
                <w:sz w:val="21"/>
                <w:szCs w:val="21"/>
                <w:lang w:val="en-US" w:eastAsia="zh-CN"/>
              </w:rPr>
            </w:pPr>
            <w:r>
              <w:rPr>
                <w:rFonts w:hint="eastAsia"/>
                <w:color w:val="auto"/>
                <w:sz w:val="21"/>
                <w:szCs w:val="21"/>
                <w:lang w:val="en-US" w:eastAsia="zh-CN"/>
              </w:rPr>
              <w:t>0.4</w:t>
            </w:r>
          </w:p>
        </w:tc>
        <w:tc>
          <w:tcPr>
            <w:tcW w:w="1761" w:type="dxa"/>
            <w:vAlign w:val="center"/>
          </w:tcPr>
          <w:p w14:paraId="2C5F1472">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499" w:type="dxa"/>
            <w:vAlign w:val="center"/>
          </w:tcPr>
          <w:p w14:paraId="4B2AAF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1286" w:type="dxa"/>
            <w:vAlign w:val="center"/>
          </w:tcPr>
          <w:p w14:paraId="352ADEC3">
            <w:pPr>
              <w:ind w:left="-105" w:leftChars="-50" w:right="-105" w:rightChars="-50"/>
              <w:jc w:val="center"/>
              <w:rPr>
                <w:rFonts w:hint="eastAsia" w:ascii="Times New Roman"/>
                <w:color w:val="auto"/>
                <w:sz w:val="21"/>
                <w:szCs w:val="21"/>
              </w:rPr>
            </w:pPr>
            <w:r>
              <w:rPr>
                <w:rFonts w:hint="eastAsia" w:ascii="Times New Roman" w:hAnsi="Times New Roman" w:cs="Times New Roman"/>
                <w:bCs/>
                <w:color w:val="auto"/>
                <w:kern w:val="21"/>
                <w:sz w:val="21"/>
                <w:szCs w:val="21"/>
                <w:lang w:val="en-US" w:eastAsia="zh-CN"/>
              </w:rPr>
              <w:t>+</w:t>
            </w:r>
            <w:r>
              <w:rPr>
                <w:rFonts w:hint="eastAsia"/>
                <w:color w:val="auto"/>
                <w:sz w:val="21"/>
                <w:szCs w:val="21"/>
                <w:lang w:val="en-US" w:eastAsia="zh-CN"/>
              </w:rPr>
              <w:t>0.4</w:t>
            </w:r>
          </w:p>
        </w:tc>
      </w:tr>
      <w:tr w14:paraId="52E1ED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162" w:type="dxa"/>
            <w:vMerge w:val="continue"/>
            <w:vAlign w:val="center"/>
          </w:tcPr>
          <w:p w14:paraId="1F91F499">
            <w:pPr>
              <w:pStyle w:val="50"/>
              <w:spacing w:beforeLines="0" w:afterLines="0" w:line="300" w:lineRule="exact"/>
              <w:rPr>
                <w:rFonts w:ascii="Times New Roman"/>
                <w:snapToGrid w:val="0"/>
                <w:color w:val="auto"/>
                <w:kern w:val="21"/>
                <w:sz w:val="21"/>
                <w:szCs w:val="21"/>
              </w:rPr>
            </w:pPr>
          </w:p>
        </w:tc>
        <w:tc>
          <w:tcPr>
            <w:tcW w:w="2089" w:type="dxa"/>
            <w:vAlign w:val="center"/>
          </w:tcPr>
          <w:p w14:paraId="46019167">
            <w:pPr>
              <w:ind w:left="-105" w:leftChars="-50" w:right="-105" w:rightChars="-50"/>
              <w:jc w:val="center"/>
              <w:rPr>
                <w:rFonts w:hint="eastAsia" w:ascii="Times New Roman" w:hAnsi="Times New Roman" w:eastAsia="宋体" w:cs="Times New Roman"/>
                <w:snapToGrid w:val="0"/>
                <w:color w:val="auto"/>
                <w:kern w:val="21"/>
                <w:sz w:val="21"/>
                <w:szCs w:val="21"/>
                <w:lang w:val="en-US" w:eastAsia="zh-CN"/>
              </w:rPr>
            </w:pPr>
            <w:r>
              <w:rPr>
                <w:rFonts w:hint="eastAsia"/>
                <w:color w:val="auto"/>
                <w:sz w:val="21"/>
                <w:szCs w:val="21"/>
              </w:rPr>
              <w:t>洗版废液</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vAlign w:val="center"/>
          </w:tcPr>
          <w:p w14:paraId="0BE02E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0</w:t>
            </w:r>
          </w:p>
        </w:tc>
        <w:tc>
          <w:tcPr>
            <w:tcW w:w="1276" w:type="dxa"/>
            <w:vAlign w:val="center"/>
          </w:tcPr>
          <w:p w14:paraId="4E0327B1">
            <w:pPr>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262612FC">
            <w:pPr>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w:t>
            </w:r>
          </w:p>
        </w:tc>
        <w:tc>
          <w:tcPr>
            <w:tcW w:w="1559" w:type="dxa"/>
            <w:vAlign w:val="center"/>
          </w:tcPr>
          <w:p w14:paraId="5B73D458">
            <w:pPr>
              <w:ind w:left="-105" w:leftChars="-50" w:right="-105" w:rightChars="-50"/>
              <w:jc w:val="center"/>
              <w:rPr>
                <w:rFonts w:hint="eastAsia" w:ascii="Times New Roman"/>
                <w:bCs/>
                <w:color w:val="auto"/>
                <w:sz w:val="21"/>
                <w:szCs w:val="21"/>
                <w:lang w:val="en-US" w:eastAsia="zh-CN"/>
              </w:rPr>
            </w:pPr>
            <w:r>
              <w:rPr>
                <w:rFonts w:hint="eastAsia"/>
                <w:color w:val="auto"/>
                <w:sz w:val="21"/>
                <w:szCs w:val="21"/>
                <w:lang w:val="en-US" w:eastAsia="zh-CN"/>
              </w:rPr>
              <w:t>1.2</w:t>
            </w:r>
          </w:p>
        </w:tc>
        <w:tc>
          <w:tcPr>
            <w:tcW w:w="1761" w:type="dxa"/>
            <w:vAlign w:val="center"/>
          </w:tcPr>
          <w:p w14:paraId="236E6597">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499" w:type="dxa"/>
            <w:vAlign w:val="center"/>
          </w:tcPr>
          <w:p w14:paraId="60AAD2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286" w:type="dxa"/>
            <w:vAlign w:val="center"/>
          </w:tcPr>
          <w:p w14:paraId="28AB946F">
            <w:pPr>
              <w:ind w:left="-105" w:leftChars="-50" w:right="-105" w:rightChars="-50"/>
              <w:jc w:val="center"/>
              <w:rPr>
                <w:rFonts w:hint="eastAsia" w:ascii="Times New Roman"/>
                <w:color w:val="auto"/>
                <w:sz w:val="21"/>
                <w:szCs w:val="21"/>
              </w:rPr>
            </w:pPr>
            <w:r>
              <w:rPr>
                <w:rFonts w:hint="eastAsia" w:ascii="Times New Roman" w:hAnsi="Times New Roman" w:cs="Times New Roman"/>
                <w:bCs/>
                <w:color w:val="auto"/>
                <w:kern w:val="21"/>
                <w:sz w:val="21"/>
                <w:szCs w:val="21"/>
                <w:lang w:val="en-US" w:eastAsia="zh-CN"/>
              </w:rPr>
              <w:t>+</w:t>
            </w:r>
            <w:r>
              <w:rPr>
                <w:rFonts w:hint="eastAsia"/>
                <w:color w:val="auto"/>
                <w:sz w:val="21"/>
                <w:szCs w:val="21"/>
                <w:lang w:val="en-US" w:eastAsia="zh-CN"/>
              </w:rPr>
              <w:t>1.2</w:t>
            </w:r>
          </w:p>
        </w:tc>
      </w:tr>
      <w:tr w14:paraId="60BFC1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162" w:type="dxa"/>
            <w:vMerge w:val="continue"/>
            <w:vAlign w:val="center"/>
          </w:tcPr>
          <w:p w14:paraId="5A5E1575">
            <w:pPr>
              <w:pStyle w:val="50"/>
              <w:spacing w:beforeLines="0" w:afterLines="0" w:line="300" w:lineRule="exact"/>
              <w:rPr>
                <w:rFonts w:ascii="Times New Roman"/>
                <w:snapToGrid w:val="0"/>
                <w:color w:val="auto"/>
                <w:kern w:val="21"/>
                <w:sz w:val="21"/>
                <w:szCs w:val="21"/>
              </w:rPr>
            </w:pPr>
          </w:p>
        </w:tc>
        <w:tc>
          <w:tcPr>
            <w:tcW w:w="2089" w:type="dxa"/>
            <w:vAlign w:val="center"/>
          </w:tcPr>
          <w:p w14:paraId="02F111FB">
            <w:pPr>
              <w:ind w:left="-105" w:leftChars="-50" w:right="-105" w:rightChars="-50"/>
              <w:jc w:val="center"/>
              <w:rPr>
                <w:rFonts w:hint="eastAsia" w:ascii="Times New Roman" w:hAnsi="Times New Roman" w:eastAsia="宋体" w:cs="Times New Roman"/>
                <w:snapToGrid w:val="0"/>
                <w:color w:val="auto"/>
                <w:kern w:val="21"/>
                <w:sz w:val="21"/>
                <w:szCs w:val="21"/>
                <w:lang w:val="en-US" w:eastAsia="zh-CN"/>
              </w:rPr>
            </w:pPr>
            <w:r>
              <w:rPr>
                <w:rFonts w:hint="eastAsia"/>
                <w:color w:val="auto"/>
                <w:kern w:val="0"/>
                <w:sz w:val="21"/>
                <w:szCs w:val="21"/>
              </w:rPr>
              <w:t>废滤材滤渣</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vAlign w:val="center"/>
          </w:tcPr>
          <w:p w14:paraId="03D70C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0</w:t>
            </w:r>
          </w:p>
        </w:tc>
        <w:tc>
          <w:tcPr>
            <w:tcW w:w="1276" w:type="dxa"/>
            <w:vAlign w:val="center"/>
          </w:tcPr>
          <w:p w14:paraId="6E9677B7">
            <w:pPr>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07A2CFC4">
            <w:pPr>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w:t>
            </w:r>
          </w:p>
        </w:tc>
        <w:tc>
          <w:tcPr>
            <w:tcW w:w="1559" w:type="dxa"/>
            <w:vAlign w:val="center"/>
          </w:tcPr>
          <w:p w14:paraId="64A418F5">
            <w:pPr>
              <w:ind w:left="-105" w:leftChars="-50" w:right="-105" w:rightChars="-50"/>
              <w:jc w:val="center"/>
              <w:rPr>
                <w:rFonts w:hint="eastAsia" w:ascii="Times New Roman"/>
                <w:bCs/>
                <w:color w:val="auto"/>
                <w:sz w:val="21"/>
                <w:szCs w:val="21"/>
                <w:lang w:val="en-US" w:eastAsia="zh-CN"/>
              </w:rPr>
            </w:pPr>
            <w:r>
              <w:rPr>
                <w:rFonts w:hint="eastAsia"/>
                <w:color w:val="auto"/>
                <w:sz w:val="21"/>
                <w:szCs w:val="21"/>
                <w:lang w:val="en-US" w:eastAsia="zh-CN"/>
              </w:rPr>
              <w:t>0.3</w:t>
            </w:r>
          </w:p>
        </w:tc>
        <w:tc>
          <w:tcPr>
            <w:tcW w:w="1761" w:type="dxa"/>
            <w:vAlign w:val="center"/>
          </w:tcPr>
          <w:p w14:paraId="64266D7D">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499" w:type="dxa"/>
            <w:vAlign w:val="center"/>
          </w:tcPr>
          <w:p w14:paraId="0B891F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1286" w:type="dxa"/>
            <w:vAlign w:val="center"/>
          </w:tcPr>
          <w:p w14:paraId="444D7E4B">
            <w:pPr>
              <w:ind w:left="-105" w:leftChars="-50" w:right="-105" w:rightChars="-50"/>
              <w:jc w:val="center"/>
              <w:rPr>
                <w:rFonts w:hint="eastAsia" w:ascii="Times New Roman"/>
                <w:color w:val="auto"/>
                <w:sz w:val="21"/>
                <w:szCs w:val="21"/>
              </w:rPr>
            </w:pPr>
            <w:r>
              <w:rPr>
                <w:rFonts w:hint="eastAsia" w:ascii="Times New Roman" w:hAnsi="Times New Roman" w:cs="Times New Roman"/>
                <w:bCs/>
                <w:color w:val="auto"/>
                <w:kern w:val="21"/>
                <w:sz w:val="21"/>
                <w:szCs w:val="21"/>
                <w:lang w:val="en-US" w:eastAsia="zh-CN"/>
              </w:rPr>
              <w:t>+</w:t>
            </w:r>
            <w:r>
              <w:rPr>
                <w:rFonts w:hint="eastAsia"/>
                <w:color w:val="auto"/>
                <w:sz w:val="21"/>
                <w:szCs w:val="21"/>
                <w:lang w:val="en-US" w:eastAsia="zh-CN"/>
              </w:rPr>
              <w:t>0.3</w:t>
            </w:r>
          </w:p>
        </w:tc>
      </w:tr>
      <w:tr w14:paraId="1EB8D3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162" w:type="dxa"/>
            <w:vMerge w:val="continue"/>
            <w:vAlign w:val="center"/>
          </w:tcPr>
          <w:p w14:paraId="29A7C607">
            <w:pPr>
              <w:pStyle w:val="50"/>
              <w:spacing w:beforeLines="0" w:afterLines="0" w:line="300" w:lineRule="exact"/>
              <w:rPr>
                <w:rFonts w:ascii="Times New Roman"/>
                <w:snapToGrid w:val="0"/>
                <w:color w:val="auto"/>
                <w:kern w:val="21"/>
                <w:sz w:val="21"/>
                <w:szCs w:val="21"/>
              </w:rPr>
            </w:pPr>
          </w:p>
        </w:tc>
        <w:tc>
          <w:tcPr>
            <w:tcW w:w="2089" w:type="dxa"/>
            <w:vAlign w:val="center"/>
          </w:tcPr>
          <w:p w14:paraId="7D0EED4E">
            <w:pPr>
              <w:ind w:left="-105" w:leftChars="-50" w:right="-105" w:rightChars="-50"/>
              <w:jc w:val="center"/>
              <w:rPr>
                <w:rFonts w:hint="eastAsia" w:ascii="Times New Roman" w:hAnsi="Times New Roman" w:eastAsia="宋体" w:cs="Times New Roman"/>
                <w:snapToGrid w:val="0"/>
                <w:color w:val="auto"/>
                <w:kern w:val="21"/>
                <w:sz w:val="21"/>
                <w:szCs w:val="21"/>
                <w:lang w:val="en-US" w:eastAsia="zh-CN"/>
              </w:rPr>
            </w:pPr>
            <w:r>
              <w:rPr>
                <w:rFonts w:hint="eastAsia"/>
                <w:color w:val="auto"/>
                <w:sz w:val="21"/>
                <w:szCs w:val="21"/>
                <w:lang w:val="en-US" w:eastAsia="zh-CN"/>
              </w:rPr>
              <w:t>废</w:t>
            </w:r>
            <w:r>
              <w:rPr>
                <w:rFonts w:hint="eastAsia"/>
                <w:color w:val="auto"/>
                <w:sz w:val="21"/>
                <w:szCs w:val="21"/>
              </w:rPr>
              <w:t>丝网版</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vAlign w:val="center"/>
          </w:tcPr>
          <w:p w14:paraId="259043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0</w:t>
            </w:r>
          </w:p>
        </w:tc>
        <w:tc>
          <w:tcPr>
            <w:tcW w:w="1276" w:type="dxa"/>
            <w:vAlign w:val="center"/>
          </w:tcPr>
          <w:p w14:paraId="26004D4C">
            <w:pPr>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71B99337">
            <w:pPr>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w:t>
            </w:r>
          </w:p>
        </w:tc>
        <w:tc>
          <w:tcPr>
            <w:tcW w:w="1559" w:type="dxa"/>
            <w:vAlign w:val="center"/>
          </w:tcPr>
          <w:p w14:paraId="21C381F4">
            <w:pPr>
              <w:ind w:left="-105" w:leftChars="-50" w:right="-105" w:rightChars="-50"/>
              <w:jc w:val="center"/>
              <w:rPr>
                <w:rFonts w:hint="eastAsia" w:ascii="Times New Roman"/>
                <w:bCs/>
                <w:color w:val="auto"/>
                <w:sz w:val="21"/>
                <w:szCs w:val="21"/>
                <w:lang w:val="en-US" w:eastAsia="zh-CN"/>
              </w:rPr>
            </w:pPr>
            <w:r>
              <w:rPr>
                <w:rFonts w:hint="eastAsia"/>
                <w:color w:val="auto"/>
                <w:sz w:val="21"/>
                <w:szCs w:val="21"/>
                <w:lang w:val="en-US" w:eastAsia="zh-CN"/>
              </w:rPr>
              <w:t>0.01</w:t>
            </w:r>
          </w:p>
        </w:tc>
        <w:tc>
          <w:tcPr>
            <w:tcW w:w="1761" w:type="dxa"/>
            <w:vAlign w:val="center"/>
          </w:tcPr>
          <w:p w14:paraId="534727F2">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499" w:type="dxa"/>
            <w:vAlign w:val="center"/>
          </w:tcPr>
          <w:p w14:paraId="4F9E0E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1286" w:type="dxa"/>
            <w:vAlign w:val="center"/>
          </w:tcPr>
          <w:p w14:paraId="3A95B173">
            <w:pPr>
              <w:ind w:left="-105" w:leftChars="-50" w:right="-105" w:rightChars="-50"/>
              <w:jc w:val="center"/>
              <w:rPr>
                <w:rFonts w:hint="eastAsia" w:ascii="Times New Roman"/>
                <w:color w:val="auto"/>
                <w:sz w:val="21"/>
                <w:szCs w:val="21"/>
              </w:rPr>
            </w:pPr>
            <w:r>
              <w:rPr>
                <w:rFonts w:hint="eastAsia" w:ascii="Times New Roman" w:hAnsi="Times New Roman" w:cs="Times New Roman"/>
                <w:bCs/>
                <w:color w:val="auto"/>
                <w:kern w:val="21"/>
                <w:sz w:val="21"/>
                <w:szCs w:val="21"/>
                <w:lang w:val="en-US" w:eastAsia="zh-CN"/>
              </w:rPr>
              <w:t>+</w:t>
            </w:r>
            <w:r>
              <w:rPr>
                <w:rFonts w:hint="eastAsia"/>
                <w:color w:val="auto"/>
                <w:sz w:val="21"/>
                <w:szCs w:val="21"/>
                <w:lang w:val="en-US" w:eastAsia="zh-CN"/>
              </w:rPr>
              <w:t>0.01</w:t>
            </w:r>
          </w:p>
        </w:tc>
      </w:tr>
      <w:tr w14:paraId="1E02D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62" w:type="dxa"/>
            <w:vMerge w:val="continue"/>
            <w:vAlign w:val="center"/>
          </w:tcPr>
          <w:p w14:paraId="3713AF08">
            <w:pPr>
              <w:pStyle w:val="50"/>
              <w:spacing w:beforeLines="0" w:afterLines="0" w:line="300" w:lineRule="exact"/>
              <w:rPr>
                <w:rFonts w:ascii="Times New Roman"/>
                <w:snapToGrid w:val="0"/>
                <w:color w:val="auto"/>
                <w:kern w:val="21"/>
                <w:sz w:val="21"/>
                <w:szCs w:val="21"/>
              </w:rPr>
            </w:pPr>
          </w:p>
        </w:tc>
        <w:tc>
          <w:tcPr>
            <w:tcW w:w="2089" w:type="dxa"/>
            <w:vAlign w:val="center"/>
          </w:tcPr>
          <w:p w14:paraId="672C423A">
            <w:pPr>
              <w:ind w:left="-105" w:leftChars="-50" w:right="-105" w:rightChars="-50"/>
              <w:jc w:val="center"/>
              <w:rPr>
                <w:rFonts w:hint="eastAsia" w:ascii="Times New Roman" w:hAnsi="Times New Roman" w:eastAsia="宋体" w:cs="Times New Roman"/>
                <w:snapToGrid w:val="0"/>
                <w:color w:val="auto"/>
                <w:kern w:val="21"/>
                <w:sz w:val="21"/>
                <w:szCs w:val="21"/>
                <w:lang w:val="en-US" w:eastAsia="zh-CN"/>
              </w:rPr>
            </w:pPr>
            <w:r>
              <w:rPr>
                <w:rFonts w:hint="eastAsia"/>
                <w:color w:val="auto"/>
                <w:sz w:val="21"/>
                <w:szCs w:val="21"/>
                <w:lang w:val="en-US" w:eastAsia="zh-CN"/>
              </w:rPr>
              <w:t>清洁丝网版棉布手套</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vAlign w:val="center"/>
          </w:tcPr>
          <w:p w14:paraId="333682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0</w:t>
            </w:r>
          </w:p>
        </w:tc>
        <w:tc>
          <w:tcPr>
            <w:tcW w:w="1276" w:type="dxa"/>
            <w:vAlign w:val="center"/>
          </w:tcPr>
          <w:p w14:paraId="50223AE7">
            <w:pPr>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1AA423BE">
            <w:pPr>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w:t>
            </w:r>
          </w:p>
        </w:tc>
        <w:tc>
          <w:tcPr>
            <w:tcW w:w="1559" w:type="dxa"/>
            <w:vAlign w:val="center"/>
          </w:tcPr>
          <w:p w14:paraId="49DB15CA">
            <w:pPr>
              <w:ind w:left="-105" w:leftChars="-50" w:right="-105" w:rightChars="-50"/>
              <w:jc w:val="center"/>
              <w:rPr>
                <w:rFonts w:hint="eastAsia" w:ascii="Times New Roman"/>
                <w:bCs/>
                <w:color w:val="auto"/>
                <w:sz w:val="21"/>
                <w:szCs w:val="21"/>
                <w:lang w:val="en-US" w:eastAsia="zh-CN"/>
              </w:rPr>
            </w:pPr>
            <w:r>
              <w:rPr>
                <w:rFonts w:hint="eastAsia"/>
                <w:color w:val="auto"/>
                <w:sz w:val="21"/>
                <w:szCs w:val="21"/>
                <w:lang w:val="en-US" w:eastAsia="zh-CN"/>
              </w:rPr>
              <w:t>0.05</w:t>
            </w:r>
          </w:p>
        </w:tc>
        <w:tc>
          <w:tcPr>
            <w:tcW w:w="1761" w:type="dxa"/>
            <w:vAlign w:val="center"/>
          </w:tcPr>
          <w:p w14:paraId="59BC3865">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499" w:type="dxa"/>
            <w:vAlign w:val="center"/>
          </w:tcPr>
          <w:p w14:paraId="6915A9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1286" w:type="dxa"/>
            <w:vAlign w:val="center"/>
          </w:tcPr>
          <w:p w14:paraId="18CE6513">
            <w:pPr>
              <w:ind w:left="-105" w:leftChars="-50" w:right="-105" w:rightChars="-50"/>
              <w:jc w:val="center"/>
              <w:rPr>
                <w:rFonts w:hint="eastAsia" w:ascii="Times New Roman"/>
                <w:color w:val="auto"/>
                <w:sz w:val="21"/>
                <w:szCs w:val="21"/>
              </w:rPr>
            </w:pPr>
            <w:r>
              <w:rPr>
                <w:rFonts w:hint="eastAsia" w:ascii="Times New Roman" w:hAnsi="Times New Roman" w:cs="Times New Roman"/>
                <w:bCs/>
                <w:color w:val="auto"/>
                <w:kern w:val="21"/>
                <w:sz w:val="21"/>
                <w:szCs w:val="21"/>
                <w:lang w:val="en-US" w:eastAsia="zh-CN"/>
              </w:rPr>
              <w:t>+</w:t>
            </w:r>
            <w:r>
              <w:rPr>
                <w:rFonts w:hint="eastAsia"/>
                <w:color w:val="auto"/>
                <w:sz w:val="21"/>
                <w:szCs w:val="21"/>
                <w:lang w:val="en-US" w:eastAsia="zh-CN"/>
              </w:rPr>
              <w:t>0.05</w:t>
            </w:r>
          </w:p>
        </w:tc>
      </w:tr>
      <w:tr w14:paraId="731738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62" w:type="dxa"/>
            <w:vMerge w:val="continue"/>
            <w:vAlign w:val="center"/>
          </w:tcPr>
          <w:p w14:paraId="7B1CFE53">
            <w:pPr>
              <w:pStyle w:val="50"/>
              <w:spacing w:beforeLines="0" w:afterLines="0" w:line="300" w:lineRule="exact"/>
              <w:rPr>
                <w:rFonts w:ascii="Times New Roman"/>
                <w:snapToGrid w:val="0"/>
                <w:color w:val="auto"/>
                <w:kern w:val="21"/>
                <w:sz w:val="21"/>
                <w:szCs w:val="21"/>
              </w:rPr>
            </w:pPr>
          </w:p>
        </w:tc>
        <w:tc>
          <w:tcPr>
            <w:tcW w:w="2089" w:type="dxa"/>
            <w:vAlign w:val="center"/>
          </w:tcPr>
          <w:p w14:paraId="4E1E98C2">
            <w:pPr>
              <w:ind w:left="-105" w:leftChars="-50" w:right="-105" w:rightChars="-50"/>
              <w:jc w:val="center"/>
              <w:rPr>
                <w:rFonts w:hint="eastAsia" w:ascii="Times New Roman" w:hAnsi="Times New Roman" w:eastAsia="宋体" w:cs="Times New Roman"/>
                <w:snapToGrid w:val="0"/>
                <w:color w:val="auto"/>
                <w:kern w:val="21"/>
                <w:sz w:val="21"/>
                <w:szCs w:val="21"/>
                <w:lang w:val="en-US" w:eastAsia="zh-CN"/>
              </w:rPr>
            </w:pPr>
            <w:r>
              <w:rPr>
                <w:rFonts w:hint="eastAsia"/>
                <w:color w:val="auto"/>
                <w:kern w:val="0"/>
                <w:sz w:val="21"/>
                <w:szCs w:val="21"/>
              </w:rPr>
              <w:t>废CTP版</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vAlign w:val="center"/>
          </w:tcPr>
          <w:p w14:paraId="75C2D4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0</w:t>
            </w:r>
          </w:p>
        </w:tc>
        <w:tc>
          <w:tcPr>
            <w:tcW w:w="1276" w:type="dxa"/>
            <w:vAlign w:val="center"/>
          </w:tcPr>
          <w:p w14:paraId="4ABEE597">
            <w:pPr>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21D34AA8">
            <w:pPr>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w:t>
            </w:r>
          </w:p>
        </w:tc>
        <w:tc>
          <w:tcPr>
            <w:tcW w:w="1559" w:type="dxa"/>
            <w:vAlign w:val="center"/>
          </w:tcPr>
          <w:p w14:paraId="2941D7B2">
            <w:pPr>
              <w:ind w:left="-105" w:leftChars="-50" w:right="-105" w:rightChars="-50"/>
              <w:jc w:val="center"/>
              <w:rPr>
                <w:rFonts w:hint="eastAsia" w:ascii="Times New Roman"/>
                <w:bCs/>
                <w:color w:val="auto"/>
                <w:sz w:val="21"/>
                <w:szCs w:val="21"/>
                <w:lang w:val="en-US" w:eastAsia="zh-CN"/>
              </w:rPr>
            </w:pPr>
            <w:r>
              <w:rPr>
                <w:rFonts w:hint="eastAsia"/>
                <w:color w:val="auto"/>
                <w:sz w:val="21"/>
                <w:szCs w:val="21"/>
                <w:lang w:val="en-US" w:eastAsia="zh-CN"/>
              </w:rPr>
              <w:t>0.3</w:t>
            </w:r>
          </w:p>
        </w:tc>
        <w:tc>
          <w:tcPr>
            <w:tcW w:w="1761" w:type="dxa"/>
            <w:vAlign w:val="center"/>
          </w:tcPr>
          <w:p w14:paraId="1B7BC149">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499" w:type="dxa"/>
            <w:vAlign w:val="center"/>
          </w:tcPr>
          <w:p w14:paraId="3A5738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1286" w:type="dxa"/>
            <w:vAlign w:val="center"/>
          </w:tcPr>
          <w:p w14:paraId="6311544B">
            <w:pPr>
              <w:ind w:left="-105" w:leftChars="-50" w:right="-105" w:rightChars="-50"/>
              <w:jc w:val="center"/>
              <w:rPr>
                <w:rFonts w:hint="eastAsia" w:ascii="Times New Roman"/>
                <w:color w:val="auto"/>
                <w:sz w:val="21"/>
                <w:szCs w:val="21"/>
              </w:rPr>
            </w:pPr>
            <w:r>
              <w:rPr>
                <w:rFonts w:hint="eastAsia" w:ascii="Times New Roman" w:hAnsi="Times New Roman" w:cs="Times New Roman"/>
                <w:bCs/>
                <w:color w:val="auto"/>
                <w:kern w:val="21"/>
                <w:sz w:val="21"/>
                <w:szCs w:val="21"/>
                <w:lang w:val="en-US" w:eastAsia="zh-CN"/>
              </w:rPr>
              <w:t>+</w:t>
            </w:r>
            <w:r>
              <w:rPr>
                <w:rFonts w:hint="eastAsia"/>
                <w:color w:val="auto"/>
                <w:sz w:val="21"/>
                <w:szCs w:val="21"/>
                <w:lang w:val="en-US" w:eastAsia="zh-CN"/>
              </w:rPr>
              <w:t>0.3</w:t>
            </w:r>
          </w:p>
        </w:tc>
      </w:tr>
      <w:tr w14:paraId="41BB00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162" w:type="dxa"/>
            <w:vMerge w:val="continue"/>
            <w:vAlign w:val="center"/>
          </w:tcPr>
          <w:p w14:paraId="2C7D49F6">
            <w:pPr>
              <w:pStyle w:val="50"/>
              <w:spacing w:beforeLines="0" w:afterLines="0" w:line="300" w:lineRule="exact"/>
              <w:rPr>
                <w:rFonts w:ascii="Times New Roman"/>
                <w:snapToGrid w:val="0"/>
                <w:color w:val="auto"/>
                <w:kern w:val="21"/>
                <w:sz w:val="21"/>
                <w:szCs w:val="21"/>
              </w:rPr>
            </w:pPr>
          </w:p>
        </w:tc>
        <w:tc>
          <w:tcPr>
            <w:tcW w:w="2089" w:type="dxa"/>
            <w:vAlign w:val="center"/>
          </w:tcPr>
          <w:p w14:paraId="013B9DE1">
            <w:pPr>
              <w:ind w:left="-105" w:leftChars="-50" w:right="-105" w:rightChars="-50"/>
              <w:jc w:val="center"/>
              <w:rPr>
                <w:rFonts w:hint="default" w:eastAsia="宋体"/>
                <w:color w:val="auto"/>
                <w:kern w:val="0"/>
                <w:sz w:val="21"/>
                <w:szCs w:val="21"/>
                <w:lang w:val="en-US" w:eastAsia="zh-CN"/>
              </w:rPr>
            </w:pPr>
            <w:r>
              <w:rPr>
                <w:rFonts w:hint="eastAsia"/>
                <w:color w:val="auto"/>
                <w:kern w:val="0"/>
                <w:sz w:val="21"/>
                <w:szCs w:val="21"/>
                <w:lang w:val="en-US" w:eastAsia="zh-CN"/>
              </w:rPr>
              <w:t>废UV灯管</w:t>
            </w:r>
          </w:p>
        </w:tc>
        <w:tc>
          <w:tcPr>
            <w:tcW w:w="1455" w:type="dxa"/>
            <w:vAlign w:val="center"/>
          </w:tcPr>
          <w:p w14:paraId="6613CD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276" w:type="dxa"/>
            <w:vAlign w:val="center"/>
          </w:tcPr>
          <w:p w14:paraId="3DCB7660">
            <w:pPr>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43AE6EBC">
            <w:pPr>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w:t>
            </w:r>
          </w:p>
        </w:tc>
        <w:tc>
          <w:tcPr>
            <w:tcW w:w="1559" w:type="dxa"/>
            <w:vAlign w:val="center"/>
          </w:tcPr>
          <w:p w14:paraId="1A783BA4">
            <w:pPr>
              <w:ind w:left="-105" w:leftChars="-50" w:right="-105" w:rightChars="-50"/>
              <w:jc w:val="center"/>
              <w:rPr>
                <w:rFonts w:hint="default"/>
                <w:color w:val="auto"/>
                <w:sz w:val="21"/>
                <w:szCs w:val="21"/>
                <w:lang w:val="en-US" w:eastAsia="zh-CN"/>
              </w:rPr>
            </w:pPr>
            <w:r>
              <w:rPr>
                <w:rFonts w:hint="eastAsia"/>
                <w:color w:val="auto"/>
                <w:sz w:val="21"/>
                <w:szCs w:val="21"/>
                <w:lang w:val="en-US" w:eastAsia="zh-CN"/>
              </w:rPr>
              <w:t>0.01</w:t>
            </w:r>
          </w:p>
        </w:tc>
        <w:tc>
          <w:tcPr>
            <w:tcW w:w="1761" w:type="dxa"/>
            <w:vAlign w:val="center"/>
          </w:tcPr>
          <w:p w14:paraId="244A1D4A">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499" w:type="dxa"/>
            <w:vAlign w:val="center"/>
          </w:tcPr>
          <w:p w14:paraId="7EDEE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1286" w:type="dxa"/>
            <w:vAlign w:val="center"/>
          </w:tcPr>
          <w:p w14:paraId="599E0946">
            <w:pPr>
              <w:ind w:left="-105" w:leftChars="-50" w:right="-105" w:rightChars="-50"/>
              <w:jc w:val="center"/>
              <w:rPr>
                <w:rFonts w:hint="default" w:ascii="Times New Roman" w:hAnsi="Times New Roman" w:cs="Times New Roman"/>
                <w:bCs/>
                <w:color w:val="auto"/>
                <w:kern w:val="21"/>
                <w:sz w:val="21"/>
                <w:szCs w:val="21"/>
                <w:lang w:val="en-US" w:eastAsia="zh-CN"/>
              </w:rPr>
            </w:pPr>
            <w:r>
              <w:rPr>
                <w:rFonts w:hint="eastAsia" w:ascii="Times New Roman" w:hAnsi="Times New Roman" w:cs="Times New Roman"/>
                <w:bCs/>
                <w:color w:val="auto"/>
                <w:kern w:val="21"/>
                <w:sz w:val="21"/>
                <w:szCs w:val="21"/>
                <w:lang w:val="en-US" w:eastAsia="zh-CN"/>
              </w:rPr>
              <w:t>+</w:t>
            </w:r>
            <w:r>
              <w:rPr>
                <w:rFonts w:hint="eastAsia"/>
                <w:color w:val="auto"/>
                <w:sz w:val="21"/>
                <w:szCs w:val="21"/>
                <w:lang w:val="en-US" w:eastAsia="zh-CN"/>
              </w:rPr>
              <w:t>0.01</w:t>
            </w:r>
          </w:p>
        </w:tc>
      </w:tr>
      <w:tr w14:paraId="09FFE5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62" w:type="dxa"/>
            <w:vMerge w:val="continue"/>
            <w:vAlign w:val="center"/>
          </w:tcPr>
          <w:p w14:paraId="7D2C6E5E">
            <w:pPr>
              <w:pStyle w:val="50"/>
              <w:spacing w:beforeLines="0" w:afterLines="0" w:line="300" w:lineRule="exact"/>
              <w:rPr>
                <w:rFonts w:ascii="Times New Roman"/>
                <w:snapToGrid w:val="0"/>
                <w:color w:val="auto"/>
                <w:kern w:val="21"/>
                <w:sz w:val="21"/>
                <w:szCs w:val="21"/>
              </w:rPr>
            </w:pPr>
          </w:p>
        </w:tc>
        <w:tc>
          <w:tcPr>
            <w:tcW w:w="2089" w:type="dxa"/>
            <w:vAlign w:val="center"/>
          </w:tcPr>
          <w:p w14:paraId="37768CA5">
            <w:pPr>
              <w:ind w:left="-105" w:leftChars="-50" w:right="-105" w:rightChars="-50"/>
              <w:jc w:val="center"/>
              <w:rPr>
                <w:rFonts w:hint="eastAsia" w:ascii="Times New Roman" w:hAnsi="Times New Roman" w:eastAsia="宋体" w:cs="Times New Roman"/>
                <w:snapToGrid w:val="0"/>
                <w:color w:val="auto"/>
                <w:kern w:val="21"/>
                <w:sz w:val="21"/>
                <w:szCs w:val="21"/>
                <w:lang w:val="en-US" w:eastAsia="zh-CN"/>
              </w:rPr>
            </w:pPr>
            <w:r>
              <w:rPr>
                <w:rFonts w:hint="eastAsia"/>
                <w:color w:val="auto"/>
                <w:sz w:val="21"/>
                <w:szCs w:val="21"/>
                <w:highlight w:val="none"/>
                <w:lang w:val="en-US" w:eastAsia="zh-CN"/>
              </w:rPr>
              <w:t>废润滑油</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vAlign w:val="center"/>
          </w:tcPr>
          <w:p w14:paraId="35558C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0.1</w:t>
            </w:r>
          </w:p>
        </w:tc>
        <w:tc>
          <w:tcPr>
            <w:tcW w:w="1276" w:type="dxa"/>
            <w:vAlign w:val="center"/>
          </w:tcPr>
          <w:p w14:paraId="79A2DC62">
            <w:pPr>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787B1CAB">
            <w:pPr>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w:t>
            </w:r>
          </w:p>
        </w:tc>
        <w:tc>
          <w:tcPr>
            <w:tcW w:w="1559" w:type="dxa"/>
            <w:vAlign w:val="center"/>
          </w:tcPr>
          <w:p w14:paraId="4E2C67F2">
            <w:pPr>
              <w:spacing w:line="320" w:lineRule="exact"/>
              <w:ind w:left="-105" w:leftChars="-50" w:right="-105" w:rightChars="-50"/>
              <w:jc w:val="center"/>
              <w:rPr>
                <w:rFonts w:hint="eastAsia" w:ascii="Times New Roman"/>
                <w:bCs/>
                <w:color w:val="auto"/>
                <w:sz w:val="21"/>
                <w:szCs w:val="21"/>
                <w:lang w:val="en-US" w:eastAsia="zh-CN"/>
              </w:rPr>
            </w:pPr>
            <w:r>
              <w:rPr>
                <w:rFonts w:hint="eastAsia"/>
                <w:bCs/>
                <w:color w:val="auto"/>
                <w:sz w:val="21"/>
                <w:szCs w:val="21"/>
                <w:lang w:val="en-US" w:eastAsia="zh-CN"/>
              </w:rPr>
              <w:t>0.1</w:t>
            </w:r>
          </w:p>
        </w:tc>
        <w:tc>
          <w:tcPr>
            <w:tcW w:w="1761" w:type="dxa"/>
            <w:vAlign w:val="center"/>
          </w:tcPr>
          <w:p w14:paraId="450582BD">
            <w:pPr>
              <w:spacing w:beforeLines="0" w:afterLines="0"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499" w:type="dxa"/>
            <w:vAlign w:val="center"/>
          </w:tcPr>
          <w:p w14:paraId="367658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1286" w:type="dxa"/>
            <w:vAlign w:val="center"/>
          </w:tcPr>
          <w:p w14:paraId="7564436E">
            <w:pPr>
              <w:spacing w:line="320" w:lineRule="exact"/>
              <w:ind w:left="-105" w:leftChars="-50" w:right="-105" w:rightChars="-50"/>
              <w:jc w:val="center"/>
              <w:rPr>
                <w:rFonts w:hint="eastAsia" w:ascii="Times New Roman"/>
                <w:color w:val="auto"/>
                <w:sz w:val="21"/>
                <w:szCs w:val="21"/>
              </w:rPr>
            </w:pPr>
            <w:r>
              <w:rPr>
                <w:rFonts w:hint="eastAsia" w:ascii="Times New Roman" w:hAnsi="Times New Roman" w:cs="Times New Roman"/>
                <w:bCs/>
                <w:color w:val="auto"/>
                <w:kern w:val="21"/>
                <w:sz w:val="21"/>
                <w:szCs w:val="21"/>
                <w:lang w:val="en-US" w:eastAsia="zh-CN"/>
              </w:rPr>
              <w:t>+</w:t>
            </w:r>
            <w:r>
              <w:rPr>
                <w:rFonts w:hint="eastAsia"/>
                <w:bCs/>
                <w:color w:val="auto"/>
                <w:sz w:val="21"/>
                <w:szCs w:val="21"/>
                <w:lang w:val="en-US" w:eastAsia="zh-CN"/>
              </w:rPr>
              <w:t>0.1</w:t>
            </w:r>
          </w:p>
        </w:tc>
      </w:tr>
      <w:tr w14:paraId="540389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162" w:type="dxa"/>
            <w:vMerge w:val="continue"/>
            <w:vAlign w:val="center"/>
          </w:tcPr>
          <w:p w14:paraId="5BAE3435">
            <w:pPr>
              <w:pStyle w:val="50"/>
              <w:spacing w:beforeLines="0" w:afterLines="0" w:line="300" w:lineRule="exact"/>
              <w:rPr>
                <w:rFonts w:ascii="Times New Roman"/>
                <w:snapToGrid w:val="0"/>
                <w:color w:val="auto"/>
                <w:kern w:val="21"/>
                <w:sz w:val="21"/>
                <w:szCs w:val="21"/>
              </w:rPr>
            </w:pPr>
          </w:p>
        </w:tc>
        <w:tc>
          <w:tcPr>
            <w:tcW w:w="2089" w:type="dxa"/>
            <w:tcBorders>
              <w:bottom w:val="single" w:color="auto" w:sz="4" w:space="0"/>
            </w:tcBorders>
            <w:vAlign w:val="center"/>
          </w:tcPr>
          <w:p w14:paraId="36F21C1E">
            <w:pPr>
              <w:ind w:left="-105" w:leftChars="-50" w:right="-105" w:rightChars="-50"/>
              <w:jc w:val="center"/>
              <w:rPr>
                <w:rFonts w:ascii="Times New Roman" w:hAnsi="Times New Roman" w:eastAsia="宋体" w:cs="Times New Roman"/>
                <w:snapToGrid w:val="0"/>
                <w:color w:val="auto"/>
                <w:kern w:val="21"/>
                <w:sz w:val="21"/>
                <w:szCs w:val="21"/>
              </w:rPr>
            </w:pPr>
            <w:r>
              <w:rPr>
                <w:rFonts w:hint="eastAsia"/>
                <w:color w:val="auto"/>
                <w:sz w:val="21"/>
                <w:szCs w:val="21"/>
                <w:highlight w:val="none"/>
              </w:rPr>
              <w:t>废</w:t>
            </w:r>
            <w:r>
              <w:rPr>
                <w:rFonts w:hint="eastAsia"/>
                <w:color w:val="auto"/>
                <w:sz w:val="21"/>
                <w:szCs w:val="21"/>
                <w:highlight w:val="none"/>
                <w:lang w:val="en-US" w:eastAsia="zh-CN"/>
              </w:rPr>
              <w:t>棉纱</w:t>
            </w:r>
            <w:r>
              <w:rPr>
                <w:rFonts w:hint="eastAsia"/>
                <w:color w:val="auto"/>
                <w:sz w:val="21"/>
                <w:szCs w:val="21"/>
                <w:highlight w:val="none"/>
              </w:rPr>
              <w:t>手套</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tcBorders>
              <w:bottom w:val="single" w:color="auto" w:sz="4" w:space="0"/>
            </w:tcBorders>
            <w:vAlign w:val="center"/>
          </w:tcPr>
          <w:p w14:paraId="667948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0.02</w:t>
            </w:r>
          </w:p>
        </w:tc>
        <w:tc>
          <w:tcPr>
            <w:tcW w:w="1276" w:type="dxa"/>
            <w:vAlign w:val="center"/>
          </w:tcPr>
          <w:p w14:paraId="475653C6">
            <w:pPr>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22A4D09E">
            <w:pPr>
              <w:spacing w:beforeLines="0" w:afterLines="0" w:line="240" w:lineRule="auto"/>
              <w:jc w:val="center"/>
              <w:rPr>
                <w:rFonts w:ascii="Times New Roman"/>
                <w:snapToGrid w:val="0"/>
                <w:color w:val="auto"/>
                <w:kern w:val="21"/>
                <w:sz w:val="21"/>
                <w:szCs w:val="21"/>
              </w:rPr>
            </w:pPr>
            <w:r>
              <w:rPr>
                <w:rFonts w:ascii="Times New Roman"/>
                <w:snapToGrid w:val="0"/>
                <w:color w:val="auto"/>
                <w:kern w:val="21"/>
                <w:sz w:val="21"/>
                <w:szCs w:val="21"/>
              </w:rPr>
              <w:t>/</w:t>
            </w:r>
          </w:p>
        </w:tc>
        <w:tc>
          <w:tcPr>
            <w:tcW w:w="1559" w:type="dxa"/>
            <w:vAlign w:val="center"/>
          </w:tcPr>
          <w:p w14:paraId="6A769370">
            <w:pPr>
              <w:ind w:left="-105" w:leftChars="-50" w:right="-105" w:rightChars="-50"/>
              <w:jc w:val="center"/>
              <w:rPr>
                <w:rFonts w:hint="default" w:ascii="Times New Roman" w:eastAsia="宋体"/>
                <w:color w:val="auto"/>
                <w:sz w:val="21"/>
                <w:szCs w:val="21"/>
                <w:lang w:val="en-US" w:eastAsia="zh-CN"/>
              </w:rPr>
            </w:pPr>
            <w:r>
              <w:rPr>
                <w:rFonts w:hint="eastAsia"/>
                <w:color w:val="auto"/>
                <w:sz w:val="21"/>
                <w:szCs w:val="21"/>
                <w:lang w:val="en-US" w:eastAsia="zh-CN"/>
              </w:rPr>
              <w:t>0.05</w:t>
            </w:r>
          </w:p>
        </w:tc>
        <w:tc>
          <w:tcPr>
            <w:tcW w:w="1761" w:type="dxa"/>
            <w:vAlign w:val="center"/>
          </w:tcPr>
          <w:p w14:paraId="1F7BA1CE">
            <w:pPr>
              <w:spacing w:beforeLines="0" w:afterLines="0" w:line="300" w:lineRule="exact"/>
              <w:jc w:val="center"/>
              <w:rPr>
                <w:rFonts w:ascii="Times New Roman"/>
                <w:color w:val="auto"/>
                <w:sz w:val="21"/>
                <w:szCs w:val="21"/>
              </w:rPr>
            </w:pPr>
            <w:r>
              <w:rPr>
                <w:rFonts w:ascii="Times New Roman"/>
                <w:snapToGrid w:val="0"/>
                <w:color w:val="auto"/>
                <w:kern w:val="21"/>
                <w:sz w:val="21"/>
                <w:szCs w:val="21"/>
              </w:rPr>
              <w:t>/</w:t>
            </w:r>
          </w:p>
        </w:tc>
        <w:tc>
          <w:tcPr>
            <w:tcW w:w="1499" w:type="dxa"/>
            <w:vAlign w:val="center"/>
          </w:tcPr>
          <w:p w14:paraId="672B9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0.07</w:t>
            </w:r>
          </w:p>
        </w:tc>
        <w:tc>
          <w:tcPr>
            <w:tcW w:w="1286" w:type="dxa"/>
            <w:vAlign w:val="center"/>
          </w:tcPr>
          <w:p w14:paraId="7914DB01">
            <w:pPr>
              <w:ind w:left="-105" w:leftChars="-50" w:right="-105" w:rightChars="-50"/>
              <w:jc w:val="center"/>
              <w:rPr>
                <w:rFonts w:ascii="Times New Roman"/>
                <w:snapToGrid w:val="0"/>
                <w:color w:val="auto"/>
                <w:kern w:val="21"/>
                <w:sz w:val="21"/>
                <w:szCs w:val="21"/>
              </w:rPr>
            </w:pPr>
            <w:r>
              <w:rPr>
                <w:rFonts w:hint="eastAsia" w:ascii="Times New Roman" w:hAnsi="Times New Roman" w:cs="Times New Roman"/>
                <w:bCs/>
                <w:color w:val="auto"/>
                <w:kern w:val="21"/>
                <w:sz w:val="21"/>
                <w:szCs w:val="21"/>
                <w:lang w:val="en-US" w:eastAsia="zh-CN"/>
              </w:rPr>
              <w:t>+</w:t>
            </w:r>
            <w:r>
              <w:rPr>
                <w:rFonts w:hint="eastAsia"/>
                <w:color w:val="auto"/>
                <w:sz w:val="21"/>
                <w:szCs w:val="21"/>
                <w:lang w:val="en-US" w:eastAsia="zh-CN"/>
              </w:rPr>
              <w:t>0.05</w:t>
            </w:r>
          </w:p>
        </w:tc>
      </w:tr>
      <w:tr w14:paraId="4AFDDE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162" w:type="dxa"/>
            <w:vMerge w:val="continue"/>
            <w:vAlign w:val="center"/>
          </w:tcPr>
          <w:p w14:paraId="5A96D4E9">
            <w:pPr>
              <w:pStyle w:val="50"/>
              <w:spacing w:beforeLines="0" w:afterLines="0" w:line="300" w:lineRule="exact"/>
              <w:rPr>
                <w:rFonts w:ascii="Times New Roman"/>
                <w:snapToGrid w:val="0"/>
                <w:color w:val="auto"/>
                <w:kern w:val="21"/>
                <w:sz w:val="21"/>
                <w:szCs w:val="21"/>
              </w:rPr>
            </w:pPr>
          </w:p>
        </w:tc>
        <w:tc>
          <w:tcPr>
            <w:tcW w:w="2089" w:type="dxa"/>
            <w:tcBorders>
              <w:top w:val="single" w:color="auto" w:sz="4" w:space="0"/>
              <w:bottom w:val="single" w:color="auto" w:sz="4" w:space="0"/>
            </w:tcBorders>
            <w:vAlign w:val="center"/>
          </w:tcPr>
          <w:p w14:paraId="61F8A217">
            <w:pPr>
              <w:ind w:left="-105" w:leftChars="-50" w:right="-105" w:rightChars="-50"/>
              <w:jc w:val="center"/>
              <w:rPr>
                <w:rFonts w:ascii="Times New Roman" w:hAnsi="Times New Roman" w:eastAsia="宋体" w:cs="Times New Roman"/>
                <w:snapToGrid w:val="0"/>
                <w:color w:val="auto"/>
                <w:kern w:val="21"/>
                <w:sz w:val="21"/>
                <w:szCs w:val="21"/>
              </w:rPr>
            </w:pPr>
            <w:r>
              <w:rPr>
                <w:rFonts w:hint="eastAsia"/>
                <w:color w:val="auto"/>
                <w:kern w:val="0"/>
                <w:sz w:val="21"/>
                <w:szCs w:val="21"/>
                <w:highlight w:val="none"/>
              </w:rPr>
              <w:t>废活性炭</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tcBorders>
              <w:top w:val="single" w:color="auto" w:sz="4" w:space="0"/>
              <w:bottom w:val="single" w:color="auto" w:sz="4" w:space="0"/>
            </w:tcBorders>
            <w:vAlign w:val="center"/>
          </w:tcPr>
          <w:p w14:paraId="21BC6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9.19</w:t>
            </w:r>
          </w:p>
        </w:tc>
        <w:tc>
          <w:tcPr>
            <w:tcW w:w="1276" w:type="dxa"/>
            <w:tcBorders>
              <w:top w:val="single" w:color="auto" w:sz="4" w:space="0"/>
              <w:bottom w:val="single" w:color="auto" w:sz="4" w:space="0"/>
            </w:tcBorders>
            <w:vAlign w:val="center"/>
          </w:tcPr>
          <w:p w14:paraId="5AD287DC">
            <w:pPr>
              <w:spacing w:before="24" w:after="24"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701" w:type="dxa"/>
            <w:tcBorders>
              <w:top w:val="single" w:color="auto" w:sz="4" w:space="0"/>
              <w:bottom w:val="single" w:color="auto" w:sz="4" w:space="0"/>
            </w:tcBorders>
            <w:vAlign w:val="center"/>
          </w:tcPr>
          <w:p w14:paraId="0C3AED85">
            <w:pPr>
              <w:spacing w:before="24" w:after="24"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559" w:type="dxa"/>
            <w:tcBorders>
              <w:top w:val="single" w:color="auto" w:sz="4" w:space="0"/>
              <w:bottom w:val="single" w:color="auto" w:sz="4" w:space="0"/>
            </w:tcBorders>
            <w:vAlign w:val="center"/>
          </w:tcPr>
          <w:p w14:paraId="5374A1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ascii="Times New Roman"/>
                <w:color w:val="auto"/>
                <w:sz w:val="21"/>
                <w:szCs w:val="21"/>
              </w:rPr>
            </w:pPr>
            <w:r>
              <w:rPr>
                <w:rFonts w:hint="eastAsia" w:cs="Times New Roman"/>
                <w:color w:val="auto"/>
                <w:sz w:val="21"/>
                <w:szCs w:val="21"/>
                <w:highlight w:val="none"/>
                <w:lang w:val="en-US" w:eastAsia="zh-CN"/>
              </w:rPr>
              <w:t>52.17</w:t>
            </w:r>
          </w:p>
        </w:tc>
        <w:tc>
          <w:tcPr>
            <w:tcW w:w="1761" w:type="dxa"/>
            <w:tcBorders>
              <w:top w:val="single" w:color="auto" w:sz="4" w:space="0"/>
              <w:bottom w:val="single" w:color="auto" w:sz="4" w:space="0"/>
            </w:tcBorders>
            <w:vAlign w:val="center"/>
          </w:tcPr>
          <w:p w14:paraId="18E5D84B">
            <w:pPr>
              <w:spacing w:before="24" w:after="24" w:line="300" w:lineRule="exact"/>
              <w:jc w:val="center"/>
              <w:rPr>
                <w:rFonts w:ascii="Times New Roman"/>
                <w:snapToGrid w:val="0"/>
                <w:color w:val="auto"/>
                <w:kern w:val="21"/>
                <w:sz w:val="21"/>
                <w:szCs w:val="21"/>
              </w:rPr>
            </w:pPr>
            <w:r>
              <w:rPr>
                <w:rFonts w:ascii="Times New Roman"/>
                <w:snapToGrid w:val="0"/>
                <w:color w:val="auto"/>
                <w:kern w:val="21"/>
                <w:sz w:val="21"/>
                <w:szCs w:val="21"/>
              </w:rPr>
              <w:t>/</w:t>
            </w:r>
          </w:p>
        </w:tc>
        <w:tc>
          <w:tcPr>
            <w:tcW w:w="1499" w:type="dxa"/>
            <w:tcBorders>
              <w:top w:val="single" w:color="auto" w:sz="4" w:space="0"/>
              <w:bottom w:val="single" w:color="auto" w:sz="4" w:space="0"/>
            </w:tcBorders>
            <w:vAlign w:val="center"/>
          </w:tcPr>
          <w:p w14:paraId="60BB69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61.36</w:t>
            </w:r>
          </w:p>
        </w:tc>
        <w:tc>
          <w:tcPr>
            <w:tcW w:w="1286" w:type="dxa"/>
            <w:tcBorders>
              <w:top w:val="single" w:color="auto" w:sz="4" w:space="0"/>
              <w:bottom w:val="single" w:color="auto" w:sz="4" w:space="0"/>
            </w:tcBorders>
            <w:vAlign w:val="center"/>
          </w:tcPr>
          <w:p w14:paraId="76E784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ascii="Times New Roman"/>
                <w:snapToGrid w:val="0"/>
                <w:color w:val="auto"/>
                <w:kern w:val="21"/>
                <w:sz w:val="21"/>
                <w:szCs w:val="21"/>
              </w:rPr>
            </w:pPr>
            <w:r>
              <w:rPr>
                <w:rFonts w:hint="eastAsia" w:ascii="Times New Roman" w:hAnsi="Times New Roman" w:cs="Times New Roman"/>
                <w:bCs/>
                <w:color w:val="auto"/>
                <w:kern w:val="21"/>
                <w:sz w:val="21"/>
                <w:szCs w:val="21"/>
                <w:lang w:val="en-US" w:eastAsia="zh-CN"/>
              </w:rPr>
              <w:t>+</w:t>
            </w:r>
            <w:r>
              <w:rPr>
                <w:rFonts w:hint="eastAsia" w:cs="Times New Roman"/>
                <w:color w:val="auto"/>
                <w:sz w:val="21"/>
                <w:szCs w:val="21"/>
                <w:highlight w:val="none"/>
                <w:lang w:val="en-US" w:eastAsia="zh-CN"/>
              </w:rPr>
              <w:t>52.17</w:t>
            </w:r>
          </w:p>
        </w:tc>
      </w:tr>
      <w:tr w14:paraId="705E7C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162" w:type="dxa"/>
            <w:vMerge w:val="continue"/>
            <w:vAlign w:val="center"/>
          </w:tcPr>
          <w:p w14:paraId="0145B527">
            <w:pPr>
              <w:pStyle w:val="50"/>
              <w:spacing w:beforeLines="0" w:afterLines="0" w:line="300" w:lineRule="exact"/>
              <w:rPr>
                <w:rFonts w:ascii="Times New Roman"/>
                <w:snapToGrid w:val="0"/>
                <w:color w:val="auto"/>
                <w:kern w:val="21"/>
                <w:sz w:val="21"/>
                <w:szCs w:val="21"/>
              </w:rPr>
            </w:pPr>
          </w:p>
        </w:tc>
        <w:tc>
          <w:tcPr>
            <w:tcW w:w="2089" w:type="dxa"/>
            <w:tcBorders>
              <w:top w:val="single" w:color="auto" w:sz="4" w:space="0"/>
              <w:bottom w:val="single" w:color="auto" w:sz="4" w:space="0"/>
            </w:tcBorders>
            <w:vAlign w:val="center"/>
          </w:tcPr>
          <w:p w14:paraId="6028F3E2">
            <w:pPr>
              <w:ind w:left="-105" w:leftChars="-50" w:right="-105" w:rightChars="-50"/>
              <w:jc w:val="center"/>
              <w:rPr>
                <w:rFonts w:ascii="Times New Roman" w:hAnsi="Times New Roman" w:eastAsia="宋体" w:cs="Times New Roman"/>
                <w:snapToGrid w:val="0"/>
                <w:color w:val="auto"/>
                <w:kern w:val="21"/>
                <w:sz w:val="21"/>
                <w:szCs w:val="21"/>
                <w:highlight w:val="none"/>
              </w:rPr>
            </w:pPr>
            <w:r>
              <w:rPr>
                <w:rFonts w:hint="eastAsia"/>
                <w:color w:val="auto"/>
                <w:kern w:val="0"/>
                <w:sz w:val="21"/>
                <w:szCs w:val="21"/>
                <w:highlight w:val="none"/>
                <w:lang w:val="en-US" w:eastAsia="zh-CN"/>
              </w:rPr>
              <w:t>隔油池污泥</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rPr>
              <w:t>t/a</w:t>
            </w:r>
            <w:r>
              <w:rPr>
                <w:rFonts w:hint="default" w:ascii="Times New Roman" w:hAnsi="Times New Roman" w:eastAsia="宋体" w:cs="Times New Roman"/>
                <w:snapToGrid w:val="0"/>
                <w:color w:val="auto"/>
                <w:kern w:val="21"/>
                <w:sz w:val="21"/>
                <w:szCs w:val="21"/>
                <w:lang w:eastAsia="zh-CN"/>
              </w:rPr>
              <w:t>）</w:t>
            </w:r>
          </w:p>
        </w:tc>
        <w:tc>
          <w:tcPr>
            <w:tcW w:w="1455" w:type="dxa"/>
            <w:tcBorders>
              <w:top w:val="single" w:color="auto" w:sz="4" w:space="0"/>
              <w:bottom w:val="single" w:color="auto" w:sz="4" w:space="0"/>
            </w:tcBorders>
            <w:vAlign w:val="center"/>
          </w:tcPr>
          <w:p w14:paraId="445160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1276" w:type="dxa"/>
            <w:tcBorders>
              <w:top w:val="single" w:color="auto" w:sz="4" w:space="0"/>
              <w:bottom w:val="single" w:color="auto" w:sz="4" w:space="0"/>
            </w:tcBorders>
            <w:vAlign w:val="center"/>
          </w:tcPr>
          <w:p w14:paraId="4C65BA89">
            <w:pPr>
              <w:spacing w:before="24" w:after="24" w:line="300" w:lineRule="exact"/>
              <w:jc w:val="center"/>
              <w:rPr>
                <w:rFonts w:ascii="Times New Roman"/>
                <w:snapToGrid w:val="0"/>
                <w:color w:val="auto"/>
                <w:kern w:val="21"/>
                <w:sz w:val="21"/>
                <w:szCs w:val="21"/>
                <w:highlight w:val="none"/>
              </w:rPr>
            </w:pPr>
            <w:r>
              <w:rPr>
                <w:rFonts w:ascii="Times New Roman"/>
                <w:snapToGrid w:val="0"/>
                <w:color w:val="auto"/>
                <w:kern w:val="21"/>
                <w:sz w:val="21"/>
                <w:szCs w:val="21"/>
              </w:rPr>
              <w:t>/</w:t>
            </w:r>
          </w:p>
        </w:tc>
        <w:tc>
          <w:tcPr>
            <w:tcW w:w="1701" w:type="dxa"/>
            <w:tcBorders>
              <w:top w:val="single" w:color="auto" w:sz="4" w:space="0"/>
              <w:bottom w:val="single" w:color="auto" w:sz="4" w:space="0"/>
            </w:tcBorders>
            <w:vAlign w:val="center"/>
          </w:tcPr>
          <w:p w14:paraId="6653F417">
            <w:pPr>
              <w:spacing w:before="24" w:after="24" w:line="300" w:lineRule="exact"/>
              <w:jc w:val="center"/>
              <w:rPr>
                <w:rFonts w:ascii="Times New Roman"/>
                <w:snapToGrid w:val="0"/>
                <w:color w:val="auto"/>
                <w:kern w:val="21"/>
                <w:sz w:val="21"/>
                <w:szCs w:val="21"/>
                <w:highlight w:val="none"/>
              </w:rPr>
            </w:pPr>
            <w:r>
              <w:rPr>
                <w:rFonts w:ascii="Times New Roman"/>
                <w:snapToGrid w:val="0"/>
                <w:color w:val="auto"/>
                <w:kern w:val="21"/>
                <w:sz w:val="21"/>
                <w:szCs w:val="21"/>
              </w:rPr>
              <w:t>/</w:t>
            </w:r>
          </w:p>
        </w:tc>
        <w:tc>
          <w:tcPr>
            <w:tcW w:w="1559" w:type="dxa"/>
            <w:tcBorders>
              <w:top w:val="single" w:color="auto" w:sz="4" w:space="0"/>
              <w:bottom w:val="single" w:color="auto" w:sz="4" w:space="0"/>
            </w:tcBorders>
            <w:vAlign w:val="center"/>
          </w:tcPr>
          <w:p w14:paraId="0F2565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ascii="Times New Roman"/>
                <w:color w:val="auto"/>
                <w:sz w:val="21"/>
                <w:szCs w:val="21"/>
                <w:highlight w:val="yellow"/>
              </w:rPr>
            </w:pPr>
            <w:r>
              <w:rPr>
                <w:rFonts w:hint="eastAsia" w:cs="Times New Roman"/>
                <w:color w:val="auto"/>
                <w:sz w:val="21"/>
                <w:szCs w:val="21"/>
                <w:highlight w:val="none"/>
                <w:lang w:val="en-US" w:eastAsia="zh-CN"/>
              </w:rPr>
              <w:t>0</w:t>
            </w:r>
          </w:p>
        </w:tc>
        <w:tc>
          <w:tcPr>
            <w:tcW w:w="1761" w:type="dxa"/>
            <w:tcBorders>
              <w:top w:val="single" w:color="auto" w:sz="4" w:space="0"/>
              <w:bottom w:val="single" w:color="auto" w:sz="4" w:space="0"/>
            </w:tcBorders>
            <w:vAlign w:val="center"/>
          </w:tcPr>
          <w:p w14:paraId="1F62FB65">
            <w:pPr>
              <w:spacing w:before="24" w:after="24" w:line="300" w:lineRule="exact"/>
              <w:jc w:val="center"/>
              <w:rPr>
                <w:rFonts w:ascii="Times New Roman"/>
                <w:color w:val="auto"/>
                <w:sz w:val="21"/>
                <w:szCs w:val="21"/>
                <w:highlight w:val="yellow"/>
              </w:rPr>
            </w:pPr>
            <w:r>
              <w:rPr>
                <w:rFonts w:ascii="Times New Roman"/>
                <w:snapToGrid w:val="0"/>
                <w:color w:val="auto"/>
                <w:kern w:val="21"/>
                <w:sz w:val="21"/>
                <w:szCs w:val="21"/>
              </w:rPr>
              <w:t>/</w:t>
            </w:r>
          </w:p>
        </w:tc>
        <w:tc>
          <w:tcPr>
            <w:tcW w:w="1499" w:type="dxa"/>
            <w:tcBorders>
              <w:top w:val="single" w:color="auto" w:sz="4" w:space="0"/>
              <w:bottom w:val="single" w:color="auto" w:sz="4" w:space="0"/>
            </w:tcBorders>
            <w:vAlign w:val="center"/>
          </w:tcPr>
          <w:p w14:paraId="677BC9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yellow"/>
                <w:lang w:val="en-US" w:eastAsia="zh-CN"/>
              </w:rPr>
            </w:pPr>
            <w:r>
              <w:rPr>
                <w:rFonts w:hint="eastAsia" w:cs="Times New Roman"/>
                <w:color w:val="auto"/>
                <w:sz w:val="21"/>
                <w:szCs w:val="21"/>
                <w:highlight w:val="none"/>
                <w:lang w:val="en-US" w:eastAsia="zh-CN"/>
              </w:rPr>
              <w:t>0.05</w:t>
            </w:r>
          </w:p>
        </w:tc>
        <w:tc>
          <w:tcPr>
            <w:tcW w:w="1286" w:type="dxa"/>
            <w:tcBorders>
              <w:top w:val="single" w:color="auto" w:sz="4" w:space="0"/>
              <w:bottom w:val="single" w:color="auto" w:sz="4" w:space="0"/>
            </w:tcBorders>
            <w:vAlign w:val="center"/>
          </w:tcPr>
          <w:p w14:paraId="44F320E2">
            <w:pPr>
              <w:adjustRightInd w:val="0"/>
              <w:snapToGrid w:val="0"/>
              <w:jc w:val="center"/>
              <w:rPr>
                <w:rFonts w:hint="default" w:ascii="Times New Roman" w:eastAsia="宋体"/>
                <w:snapToGrid w:val="0"/>
                <w:color w:val="auto"/>
                <w:kern w:val="21"/>
                <w:sz w:val="21"/>
                <w:szCs w:val="21"/>
                <w:highlight w:val="yellow"/>
                <w:lang w:val="en-US" w:eastAsia="zh-CN"/>
              </w:rPr>
            </w:pPr>
            <w:r>
              <w:rPr>
                <w:rFonts w:hint="eastAsia" w:ascii="Times New Roman" w:hAnsi="Times New Roman" w:cs="Times New Roman"/>
                <w:bCs/>
                <w:color w:val="auto"/>
                <w:kern w:val="21"/>
                <w:sz w:val="21"/>
                <w:szCs w:val="21"/>
                <w:lang w:val="en-US" w:eastAsia="zh-CN"/>
              </w:rPr>
              <w:t>+1.0</w:t>
            </w:r>
          </w:p>
        </w:tc>
      </w:tr>
    </w:tbl>
    <w:p w14:paraId="23A113CA">
      <w:pPr>
        <w:rPr>
          <w:color w:val="auto"/>
        </w:rPr>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4142C029">
      <w:pPr>
        <w:spacing w:line="360" w:lineRule="auto"/>
        <w:rPr>
          <w:rFonts w:ascii="宋体" w:hAnsi="宋体"/>
          <w:b/>
          <w:bCs/>
          <w:color w:val="auto"/>
          <w:sz w:val="24"/>
          <w:highlight w:val="none"/>
        </w:rPr>
      </w:pPr>
      <w:r>
        <w:rPr>
          <w:rFonts w:hint="eastAsia" w:ascii="宋体" w:hAnsi="宋体"/>
          <w:b/>
          <w:bCs/>
          <w:color w:val="auto"/>
          <w:sz w:val="24"/>
          <w:highlight w:val="none"/>
        </w:rPr>
        <w:t>附图：</w:t>
      </w:r>
    </w:p>
    <w:p w14:paraId="04A491A8">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附图1项目地理位置图</w:t>
      </w:r>
    </w:p>
    <w:p w14:paraId="67DCC5A0">
      <w:pPr>
        <w:spacing w:line="360" w:lineRule="auto"/>
        <w:ind w:firstLine="48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rPr>
        <w:t>附图2</w:t>
      </w:r>
      <w:r>
        <w:rPr>
          <w:rFonts w:hint="eastAsia" w:cs="Times New Roman"/>
          <w:color w:val="auto"/>
          <w:sz w:val="24"/>
          <w:szCs w:val="24"/>
          <w:lang w:val="en-US" w:eastAsia="zh-CN"/>
        </w:rPr>
        <w:t>大英县城市总体规划图</w:t>
      </w:r>
    </w:p>
    <w:p w14:paraId="72603725">
      <w:pPr>
        <w:spacing w:line="360" w:lineRule="auto"/>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附图3</w:t>
      </w:r>
      <w:r>
        <w:rPr>
          <w:rFonts w:hint="eastAsia" w:cs="Times New Roman"/>
          <w:color w:val="auto"/>
          <w:sz w:val="24"/>
          <w:szCs w:val="24"/>
          <w:lang w:val="en-US" w:eastAsia="zh-CN"/>
        </w:rPr>
        <w:t>大英县工业集中发展区规划图</w:t>
      </w:r>
    </w:p>
    <w:p w14:paraId="17671026">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附图4</w:t>
      </w:r>
      <w:r>
        <w:rPr>
          <w:rFonts w:hint="default"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项目所在厂区总平面布置图</w:t>
      </w:r>
    </w:p>
    <w:p w14:paraId="381CCB2A">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附图4</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扩建前</w:t>
      </w:r>
      <w:r>
        <w:rPr>
          <w:rFonts w:hint="eastAsia" w:cs="Times New Roman"/>
          <w:color w:val="auto"/>
          <w:sz w:val="24"/>
          <w:szCs w:val="24"/>
          <w:lang w:val="en-US" w:eastAsia="zh-CN"/>
        </w:rPr>
        <w:t>1#车间平面布置及环保设施位置图</w:t>
      </w:r>
    </w:p>
    <w:p w14:paraId="32F1D063">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3扩建</w:t>
      </w:r>
      <w:r>
        <w:rPr>
          <w:rFonts w:hint="eastAsia" w:cs="Times New Roman"/>
          <w:color w:val="auto"/>
          <w:sz w:val="24"/>
          <w:szCs w:val="24"/>
          <w:lang w:val="en-US" w:eastAsia="zh-CN"/>
        </w:rPr>
        <w:t>后1#车间平面布置及环保设施位置图</w:t>
      </w:r>
    </w:p>
    <w:p w14:paraId="47A5155E">
      <w:pPr>
        <w:spacing w:line="360" w:lineRule="auto"/>
        <w:ind w:firstLine="48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rPr>
        <w:t>附图4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 xml:space="preserve">4 </w:t>
      </w:r>
      <w:r>
        <w:rPr>
          <w:rFonts w:hint="eastAsia" w:cs="Times New Roman"/>
          <w:color w:val="auto"/>
          <w:sz w:val="24"/>
          <w:szCs w:val="24"/>
          <w:lang w:val="en-US" w:eastAsia="zh-CN"/>
        </w:rPr>
        <w:t>2#车间平面布置及分区防渗图</w:t>
      </w:r>
    </w:p>
    <w:p w14:paraId="6437A34F">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附图</w:t>
      </w:r>
      <w:r>
        <w:rPr>
          <w:rFonts w:hint="default" w:ascii="Times New Roman" w:hAnsi="Times New Roman" w:eastAsia="宋体" w:cs="Times New Roman"/>
          <w:color w:val="auto"/>
          <w:sz w:val="24"/>
          <w:szCs w:val="24"/>
          <w:lang w:val="en-US" w:eastAsia="zh-CN"/>
        </w:rPr>
        <w:t>5</w:t>
      </w:r>
      <w:r>
        <w:rPr>
          <w:rFonts w:hint="eastAsia" w:cs="Times New Roman"/>
          <w:color w:val="auto"/>
          <w:sz w:val="24"/>
          <w:szCs w:val="24"/>
          <w:lang w:val="en-US" w:eastAsia="zh-CN"/>
        </w:rPr>
        <w:t xml:space="preserve">  外环境关系图</w:t>
      </w:r>
    </w:p>
    <w:p w14:paraId="1FA7900A">
      <w:pPr>
        <w:spacing w:line="360" w:lineRule="auto"/>
        <w:ind w:firstLine="480" w:firstLineChars="200"/>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color w:val="auto"/>
          <w:sz w:val="24"/>
          <w:szCs w:val="24"/>
        </w:rPr>
        <w:t>附图</w:t>
      </w:r>
      <w:r>
        <w:rPr>
          <w:rFonts w:hint="eastAsia" w:ascii="Times New Roman" w:hAnsi="Times New Roman" w:eastAsia="宋体" w:cs="Times New Roman"/>
          <w:color w:val="auto"/>
          <w:sz w:val="24"/>
          <w:szCs w:val="24"/>
          <w:lang w:val="en-US" w:eastAsia="zh-CN"/>
        </w:rPr>
        <w:t>6</w:t>
      </w:r>
      <w:r>
        <w:rPr>
          <w:rFonts w:hint="eastAsia" w:cs="Times New Roman"/>
          <w:color w:val="auto"/>
          <w:sz w:val="24"/>
          <w:szCs w:val="24"/>
          <w:lang w:val="en-US" w:eastAsia="zh-CN"/>
        </w:rPr>
        <w:t>大气</w:t>
      </w:r>
      <w:r>
        <w:rPr>
          <w:rFonts w:hint="default" w:ascii="Times New Roman" w:hAnsi="Times New Roman" w:eastAsia="宋体" w:cs="Times New Roman"/>
          <w:color w:val="auto"/>
          <w:sz w:val="24"/>
          <w:szCs w:val="24"/>
          <w:lang w:val="en-US" w:eastAsia="zh-CN"/>
        </w:rPr>
        <w:t>监测布点图（引用）</w:t>
      </w:r>
    </w:p>
    <w:p w14:paraId="79BEE503">
      <w:pPr>
        <w:spacing w:line="360" w:lineRule="auto"/>
        <w:rPr>
          <w:rFonts w:ascii="宋体" w:hAnsi="宋体"/>
          <w:b/>
          <w:bCs/>
          <w:color w:val="auto"/>
          <w:sz w:val="24"/>
          <w:highlight w:val="none"/>
        </w:rPr>
      </w:pPr>
      <w:r>
        <w:rPr>
          <w:rFonts w:hint="default" w:ascii="Times New Roman" w:hAnsi="Times New Roman" w:eastAsia="宋体" w:cs="Times New Roman"/>
          <w:b/>
          <w:color w:val="auto"/>
          <w:sz w:val="24"/>
          <w:szCs w:val="24"/>
          <w:lang w:val="en-US" w:eastAsia="zh-CN"/>
        </w:rPr>
        <w:t xml:space="preserve">   </w:t>
      </w:r>
      <w:r>
        <w:rPr>
          <w:rFonts w:hint="eastAsia" w:ascii="宋体" w:hAnsi="宋体"/>
          <w:b/>
          <w:bCs/>
          <w:color w:val="auto"/>
          <w:sz w:val="24"/>
          <w:highlight w:val="none"/>
        </w:rPr>
        <w:t>附件：</w:t>
      </w:r>
    </w:p>
    <w:p w14:paraId="50CBB423">
      <w:pPr>
        <w:spacing w:line="360" w:lineRule="auto"/>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附件1</w:t>
      </w:r>
      <w:r>
        <w:rPr>
          <w:rFonts w:hint="default" w:ascii="Times New Roman" w:hAnsi="Times New Roman" w:eastAsia="宋体" w:cs="Times New Roman"/>
          <w:color w:val="auto"/>
          <w:sz w:val="24"/>
          <w:szCs w:val="24"/>
          <w:lang w:eastAsia="zh-CN"/>
        </w:rPr>
        <w:t>环评</w:t>
      </w:r>
      <w:r>
        <w:rPr>
          <w:rFonts w:hint="default" w:ascii="Times New Roman" w:hAnsi="Times New Roman" w:eastAsia="宋体" w:cs="Times New Roman"/>
          <w:color w:val="auto"/>
          <w:sz w:val="24"/>
          <w:szCs w:val="24"/>
        </w:rPr>
        <w:t>委托书</w:t>
      </w:r>
    </w:p>
    <w:p w14:paraId="630EF113">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附件2</w:t>
      </w:r>
      <w:r>
        <w:rPr>
          <w:rFonts w:hint="default" w:ascii="Times New Roman" w:hAnsi="Times New Roman" w:eastAsia="宋体" w:cs="Times New Roman"/>
          <w:color w:val="auto"/>
          <w:sz w:val="24"/>
          <w:szCs w:val="24"/>
          <w:lang w:val="en-US" w:eastAsia="zh-CN"/>
        </w:rPr>
        <w:t xml:space="preserve">四川省固定资产投资项目备案表 </w:t>
      </w:r>
    </w:p>
    <w:p w14:paraId="34908A14">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3营业执照</w:t>
      </w:r>
    </w:p>
    <w:p w14:paraId="1034E20B">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4厂房租赁合同及不动产权证</w:t>
      </w:r>
    </w:p>
    <w:p w14:paraId="3F476F4F">
      <w:pPr>
        <w:spacing w:line="360" w:lineRule="auto"/>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附件5</w:t>
      </w:r>
      <w:r>
        <w:rPr>
          <w:rFonts w:hint="default" w:ascii="Times New Roman" w:hAnsi="Times New Roman" w:eastAsia="宋体" w:cs="Times New Roman"/>
          <w:color w:val="auto"/>
          <w:sz w:val="24"/>
          <w:szCs w:val="24"/>
          <w:lang w:val="en-US" w:eastAsia="zh-CN"/>
        </w:rPr>
        <w:t>高端塑胶外包装容器制造项目环评批复、验收意见</w:t>
      </w:r>
    </w:p>
    <w:p w14:paraId="3A90A484">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附件6</w:t>
      </w:r>
      <w:r>
        <w:rPr>
          <w:rFonts w:hint="eastAsia" w:cs="Times New Roman"/>
          <w:color w:val="auto"/>
          <w:sz w:val="24"/>
          <w:szCs w:val="24"/>
          <w:lang w:val="en-US" w:eastAsia="zh-CN"/>
        </w:rPr>
        <w:t xml:space="preserve"> 例行检测报告</w:t>
      </w:r>
    </w:p>
    <w:p w14:paraId="413E345B">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7排污登记回执</w:t>
      </w:r>
    </w:p>
    <w:p w14:paraId="402A01C0">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8-1水性胶粘剂MSDS</w:t>
      </w:r>
    </w:p>
    <w:p w14:paraId="38A6EFBD">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8-2水性胶粘剂检测报告</w:t>
      </w:r>
    </w:p>
    <w:p w14:paraId="7F92B11B">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9 水性干式覆膜胶检测报告</w:t>
      </w:r>
    </w:p>
    <w:p w14:paraId="5082BA31">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10-1 水性光油MSDS</w:t>
      </w:r>
    </w:p>
    <w:p w14:paraId="5D0472C2">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10-2 水性光油</w:t>
      </w:r>
      <w:r>
        <w:rPr>
          <w:rFonts w:hint="default" w:ascii="Times New Roman" w:hAnsi="Times New Roman" w:eastAsia="宋体" w:cs="Times New Roman"/>
          <w:color w:val="auto"/>
          <w:sz w:val="24"/>
          <w:szCs w:val="24"/>
          <w:lang w:val="en-US" w:eastAsia="zh-CN"/>
        </w:rPr>
        <w:t>检测报告</w:t>
      </w:r>
    </w:p>
    <w:p w14:paraId="72051BDE">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11-1 UV油墨MSDS</w:t>
      </w:r>
    </w:p>
    <w:p w14:paraId="64F62840">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11-2 UV油墨</w:t>
      </w:r>
      <w:r>
        <w:rPr>
          <w:rFonts w:hint="default" w:ascii="Times New Roman" w:hAnsi="Times New Roman" w:eastAsia="宋体" w:cs="Times New Roman"/>
          <w:color w:val="auto"/>
          <w:sz w:val="24"/>
          <w:szCs w:val="24"/>
          <w:lang w:val="en-US" w:eastAsia="zh-CN"/>
        </w:rPr>
        <w:t>检测报告</w:t>
      </w:r>
    </w:p>
    <w:p w14:paraId="2F37E586">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12-1水性喷墨MSDS</w:t>
      </w:r>
    </w:p>
    <w:p w14:paraId="238D8127">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12-2水性喷墨检测报告</w:t>
      </w:r>
    </w:p>
    <w:p w14:paraId="0527DEC9">
      <w:pPr>
        <w:spacing w:line="360" w:lineRule="auto"/>
        <w:ind w:left="1199" w:leftChars="228" w:hanging="720" w:hangingChars="3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w:t>
      </w:r>
      <w:r>
        <w:rPr>
          <w:rFonts w:hint="eastAsia" w:cs="Times New Roman"/>
          <w:color w:val="auto"/>
          <w:sz w:val="24"/>
          <w:szCs w:val="24"/>
          <w:lang w:val="en-US" w:eastAsia="zh-CN"/>
        </w:rPr>
        <w:t>13 引用环境空气监测报告</w:t>
      </w:r>
    </w:p>
    <w:p w14:paraId="565BECE0">
      <w:pPr>
        <w:spacing w:line="360" w:lineRule="auto"/>
        <w:ind w:firstLine="480"/>
        <w:rPr>
          <w:color w:val="auto"/>
          <w:sz w:val="24"/>
        </w:rPr>
      </w:pPr>
      <w:r>
        <w:rPr>
          <w:rFonts w:hint="default" w:ascii="Times New Roman" w:hAnsi="Times New Roman" w:eastAsia="宋体" w:cs="Times New Roman"/>
          <w:color w:val="auto"/>
          <w:sz w:val="24"/>
          <w:szCs w:val="24"/>
        </w:rPr>
        <w:t>附件</w:t>
      </w:r>
      <w:r>
        <w:rPr>
          <w:rFonts w:hint="eastAsia" w:cs="Times New Roman"/>
          <w:color w:val="auto"/>
          <w:sz w:val="24"/>
          <w:szCs w:val="24"/>
          <w:lang w:val="en-US" w:eastAsia="zh-CN"/>
        </w:rPr>
        <w:t>14</w:t>
      </w:r>
      <w:r>
        <w:rPr>
          <w:rFonts w:hint="default" w:ascii="Times New Roman" w:hAnsi="Times New Roman" w:eastAsia="宋体" w:cs="Times New Roman"/>
          <w:color w:val="auto"/>
          <w:sz w:val="24"/>
          <w:szCs w:val="24"/>
          <w:lang w:val="en-US" w:eastAsia="zh-CN"/>
        </w:rPr>
        <w:t>英经开区规划环评审查意见</w:t>
      </w:r>
    </w:p>
    <w:sectPr>
      <w:footerReference r:id="rId8"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_GBK">
    <w:altName w:val="微软雅黑"/>
    <w:panose1 w:val="02000000000000000000"/>
    <w:charset w:val="86"/>
    <w:family w:val="script"/>
    <w:pitch w:val="default"/>
    <w:sig w:usb0="00000000" w:usb1="00000000" w:usb2="00082016" w:usb3="00000000" w:csb0="00040001" w:csb1="00000000"/>
  </w:font>
  <w:font w:name="Arial Unicode MS">
    <w:altName w:val="宋体"/>
    <w:panose1 w:val="020B0604020202020204"/>
    <w:charset w:val="86"/>
    <w:family w:val="auto"/>
    <w:pitch w:val="default"/>
    <w:sig w:usb0="00000000" w:usb1="00000000" w:usb2="0000007F" w:usb3="00000000" w:csb0="203F01FF" w:csb1="DFFF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roman"/>
    <w:pitch w:val="default"/>
    <w:sig w:usb0="00000000" w:usb1="00000000" w:usb2="00000000" w:usb3="00000000" w:csb0="00000001" w:csb1="00000000"/>
  </w:font>
  <w:font w:name="Times New Roman Regular">
    <w:altName w:val="Times New Roman"/>
    <w:panose1 w:val="02020803070505020304"/>
    <w:charset w:val="00"/>
    <w:family w:val="auto"/>
    <w:pitch w:val="default"/>
    <w:sig w:usb0="00000000" w:usb1="00000000" w:usb2="00000009" w:usb3="00000000" w:csb0="400001FF" w:csb1="FFFF0000"/>
  </w:font>
  <w:font w:name="Cambria Math">
    <w:panose1 w:val="02040503050406030204"/>
    <w:charset w:val="00"/>
    <w:family w:val="roman"/>
    <w:pitch w:val="default"/>
    <w:sig w:usb0="E00006FF" w:usb1="420024FF" w:usb2="02000000" w:usb3="00000000" w:csb0="2000019F" w:csb1="00000000"/>
  </w:font>
  <w:font w:name="SimSun,Bold">
    <w:altName w:val="宋体"/>
    <w:panose1 w:val="00000000000000000000"/>
    <w:charset w:val="86"/>
    <w:family w:val="auto"/>
    <w:pitch w:val="default"/>
    <w:sig w:usb0="00000000" w:usb1="0000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F7A50">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C8028">
    <w:pPr>
      <w:pStyle w:val="16"/>
      <w:framePr w:wrap="around" w:vAnchor="text" w:hAnchor="margin" w:xAlign="center" w:y="1"/>
      <w:rPr>
        <w:rStyle w:val="29"/>
      </w:rPr>
    </w:pPr>
    <w:r>
      <w:fldChar w:fldCharType="begin"/>
    </w:r>
    <w:r>
      <w:rPr>
        <w:rStyle w:val="29"/>
      </w:rPr>
      <w:instrText xml:space="preserve">PAGE  </w:instrText>
    </w:r>
    <w:r>
      <w:fldChar w:fldCharType="end"/>
    </w:r>
  </w:p>
  <w:p w14:paraId="0C0B3D14">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FA327">
    <w:pPr>
      <w:pStyle w:val="16"/>
      <w:ind w:right="360" w:firstLine="360"/>
      <w:jc w:val="center"/>
    </w:pPr>
    <w:r>
      <w:fldChar w:fldCharType="begin"/>
    </w:r>
    <w:r>
      <w:instrText xml:space="preserve">PAGE   \* MERGEFORMAT</w:instrText>
    </w:r>
    <w:r>
      <w:fldChar w:fldCharType="separate"/>
    </w:r>
    <w:r>
      <w:rPr>
        <w:lang w:val="zh-CN"/>
      </w:rPr>
      <w:t>69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F38CE">
    <w:pPr>
      <w:pStyle w:val="16"/>
      <w:jc w:val="center"/>
    </w:pPr>
    <w:r>
      <w:fldChar w:fldCharType="begin"/>
    </w:r>
    <w:r>
      <w:instrText xml:space="preserve">PAGE   \* MERGEFORMAT</w:instrText>
    </w:r>
    <w:r>
      <w:fldChar w:fldCharType="separate"/>
    </w:r>
    <w:r>
      <w:rPr>
        <w:lang w:val="zh-CN"/>
      </w:rPr>
      <w:t>95</w:t>
    </w:r>
    <w:r>
      <w:fldChar w:fldCharType="end"/>
    </w:r>
  </w:p>
  <w:p w14:paraId="1227F30C">
    <w:pPr>
      <w:pStyle w:val="16"/>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9E551">
    <w:pPr>
      <w:pStyle w:val="16"/>
      <w:jc w:val="center"/>
    </w:pPr>
    <w:r>
      <w:fldChar w:fldCharType="begin"/>
    </w:r>
    <w:r>
      <w:instrText xml:space="preserve">PAGE   \* MERGEFORMAT</w:instrText>
    </w:r>
    <w:r>
      <w:fldChar w:fldCharType="separate"/>
    </w:r>
    <w:r>
      <w:rPr>
        <w:lang w:val="zh-CN"/>
      </w:rPr>
      <w:t>97</w:t>
    </w:r>
    <w:r>
      <w:fldChar w:fldCharType="end"/>
    </w:r>
  </w:p>
  <w:p w14:paraId="64813B9F">
    <w:pPr>
      <w:pStyle w:val="16"/>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D91E6">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715AD"/>
    <w:multiLevelType w:val="multilevel"/>
    <w:tmpl w:val="08F715AD"/>
    <w:lvl w:ilvl="0" w:tentative="0">
      <w:start w:val="1"/>
      <w:numFmt w:val="decimal"/>
      <w:lvlText w:val="%1、"/>
      <w:lvlJc w:val="left"/>
      <w:pPr>
        <w:ind w:left="857" w:hanging="375"/>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
    <w:nsid w:val="113A1E02"/>
    <w:multiLevelType w:val="multilevel"/>
    <w:tmpl w:val="113A1E02"/>
    <w:lvl w:ilvl="0" w:tentative="0">
      <w:start w:val="1"/>
      <w:numFmt w:val="decimal"/>
      <w:lvlText w:val="%1、"/>
      <w:lvlJc w:val="left"/>
      <w:pPr>
        <w:ind w:left="857" w:hanging="375"/>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
    <w:nsid w:val="3EA0223C"/>
    <w:multiLevelType w:val="singleLevel"/>
    <w:tmpl w:val="3EA0223C"/>
    <w:lvl w:ilvl="0" w:tentative="0">
      <w:start w:val="2"/>
      <w:numFmt w:val="chineseCounting"/>
      <w:suff w:val="nothing"/>
      <w:lvlText w:val="%1、"/>
      <w:lvlJc w:val="left"/>
      <w:rPr>
        <w:rFonts w:hint="eastAsia"/>
      </w:rPr>
    </w:lvl>
  </w:abstractNum>
  <w:abstractNum w:abstractNumId="3">
    <w:nsid w:val="55D13542"/>
    <w:multiLevelType w:val="singleLevel"/>
    <w:tmpl w:val="55D13542"/>
    <w:lvl w:ilvl="0" w:tentative="0">
      <w:start w:val="1"/>
      <w:numFmt w:val="upperLetter"/>
      <w:suff w:val="nothing"/>
      <w:lvlText w:val="%1、"/>
      <w:lvlJc w:val="left"/>
    </w:lvl>
  </w:abstractNum>
  <w:abstractNum w:abstractNumId="4">
    <w:nsid w:val="689A2AA2"/>
    <w:multiLevelType w:val="multilevel"/>
    <w:tmpl w:val="689A2AA2"/>
    <w:lvl w:ilvl="0" w:tentative="0">
      <w:start w:val="1"/>
      <w:numFmt w:val="decimal"/>
      <w:lvlText w:val="%1"/>
      <w:lvlJc w:val="left"/>
      <w:pPr>
        <w:ind w:left="425" w:hanging="425"/>
      </w:pPr>
      <w:rPr>
        <w:rFonts w:hint="eastAsia"/>
      </w:rPr>
    </w:lvl>
    <w:lvl w:ilvl="1" w:tentative="0">
      <w:start w:val="1"/>
      <w:numFmt w:val="decimal"/>
      <w:lvlText w:val="表%1-%2"/>
      <w:lvlJc w:val="left"/>
      <w:pPr>
        <w:ind w:left="992" w:hanging="567"/>
      </w:pPr>
      <w:rPr>
        <w:rFonts w:hint="eastAsia"/>
        <w:b/>
        <w:bCs/>
        <w:sz w:val="21"/>
        <w:szCs w:val="21"/>
        <w:lang w:val="en-US"/>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I0YTU5YTcxMDFmZWRmNWFlZDQxYTBiM2FkNmIzMmYifQ=="/>
  </w:docVars>
  <w:rsids>
    <w:rsidRoot w:val="00A14947"/>
    <w:rsid w:val="00000426"/>
    <w:rsid w:val="00000A53"/>
    <w:rsid w:val="00000E2B"/>
    <w:rsid w:val="0000229F"/>
    <w:rsid w:val="000033A9"/>
    <w:rsid w:val="00003C68"/>
    <w:rsid w:val="00004550"/>
    <w:rsid w:val="00005CA1"/>
    <w:rsid w:val="000060B3"/>
    <w:rsid w:val="00007C6C"/>
    <w:rsid w:val="00007ED5"/>
    <w:rsid w:val="00010554"/>
    <w:rsid w:val="000108CF"/>
    <w:rsid w:val="000116B0"/>
    <w:rsid w:val="00011D79"/>
    <w:rsid w:val="00012724"/>
    <w:rsid w:val="000129D7"/>
    <w:rsid w:val="000130FE"/>
    <w:rsid w:val="00015DCE"/>
    <w:rsid w:val="00016843"/>
    <w:rsid w:val="00016F7E"/>
    <w:rsid w:val="00017570"/>
    <w:rsid w:val="00017673"/>
    <w:rsid w:val="00017FDB"/>
    <w:rsid w:val="0002006D"/>
    <w:rsid w:val="00020EEF"/>
    <w:rsid w:val="000211E0"/>
    <w:rsid w:val="00021783"/>
    <w:rsid w:val="00022351"/>
    <w:rsid w:val="00022612"/>
    <w:rsid w:val="00022EBB"/>
    <w:rsid w:val="0002305B"/>
    <w:rsid w:val="00024512"/>
    <w:rsid w:val="00024EDD"/>
    <w:rsid w:val="0002501D"/>
    <w:rsid w:val="000251E7"/>
    <w:rsid w:val="00027225"/>
    <w:rsid w:val="00027551"/>
    <w:rsid w:val="000310D5"/>
    <w:rsid w:val="00031306"/>
    <w:rsid w:val="00031FCB"/>
    <w:rsid w:val="00032BC7"/>
    <w:rsid w:val="00032F88"/>
    <w:rsid w:val="0003304A"/>
    <w:rsid w:val="00034633"/>
    <w:rsid w:val="0003512E"/>
    <w:rsid w:val="000363E2"/>
    <w:rsid w:val="00037526"/>
    <w:rsid w:val="00037E03"/>
    <w:rsid w:val="00041A04"/>
    <w:rsid w:val="00043545"/>
    <w:rsid w:val="0004364B"/>
    <w:rsid w:val="000436EA"/>
    <w:rsid w:val="000437B0"/>
    <w:rsid w:val="000438CD"/>
    <w:rsid w:val="00043A59"/>
    <w:rsid w:val="00044CDA"/>
    <w:rsid w:val="00045540"/>
    <w:rsid w:val="00046587"/>
    <w:rsid w:val="00047BA3"/>
    <w:rsid w:val="00047E16"/>
    <w:rsid w:val="00050185"/>
    <w:rsid w:val="00051122"/>
    <w:rsid w:val="00051DFA"/>
    <w:rsid w:val="00052132"/>
    <w:rsid w:val="00052239"/>
    <w:rsid w:val="00052908"/>
    <w:rsid w:val="00052E23"/>
    <w:rsid w:val="00053083"/>
    <w:rsid w:val="000531E7"/>
    <w:rsid w:val="0005352A"/>
    <w:rsid w:val="00053628"/>
    <w:rsid w:val="00053B05"/>
    <w:rsid w:val="00053F78"/>
    <w:rsid w:val="00055AE2"/>
    <w:rsid w:val="00055DC3"/>
    <w:rsid w:val="00057195"/>
    <w:rsid w:val="00060965"/>
    <w:rsid w:val="00060AB3"/>
    <w:rsid w:val="00061B1F"/>
    <w:rsid w:val="0006370D"/>
    <w:rsid w:val="00063BFA"/>
    <w:rsid w:val="00063EF6"/>
    <w:rsid w:val="000645E7"/>
    <w:rsid w:val="00064E04"/>
    <w:rsid w:val="00064F8A"/>
    <w:rsid w:val="00066777"/>
    <w:rsid w:val="0006683B"/>
    <w:rsid w:val="00066ABF"/>
    <w:rsid w:val="00067699"/>
    <w:rsid w:val="000706F6"/>
    <w:rsid w:val="000715B5"/>
    <w:rsid w:val="000723DE"/>
    <w:rsid w:val="000733C4"/>
    <w:rsid w:val="000744BA"/>
    <w:rsid w:val="000746E9"/>
    <w:rsid w:val="00074783"/>
    <w:rsid w:val="000757E9"/>
    <w:rsid w:val="0007584A"/>
    <w:rsid w:val="0008070B"/>
    <w:rsid w:val="000810AC"/>
    <w:rsid w:val="00081273"/>
    <w:rsid w:val="000815B1"/>
    <w:rsid w:val="00081A02"/>
    <w:rsid w:val="00082141"/>
    <w:rsid w:val="00082231"/>
    <w:rsid w:val="000823A5"/>
    <w:rsid w:val="000829F2"/>
    <w:rsid w:val="0008397A"/>
    <w:rsid w:val="00084620"/>
    <w:rsid w:val="00084FCB"/>
    <w:rsid w:val="00085037"/>
    <w:rsid w:val="00086A4C"/>
    <w:rsid w:val="00086E9D"/>
    <w:rsid w:val="000904BF"/>
    <w:rsid w:val="00090F96"/>
    <w:rsid w:val="000915E9"/>
    <w:rsid w:val="000921C2"/>
    <w:rsid w:val="000928FC"/>
    <w:rsid w:val="00092C32"/>
    <w:rsid w:val="00092D38"/>
    <w:rsid w:val="0009377B"/>
    <w:rsid w:val="0009397F"/>
    <w:rsid w:val="0009409E"/>
    <w:rsid w:val="0009490B"/>
    <w:rsid w:val="00094E85"/>
    <w:rsid w:val="00095AA9"/>
    <w:rsid w:val="00096032"/>
    <w:rsid w:val="000965BC"/>
    <w:rsid w:val="000A0035"/>
    <w:rsid w:val="000A07D3"/>
    <w:rsid w:val="000A08E6"/>
    <w:rsid w:val="000A105D"/>
    <w:rsid w:val="000A20C9"/>
    <w:rsid w:val="000A2683"/>
    <w:rsid w:val="000A2BA0"/>
    <w:rsid w:val="000A2F28"/>
    <w:rsid w:val="000A3407"/>
    <w:rsid w:val="000A59B0"/>
    <w:rsid w:val="000A5AD4"/>
    <w:rsid w:val="000A65CD"/>
    <w:rsid w:val="000A6683"/>
    <w:rsid w:val="000A742A"/>
    <w:rsid w:val="000A7C52"/>
    <w:rsid w:val="000B058F"/>
    <w:rsid w:val="000B1BC3"/>
    <w:rsid w:val="000B38F3"/>
    <w:rsid w:val="000B4467"/>
    <w:rsid w:val="000B453D"/>
    <w:rsid w:val="000B4BBC"/>
    <w:rsid w:val="000B4DAE"/>
    <w:rsid w:val="000B4DB9"/>
    <w:rsid w:val="000B5911"/>
    <w:rsid w:val="000B6640"/>
    <w:rsid w:val="000B7EED"/>
    <w:rsid w:val="000C09AC"/>
    <w:rsid w:val="000C0CDD"/>
    <w:rsid w:val="000C1A15"/>
    <w:rsid w:val="000C24DB"/>
    <w:rsid w:val="000C282F"/>
    <w:rsid w:val="000C397E"/>
    <w:rsid w:val="000C419F"/>
    <w:rsid w:val="000C4B1E"/>
    <w:rsid w:val="000C4DA5"/>
    <w:rsid w:val="000C5214"/>
    <w:rsid w:val="000C6217"/>
    <w:rsid w:val="000C7134"/>
    <w:rsid w:val="000C74D6"/>
    <w:rsid w:val="000C767F"/>
    <w:rsid w:val="000C7F1C"/>
    <w:rsid w:val="000D02F6"/>
    <w:rsid w:val="000D094E"/>
    <w:rsid w:val="000D0BD5"/>
    <w:rsid w:val="000D1290"/>
    <w:rsid w:val="000D1E34"/>
    <w:rsid w:val="000D1F2E"/>
    <w:rsid w:val="000D3A39"/>
    <w:rsid w:val="000D4E25"/>
    <w:rsid w:val="000D5069"/>
    <w:rsid w:val="000D5A44"/>
    <w:rsid w:val="000D69C5"/>
    <w:rsid w:val="000D7D62"/>
    <w:rsid w:val="000E008E"/>
    <w:rsid w:val="000E0131"/>
    <w:rsid w:val="000E0F0E"/>
    <w:rsid w:val="000E1239"/>
    <w:rsid w:val="000E254E"/>
    <w:rsid w:val="000E2988"/>
    <w:rsid w:val="000E3ED2"/>
    <w:rsid w:val="000E3F4B"/>
    <w:rsid w:val="000E4A1F"/>
    <w:rsid w:val="000E53EA"/>
    <w:rsid w:val="000E5B88"/>
    <w:rsid w:val="000E5CEE"/>
    <w:rsid w:val="000E6379"/>
    <w:rsid w:val="000E6AE3"/>
    <w:rsid w:val="000E7CBE"/>
    <w:rsid w:val="000F0071"/>
    <w:rsid w:val="000F026B"/>
    <w:rsid w:val="000F14F5"/>
    <w:rsid w:val="000F2256"/>
    <w:rsid w:val="000F2334"/>
    <w:rsid w:val="000F2A81"/>
    <w:rsid w:val="000F36BA"/>
    <w:rsid w:val="000F3E44"/>
    <w:rsid w:val="000F4C74"/>
    <w:rsid w:val="000F4E16"/>
    <w:rsid w:val="000F5D1A"/>
    <w:rsid w:val="000F63B1"/>
    <w:rsid w:val="000F6AAA"/>
    <w:rsid w:val="001012BF"/>
    <w:rsid w:val="00102991"/>
    <w:rsid w:val="00102AB0"/>
    <w:rsid w:val="00102B1D"/>
    <w:rsid w:val="001033C7"/>
    <w:rsid w:val="00104C45"/>
    <w:rsid w:val="00104CBE"/>
    <w:rsid w:val="00105446"/>
    <w:rsid w:val="001060A8"/>
    <w:rsid w:val="00106258"/>
    <w:rsid w:val="001064BC"/>
    <w:rsid w:val="00106782"/>
    <w:rsid w:val="00107303"/>
    <w:rsid w:val="00107311"/>
    <w:rsid w:val="00107AB5"/>
    <w:rsid w:val="00110D1D"/>
    <w:rsid w:val="0011207D"/>
    <w:rsid w:val="00112353"/>
    <w:rsid w:val="00112B90"/>
    <w:rsid w:val="00112FD1"/>
    <w:rsid w:val="00113029"/>
    <w:rsid w:val="00113A8C"/>
    <w:rsid w:val="00113AD6"/>
    <w:rsid w:val="001146BA"/>
    <w:rsid w:val="00115344"/>
    <w:rsid w:val="00115513"/>
    <w:rsid w:val="00115728"/>
    <w:rsid w:val="001167A9"/>
    <w:rsid w:val="00117685"/>
    <w:rsid w:val="00117BC0"/>
    <w:rsid w:val="00117EBD"/>
    <w:rsid w:val="0012015E"/>
    <w:rsid w:val="00120268"/>
    <w:rsid w:val="00120EA1"/>
    <w:rsid w:val="00120EFB"/>
    <w:rsid w:val="001214BA"/>
    <w:rsid w:val="00121B13"/>
    <w:rsid w:val="00121DDA"/>
    <w:rsid w:val="00122256"/>
    <w:rsid w:val="0012280B"/>
    <w:rsid w:val="001229A0"/>
    <w:rsid w:val="00124B0E"/>
    <w:rsid w:val="0012632D"/>
    <w:rsid w:val="0012765D"/>
    <w:rsid w:val="0012777D"/>
    <w:rsid w:val="00127DD5"/>
    <w:rsid w:val="0013093F"/>
    <w:rsid w:val="00131C93"/>
    <w:rsid w:val="00131F42"/>
    <w:rsid w:val="0013465A"/>
    <w:rsid w:val="00134CB6"/>
    <w:rsid w:val="00134ECA"/>
    <w:rsid w:val="001357F1"/>
    <w:rsid w:val="00136208"/>
    <w:rsid w:val="00136A4B"/>
    <w:rsid w:val="0014054A"/>
    <w:rsid w:val="00140FA8"/>
    <w:rsid w:val="00141972"/>
    <w:rsid w:val="00141C79"/>
    <w:rsid w:val="00141E91"/>
    <w:rsid w:val="001420D4"/>
    <w:rsid w:val="001421B8"/>
    <w:rsid w:val="00142A28"/>
    <w:rsid w:val="00142A44"/>
    <w:rsid w:val="00142AA8"/>
    <w:rsid w:val="00142FEB"/>
    <w:rsid w:val="00143A2D"/>
    <w:rsid w:val="00144D02"/>
    <w:rsid w:val="00145A41"/>
    <w:rsid w:val="00147924"/>
    <w:rsid w:val="00147EDA"/>
    <w:rsid w:val="00150A5D"/>
    <w:rsid w:val="00151675"/>
    <w:rsid w:val="00151F8C"/>
    <w:rsid w:val="00151F99"/>
    <w:rsid w:val="00151FAD"/>
    <w:rsid w:val="00153B86"/>
    <w:rsid w:val="001566CD"/>
    <w:rsid w:val="00156E71"/>
    <w:rsid w:val="001570A2"/>
    <w:rsid w:val="00157435"/>
    <w:rsid w:val="001575DF"/>
    <w:rsid w:val="00160DC1"/>
    <w:rsid w:val="00161EA1"/>
    <w:rsid w:val="00161F23"/>
    <w:rsid w:val="00162CBE"/>
    <w:rsid w:val="00163FE0"/>
    <w:rsid w:val="001642A7"/>
    <w:rsid w:val="00164842"/>
    <w:rsid w:val="00165A4E"/>
    <w:rsid w:val="0016622D"/>
    <w:rsid w:val="0016642E"/>
    <w:rsid w:val="00170869"/>
    <w:rsid w:val="00170A67"/>
    <w:rsid w:val="00170EEC"/>
    <w:rsid w:val="00171590"/>
    <w:rsid w:val="0017166A"/>
    <w:rsid w:val="00171F7F"/>
    <w:rsid w:val="0017213B"/>
    <w:rsid w:val="0017229D"/>
    <w:rsid w:val="00172627"/>
    <w:rsid w:val="00173997"/>
    <w:rsid w:val="00173BC3"/>
    <w:rsid w:val="0017504D"/>
    <w:rsid w:val="001761AE"/>
    <w:rsid w:val="0017671A"/>
    <w:rsid w:val="00176BD0"/>
    <w:rsid w:val="00176F42"/>
    <w:rsid w:val="00177422"/>
    <w:rsid w:val="0017783F"/>
    <w:rsid w:val="00181967"/>
    <w:rsid w:val="00181A20"/>
    <w:rsid w:val="001821D8"/>
    <w:rsid w:val="00183572"/>
    <w:rsid w:val="00183697"/>
    <w:rsid w:val="00184590"/>
    <w:rsid w:val="00184632"/>
    <w:rsid w:val="001856BC"/>
    <w:rsid w:val="00185D1A"/>
    <w:rsid w:val="001864DF"/>
    <w:rsid w:val="001870D1"/>
    <w:rsid w:val="0018781E"/>
    <w:rsid w:val="00190068"/>
    <w:rsid w:val="00191C46"/>
    <w:rsid w:val="00191C59"/>
    <w:rsid w:val="00192176"/>
    <w:rsid w:val="0019262D"/>
    <w:rsid w:val="001929A0"/>
    <w:rsid w:val="0019416D"/>
    <w:rsid w:val="00194200"/>
    <w:rsid w:val="00194A64"/>
    <w:rsid w:val="00194C73"/>
    <w:rsid w:val="00195E91"/>
    <w:rsid w:val="00196C7D"/>
    <w:rsid w:val="0019749E"/>
    <w:rsid w:val="00197968"/>
    <w:rsid w:val="001979AB"/>
    <w:rsid w:val="00197E9A"/>
    <w:rsid w:val="001A02E8"/>
    <w:rsid w:val="001A167A"/>
    <w:rsid w:val="001A1B35"/>
    <w:rsid w:val="001A22D0"/>
    <w:rsid w:val="001A2490"/>
    <w:rsid w:val="001A27E7"/>
    <w:rsid w:val="001A48A2"/>
    <w:rsid w:val="001A48AE"/>
    <w:rsid w:val="001A573E"/>
    <w:rsid w:val="001A68F9"/>
    <w:rsid w:val="001A6D2B"/>
    <w:rsid w:val="001A6F61"/>
    <w:rsid w:val="001A7434"/>
    <w:rsid w:val="001A74C2"/>
    <w:rsid w:val="001A7C6E"/>
    <w:rsid w:val="001B14E8"/>
    <w:rsid w:val="001B2371"/>
    <w:rsid w:val="001B39E1"/>
    <w:rsid w:val="001B3D08"/>
    <w:rsid w:val="001B3FA3"/>
    <w:rsid w:val="001B406A"/>
    <w:rsid w:val="001B48FA"/>
    <w:rsid w:val="001B5273"/>
    <w:rsid w:val="001B52A3"/>
    <w:rsid w:val="001B6069"/>
    <w:rsid w:val="001B6179"/>
    <w:rsid w:val="001B65D6"/>
    <w:rsid w:val="001B71D3"/>
    <w:rsid w:val="001B72B8"/>
    <w:rsid w:val="001B7F11"/>
    <w:rsid w:val="001B7FC1"/>
    <w:rsid w:val="001C1FB3"/>
    <w:rsid w:val="001C1FFD"/>
    <w:rsid w:val="001C3659"/>
    <w:rsid w:val="001C3D9F"/>
    <w:rsid w:val="001C4330"/>
    <w:rsid w:val="001C4D05"/>
    <w:rsid w:val="001C58B9"/>
    <w:rsid w:val="001C66B9"/>
    <w:rsid w:val="001C69B3"/>
    <w:rsid w:val="001C6A8F"/>
    <w:rsid w:val="001C73DF"/>
    <w:rsid w:val="001C75AA"/>
    <w:rsid w:val="001C7868"/>
    <w:rsid w:val="001C7BE3"/>
    <w:rsid w:val="001D0CEC"/>
    <w:rsid w:val="001D0F2E"/>
    <w:rsid w:val="001D0FA9"/>
    <w:rsid w:val="001D1141"/>
    <w:rsid w:val="001D1D1E"/>
    <w:rsid w:val="001D241A"/>
    <w:rsid w:val="001D247A"/>
    <w:rsid w:val="001D27D4"/>
    <w:rsid w:val="001D3CAB"/>
    <w:rsid w:val="001D3CE8"/>
    <w:rsid w:val="001D4206"/>
    <w:rsid w:val="001D508B"/>
    <w:rsid w:val="001D5595"/>
    <w:rsid w:val="001D559B"/>
    <w:rsid w:val="001D6854"/>
    <w:rsid w:val="001D7874"/>
    <w:rsid w:val="001D7F22"/>
    <w:rsid w:val="001E0012"/>
    <w:rsid w:val="001E08CA"/>
    <w:rsid w:val="001E0AB3"/>
    <w:rsid w:val="001E1E3F"/>
    <w:rsid w:val="001E1EB9"/>
    <w:rsid w:val="001E1F45"/>
    <w:rsid w:val="001E2A82"/>
    <w:rsid w:val="001E3B42"/>
    <w:rsid w:val="001E5E0D"/>
    <w:rsid w:val="001E63DF"/>
    <w:rsid w:val="001E7914"/>
    <w:rsid w:val="001E7A8D"/>
    <w:rsid w:val="001E7E78"/>
    <w:rsid w:val="001F0A5D"/>
    <w:rsid w:val="001F0F17"/>
    <w:rsid w:val="001F208B"/>
    <w:rsid w:val="001F2729"/>
    <w:rsid w:val="001F2801"/>
    <w:rsid w:val="001F2FB8"/>
    <w:rsid w:val="001F3347"/>
    <w:rsid w:val="001F3414"/>
    <w:rsid w:val="001F3932"/>
    <w:rsid w:val="001F3963"/>
    <w:rsid w:val="001F3D09"/>
    <w:rsid w:val="001F3E77"/>
    <w:rsid w:val="001F5DE3"/>
    <w:rsid w:val="001F616E"/>
    <w:rsid w:val="001F69E4"/>
    <w:rsid w:val="001F73FD"/>
    <w:rsid w:val="00200065"/>
    <w:rsid w:val="00200BAF"/>
    <w:rsid w:val="00201120"/>
    <w:rsid w:val="0020133A"/>
    <w:rsid w:val="00202D1E"/>
    <w:rsid w:val="00202E77"/>
    <w:rsid w:val="00203B65"/>
    <w:rsid w:val="002056ED"/>
    <w:rsid w:val="00205922"/>
    <w:rsid w:val="002072A0"/>
    <w:rsid w:val="0021119E"/>
    <w:rsid w:val="002120AA"/>
    <w:rsid w:val="002120FC"/>
    <w:rsid w:val="002125B4"/>
    <w:rsid w:val="0021265F"/>
    <w:rsid w:val="00212682"/>
    <w:rsid w:val="00212915"/>
    <w:rsid w:val="00212BB1"/>
    <w:rsid w:val="0021307C"/>
    <w:rsid w:val="00213C55"/>
    <w:rsid w:val="002141C5"/>
    <w:rsid w:val="002145B8"/>
    <w:rsid w:val="00214875"/>
    <w:rsid w:val="00214F40"/>
    <w:rsid w:val="002155B8"/>
    <w:rsid w:val="00216C93"/>
    <w:rsid w:val="002170C9"/>
    <w:rsid w:val="0022057F"/>
    <w:rsid w:val="00220902"/>
    <w:rsid w:val="002215F4"/>
    <w:rsid w:val="00221A8E"/>
    <w:rsid w:val="00222C37"/>
    <w:rsid w:val="002236FD"/>
    <w:rsid w:val="00223A11"/>
    <w:rsid w:val="002240F7"/>
    <w:rsid w:val="00224332"/>
    <w:rsid w:val="002246A7"/>
    <w:rsid w:val="00224839"/>
    <w:rsid w:val="002249B2"/>
    <w:rsid w:val="00225203"/>
    <w:rsid w:val="00225BC7"/>
    <w:rsid w:val="00225CDA"/>
    <w:rsid w:val="00225D60"/>
    <w:rsid w:val="00225E9E"/>
    <w:rsid w:val="00226574"/>
    <w:rsid w:val="00226E94"/>
    <w:rsid w:val="00227603"/>
    <w:rsid w:val="002278EC"/>
    <w:rsid w:val="00227C9C"/>
    <w:rsid w:val="00227D4A"/>
    <w:rsid w:val="0023063A"/>
    <w:rsid w:val="00230CFB"/>
    <w:rsid w:val="00231487"/>
    <w:rsid w:val="0023280E"/>
    <w:rsid w:val="00233C4D"/>
    <w:rsid w:val="002341CB"/>
    <w:rsid w:val="00234BE5"/>
    <w:rsid w:val="00234F2B"/>
    <w:rsid w:val="002354AB"/>
    <w:rsid w:val="0023580D"/>
    <w:rsid w:val="00236416"/>
    <w:rsid w:val="002377D1"/>
    <w:rsid w:val="00237901"/>
    <w:rsid w:val="0024039A"/>
    <w:rsid w:val="00240B66"/>
    <w:rsid w:val="002416B5"/>
    <w:rsid w:val="00241F06"/>
    <w:rsid w:val="00243FA1"/>
    <w:rsid w:val="00244696"/>
    <w:rsid w:val="00244C36"/>
    <w:rsid w:val="00244D23"/>
    <w:rsid w:val="00245048"/>
    <w:rsid w:val="00245345"/>
    <w:rsid w:val="002468BD"/>
    <w:rsid w:val="00246A99"/>
    <w:rsid w:val="002470B4"/>
    <w:rsid w:val="00247AA0"/>
    <w:rsid w:val="00247DAD"/>
    <w:rsid w:val="00247EFB"/>
    <w:rsid w:val="002501DE"/>
    <w:rsid w:val="002502C6"/>
    <w:rsid w:val="00250333"/>
    <w:rsid w:val="002506BC"/>
    <w:rsid w:val="00250704"/>
    <w:rsid w:val="00250878"/>
    <w:rsid w:val="0025103D"/>
    <w:rsid w:val="002515E2"/>
    <w:rsid w:val="00252964"/>
    <w:rsid w:val="00252A35"/>
    <w:rsid w:val="00252A8C"/>
    <w:rsid w:val="00252CCB"/>
    <w:rsid w:val="00253136"/>
    <w:rsid w:val="002532ED"/>
    <w:rsid w:val="00254345"/>
    <w:rsid w:val="00254DEF"/>
    <w:rsid w:val="002550E2"/>
    <w:rsid w:val="002554E2"/>
    <w:rsid w:val="00255663"/>
    <w:rsid w:val="0025736F"/>
    <w:rsid w:val="002574CD"/>
    <w:rsid w:val="002575BA"/>
    <w:rsid w:val="00257837"/>
    <w:rsid w:val="00260236"/>
    <w:rsid w:val="00260332"/>
    <w:rsid w:val="00260617"/>
    <w:rsid w:val="00260FB2"/>
    <w:rsid w:val="00261933"/>
    <w:rsid w:val="00261F9C"/>
    <w:rsid w:val="00263657"/>
    <w:rsid w:val="00264557"/>
    <w:rsid w:val="00265F7C"/>
    <w:rsid w:val="00266536"/>
    <w:rsid w:val="00267791"/>
    <w:rsid w:val="00270522"/>
    <w:rsid w:val="00270B11"/>
    <w:rsid w:val="00270CC8"/>
    <w:rsid w:val="0027129E"/>
    <w:rsid w:val="00271320"/>
    <w:rsid w:val="00271A14"/>
    <w:rsid w:val="00272048"/>
    <w:rsid w:val="00272EC0"/>
    <w:rsid w:val="00273378"/>
    <w:rsid w:val="00273B5B"/>
    <w:rsid w:val="00274741"/>
    <w:rsid w:val="002755E9"/>
    <w:rsid w:val="002768D4"/>
    <w:rsid w:val="00276B67"/>
    <w:rsid w:val="00276FE1"/>
    <w:rsid w:val="002777D0"/>
    <w:rsid w:val="00277A09"/>
    <w:rsid w:val="00277BBD"/>
    <w:rsid w:val="00277E18"/>
    <w:rsid w:val="002805AB"/>
    <w:rsid w:val="002811E1"/>
    <w:rsid w:val="002823C2"/>
    <w:rsid w:val="00282C7E"/>
    <w:rsid w:val="002830AD"/>
    <w:rsid w:val="002836C3"/>
    <w:rsid w:val="00283793"/>
    <w:rsid w:val="00283A31"/>
    <w:rsid w:val="00284204"/>
    <w:rsid w:val="002852EF"/>
    <w:rsid w:val="00286152"/>
    <w:rsid w:val="00286310"/>
    <w:rsid w:val="002869DA"/>
    <w:rsid w:val="00286D7E"/>
    <w:rsid w:val="002874AB"/>
    <w:rsid w:val="0029001D"/>
    <w:rsid w:val="002900A5"/>
    <w:rsid w:val="002908F4"/>
    <w:rsid w:val="00290ABC"/>
    <w:rsid w:val="00291425"/>
    <w:rsid w:val="00291773"/>
    <w:rsid w:val="00291A0A"/>
    <w:rsid w:val="00291FC0"/>
    <w:rsid w:val="0029202A"/>
    <w:rsid w:val="002927C4"/>
    <w:rsid w:val="002973AD"/>
    <w:rsid w:val="002A091D"/>
    <w:rsid w:val="002A13E1"/>
    <w:rsid w:val="002A168C"/>
    <w:rsid w:val="002A2E47"/>
    <w:rsid w:val="002A315A"/>
    <w:rsid w:val="002A3DC7"/>
    <w:rsid w:val="002A4F14"/>
    <w:rsid w:val="002A5B56"/>
    <w:rsid w:val="002A6F37"/>
    <w:rsid w:val="002B27FE"/>
    <w:rsid w:val="002B29C2"/>
    <w:rsid w:val="002B2C7E"/>
    <w:rsid w:val="002B4406"/>
    <w:rsid w:val="002B48EC"/>
    <w:rsid w:val="002B49E2"/>
    <w:rsid w:val="002B4ADE"/>
    <w:rsid w:val="002B4FD8"/>
    <w:rsid w:val="002B6514"/>
    <w:rsid w:val="002B651A"/>
    <w:rsid w:val="002B668D"/>
    <w:rsid w:val="002B7B00"/>
    <w:rsid w:val="002B7C44"/>
    <w:rsid w:val="002C07BB"/>
    <w:rsid w:val="002C22F6"/>
    <w:rsid w:val="002C23C8"/>
    <w:rsid w:val="002C2B17"/>
    <w:rsid w:val="002C2B64"/>
    <w:rsid w:val="002C2BCC"/>
    <w:rsid w:val="002C3D2D"/>
    <w:rsid w:val="002C3DFF"/>
    <w:rsid w:val="002C41DD"/>
    <w:rsid w:val="002C4C7C"/>
    <w:rsid w:val="002C5F84"/>
    <w:rsid w:val="002C61F7"/>
    <w:rsid w:val="002C6D25"/>
    <w:rsid w:val="002C6E7E"/>
    <w:rsid w:val="002C739E"/>
    <w:rsid w:val="002C73D6"/>
    <w:rsid w:val="002D0658"/>
    <w:rsid w:val="002D08C6"/>
    <w:rsid w:val="002D119F"/>
    <w:rsid w:val="002D164B"/>
    <w:rsid w:val="002D18D1"/>
    <w:rsid w:val="002D1A1D"/>
    <w:rsid w:val="002D1EE1"/>
    <w:rsid w:val="002D229E"/>
    <w:rsid w:val="002D3DD0"/>
    <w:rsid w:val="002D48C3"/>
    <w:rsid w:val="002D6345"/>
    <w:rsid w:val="002D717B"/>
    <w:rsid w:val="002D7B49"/>
    <w:rsid w:val="002E0718"/>
    <w:rsid w:val="002E1F3A"/>
    <w:rsid w:val="002E2985"/>
    <w:rsid w:val="002E298A"/>
    <w:rsid w:val="002E2EA9"/>
    <w:rsid w:val="002E4F43"/>
    <w:rsid w:val="002E50C2"/>
    <w:rsid w:val="002E51D0"/>
    <w:rsid w:val="002E5785"/>
    <w:rsid w:val="002E62AD"/>
    <w:rsid w:val="002E6797"/>
    <w:rsid w:val="002E67FE"/>
    <w:rsid w:val="002E6F9F"/>
    <w:rsid w:val="002E7E53"/>
    <w:rsid w:val="002F04C1"/>
    <w:rsid w:val="002F14C3"/>
    <w:rsid w:val="002F2131"/>
    <w:rsid w:val="002F2454"/>
    <w:rsid w:val="002F2475"/>
    <w:rsid w:val="002F337E"/>
    <w:rsid w:val="002F3BB5"/>
    <w:rsid w:val="002F425A"/>
    <w:rsid w:val="002F59DC"/>
    <w:rsid w:val="002F6595"/>
    <w:rsid w:val="002F73C1"/>
    <w:rsid w:val="002F7711"/>
    <w:rsid w:val="00301978"/>
    <w:rsid w:val="00301EFA"/>
    <w:rsid w:val="00301F99"/>
    <w:rsid w:val="00302406"/>
    <w:rsid w:val="0030332C"/>
    <w:rsid w:val="0030339B"/>
    <w:rsid w:val="003038B4"/>
    <w:rsid w:val="00304AAA"/>
    <w:rsid w:val="003051C2"/>
    <w:rsid w:val="00306798"/>
    <w:rsid w:val="003106C0"/>
    <w:rsid w:val="00310E4B"/>
    <w:rsid w:val="00311041"/>
    <w:rsid w:val="00311C55"/>
    <w:rsid w:val="00311CC5"/>
    <w:rsid w:val="00311F94"/>
    <w:rsid w:val="00312296"/>
    <w:rsid w:val="00312D0C"/>
    <w:rsid w:val="003143B6"/>
    <w:rsid w:val="00314596"/>
    <w:rsid w:val="00314F0E"/>
    <w:rsid w:val="00320725"/>
    <w:rsid w:val="003213E9"/>
    <w:rsid w:val="00321466"/>
    <w:rsid w:val="0032193A"/>
    <w:rsid w:val="00321D86"/>
    <w:rsid w:val="00321D8E"/>
    <w:rsid w:val="003232FC"/>
    <w:rsid w:val="00323387"/>
    <w:rsid w:val="00323585"/>
    <w:rsid w:val="00324873"/>
    <w:rsid w:val="00325928"/>
    <w:rsid w:val="00327679"/>
    <w:rsid w:val="00327BE9"/>
    <w:rsid w:val="00327C87"/>
    <w:rsid w:val="00327EFD"/>
    <w:rsid w:val="0033012A"/>
    <w:rsid w:val="00330257"/>
    <w:rsid w:val="00330B60"/>
    <w:rsid w:val="00330DE8"/>
    <w:rsid w:val="003312BB"/>
    <w:rsid w:val="00331831"/>
    <w:rsid w:val="0033234F"/>
    <w:rsid w:val="00332863"/>
    <w:rsid w:val="00333439"/>
    <w:rsid w:val="00333AE7"/>
    <w:rsid w:val="00335BC2"/>
    <w:rsid w:val="00335BC6"/>
    <w:rsid w:val="00336029"/>
    <w:rsid w:val="00336550"/>
    <w:rsid w:val="0033684D"/>
    <w:rsid w:val="00337183"/>
    <w:rsid w:val="00337586"/>
    <w:rsid w:val="0033767D"/>
    <w:rsid w:val="00337B42"/>
    <w:rsid w:val="003400C8"/>
    <w:rsid w:val="00340313"/>
    <w:rsid w:val="00340563"/>
    <w:rsid w:val="0034070A"/>
    <w:rsid w:val="003412C0"/>
    <w:rsid w:val="00341B42"/>
    <w:rsid w:val="00342562"/>
    <w:rsid w:val="0034348F"/>
    <w:rsid w:val="00344214"/>
    <w:rsid w:val="003449C5"/>
    <w:rsid w:val="00345D1D"/>
    <w:rsid w:val="00346183"/>
    <w:rsid w:val="003467D1"/>
    <w:rsid w:val="00346A3A"/>
    <w:rsid w:val="00346EE0"/>
    <w:rsid w:val="00346FD9"/>
    <w:rsid w:val="00347C09"/>
    <w:rsid w:val="00347D47"/>
    <w:rsid w:val="00350293"/>
    <w:rsid w:val="00350876"/>
    <w:rsid w:val="003509C1"/>
    <w:rsid w:val="0035149F"/>
    <w:rsid w:val="0035234B"/>
    <w:rsid w:val="003532FE"/>
    <w:rsid w:val="003548E2"/>
    <w:rsid w:val="00355EBB"/>
    <w:rsid w:val="00355FE9"/>
    <w:rsid w:val="003563E1"/>
    <w:rsid w:val="00356653"/>
    <w:rsid w:val="00356FE3"/>
    <w:rsid w:val="0035743F"/>
    <w:rsid w:val="003575D5"/>
    <w:rsid w:val="00357BE2"/>
    <w:rsid w:val="003610F7"/>
    <w:rsid w:val="00361461"/>
    <w:rsid w:val="0036170C"/>
    <w:rsid w:val="00361DE3"/>
    <w:rsid w:val="003638E3"/>
    <w:rsid w:val="003641E3"/>
    <w:rsid w:val="00365B6C"/>
    <w:rsid w:val="00366E0F"/>
    <w:rsid w:val="0036739F"/>
    <w:rsid w:val="003673C0"/>
    <w:rsid w:val="0036780A"/>
    <w:rsid w:val="00371185"/>
    <w:rsid w:val="003718FE"/>
    <w:rsid w:val="00371947"/>
    <w:rsid w:val="003719BB"/>
    <w:rsid w:val="00371ABB"/>
    <w:rsid w:val="003722DC"/>
    <w:rsid w:val="003732E1"/>
    <w:rsid w:val="00373DE1"/>
    <w:rsid w:val="003748B9"/>
    <w:rsid w:val="00375007"/>
    <w:rsid w:val="00375B38"/>
    <w:rsid w:val="00375C31"/>
    <w:rsid w:val="00376879"/>
    <w:rsid w:val="003772B2"/>
    <w:rsid w:val="00377B91"/>
    <w:rsid w:val="00380245"/>
    <w:rsid w:val="00381318"/>
    <w:rsid w:val="00381A72"/>
    <w:rsid w:val="00382476"/>
    <w:rsid w:val="00382EB6"/>
    <w:rsid w:val="003832BF"/>
    <w:rsid w:val="00384676"/>
    <w:rsid w:val="00384C9E"/>
    <w:rsid w:val="003864DB"/>
    <w:rsid w:val="00386CA0"/>
    <w:rsid w:val="00390857"/>
    <w:rsid w:val="00390D66"/>
    <w:rsid w:val="00392ECA"/>
    <w:rsid w:val="00393E46"/>
    <w:rsid w:val="00396887"/>
    <w:rsid w:val="00397DBC"/>
    <w:rsid w:val="003A0EF8"/>
    <w:rsid w:val="003A2307"/>
    <w:rsid w:val="003A3E03"/>
    <w:rsid w:val="003A4BF3"/>
    <w:rsid w:val="003A4D98"/>
    <w:rsid w:val="003A549F"/>
    <w:rsid w:val="003A5663"/>
    <w:rsid w:val="003A5D92"/>
    <w:rsid w:val="003A652B"/>
    <w:rsid w:val="003A75DF"/>
    <w:rsid w:val="003A766C"/>
    <w:rsid w:val="003A76EB"/>
    <w:rsid w:val="003A7A53"/>
    <w:rsid w:val="003B0978"/>
    <w:rsid w:val="003B1411"/>
    <w:rsid w:val="003B15DD"/>
    <w:rsid w:val="003B172F"/>
    <w:rsid w:val="003B18C1"/>
    <w:rsid w:val="003B2F2C"/>
    <w:rsid w:val="003B420D"/>
    <w:rsid w:val="003B60EF"/>
    <w:rsid w:val="003B675A"/>
    <w:rsid w:val="003B706C"/>
    <w:rsid w:val="003B7CF8"/>
    <w:rsid w:val="003C140F"/>
    <w:rsid w:val="003C1F8D"/>
    <w:rsid w:val="003C28DE"/>
    <w:rsid w:val="003C41FF"/>
    <w:rsid w:val="003C51BC"/>
    <w:rsid w:val="003C53D7"/>
    <w:rsid w:val="003C5CCF"/>
    <w:rsid w:val="003C6BC5"/>
    <w:rsid w:val="003C6BEB"/>
    <w:rsid w:val="003C6C16"/>
    <w:rsid w:val="003C7586"/>
    <w:rsid w:val="003C78D9"/>
    <w:rsid w:val="003D0446"/>
    <w:rsid w:val="003D182A"/>
    <w:rsid w:val="003D1EA2"/>
    <w:rsid w:val="003D3021"/>
    <w:rsid w:val="003D45E5"/>
    <w:rsid w:val="003D4E37"/>
    <w:rsid w:val="003D794D"/>
    <w:rsid w:val="003E0B75"/>
    <w:rsid w:val="003E22D9"/>
    <w:rsid w:val="003E2A3A"/>
    <w:rsid w:val="003E2D6D"/>
    <w:rsid w:val="003E3058"/>
    <w:rsid w:val="003E35E7"/>
    <w:rsid w:val="003E430E"/>
    <w:rsid w:val="003E5018"/>
    <w:rsid w:val="003E5991"/>
    <w:rsid w:val="003E5A59"/>
    <w:rsid w:val="003E61BF"/>
    <w:rsid w:val="003E6843"/>
    <w:rsid w:val="003E6E56"/>
    <w:rsid w:val="003E76A9"/>
    <w:rsid w:val="003E7C50"/>
    <w:rsid w:val="003F0809"/>
    <w:rsid w:val="003F0DEB"/>
    <w:rsid w:val="003F2810"/>
    <w:rsid w:val="003F3571"/>
    <w:rsid w:val="003F3BB4"/>
    <w:rsid w:val="003F418C"/>
    <w:rsid w:val="003F48DD"/>
    <w:rsid w:val="003F5311"/>
    <w:rsid w:val="003F6A8C"/>
    <w:rsid w:val="003F755C"/>
    <w:rsid w:val="00400699"/>
    <w:rsid w:val="00400907"/>
    <w:rsid w:val="00400DBB"/>
    <w:rsid w:val="0040129E"/>
    <w:rsid w:val="00401520"/>
    <w:rsid w:val="00401E63"/>
    <w:rsid w:val="00402439"/>
    <w:rsid w:val="0040387B"/>
    <w:rsid w:val="00404150"/>
    <w:rsid w:val="00404CF5"/>
    <w:rsid w:val="00405098"/>
    <w:rsid w:val="004055D9"/>
    <w:rsid w:val="0040651A"/>
    <w:rsid w:val="0040658F"/>
    <w:rsid w:val="00406F01"/>
    <w:rsid w:val="00410B29"/>
    <w:rsid w:val="00410C96"/>
    <w:rsid w:val="00411764"/>
    <w:rsid w:val="00411B04"/>
    <w:rsid w:val="00411B42"/>
    <w:rsid w:val="004122EF"/>
    <w:rsid w:val="0041337B"/>
    <w:rsid w:val="00413404"/>
    <w:rsid w:val="00413BF4"/>
    <w:rsid w:val="00413C31"/>
    <w:rsid w:val="00413E83"/>
    <w:rsid w:val="00414D90"/>
    <w:rsid w:val="00414ECD"/>
    <w:rsid w:val="0041619E"/>
    <w:rsid w:val="00416764"/>
    <w:rsid w:val="00416D50"/>
    <w:rsid w:val="00416FD5"/>
    <w:rsid w:val="0041718D"/>
    <w:rsid w:val="00417772"/>
    <w:rsid w:val="00417C8B"/>
    <w:rsid w:val="00420A23"/>
    <w:rsid w:val="00420B51"/>
    <w:rsid w:val="00420E6A"/>
    <w:rsid w:val="004225D9"/>
    <w:rsid w:val="00422FDD"/>
    <w:rsid w:val="00422FF8"/>
    <w:rsid w:val="004236A3"/>
    <w:rsid w:val="004249B1"/>
    <w:rsid w:val="0042502A"/>
    <w:rsid w:val="004253F7"/>
    <w:rsid w:val="004259E5"/>
    <w:rsid w:val="00425A9E"/>
    <w:rsid w:val="00426225"/>
    <w:rsid w:val="0042652E"/>
    <w:rsid w:val="00426BAA"/>
    <w:rsid w:val="00426D6B"/>
    <w:rsid w:val="00431E6C"/>
    <w:rsid w:val="00432B59"/>
    <w:rsid w:val="00432F8A"/>
    <w:rsid w:val="0043336C"/>
    <w:rsid w:val="00433CE7"/>
    <w:rsid w:val="00435041"/>
    <w:rsid w:val="004365D7"/>
    <w:rsid w:val="00436DFE"/>
    <w:rsid w:val="00437814"/>
    <w:rsid w:val="00437A25"/>
    <w:rsid w:val="00440631"/>
    <w:rsid w:val="004406E6"/>
    <w:rsid w:val="00440701"/>
    <w:rsid w:val="00441564"/>
    <w:rsid w:val="00442044"/>
    <w:rsid w:val="004420F2"/>
    <w:rsid w:val="004424A5"/>
    <w:rsid w:val="00443A0E"/>
    <w:rsid w:val="00444F7A"/>
    <w:rsid w:val="00444FFA"/>
    <w:rsid w:val="00445558"/>
    <w:rsid w:val="004468BD"/>
    <w:rsid w:val="004479E5"/>
    <w:rsid w:val="00447E89"/>
    <w:rsid w:val="004513FF"/>
    <w:rsid w:val="004517EB"/>
    <w:rsid w:val="0045222E"/>
    <w:rsid w:val="00452449"/>
    <w:rsid w:val="00452738"/>
    <w:rsid w:val="004528A4"/>
    <w:rsid w:val="00452923"/>
    <w:rsid w:val="00452AD5"/>
    <w:rsid w:val="00453ED2"/>
    <w:rsid w:val="00454B0A"/>
    <w:rsid w:val="00455216"/>
    <w:rsid w:val="00455620"/>
    <w:rsid w:val="0045594C"/>
    <w:rsid w:val="00455F90"/>
    <w:rsid w:val="00456091"/>
    <w:rsid w:val="0045655E"/>
    <w:rsid w:val="00456B0A"/>
    <w:rsid w:val="00456C8A"/>
    <w:rsid w:val="004602BE"/>
    <w:rsid w:val="00460D6A"/>
    <w:rsid w:val="00460FD1"/>
    <w:rsid w:val="004612AC"/>
    <w:rsid w:val="004617B6"/>
    <w:rsid w:val="00462569"/>
    <w:rsid w:val="00463F0F"/>
    <w:rsid w:val="0046550B"/>
    <w:rsid w:val="00466321"/>
    <w:rsid w:val="004672B9"/>
    <w:rsid w:val="004703AC"/>
    <w:rsid w:val="00470B64"/>
    <w:rsid w:val="004713A4"/>
    <w:rsid w:val="00472407"/>
    <w:rsid w:val="00472EF5"/>
    <w:rsid w:val="00475C12"/>
    <w:rsid w:val="00476138"/>
    <w:rsid w:val="0047619D"/>
    <w:rsid w:val="00476DFE"/>
    <w:rsid w:val="004770A1"/>
    <w:rsid w:val="0047793E"/>
    <w:rsid w:val="00477E6C"/>
    <w:rsid w:val="00480806"/>
    <w:rsid w:val="00481490"/>
    <w:rsid w:val="00481652"/>
    <w:rsid w:val="004823F0"/>
    <w:rsid w:val="00483402"/>
    <w:rsid w:val="0048449E"/>
    <w:rsid w:val="00484B9B"/>
    <w:rsid w:val="00484FD0"/>
    <w:rsid w:val="004855F6"/>
    <w:rsid w:val="004858B7"/>
    <w:rsid w:val="0048661E"/>
    <w:rsid w:val="0048689A"/>
    <w:rsid w:val="00487147"/>
    <w:rsid w:val="00487306"/>
    <w:rsid w:val="00487C2A"/>
    <w:rsid w:val="00487CFC"/>
    <w:rsid w:val="00490B57"/>
    <w:rsid w:val="00490EF6"/>
    <w:rsid w:val="004918D2"/>
    <w:rsid w:val="00491989"/>
    <w:rsid w:val="004928B5"/>
    <w:rsid w:val="0049367E"/>
    <w:rsid w:val="00493C3C"/>
    <w:rsid w:val="00493D06"/>
    <w:rsid w:val="00494670"/>
    <w:rsid w:val="00494E5E"/>
    <w:rsid w:val="0049581B"/>
    <w:rsid w:val="00495E48"/>
    <w:rsid w:val="00497D9A"/>
    <w:rsid w:val="004A0329"/>
    <w:rsid w:val="004A06F3"/>
    <w:rsid w:val="004A07A3"/>
    <w:rsid w:val="004A1432"/>
    <w:rsid w:val="004A1DD5"/>
    <w:rsid w:val="004A214C"/>
    <w:rsid w:val="004A3823"/>
    <w:rsid w:val="004A39CD"/>
    <w:rsid w:val="004A4090"/>
    <w:rsid w:val="004A41EC"/>
    <w:rsid w:val="004A4ED0"/>
    <w:rsid w:val="004A5FB2"/>
    <w:rsid w:val="004A67F0"/>
    <w:rsid w:val="004B0DA4"/>
    <w:rsid w:val="004B1086"/>
    <w:rsid w:val="004B1790"/>
    <w:rsid w:val="004B2287"/>
    <w:rsid w:val="004B2B21"/>
    <w:rsid w:val="004B3AD8"/>
    <w:rsid w:val="004B55D1"/>
    <w:rsid w:val="004B5EA4"/>
    <w:rsid w:val="004B5F46"/>
    <w:rsid w:val="004B69CC"/>
    <w:rsid w:val="004B780B"/>
    <w:rsid w:val="004B78E9"/>
    <w:rsid w:val="004B7AEB"/>
    <w:rsid w:val="004C01BB"/>
    <w:rsid w:val="004C1D9A"/>
    <w:rsid w:val="004C3E93"/>
    <w:rsid w:val="004C3F21"/>
    <w:rsid w:val="004C41B6"/>
    <w:rsid w:val="004C41C5"/>
    <w:rsid w:val="004C4269"/>
    <w:rsid w:val="004C52BB"/>
    <w:rsid w:val="004C5C54"/>
    <w:rsid w:val="004C5E87"/>
    <w:rsid w:val="004C7C09"/>
    <w:rsid w:val="004D04E6"/>
    <w:rsid w:val="004D29EE"/>
    <w:rsid w:val="004D3A45"/>
    <w:rsid w:val="004D4A89"/>
    <w:rsid w:val="004D5769"/>
    <w:rsid w:val="004D5B27"/>
    <w:rsid w:val="004D61E8"/>
    <w:rsid w:val="004D65B5"/>
    <w:rsid w:val="004E0AB1"/>
    <w:rsid w:val="004E0C20"/>
    <w:rsid w:val="004E0D0A"/>
    <w:rsid w:val="004E0F1E"/>
    <w:rsid w:val="004E1EC4"/>
    <w:rsid w:val="004E2134"/>
    <w:rsid w:val="004E241B"/>
    <w:rsid w:val="004E24E2"/>
    <w:rsid w:val="004E250D"/>
    <w:rsid w:val="004E43BF"/>
    <w:rsid w:val="004E4463"/>
    <w:rsid w:val="004E472A"/>
    <w:rsid w:val="004E5222"/>
    <w:rsid w:val="004E52DE"/>
    <w:rsid w:val="004E5D90"/>
    <w:rsid w:val="004E61CC"/>
    <w:rsid w:val="004E6946"/>
    <w:rsid w:val="004E7AB7"/>
    <w:rsid w:val="004F0325"/>
    <w:rsid w:val="004F0DC7"/>
    <w:rsid w:val="004F1018"/>
    <w:rsid w:val="004F1566"/>
    <w:rsid w:val="004F1AD8"/>
    <w:rsid w:val="004F1C6D"/>
    <w:rsid w:val="004F283E"/>
    <w:rsid w:val="004F2DF7"/>
    <w:rsid w:val="004F2EDA"/>
    <w:rsid w:val="004F3948"/>
    <w:rsid w:val="004F4998"/>
    <w:rsid w:val="004F501D"/>
    <w:rsid w:val="004F605E"/>
    <w:rsid w:val="004F6B5C"/>
    <w:rsid w:val="004F7509"/>
    <w:rsid w:val="00500935"/>
    <w:rsid w:val="00500B6A"/>
    <w:rsid w:val="00500D49"/>
    <w:rsid w:val="00500F0B"/>
    <w:rsid w:val="00502937"/>
    <w:rsid w:val="00502982"/>
    <w:rsid w:val="0050348A"/>
    <w:rsid w:val="00503721"/>
    <w:rsid w:val="00503859"/>
    <w:rsid w:val="0050398E"/>
    <w:rsid w:val="005039CB"/>
    <w:rsid w:val="00504267"/>
    <w:rsid w:val="0050558F"/>
    <w:rsid w:val="0050608C"/>
    <w:rsid w:val="00506286"/>
    <w:rsid w:val="00506E9D"/>
    <w:rsid w:val="00510813"/>
    <w:rsid w:val="00510DB3"/>
    <w:rsid w:val="00511990"/>
    <w:rsid w:val="00511DE0"/>
    <w:rsid w:val="00513D8D"/>
    <w:rsid w:val="00513FB9"/>
    <w:rsid w:val="00514870"/>
    <w:rsid w:val="00514B9B"/>
    <w:rsid w:val="00514D2F"/>
    <w:rsid w:val="00514E33"/>
    <w:rsid w:val="00515135"/>
    <w:rsid w:val="00515F22"/>
    <w:rsid w:val="00516327"/>
    <w:rsid w:val="0051643B"/>
    <w:rsid w:val="00517252"/>
    <w:rsid w:val="00517B9F"/>
    <w:rsid w:val="00517F02"/>
    <w:rsid w:val="00520003"/>
    <w:rsid w:val="005211BD"/>
    <w:rsid w:val="005216F1"/>
    <w:rsid w:val="005232E2"/>
    <w:rsid w:val="0052372B"/>
    <w:rsid w:val="00523BF5"/>
    <w:rsid w:val="005242B5"/>
    <w:rsid w:val="00524303"/>
    <w:rsid w:val="00524B5B"/>
    <w:rsid w:val="00525688"/>
    <w:rsid w:val="005258A2"/>
    <w:rsid w:val="00526056"/>
    <w:rsid w:val="00526A4F"/>
    <w:rsid w:val="005273B9"/>
    <w:rsid w:val="00527404"/>
    <w:rsid w:val="00527C95"/>
    <w:rsid w:val="005302C1"/>
    <w:rsid w:val="00530471"/>
    <w:rsid w:val="00530A10"/>
    <w:rsid w:val="00530D55"/>
    <w:rsid w:val="00531402"/>
    <w:rsid w:val="00532E91"/>
    <w:rsid w:val="005368B3"/>
    <w:rsid w:val="00536A90"/>
    <w:rsid w:val="005375C1"/>
    <w:rsid w:val="00537726"/>
    <w:rsid w:val="0054007B"/>
    <w:rsid w:val="005401AE"/>
    <w:rsid w:val="005403E5"/>
    <w:rsid w:val="00540D79"/>
    <w:rsid w:val="00541095"/>
    <w:rsid w:val="00542E07"/>
    <w:rsid w:val="005433F6"/>
    <w:rsid w:val="005444F3"/>
    <w:rsid w:val="005447C0"/>
    <w:rsid w:val="005453FD"/>
    <w:rsid w:val="00545424"/>
    <w:rsid w:val="00546723"/>
    <w:rsid w:val="00547500"/>
    <w:rsid w:val="00550D6A"/>
    <w:rsid w:val="00554A7B"/>
    <w:rsid w:val="00554D97"/>
    <w:rsid w:val="00554E69"/>
    <w:rsid w:val="00555111"/>
    <w:rsid w:val="00555310"/>
    <w:rsid w:val="0055572C"/>
    <w:rsid w:val="00556854"/>
    <w:rsid w:val="00556AD9"/>
    <w:rsid w:val="00556C5D"/>
    <w:rsid w:val="0055799C"/>
    <w:rsid w:val="005602DC"/>
    <w:rsid w:val="005604E8"/>
    <w:rsid w:val="005607C8"/>
    <w:rsid w:val="005609D5"/>
    <w:rsid w:val="0056106A"/>
    <w:rsid w:val="00561D05"/>
    <w:rsid w:val="00562E28"/>
    <w:rsid w:val="00563274"/>
    <w:rsid w:val="00563ECE"/>
    <w:rsid w:val="00564E84"/>
    <w:rsid w:val="00570D4C"/>
    <w:rsid w:val="00571EF6"/>
    <w:rsid w:val="005720AE"/>
    <w:rsid w:val="00572654"/>
    <w:rsid w:val="00574FEF"/>
    <w:rsid w:val="0057539E"/>
    <w:rsid w:val="00575BDA"/>
    <w:rsid w:val="0057609E"/>
    <w:rsid w:val="00576765"/>
    <w:rsid w:val="00576D07"/>
    <w:rsid w:val="00580805"/>
    <w:rsid w:val="00582875"/>
    <w:rsid w:val="00583883"/>
    <w:rsid w:val="00583A64"/>
    <w:rsid w:val="0058400E"/>
    <w:rsid w:val="005840A4"/>
    <w:rsid w:val="00584B33"/>
    <w:rsid w:val="00584BDE"/>
    <w:rsid w:val="0058511C"/>
    <w:rsid w:val="005857C5"/>
    <w:rsid w:val="00586B64"/>
    <w:rsid w:val="00587085"/>
    <w:rsid w:val="00587BAE"/>
    <w:rsid w:val="00587D90"/>
    <w:rsid w:val="0059011D"/>
    <w:rsid w:val="00591811"/>
    <w:rsid w:val="0059182A"/>
    <w:rsid w:val="00591989"/>
    <w:rsid w:val="00592545"/>
    <w:rsid w:val="005925D3"/>
    <w:rsid w:val="005931DB"/>
    <w:rsid w:val="00594D77"/>
    <w:rsid w:val="00595E0E"/>
    <w:rsid w:val="00596065"/>
    <w:rsid w:val="005969E4"/>
    <w:rsid w:val="005A065C"/>
    <w:rsid w:val="005A06B7"/>
    <w:rsid w:val="005A1759"/>
    <w:rsid w:val="005A1799"/>
    <w:rsid w:val="005A1CD0"/>
    <w:rsid w:val="005A22A6"/>
    <w:rsid w:val="005A2401"/>
    <w:rsid w:val="005A3511"/>
    <w:rsid w:val="005A3983"/>
    <w:rsid w:val="005A47C7"/>
    <w:rsid w:val="005A49CE"/>
    <w:rsid w:val="005A53FE"/>
    <w:rsid w:val="005A629B"/>
    <w:rsid w:val="005A68A7"/>
    <w:rsid w:val="005A6E19"/>
    <w:rsid w:val="005A76C4"/>
    <w:rsid w:val="005B09D6"/>
    <w:rsid w:val="005B1222"/>
    <w:rsid w:val="005B16BF"/>
    <w:rsid w:val="005B1A71"/>
    <w:rsid w:val="005B2943"/>
    <w:rsid w:val="005B2C34"/>
    <w:rsid w:val="005B3E88"/>
    <w:rsid w:val="005B422E"/>
    <w:rsid w:val="005B73E8"/>
    <w:rsid w:val="005B7643"/>
    <w:rsid w:val="005C0DCC"/>
    <w:rsid w:val="005C0E7A"/>
    <w:rsid w:val="005C16B5"/>
    <w:rsid w:val="005C301F"/>
    <w:rsid w:val="005C6557"/>
    <w:rsid w:val="005C7EE7"/>
    <w:rsid w:val="005D06E8"/>
    <w:rsid w:val="005D1148"/>
    <w:rsid w:val="005D189C"/>
    <w:rsid w:val="005D27B2"/>
    <w:rsid w:val="005D2854"/>
    <w:rsid w:val="005D36AB"/>
    <w:rsid w:val="005D3E32"/>
    <w:rsid w:val="005D4D72"/>
    <w:rsid w:val="005D6C36"/>
    <w:rsid w:val="005D73A9"/>
    <w:rsid w:val="005D77E3"/>
    <w:rsid w:val="005E00AE"/>
    <w:rsid w:val="005E0103"/>
    <w:rsid w:val="005E08EA"/>
    <w:rsid w:val="005E122F"/>
    <w:rsid w:val="005E2A98"/>
    <w:rsid w:val="005E3409"/>
    <w:rsid w:val="005E3A5C"/>
    <w:rsid w:val="005E4391"/>
    <w:rsid w:val="005E4C43"/>
    <w:rsid w:val="005E4E64"/>
    <w:rsid w:val="005E6DDC"/>
    <w:rsid w:val="005E72C1"/>
    <w:rsid w:val="005E7DBA"/>
    <w:rsid w:val="005F0987"/>
    <w:rsid w:val="005F150D"/>
    <w:rsid w:val="005F2D6A"/>
    <w:rsid w:val="005F2FE7"/>
    <w:rsid w:val="005F31BE"/>
    <w:rsid w:val="005F3959"/>
    <w:rsid w:val="005F3EC3"/>
    <w:rsid w:val="005F539A"/>
    <w:rsid w:val="005F69FD"/>
    <w:rsid w:val="006016F1"/>
    <w:rsid w:val="0060213C"/>
    <w:rsid w:val="006041E7"/>
    <w:rsid w:val="00607494"/>
    <w:rsid w:val="00610D54"/>
    <w:rsid w:val="00610DEF"/>
    <w:rsid w:val="00610F54"/>
    <w:rsid w:val="00610F5D"/>
    <w:rsid w:val="00613EE7"/>
    <w:rsid w:val="006144F4"/>
    <w:rsid w:val="00614A69"/>
    <w:rsid w:val="00614D7E"/>
    <w:rsid w:val="0061524E"/>
    <w:rsid w:val="00615519"/>
    <w:rsid w:val="0061593E"/>
    <w:rsid w:val="00617BBA"/>
    <w:rsid w:val="00617C98"/>
    <w:rsid w:val="00617CC3"/>
    <w:rsid w:val="00621C19"/>
    <w:rsid w:val="00621D5F"/>
    <w:rsid w:val="00621F7E"/>
    <w:rsid w:val="00622696"/>
    <w:rsid w:val="00622DC0"/>
    <w:rsid w:val="00622F74"/>
    <w:rsid w:val="0062380C"/>
    <w:rsid w:val="006239F5"/>
    <w:rsid w:val="00623CD3"/>
    <w:rsid w:val="006240DC"/>
    <w:rsid w:val="00624E92"/>
    <w:rsid w:val="006253EE"/>
    <w:rsid w:val="00625804"/>
    <w:rsid w:val="0062647F"/>
    <w:rsid w:val="0062651E"/>
    <w:rsid w:val="00626866"/>
    <w:rsid w:val="00626AA2"/>
    <w:rsid w:val="00627743"/>
    <w:rsid w:val="00627D2D"/>
    <w:rsid w:val="00630015"/>
    <w:rsid w:val="0063042F"/>
    <w:rsid w:val="00630B7A"/>
    <w:rsid w:val="00631AE2"/>
    <w:rsid w:val="00632C52"/>
    <w:rsid w:val="00632C62"/>
    <w:rsid w:val="00632C85"/>
    <w:rsid w:val="00632E46"/>
    <w:rsid w:val="006331AB"/>
    <w:rsid w:val="00633284"/>
    <w:rsid w:val="00633BFF"/>
    <w:rsid w:val="00633C25"/>
    <w:rsid w:val="006361ED"/>
    <w:rsid w:val="0063622C"/>
    <w:rsid w:val="0063666B"/>
    <w:rsid w:val="006377A6"/>
    <w:rsid w:val="00637A3D"/>
    <w:rsid w:val="00640BB7"/>
    <w:rsid w:val="006410B6"/>
    <w:rsid w:val="006411EF"/>
    <w:rsid w:val="00641344"/>
    <w:rsid w:val="006415A4"/>
    <w:rsid w:val="006417AF"/>
    <w:rsid w:val="00643A53"/>
    <w:rsid w:val="00643E01"/>
    <w:rsid w:val="00644513"/>
    <w:rsid w:val="006454C4"/>
    <w:rsid w:val="00646394"/>
    <w:rsid w:val="0065051B"/>
    <w:rsid w:val="00650DB2"/>
    <w:rsid w:val="00651CDD"/>
    <w:rsid w:val="0065254F"/>
    <w:rsid w:val="006528EC"/>
    <w:rsid w:val="00652C45"/>
    <w:rsid w:val="00652D0D"/>
    <w:rsid w:val="0065301C"/>
    <w:rsid w:val="00653AC8"/>
    <w:rsid w:val="00653D04"/>
    <w:rsid w:val="006542D8"/>
    <w:rsid w:val="006550EA"/>
    <w:rsid w:val="0065571F"/>
    <w:rsid w:val="00656956"/>
    <w:rsid w:val="00657558"/>
    <w:rsid w:val="00657564"/>
    <w:rsid w:val="00657BC3"/>
    <w:rsid w:val="00660148"/>
    <w:rsid w:val="006602F8"/>
    <w:rsid w:val="0066041D"/>
    <w:rsid w:val="0066051A"/>
    <w:rsid w:val="00661268"/>
    <w:rsid w:val="006614F7"/>
    <w:rsid w:val="00661773"/>
    <w:rsid w:val="006617E0"/>
    <w:rsid w:val="00661A25"/>
    <w:rsid w:val="006620B1"/>
    <w:rsid w:val="00663F2C"/>
    <w:rsid w:val="006644A2"/>
    <w:rsid w:val="00664964"/>
    <w:rsid w:val="00665203"/>
    <w:rsid w:val="006668B8"/>
    <w:rsid w:val="00667777"/>
    <w:rsid w:val="006678C3"/>
    <w:rsid w:val="006706B1"/>
    <w:rsid w:val="006709BE"/>
    <w:rsid w:val="00671284"/>
    <w:rsid w:val="00671B06"/>
    <w:rsid w:val="006722B1"/>
    <w:rsid w:val="00672304"/>
    <w:rsid w:val="006728D5"/>
    <w:rsid w:val="006729BE"/>
    <w:rsid w:val="00673291"/>
    <w:rsid w:val="006742F2"/>
    <w:rsid w:val="006748B8"/>
    <w:rsid w:val="00676D2D"/>
    <w:rsid w:val="0067722F"/>
    <w:rsid w:val="006775C3"/>
    <w:rsid w:val="00681D0C"/>
    <w:rsid w:val="006834FC"/>
    <w:rsid w:val="006842A3"/>
    <w:rsid w:val="00684AA8"/>
    <w:rsid w:val="00684D63"/>
    <w:rsid w:val="00685C18"/>
    <w:rsid w:val="00686068"/>
    <w:rsid w:val="0068624E"/>
    <w:rsid w:val="006865FD"/>
    <w:rsid w:val="00686BB1"/>
    <w:rsid w:val="00687029"/>
    <w:rsid w:val="00687034"/>
    <w:rsid w:val="006875AE"/>
    <w:rsid w:val="006876F2"/>
    <w:rsid w:val="00690B2A"/>
    <w:rsid w:val="00690C28"/>
    <w:rsid w:val="006912F2"/>
    <w:rsid w:val="00691343"/>
    <w:rsid w:val="00691467"/>
    <w:rsid w:val="00691830"/>
    <w:rsid w:val="00691BF0"/>
    <w:rsid w:val="00691CEF"/>
    <w:rsid w:val="0069290A"/>
    <w:rsid w:val="00693721"/>
    <w:rsid w:val="00693A56"/>
    <w:rsid w:val="00693DCA"/>
    <w:rsid w:val="006944F9"/>
    <w:rsid w:val="00694593"/>
    <w:rsid w:val="00695F40"/>
    <w:rsid w:val="00697024"/>
    <w:rsid w:val="0069730A"/>
    <w:rsid w:val="0069775A"/>
    <w:rsid w:val="00697813"/>
    <w:rsid w:val="00697925"/>
    <w:rsid w:val="0069794A"/>
    <w:rsid w:val="00697D47"/>
    <w:rsid w:val="00697F69"/>
    <w:rsid w:val="006A048E"/>
    <w:rsid w:val="006A1234"/>
    <w:rsid w:val="006A15E0"/>
    <w:rsid w:val="006A2A48"/>
    <w:rsid w:val="006A33AC"/>
    <w:rsid w:val="006A3D82"/>
    <w:rsid w:val="006A3EE8"/>
    <w:rsid w:val="006A4F45"/>
    <w:rsid w:val="006A6784"/>
    <w:rsid w:val="006A72BF"/>
    <w:rsid w:val="006A748B"/>
    <w:rsid w:val="006A7490"/>
    <w:rsid w:val="006B01E2"/>
    <w:rsid w:val="006B03F2"/>
    <w:rsid w:val="006B2767"/>
    <w:rsid w:val="006B2B12"/>
    <w:rsid w:val="006B37DC"/>
    <w:rsid w:val="006B40C0"/>
    <w:rsid w:val="006B42EB"/>
    <w:rsid w:val="006B44BD"/>
    <w:rsid w:val="006B4F68"/>
    <w:rsid w:val="006B56E6"/>
    <w:rsid w:val="006B6A10"/>
    <w:rsid w:val="006B7D11"/>
    <w:rsid w:val="006C006A"/>
    <w:rsid w:val="006C03CA"/>
    <w:rsid w:val="006C0592"/>
    <w:rsid w:val="006C19BC"/>
    <w:rsid w:val="006C1D88"/>
    <w:rsid w:val="006C2229"/>
    <w:rsid w:val="006C272E"/>
    <w:rsid w:val="006C2A77"/>
    <w:rsid w:val="006C2E42"/>
    <w:rsid w:val="006C3D68"/>
    <w:rsid w:val="006C4E39"/>
    <w:rsid w:val="006C51FE"/>
    <w:rsid w:val="006C5479"/>
    <w:rsid w:val="006D02BA"/>
    <w:rsid w:val="006D0E13"/>
    <w:rsid w:val="006D13B5"/>
    <w:rsid w:val="006D1932"/>
    <w:rsid w:val="006D1A3E"/>
    <w:rsid w:val="006D2870"/>
    <w:rsid w:val="006D3788"/>
    <w:rsid w:val="006D3DDD"/>
    <w:rsid w:val="006D6416"/>
    <w:rsid w:val="006D6873"/>
    <w:rsid w:val="006D7474"/>
    <w:rsid w:val="006E12FF"/>
    <w:rsid w:val="006E1383"/>
    <w:rsid w:val="006E259F"/>
    <w:rsid w:val="006E26D6"/>
    <w:rsid w:val="006E3487"/>
    <w:rsid w:val="006E55A9"/>
    <w:rsid w:val="006E5A78"/>
    <w:rsid w:val="006E607E"/>
    <w:rsid w:val="006E64F3"/>
    <w:rsid w:val="006E66A0"/>
    <w:rsid w:val="006F0EFC"/>
    <w:rsid w:val="006F1158"/>
    <w:rsid w:val="006F1903"/>
    <w:rsid w:val="006F2245"/>
    <w:rsid w:val="006F22EA"/>
    <w:rsid w:val="006F2323"/>
    <w:rsid w:val="006F386A"/>
    <w:rsid w:val="006F3A4A"/>
    <w:rsid w:val="006F3AE9"/>
    <w:rsid w:val="006F51E5"/>
    <w:rsid w:val="006F5346"/>
    <w:rsid w:val="006F540E"/>
    <w:rsid w:val="006F58AE"/>
    <w:rsid w:val="00700104"/>
    <w:rsid w:val="007004E2"/>
    <w:rsid w:val="007007B6"/>
    <w:rsid w:val="007010E2"/>
    <w:rsid w:val="00701364"/>
    <w:rsid w:val="00702D07"/>
    <w:rsid w:val="007030FE"/>
    <w:rsid w:val="007039B1"/>
    <w:rsid w:val="00704129"/>
    <w:rsid w:val="00704A57"/>
    <w:rsid w:val="00705D44"/>
    <w:rsid w:val="00706A93"/>
    <w:rsid w:val="00706C5D"/>
    <w:rsid w:val="00707490"/>
    <w:rsid w:val="007079B4"/>
    <w:rsid w:val="007103BD"/>
    <w:rsid w:val="007104B0"/>
    <w:rsid w:val="00711193"/>
    <w:rsid w:val="00711216"/>
    <w:rsid w:val="00712F1D"/>
    <w:rsid w:val="007139EB"/>
    <w:rsid w:val="00713C90"/>
    <w:rsid w:val="00713F1F"/>
    <w:rsid w:val="007143EB"/>
    <w:rsid w:val="0071523F"/>
    <w:rsid w:val="007153A2"/>
    <w:rsid w:val="007159DF"/>
    <w:rsid w:val="00715B38"/>
    <w:rsid w:val="00716290"/>
    <w:rsid w:val="00717E05"/>
    <w:rsid w:val="00720054"/>
    <w:rsid w:val="0072093C"/>
    <w:rsid w:val="0072269E"/>
    <w:rsid w:val="00722970"/>
    <w:rsid w:val="007231A2"/>
    <w:rsid w:val="0072327F"/>
    <w:rsid w:val="00724691"/>
    <w:rsid w:val="007252D2"/>
    <w:rsid w:val="00725634"/>
    <w:rsid w:val="00725D2C"/>
    <w:rsid w:val="00725F51"/>
    <w:rsid w:val="00727A2C"/>
    <w:rsid w:val="00730220"/>
    <w:rsid w:val="00732922"/>
    <w:rsid w:val="007330A6"/>
    <w:rsid w:val="00733649"/>
    <w:rsid w:val="007337E0"/>
    <w:rsid w:val="00733ECC"/>
    <w:rsid w:val="00734780"/>
    <w:rsid w:val="00734CDB"/>
    <w:rsid w:val="00735B41"/>
    <w:rsid w:val="00736CF8"/>
    <w:rsid w:val="00742F4A"/>
    <w:rsid w:val="00743A5D"/>
    <w:rsid w:val="00744011"/>
    <w:rsid w:val="0074415F"/>
    <w:rsid w:val="00744E14"/>
    <w:rsid w:val="00744E67"/>
    <w:rsid w:val="007453F2"/>
    <w:rsid w:val="0074599D"/>
    <w:rsid w:val="00745ECC"/>
    <w:rsid w:val="007470D7"/>
    <w:rsid w:val="00747567"/>
    <w:rsid w:val="00747944"/>
    <w:rsid w:val="00747A46"/>
    <w:rsid w:val="00747B94"/>
    <w:rsid w:val="007507A8"/>
    <w:rsid w:val="0075162E"/>
    <w:rsid w:val="007519FC"/>
    <w:rsid w:val="00751C2F"/>
    <w:rsid w:val="00751C4A"/>
    <w:rsid w:val="007523D7"/>
    <w:rsid w:val="00752567"/>
    <w:rsid w:val="00753846"/>
    <w:rsid w:val="00753A2F"/>
    <w:rsid w:val="00754034"/>
    <w:rsid w:val="007540C4"/>
    <w:rsid w:val="007542CC"/>
    <w:rsid w:val="0075455E"/>
    <w:rsid w:val="00754CB4"/>
    <w:rsid w:val="00755489"/>
    <w:rsid w:val="00756556"/>
    <w:rsid w:val="00756BE9"/>
    <w:rsid w:val="00756C6F"/>
    <w:rsid w:val="00756F53"/>
    <w:rsid w:val="0076168B"/>
    <w:rsid w:val="007618C4"/>
    <w:rsid w:val="00761986"/>
    <w:rsid w:val="0076232E"/>
    <w:rsid w:val="00763067"/>
    <w:rsid w:val="00763EF6"/>
    <w:rsid w:val="00764257"/>
    <w:rsid w:val="007646AF"/>
    <w:rsid w:val="007655C6"/>
    <w:rsid w:val="00765C74"/>
    <w:rsid w:val="0076649A"/>
    <w:rsid w:val="007665C5"/>
    <w:rsid w:val="0076703A"/>
    <w:rsid w:val="00767167"/>
    <w:rsid w:val="007678A2"/>
    <w:rsid w:val="00767980"/>
    <w:rsid w:val="007707B3"/>
    <w:rsid w:val="00770B19"/>
    <w:rsid w:val="00771D02"/>
    <w:rsid w:val="00772748"/>
    <w:rsid w:val="00772EC8"/>
    <w:rsid w:val="00772F57"/>
    <w:rsid w:val="007736CB"/>
    <w:rsid w:val="00773916"/>
    <w:rsid w:val="0077463F"/>
    <w:rsid w:val="00774923"/>
    <w:rsid w:val="00774967"/>
    <w:rsid w:val="00774ADB"/>
    <w:rsid w:val="00775FA7"/>
    <w:rsid w:val="007760D3"/>
    <w:rsid w:val="0077690C"/>
    <w:rsid w:val="00781563"/>
    <w:rsid w:val="007825C9"/>
    <w:rsid w:val="00782860"/>
    <w:rsid w:val="0078339E"/>
    <w:rsid w:val="007836EA"/>
    <w:rsid w:val="00784523"/>
    <w:rsid w:val="00784CDA"/>
    <w:rsid w:val="00786E4A"/>
    <w:rsid w:val="0078700C"/>
    <w:rsid w:val="00787751"/>
    <w:rsid w:val="00787955"/>
    <w:rsid w:val="00787E65"/>
    <w:rsid w:val="0079010F"/>
    <w:rsid w:val="00790308"/>
    <w:rsid w:val="007906C4"/>
    <w:rsid w:val="00790CB3"/>
    <w:rsid w:val="00791697"/>
    <w:rsid w:val="0079253C"/>
    <w:rsid w:val="00792849"/>
    <w:rsid w:val="007934DE"/>
    <w:rsid w:val="007935C1"/>
    <w:rsid w:val="007940EA"/>
    <w:rsid w:val="00794165"/>
    <w:rsid w:val="007950F1"/>
    <w:rsid w:val="007955C3"/>
    <w:rsid w:val="007967E8"/>
    <w:rsid w:val="00796CED"/>
    <w:rsid w:val="00797211"/>
    <w:rsid w:val="007977FE"/>
    <w:rsid w:val="007A0379"/>
    <w:rsid w:val="007A04A1"/>
    <w:rsid w:val="007A129E"/>
    <w:rsid w:val="007A2170"/>
    <w:rsid w:val="007A22BF"/>
    <w:rsid w:val="007A3031"/>
    <w:rsid w:val="007A3323"/>
    <w:rsid w:val="007A35AC"/>
    <w:rsid w:val="007A58B3"/>
    <w:rsid w:val="007A7086"/>
    <w:rsid w:val="007A7A24"/>
    <w:rsid w:val="007A7E7A"/>
    <w:rsid w:val="007A7EB3"/>
    <w:rsid w:val="007B02DE"/>
    <w:rsid w:val="007B080D"/>
    <w:rsid w:val="007B0EC9"/>
    <w:rsid w:val="007B27C8"/>
    <w:rsid w:val="007B3E48"/>
    <w:rsid w:val="007B40C7"/>
    <w:rsid w:val="007B5723"/>
    <w:rsid w:val="007B5E16"/>
    <w:rsid w:val="007B66D9"/>
    <w:rsid w:val="007B6B4D"/>
    <w:rsid w:val="007B6DC2"/>
    <w:rsid w:val="007B72B8"/>
    <w:rsid w:val="007B734F"/>
    <w:rsid w:val="007B7A58"/>
    <w:rsid w:val="007C0765"/>
    <w:rsid w:val="007C0AB5"/>
    <w:rsid w:val="007C0B1E"/>
    <w:rsid w:val="007C0B45"/>
    <w:rsid w:val="007C10C7"/>
    <w:rsid w:val="007C196C"/>
    <w:rsid w:val="007C1A5D"/>
    <w:rsid w:val="007C21B5"/>
    <w:rsid w:val="007C2A73"/>
    <w:rsid w:val="007C3073"/>
    <w:rsid w:val="007C32EE"/>
    <w:rsid w:val="007C3EF8"/>
    <w:rsid w:val="007C4E07"/>
    <w:rsid w:val="007C4E53"/>
    <w:rsid w:val="007C56A0"/>
    <w:rsid w:val="007D1BCF"/>
    <w:rsid w:val="007D25D2"/>
    <w:rsid w:val="007D288D"/>
    <w:rsid w:val="007D321C"/>
    <w:rsid w:val="007D3B13"/>
    <w:rsid w:val="007D3B40"/>
    <w:rsid w:val="007D401C"/>
    <w:rsid w:val="007D5EEF"/>
    <w:rsid w:val="007D6794"/>
    <w:rsid w:val="007D7886"/>
    <w:rsid w:val="007D7EA0"/>
    <w:rsid w:val="007E0B28"/>
    <w:rsid w:val="007E4BD2"/>
    <w:rsid w:val="007E5784"/>
    <w:rsid w:val="007E6565"/>
    <w:rsid w:val="007E6646"/>
    <w:rsid w:val="007F0DC0"/>
    <w:rsid w:val="007F0E9C"/>
    <w:rsid w:val="007F16A0"/>
    <w:rsid w:val="007F21ED"/>
    <w:rsid w:val="007F24F1"/>
    <w:rsid w:val="007F3166"/>
    <w:rsid w:val="007F397A"/>
    <w:rsid w:val="007F3D6A"/>
    <w:rsid w:val="007F4B4D"/>
    <w:rsid w:val="007F58BA"/>
    <w:rsid w:val="0080063C"/>
    <w:rsid w:val="00800A0D"/>
    <w:rsid w:val="00801393"/>
    <w:rsid w:val="00801D8A"/>
    <w:rsid w:val="00802CEE"/>
    <w:rsid w:val="00802F88"/>
    <w:rsid w:val="00804B28"/>
    <w:rsid w:val="00806D50"/>
    <w:rsid w:val="00807C2F"/>
    <w:rsid w:val="00807F90"/>
    <w:rsid w:val="0081046A"/>
    <w:rsid w:val="00810946"/>
    <w:rsid w:val="00810C4D"/>
    <w:rsid w:val="00810F39"/>
    <w:rsid w:val="0081121D"/>
    <w:rsid w:val="0081201F"/>
    <w:rsid w:val="00812035"/>
    <w:rsid w:val="00812824"/>
    <w:rsid w:val="0081293E"/>
    <w:rsid w:val="0081384F"/>
    <w:rsid w:val="0081400E"/>
    <w:rsid w:val="0081468C"/>
    <w:rsid w:val="00815465"/>
    <w:rsid w:val="00816382"/>
    <w:rsid w:val="008174A3"/>
    <w:rsid w:val="00817E9A"/>
    <w:rsid w:val="008205E4"/>
    <w:rsid w:val="00820C11"/>
    <w:rsid w:val="008212E2"/>
    <w:rsid w:val="008224F9"/>
    <w:rsid w:val="00822F88"/>
    <w:rsid w:val="00823E63"/>
    <w:rsid w:val="00824075"/>
    <w:rsid w:val="00824243"/>
    <w:rsid w:val="00824D65"/>
    <w:rsid w:val="0082501C"/>
    <w:rsid w:val="00825406"/>
    <w:rsid w:val="00825ACB"/>
    <w:rsid w:val="00826348"/>
    <w:rsid w:val="008264EA"/>
    <w:rsid w:val="00826C22"/>
    <w:rsid w:val="00826DEC"/>
    <w:rsid w:val="00826E02"/>
    <w:rsid w:val="008306BD"/>
    <w:rsid w:val="00830EA2"/>
    <w:rsid w:val="00831069"/>
    <w:rsid w:val="008317FB"/>
    <w:rsid w:val="00831A80"/>
    <w:rsid w:val="00832ADD"/>
    <w:rsid w:val="00832B6A"/>
    <w:rsid w:val="00833743"/>
    <w:rsid w:val="008340A4"/>
    <w:rsid w:val="0083453D"/>
    <w:rsid w:val="008346FE"/>
    <w:rsid w:val="008347A9"/>
    <w:rsid w:val="00834C01"/>
    <w:rsid w:val="00834D33"/>
    <w:rsid w:val="008355BB"/>
    <w:rsid w:val="008367B8"/>
    <w:rsid w:val="00836B3A"/>
    <w:rsid w:val="00837A83"/>
    <w:rsid w:val="00837DB0"/>
    <w:rsid w:val="00837FF8"/>
    <w:rsid w:val="00840272"/>
    <w:rsid w:val="00840698"/>
    <w:rsid w:val="00840916"/>
    <w:rsid w:val="008413C2"/>
    <w:rsid w:val="0084384D"/>
    <w:rsid w:val="00847302"/>
    <w:rsid w:val="0085049C"/>
    <w:rsid w:val="00850F48"/>
    <w:rsid w:val="008514F1"/>
    <w:rsid w:val="00851C8F"/>
    <w:rsid w:val="00852260"/>
    <w:rsid w:val="00852E4F"/>
    <w:rsid w:val="0085326F"/>
    <w:rsid w:val="00853429"/>
    <w:rsid w:val="00853CF4"/>
    <w:rsid w:val="008555FB"/>
    <w:rsid w:val="00855DAE"/>
    <w:rsid w:val="00855F25"/>
    <w:rsid w:val="0085601F"/>
    <w:rsid w:val="0085609F"/>
    <w:rsid w:val="00856B0A"/>
    <w:rsid w:val="00856D6E"/>
    <w:rsid w:val="00856D76"/>
    <w:rsid w:val="008613BB"/>
    <w:rsid w:val="0086195D"/>
    <w:rsid w:val="0086225B"/>
    <w:rsid w:val="00862709"/>
    <w:rsid w:val="00862CC0"/>
    <w:rsid w:val="008645CC"/>
    <w:rsid w:val="00864FD7"/>
    <w:rsid w:val="00866DAD"/>
    <w:rsid w:val="0086759B"/>
    <w:rsid w:val="00867B1B"/>
    <w:rsid w:val="00867DB1"/>
    <w:rsid w:val="00870964"/>
    <w:rsid w:val="00870A04"/>
    <w:rsid w:val="00870E6F"/>
    <w:rsid w:val="0087135F"/>
    <w:rsid w:val="008725B5"/>
    <w:rsid w:val="00872D94"/>
    <w:rsid w:val="0087335B"/>
    <w:rsid w:val="00873529"/>
    <w:rsid w:val="008735E2"/>
    <w:rsid w:val="0087442C"/>
    <w:rsid w:val="008749F4"/>
    <w:rsid w:val="00874EFC"/>
    <w:rsid w:val="0087511A"/>
    <w:rsid w:val="00876230"/>
    <w:rsid w:val="0088022A"/>
    <w:rsid w:val="00880364"/>
    <w:rsid w:val="008803F8"/>
    <w:rsid w:val="00881035"/>
    <w:rsid w:val="00881E6F"/>
    <w:rsid w:val="00882BEA"/>
    <w:rsid w:val="00882EEC"/>
    <w:rsid w:val="0088394A"/>
    <w:rsid w:val="00883ECE"/>
    <w:rsid w:val="00884414"/>
    <w:rsid w:val="00885B1C"/>
    <w:rsid w:val="008862E0"/>
    <w:rsid w:val="008862E2"/>
    <w:rsid w:val="00886991"/>
    <w:rsid w:val="008877B9"/>
    <w:rsid w:val="0088783F"/>
    <w:rsid w:val="00887848"/>
    <w:rsid w:val="008900EA"/>
    <w:rsid w:val="00891592"/>
    <w:rsid w:val="00891BF2"/>
    <w:rsid w:val="00891E9E"/>
    <w:rsid w:val="00893743"/>
    <w:rsid w:val="00893BE5"/>
    <w:rsid w:val="0089553B"/>
    <w:rsid w:val="00896D64"/>
    <w:rsid w:val="0089715E"/>
    <w:rsid w:val="0089738F"/>
    <w:rsid w:val="00897918"/>
    <w:rsid w:val="008A0A8F"/>
    <w:rsid w:val="008A0EF7"/>
    <w:rsid w:val="008A16CB"/>
    <w:rsid w:val="008A1904"/>
    <w:rsid w:val="008A2F68"/>
    <w:rsid w:val="008A375C"/>
    <w:rsid w:val="008A468C"/>
    <w:rsid w:val="008A4DCA"/>
    <w:rsid w:val="008A55DD"/>
    <w:rsid w:val="008A575F"/>
    <w:rsid w:val="008A57D3"/>
    <w:rsid w:val="008A602E"/>
    <w:rsid w:val="008A6BE9"/>
    <w:rsid w:val="008A740E"/>
    <w:rsid w:val="008B0039"/>
    <w:rsid w:val="008B00EF"/>
    <w:rsid w:val="008B0BC1"/>
    <w:rsid w:val="008B0D85"/>
    <w:rsid w:val="008B1A67"/>
    <w:rsid w:val="008B20AE"/>
    <w:rsid w:val="008B231E"/>
    <w:rsid w:val="008B2EE3"/>
    <w:rsid w:val="008B395F"/>
    <w:rsid w:val="008B4FA6"/>
    <w:rsid w:val="008B5282"/>
    <w:rsid w:val="008B6847"/>
    <w:rsid w:val="008B7C17"/>
    <w:rsid w:val="008C0A8B"/>
    <w:rsid w:val="008C0DFB"/>
    <w:rsid w:val="008C1B0E"/>
    <w:rsid w:val="008C1BF6"/>
    <w:rsid w:val="008C2D01"/>
    <w:rsid w:val="008C3097"/>
    <w:rsid w:val="008C3373"/>
    <w:rsid w:val="008C40E6"/>
    <w:rsid w:val="008C4915"/>
    <w:rsid w:val="008C4F78"/>
    <w:rsid w:val="008C6AB7"/>
    <w:rsid w:val="008C787E"/>
    <w:rsid w:val="008D0095"/>
    <w:rsid w:val="008D037E"/>
    <w:rsid w:val="008D0F7A"/>
    <w:rsid w:val="008D1165"/>
    <w:rsid w:val="008D135B"/>
    <w:rsid w:val="008D1BE8"/>
    <w:rsid w:val="008D20AB"/>
    <w:rsid w:val="008D216D"/>
    <w:rsid w:val="008D2335"/>
    <w:rsid w:val="008D2D8A"/>
    <w:rsid w:val="008D3071"/>
    <w:rsid w:val="008D31F8"/>
    <w:rsid w:val="008D365D"/>
    <w:rsid w:val="008D4142"/>
    <w:rsid w:val="008D4916"/>
    <w:rsid w:val="008D53FD"/>
    <w:rsid w:val="008D68E4"/>
    <w:rsid w:val="008D6BD8"/>
    <w:rsid w:val="008D732E"/>
    <w:rsid w:val="008D7803"/>
    <w:rsid w:val="008E0506"/>
    <w:rsid w:val="008E098E"/>
    <w:rsid w:val="008E0CFF"/>
    <w:rsid w:val="008E0D74"/>
    <w:rsid w:val="008E1BA3"/>
    <w:rsid w:val="008E2A0E"/>
    <w:rsid w:val="008E3257"/>
    <w:rsid w:val="008E3D0D"/>
    <w:rsid w:val="008E45C1"/>
    <w:rsid w:val="008E4ADB"/>
    <w:rsid w:val="008E525A"/>
    <w:rsid w:val="008E59BA"/>
    <w:rsid w:val="008E5D6B"/>
    <w:rsid w:val="008E60E5"/>
    <w:rsid w:val="008E63F5"/>
    <w:rsid w:val="008E652C"/>
    <w:rsid w:val="008E66A2"/>
    <w:rsid w:val="008E6749"/>
    <w:rsid w:val="008E693B"/>
    <w:rsid w:val="008E76F0"/>
    <w:rsid w:val="008E7DE7"/>
    <w:rsid w:val="008F061B"/>
    <w:rsid w:val="008F06E5"/>
    <w:rsid w:val="008F15FE"/>
    <w:rsid w:val="008F213B"/>
    <w:rsid w:val="008F2D29"/>
    <w:rsid w:val="008F398D"/>
    <w:rsid w:val="008F4189"/>
    <w:rsid w:val="008F4CCC"/>
    <w:rsid w:val="008F5187"/>
    <w:rsid w:val="008F51E1"/>
    <w:rsid w:val="008F60D8"/>
    <w:rsid w:val="008F63D1"/>
    <w:rsid w:val="008F63D3"/>
    <w:rsid w:val="008F6D13"/>
    <w:rsid w:val="008F7965"/>
    <w:rsid w:val="009010C2"/>
    <w:rsid w:val="00901C45"/>
    <w:rsid w:val="00902727"/>
    <w:rsid w:val="00903098"/>
    <w:rsid w:val="0090312B"/>
    <w:rsid w:val="00903B06"/>
    <w:rsid w:val="009041A5"/>
    <w:rsid w:val="00905207"/>
    <w:rsid w:val="00905F92"/>
    <w:rsid w:val="0090766A"/>
    <w:rsid w:val="00907960"/>
    <w:rsid w:val="009118CB"/>
    <w:rsid w:val="00912271"/>
    <w:rsid w:val="00912FC3"/>
    <w:rsid w:val="00912FDA"/>
    <w:rsid w:val="0091304E"/>
    <w:rsid w:val="009133C4"/>
    <w:rsid w:val="00914043"/>
    <w:rsid w:val="00914075"/>
    <w:rsid w:val="00914980"/>
    <w:rsid w:val="0091736D"/>
    <w:rsid w:val="00917584"/>
    <w:rsid w:val="00917ADE"/>
    <w:rsid w:val="009203F0"/>
    <w:rsid w:val="00920778"/>
    <w:rsid w:val="009207D1"/>
    <w:rsid w:val="009226BF"/>
    <w:rsid w:val="009227FA"/>
    <w:rsid w:val="0092294B"/>
    <w:rsid w:val="00922CD5"/>
    <w:rsid w:val="0092403C"/>
    <w:rsid w:val="00924787"/>
    <w:rsid w:val="009257B3"/>
    <w:rsid w:val="00925A27"/>
    <w:rsid w:val="00925ABF"/>
    <w:rsid w:val="00925B39"/>
    <w:rsid w:val="00925F65"/>
    <w:rsid w:val="00926620"/>
    <w:rsid w:val="00926647"/>
    <w:rsid w:val="0092701E"/>
    <w:rsid w:val="0092758E"/>
    <w:rsid w:val="009277C1"/>
    <w:rsid w:val="0093037A"/>
    <w:rsid w:val="00930B8F"/>
    <w:rsid w:val="00931ECE"/>
    <w:rsid w:val="00932187"/>
    <w:rsid w:val="00934987"/>
    <w:rsid w:val="00934EDD"/>
    <w:rsid w:val="0093550D"/>
    <w:rsid w:val="00935DA2"/>
    <w:rsid w:val="00937885"/>
    <w:rsid w:val="00937919"/>
    <w:rsid w:val="00937B98"/>
    <w:rsid w:val="00937CD3"/>
    <w:rsid w:val="0094018B"/>
    <w:rsid w:val="00940694"/>
    <w:rsid w:val="0094074D"/>
    <w:rsid w:val="00941267"/>
    <w:rsid w:val="0094154D"/>
    <w:rsid w:val="009417E7"/>
    <w:rsid w:val="00943778"/>
    <w:rsid w:val="00943F72"/>
    <w:rsid w:val="00944019"/>
    <w:rsid w:val="00944224"/>
    <w:rsid w:val="009442D1"/>
    <w:rsid w:val="009443AA"/>
    <w:rsid w:val="00944BA9"/>
    <w:rsid w:val="009456B2"/>
    <w:rsid w:val="00945EFC"/>
    <w:rsid w:val="00946055"/>
    <w:rsid w:val="00946F0C"/>
    <w:rsid w:val="0095035E"/>
    <w:rsid w:val="00950D48"/>
    <w:rsid w:val="0095155F"/>
    <w:rsid w:val="00952519"/>
    <w:rsid w:val="00952F0A"/>
    <w:rsid w:val="009534EE"/>
    <w:rsid w:val="009539D2"/>
    <w:rsid w:val="00954429"/>
    <w:rsid w:val="009549E7"/>
    <w:rsid w:val="00954E3E"/>
    <w:rsid w:val="009552C1"/>
    <w:rsid w:val="00955618"/>
    <w:rsid w:val="009561D9"/>
    <w:rsid w:val="009563CE"/>
    <w:rsid w:val="00956977"/>
    <w:rsid w:val="009579E3"/>
    <w:rsid w:val="00960213"/>
    <w:rsid w:val="00960393"/>
    <w:rsid w:val="009603E0"/>
    <w:rsid w:val="00960B43"/>
    <w:rsid w:val="0096143F"/>
    <w:rsid w:val="00961845"/>
    <w:rsid w:val="00961B6A"/>
    <w:rsid w:val="009625FB"/>
    <w:rsid w:val="0096272C"/>
    <w:rsid w:val="00963EE7"/>
    <w:rsid w:val="009655AF"/>
    <w:rsid w:val="009657D2"/>
    <w:rsid w:val="00966F47"/>
    <w:rsid w:val="00967041"/>
    <w:rsid w:val="009675E0"/>
    <w:rsid w:val="009718A9"/>
    <w:rsid w:val="009725C6"/>
    <w:rsid w:val="009727A1"/>
    <w:rsid w:val="00973171"/>
    <w:rsid w:val="00973198"/>
    <w:rsid w:val="009734AB"/>
    <w:rsid w:val="00973659"/>
    <w:rsid w:val="0097398D"/>
    <w:rsid w:val="009749D2"/>
    <w:rsid w:val="0097546C"/>
    <w:rsid w:val="00975D66"/>
    <w:rsid w:val="00975D9B"/>
    <w:rsid w:val="00976328"/>
    <w:rsid w:val="0097680D"/>
    <w:rsid w:val="0097761A"/>
    <w:rsid w:val="00980632"/>
    <w:rsid w:val="00980A7B"/>
    <w:rsid w:val="00982438"/>
    <w:rsid w:val="00982497"/>
    <w:rsid w:val="00982D36"/>
    <w:rsid w:val="009832BE"/>
    <w:rsid w:val="009838CD"/>
    <w:rsid w:val="00983AD3"/>
    <w:rsid w:val="0098404C"/>
    <w:rsid w:val="00984D6B"/>
    <w:rsid w:val="00984E08"/>
    <w:rsid w:val="00985283"/>
    <w:rsid w:val="009854A3"/>
    <w:rsid w:val="00985DFB"/>
    <w:rsid w:val="0099173F"/>
    <w:rsid w:val="00991B46"/>
    <w:rsid w:val="0099238A"/>
    <w:rsid w:val="0099298B"/>
    <w:rsid w:val="009930E7"/>
    <w:rsid w:val="00993C87"/>
    <w:rsid w:val="00993D5E"/>
    <w:rsid w:val="00994887"/>
    <w:rsid w:val="009952B9"/>
    <w:rsid w:val="0099562C"/>
    <w:rsid w:val="00995992"/>
    <w:rsid w:val="009962DC"/>
    <w:rsid w:val="0099637F"/>
    <w:rsid w:val="0099644D"/>
    <w:rsid w:val="00996C57"/>
    <w:rsid w:val="009972CA"/>
    <w:rsid w:val="009A03E5"/>
    <w:rsid w:val="009A0B55"/>
    <w:rsid w:val="009A0B9B"/>
    <w:rsid w:val="009A0C06"/>
    <w:rsid w:val="009A0E95"/>
    <w:rsid w:val="009A0EF0"/>
    <w:rsid w:val="009A0F3B"/>
    <w:rsid w:val="009A1B2A"/>
    <w:rsid w:val="009A1BB4"/>
    <w:rsid w:val="009A2258"/>
    <w:rsid w:val="009A2628"/>
    <w:rsid w:val="009A2ABE"/>
    <w:rsid w:val="009A3200"/>
    <w:rsid w:val="009A461C"/>
    <w:rsid w:val="009A4F28"/>
    <w:rsid w:val="009A536A"/>
    <w:rsid w:val="009A7374"/>
    <w:rsid w:val="009A7D2A"/>
    <w:rsid w:val="009B0897"/>
    <w:rsid w:val="009B0F02"/>
    <w:rsid w:val="009B409C"/>
    <w:rsid w:val="009B5D05"/>
    <w:rsid w:val="009B64C8"/>
    <w:rsid w:val="009B7522"/>
    <w:rsid w:val="009B7AD3"/>
    <w:rsid w:val="009B7BD9"/>
    <w:rsid w:val="009C03FA"/>
    <w:rsid w:val="009C0CF9"/>
    <w:rsid w:val="009C24C5"/>
    <w:rsid w:val="009C2698"/>
    <w:rsid w:val="009C27A3"/>
    <w:rsid w:val="009C2A75"/>
    <w:rsid w:val="009C2D32"/>
    <w:rsid w:val="009C4125"/>
    <w:rsid w:val="009C479E"/>
    <w:rsid w:val="009C630F"/>
    <w:rsid w:val="009C68C1"/>
    <w:rsid w:val="009C71F8"/>
    <w:rsid w:val="009C785A"/>
    <w:rsid w:val="009C7DD5"/>
    <w:rsid w:val="009C7F04"/>
    <w:rsid w:val="009D35A6"/>
    <w:rsid w:val="009D3792"/>
    <w:rsid w:val="009D3A27"/>
    <w:rsid w:val="009D4D79"/>
    <w:rsid w:val="009D507A"/>
    <w:rsid w:val="009D5637"/>
    <w:rsid w:val="009D6355"/>
    <w:rsid w:val="009D79A0"/>
    <w:rsid w:val="009E0AD7"/>
    <w:rsid w:val="009E1CB1"/>
    <w:rsid w:val="009E227D"/>
    <w:rsid w:val="009E2DF5"/>
    <w:rsid w:val="009E305C"/>
    <w:rsid w:val="009E3471"/>
    <w:rsid w:val="009E4279"/>
    <w:rsid w:val="009E4CD4"/>
    <w:rsid w:val="009E5019"/>
    <w:rsid w:val="009E503D"/>
    <w:rsid w:val="009E62C5"/>
    <w:rsid w:val="009E634B"/>
    <w:rsid w:val="009E666E"/>
    <w:rsid w:val="009E6B06"/>
    <w:rsid w:val="009E7100"/>
    <w:rsid w:val="009E7D19"/>
    <w:rsid w:val="009E7D64"/>
    <w:rsid w:val="009F0564"/>
    <w:rsid w:val="009F06A2"/>
    <w:rsid w:val="009F0979"/>
    <w:rsid w:val="009F22F0"/>
    <w:rsid w:val="009F251F"/>
    <w:rsid w:val="009F3DD6"/>
    <w:rsid w:val="009F4379"/>
    <w:rsid w:val="009F4ACC"/>
    <w:rsid w:val="009F4CC2"/>
    <w:rsid w:val="009F5A42"/>
    <w:rsid w:val="009F5B41"/>
    <w:rsid w:val="009F64B5"/>
    <w:rsid w:val="009F6C0F"/>
    <w:rsid w:val="009F6C73"/>
    <w:rsid w:val="009F7337"/>
    <w:rsid w:val="00A00C43"/>
    <w:rsid w:val="00A01036"/>
    <w:rsid w:val="00A01818"/>
    <w:rsid w:val="00A020E0"/>
    <w:rsid w:val="00A0234C"/>
    <w:rsid w:val="00A024C0"/>
    <w:rsid w:val="00A0359D"/>
    <w:rsid w:val="00A03649"/>
    <w:rsid w:val="00A04F1B"/>
    <w:rsid w:val="00A0501B"/>
    <w:rsid w:val="00A05A19"/>
    <w:rsid w:val="00A06537"/>
    <w:rsid w:val="00A0658D"/>
    <w:rsid w:val="00A06B84"/>
    <w:rsid w:val="00A11918"/>
    <w:rsid w:val="00A11E2D"/>
    <w:rsid w:val="00A124E1"/>
    <w:rsid w:val="00A13073"/>
    <w:rsid w:val="00A13260"/>
    <w:rsid w:val="00A132BA"/>
    <w:rsid w:val="00A1346F"/>
    <w:rsid w:val="00A138DA"/>
    <w:rsid w:val="00A13DBC"/>
    <w:rsid w:val="00A14947"/>
    <w:rsid w:val="00A15095"/>
    <w:rsid w:val="00A153F3"/>
    <w:rsid w:val="00A157B0"/>
    <w:rsid w:val="00A15AAE"/>
    <w:rsid w:val="00A16A46"/>
    <w:rsid w:val="00A16BE5"/>
    <w:rsid w:val="00A1723D"/>
    <w:rsid w:val="00A17C8A"/>
    <w:rsid w:val="00A203EC"/>
    <w:rsid w:val="00A20D3A"/>
    <w:rsid w:val="00A20D46"/>
    <w:rsid w:val="00A2150C"/>
    <w:rsid w:val="00A21651"/>
    <w:rsid w:val="00A221CB"/>
    <w:rsid w:val="00A222AD"/>
    <w:rsid w:val="00A22F15"/>
    <w:rsid w:val="00A23856"/>
    <w:rsid w:val="00A2408D"/>
    <w:rsid w:val="00A240F1"/>
    <w:rsid w:val="00A2505A"/>
    <w:rsid w:val="00A26F9B"/>
    <w:rsid w:val="00A27940"/>
    <w:rsid w:val="00A279B8"/>
    <w:rsid w:val="00A27A33"/>
    <w:rsid w:val="00A306B7"/>
    <w:rsid w:val="00A30C00"/>
    <w:rsid w:val="00A3134F"/>
    <w:rsid w:val="00A3141F"/>
    <w:rsid w:val="00A31FFF"/>
    <w:rsid w:val="00A321EA"/>
    <w:rsid w:val="00A32A83"/>
    <w:rsid w:val="00A3463D"/>
    <w:rsid w:val="00A361EF"/>
    <w:rsid w:val="00A368DB"/>
    <w:rsid w:val="00A369A0"/>
    <w:rsid w:val="00A369F8"/>
    <w:rsid w:val="00A37817"/>
    <w:rsid w:val="00A37CED"/>
    <w:rsid w:val="00A4044E"/>
    <w:rsid w:val="00A40457"/>
    <w:rsid w:val="00A409A2"/>
    <w:rsid w:val="00A4116E"/>
    <w:rsid w:val="00A41AF7"/>
    <w:rsid w:val="00A422F1"/>
    <w:rsid w:val="00A423AA"/>
    <w:rsid w:val="00A427CE"/>
    <w:rsid w:val="00A42BC9"/>
    <w:rsid w:val="00A436B7"/>
    <w:rsid w:val="00A43A00"/>
    <w:rsid w:val="00A4448D"/>
    <w:rsid w:val="00A45376"/>
    <w:rsid w:val="00A45855"/>
    <w:rsid w:val="00A45C78"/>
    <w:rsid w:val="00A47032"/>
    <w:rsid w:val="00A47165"/>
    <w:rsid w:val="00A47669"/>
    <w:rsid w:val="00A501C5"/>
    <w:rsid w:val="00A51A80"/>
    <w:rsid w:val="00A520F2"/>
    <w:rsid w:val="00A52C9B"/>
    <w:rsid w:val="00A52F37"/>
    <w:rsid w:val="00A5312E"/>
    <w:rsid w:val="00A53BF4"/>
    <w:rsid w:val="00A53EC6"/>
    <w:rsid w:val="00A55670"/>
    <w:rsid w:val="00A55C0F"/>
    <w:rsid w:val="00A55EB9"/>
    <w:rsid w:val="00A5636B"/>
    <w:rsid w:val="00A56E43"/>
    <w:rsid w:val="00A5745C"/>
    <w:rsid w:val="00A605DC"/>
    <w:rsid w:val="00A6198E"/>
    <w:rsid w:val="00A629F2"/>
    <w:rsid w:val="00A643D1"/>
    <w:rsid w:val="00A645E2"/>
    <w:rsid w:val="00A64899"/>
    <w:rsid w:val="00A64AC3"/>
    <w:rsid w:val="00A657A4"/>
    <w:rsid w:val="00A6582F"/>
    <w:rsid w:val="00A677F1"/>
    <w:rsid w:val="00A67CDF"/>
    <w:rsid w:val="00A70A69"/>
    <w:rsid w:val="00A70AFE"/>
    <w:rsid w:val="00A70EEF"/>
    <w:rsid w:val="00A71A3B"/>
    <w:rsid w:val="00A72608"/>
    <w:rsid w:val="00A73497"/>
    <w:rsid w:val="00A735C4"/>
    <w:rsid w:val="00A7407B"/>
    <w:rsid w:val="00A740BB"/>
    <w:rsid w:val="00A749C1"/>
    <w:rsid w:val="00A74B38"/>
    <w:rsid w:val="00A75955"/>
    <w:rsid w:val="00A75F31"/>
    <w:rsid w:val="00A77CA3"/>
    <w:rsid w:val="00A77E44"/>
    <w:rsid w:val="00A8016D"/>
    <w:rsid w:val="00A81D78"/>
    <w:rsid w:val="00A8396B"/>
    <w:rsid w:val="00A84032"/>
    <w:rsid w:val="00A86465"/>
    <w:rsid w:val="00A864F8"/>
    <w:rsid w:val="00A867E0"/>
    <w:rsid w:val="00A86C33"/>
    <w:rsid w:val="00A8713F"/>
    <w:rsid w:val="00A874C8"/>
    <w:rsid w:val="00A90A7C"/>
    <w:rsid w:val="00A90BA1"/>
    <w:rsid w:val="00A90C9A"/>
    <w:rsid w:val="00A91754"/>
    <w:rsid w:val="00A9207D"/>
    <w:rsid w:val="00A934FD"/>
    <w:rsid w:val="00A9357B"/>
    <w:rsid w:val="00A9590C"/>
    <w:rsid w:val="00A95FA4"/>
    <w:rsid w:val="00A97A9A"/>
    <w:rsid w:val="00A97D57"/>
    <w:rsid w:val="00AA0671"/>
    <w:rsid w:val="00AA1EBE"/>
    <w:rsid w:val="00AA232A"/>
    <w:rsid w:val="00AA2531"/>
    <w:rsid w:val="00AA2BE8"/>
    <w:rsid w:val="00AA326F"/>
    <w:rsid w:val="00AA404A"/>
    <w:rsid w:val="00AA5C01"/>
    <w:rsid w:val="00AA5FDE"/>
    <w:rsid w:val="00AA63C2"/>
    <w:rsid w:val="00AB0026"/>
    <w:rsid w:val="00AB002D"/>
    <w:rsid w:val="00AB003B"/>
    <w:rsid w:val="00AB0374"/>
    <w:rsid w:val="00AB0AB2"/>
    <w:rsid w:val="00AB1E09"/>
    <w:rsid w:val="00AB2BA1"/>
    <w:rsid w:val="00AB327F"/>
    <w:rsid w:val="00AB34C1"/>
    <w:rsid w:val="00AB3D56"/>
    <w:rsid w:val="00AB4B18"/>
    <w:rsid w:val="00AB5330"/>
    <w:rsid w:val="00AB6052"/>
    <w:rsid w:val="00AB6443"/>
    <w:rsid w:val="00AB6A02"/>
    <w:rsid w:val="00AB6AE8"/>
    <w:rsid w:val="00AB6DCE"/>
    <w:rsid w:val="00AB7006"/>
    <w:rsid w:val="00AB7747"/>
    <w:rsid w:val="00AC0939"/>
    <w:rsid w:val="00AC0D6E"/>
    <w:rsid w:val="00AC12CE"/>
    <w:rsid w:val="00AC14CE"/>
    <w:rsid w:val="00AC1976"/>
    <w:rsid w:val="00AC1BB1"/>
    <w:rsid w:val="00AC1FBA"/>
    <w:rsid w:val="00AC2A56"/>
    <w:rsid w:val="00AC36C7"/>
    <w:rsid w:val="00AC3AC5"/>
    <w:rsid w:val="00AC3F1F"/>
    <w:rsid w:val="00AC44AA"/>
    <w:rsid w:val="00AC4777"/>
    <w:rsid w:val="00AC49C2"/>
    <w:rsid w:val="00AC4F53"/>
    <w:rsid w:val="00AC580F"/>
    <w:rsid w:val="00AC652B"/>
    <w:rsid w:val="00AC66B1"/>
    <w:rsid w:val="00AD055E"/>
    <w:rsid w:val="00AD0EA7"/>
    <w:rsid w:val="00AD21B2"/>
    <w:rsid w:val="00AD47A7"/>
    <w:rsid w:val="00AD47B6"/>
    <w:rsid w:val="00AD4A52"/>
    <w:rsid w:val="00AD4B0B"/>
    <w:rsid w:val="00AD5A7C"/>
    <w:rsid w:val="00AD5E15"/>
    <w:rsid w:val="00AD73A0"/>
    <w:rsid w:val="00AD7B91"/>
    <w:rsid w:val="00AD7B9C"/>
    <w:rsid w:val="00AD7BD9"/>
    <w:rsid w:val="00AE010C"/>
    <w:rsid w:val="00AE1321"/>
    <w:rsid w:val="00AE1B12"/>
    <w:rsid w:val="00AE1ECA"/>
    <w:rsid w:val="00AE232A"/>
    <w:rsid w:val="00AE2586"/>
    <w:rsid w:val="00AE2D12"/>
    <w:rsid w:val="00AE2FC4"/>
    <w:rsid w:val="00AE3A23"/>
    <w:rsid w:val="00AE432A"/>
    <w:rsid w:val="00AE4E5E"/>
    <w:rsid w:val="00AE4F0F"/>
    <w:rsid w:val="00AE54A0"/>
    <w:rsid w:val="00AE58FF"/>
    <w:rsid w:val="00AE65E0"/>
    <w:rsid w:val="00AE67D7"/>
    <w:rsid w:val="00AE6B88"/>
    <w:rsid w:val="00AE6C0D"/>
    <w:rsid w:val="00AE7558"/>
    <w:rsid w:val="00AF06AC"/>
    <w:rsid w:val="00AF0CBF"/>
    <w:rsid w:val="00AF257F"/>
    <w:rsid w:val="00AF33CF"/>
    <w:rsid w:val="00AF36E4"/>
    <w:rsid w:val="00AF3F16"/>
    <w:rsid w:val="00AF438E"/>
    <w:rsid w:val="00AF4CCE"/>
    <w:rsid w:val="00AF4D26"/>
    <w:rsid w:val="00AF4D50"/>
    <w:rsid w:val="00AF4F46"/>
    <w:rsid w:val="00AF563B"/>
    <w:rsid w:val="00AF5A36"/>
    <w:rsid w:val="00AF6179"/>
    <w:rsid w:val="00AF62AC"/>
    <w:rsid w:val="00AF721F"/>
    <w:rsid w:val="00AF736A"/>
    <w:rsid w:val="00AF76DD"/>
    <w:rsid w:val="00B016C5"/>
    <w:rsid w:val="00B0220B"/>
    <w:rsid w:val="00B02591"/>
    <w:rsid w:val="00B0314D"/>
    <w:rsid w:val="00B03D05"/>
    <w:rsid w:val="00B04A5D"/>
    <w:rsid w:val="00B04BEB"/>
    <w:rsid w:val="00B059D2"/>
    <w:rsid w:val="00B05ADB"/>
    <w:rsid w:val="00B05CAE"/>
    <w:rsid w:val="00B0623F"/>
    <w:rsid w:val="00B07B47"/>
    <w:rsid w:val="00B10873"/>
    <w:rsid w:val="00B1207C"/>
    <w:rsid w:val="00B1295A"/>
    <w:rsid w:val="00B133AD"/>
    <w:rsid w:val="00B14AC9"/>
    <w:rsid w:val="00B14C36"/>
    <w:rsid w:val="00B157FA"/>
    <w:rsid w:val="00B179A5"/>
    <w:rsid w:val="00B17D3C"/>
    <w:rsid w:val="00B17F0C"/>
    <w:rsid w:val="00B17F32"/>
    <w:rsid w:val="00B20596"/>
    <w:rsid w:val="00B20A45"/>
    <w:rsid w:val="00B20D9F"/>
    <w:rsid w:val="00B20FFD"/>
    <w:rsid w:val="00B22C5C"/>
    <w:rsid w:val="00B22DD6"/>
    <w:rsid w:val="00B2347F"/>
    <w:rsid w:val="00B23706"/>
    <w:rsid w:val="00B23A6F"/>
    <w:rsid w:val="00B23FBA"/>
    <w:rsid w:val="00B2407A"/>
    <w:rsid w:val="00B24EAF"/>
    <w:rsid w:val="00B24F30"/>
    <w:rsid w:val="00B25886"/>
    <w:rsid w:val="00B26613"/>
    <w:rsid w:val="00B275AF"/>
    <w:rsid w:val="00B278E9"/>
    <w:rsid w:val="00B30DC3"/>
    <w:rsid w:val="00B313CD"/>
    <w:rsid w:val="00B31841"/>
    <w:rsid w:val="00B31ABF"/>
    <w:rsid w:val="00B32954"/>
    <w:rsid w:val="00B32A20"/>
    <w:rsid w:val="00B32E0D"/>
    <w:rsid w:val="00B33081"/>
    <w:rsid w:val="00B336BA"/>
    <w:rsid w:val="00B33BE3"/>
    <w:rsid w:val="00B33F54"/>
    <w:rsid w:val="00B342B1"/>
    <w:rsid w:val="00B3485B"/>
    <w:rsid w:val="00B34A9D"/>
    <w:rsid w:val="00B354C5"/>
    <w:rsid w:val="00B36012"/>
    <w:rsid w:val="00B37AA5"/>
    <w:rsid w:val="00B412FD"/>
    <w:rsid w:val="00B42664"/>
    <w:rsid w:val="00B44824"/>
    <w:rsid w:val="00B46514"/>
    <w:rsid w:val="00B46F56"/>
    <w:rsid w:val="00B50AAB"/>
    <w:rsid w:val="00B51671"/>
    <w:rsid w:val="00B51A15"/>
    <w:rsid w:val="00B51B35"/>
    <w:rsid w:val="00B51BF3"/>
    <w:rsid w:val="00B51D9F"/>
    <w:rsid w:val="00B525A6"/>
    <w:rsid w:val="00B52FEC"/>
    <w:rsid w:val="00B53B3A"/>
    <w:rsid w:val="00B53B5D"/>
    <w:rsid w:val="00B53DD9"/>
    <w:rsid w:val="00B54308"/>
    <w:rsid w:val="00B549B6"/>
    <w:rsid w:val="00B54BEC"/>
    <w:rsid w:val="00B55DFE"/>
    <w:rsid w:val="00B562BD"/>
    <w:rsid w:val="00B56A14"/>
    <w:rsid w:val="00B57955"/>
    <w:rsid w:val="00B57C02"/>
    <w:rsid w:val="00B6055E"/>
    <w:rsid w:val="00B6172E"/>
    <w:rsid w:val="00B62064"/>
    <w:rsid w:val="00B6252E"/>
    <w:rsid w:val="00B63023"/>
    <w:rsid w:val="00B6310B"/>
    <w:rsid w:val="00B6317D"/>
    <w:rsid w:val="00B6388D"/>
    <w:rsid w:val="00B63FF3"/>
    <w:rsid w:val="00B64B79"/>
    <w:rsid w:val="00B65232"/>
    <w:rsid w:val="00B6694B"/>
    <w:rsid w:val="00B67276"/>
    <w:rsid w:val="00B6785E"/>
    <w:rsid w:val="00B70905"/>
    <w:rsid w:val="00B70CDE"/>
    <w:rsid w:val="00B70F57"/>
    <w:rsid w:val="00B729C6"/>
    <w:rsid w:val="00B72FDD"/>
    <w:rsid w:val="00B736E7"/>
    <w:rsid w:val="00B73E57"/>
    <w:rsid w:val="00B76536"/>
    <w:rsid w:val="00B77130"/>
    <w:rsid w:val="00B7723F"/>
    <w:rsid w:val="00B77DCC"/>
    <w:rsid w:val="00B80534"/>
    <w:rsid w:val="00B80634"/>
    <w:rsid w:val="00B81D16"/>
    <w:rsid w:val="00B820EB"/>
    <w:rsid w:val="00B82994"/>
    <w:rsid w:val="00B82E46"/>
    <w:rsid w:val="00B8433C"/>
    <w:rsid w:val="00B8459F"/>
    <w:rsid w:val="00B84F2A"/>
    <w:rsid w:val="00B853AB"/>
    <w:rsid w:val="00B86732"/>
    <w:rsid w:val="00B86B72"/>
    <w:rsid w:val="00B87228"/>
    <w:rsid w:val="00B87491"/>
    <w:rsid w:val="00B879F4"/>
    <w:rsid w:val="00B904AF"/>
    <w:rsid w:val="00B90701"/>
    <w:rsid w:val="00B908E9"/>
    <w:rsid w:val="00B90C5A"/>
    <w:rsid w:val="00B90D8C"/>
    <w:rsid w:val="00B91BD0"/>
    <w:rsid w:val="00B92181"/>
    <w:rsid w:val="00B921C6"/>
    <w:rsid w:val="00B92726"/>
    <w:rsid w:val="00B932E3"/>
    <w:rsid w:val="00B93ACE"/>
    <w:rsid w:val="00B943E3"/>
    <w:rsid w:val="00B94626"/>
    <w:rsid w:val="00BA0675"/>
    <w:rsid w:val="00BA1060"/>
    <w:rsid w:val="00BA1956"/>
    <w:rsid w:val="00BA2083"/>
    <w:rsid w:val="00BA23A4"/>
    <w:rsid w:val="00BA26B0"/>
    <w:rsid w:val="00BA2756"/>
    <w:rsid w:val="00BA29E9"/>
    <w:rsid w:val="00BA2C17"/>
    <w:rsid w:val="00BA30D7"/>
    <w:rsid w:val="00BA3160"/>
    <w:rsid w:val="00BA3746"/>
    <w:rsid w:val="00BA44FF"/>
    <w:rsid w:val="00BA4A9B"/>
    <w:rsid w:val="00BA4B18"/>
    <w:rsid w:val="00BA5B21"/>
    <w:rsid w:val="00BA5D82"/>
    <w:rsid w:val="00BA6939"/>
    <w:rsid w:val="00BA6F93"/>
    <w:rsid w:val="00BA7142"/>
    <w:rsid w:val="00BB000A"/>
    <w:rsid w:val="00BB0265"/>
    <w:rsid w:val="00BB237C"/>
    <w:rsid w:val="00BB23C7"/>
    <w:rsid w:val="00BB37DD"/>
    <w:rsid w:val="00BB398F"/>
    <w:rsid w:val="00BB41A3"/>
    <w:rsid w:val="00BB67A3"/>
    <w:rsid w:val="00BB6FA8"/>
    <w:rsid w:val="00BC13A0"/>
    <w:rsid w:val="00BC2D04"/>
    <w:rsid w:val="00BC3115"/>
    <w:rsid w:val="00BC3244"/>
    <w:rsid w:val="00BC32DC"/>
    <w:rsid w:val="00BC35B6"/>
    <w:rsid w:val="00BC43AA"/>
    <w:rsid w:val="00BC479F"/>
    <w:rsid w:val="00BC5159"/>
    <w:rsid w:val="00BC598A"/>
    <w:rsid w:val="00BC6377"/>
    <w:rsid w:val="00BC6D70"/>
    <w:rsid w:val="00BC6FDB"/>
    <w:rsid w:val="00BC75AE"/>
    <w:rsid w:val="00BC7895"/>
    <w:rsid w:val="00BC7ADB"/>
    <w:rsid w:val="00BC7B7C"/>
    <w:rsid w:val="00BD0588"/>
    <w:rsid w:val="00BD06ED"/>
    <w:rsid w:val="00BD1126"/>
    <w:rsid w:val="00BD116C"/>
    <w:rsid w:val="00BD14EB"/>
    <w:rsid w:val="00BD1B51"/>
    <w:rsid w:val="00BD1D73"/>
    <w:rsid w:val="00BD291C"/>
    <w:rsid w:val="00BD4596"/>
    <w:rsid w:val="00BD4683"/>
    <w:rsid w:val="00BD4E2F"/>
    <w:rsid w:val="00BD5059"/>
    <w:rsid w:val="00BD5586"/>
    <w:rsid w:val="00BD619F"/>
    <w:rsid w:val="00BD6D41"/>
    <w:rsid w:val="00BD70CB"/>
    <w:rsid w:val="00BD7285"/>
    <w:rsid w:val="00BD73D0"/>
    <w:rsid w:val="00BE06DC"/>
    <w:rsid w:val="00BE0C53"/>
    <w:rsid w:val="00BE1405"/>
    <w:rsid w:val="00BE2C37"/>
    <w:rsid w:val="00BE312D"/>
    <w:rsid w:val="00BE3168"/>
    <w:rsid w:val="00BE47FA"/>
    <w:rsid w:val="00BE4EB2"/>
    <w:rsid w:val="00BE68D3"/>
    <w:rsid w:val="00BE77D4"/>
    <w:rsid w:val="00BE7EAB"/>
    <w:rsid w:val="00BF09D4"/>
    <w:rsid w:val="00BF127E"/>
    <w:rsid w:val="00BF1786"/>
    <w:rsid w:val="00BF1C20"/>
    <w:rsid w:val="00BF21BE"/>
    <w:rsid w:val="00BF3943"/>
    <w:rsid w:val="00BF3A89"/>
    <w:rsid w:val="00BF3D6E"/>
    <w:rsid w:val="00BF4830"/>
    <w:rsid w:val="00BF4C5C"/>
    <w:rsid w:val="00BF4E83"/>
    <w:rsid w:val="00BF55A5"/>
    <w:rsid w:val="00BF6AC5"/>
    <w:rsid w:val="00C002A3"/>
    <w:rsid w:val="00C00A0B"/>
    <w:rsid w:val="00C01823"/>
    <w:rsid w:val="00C018F5"/>
    <w:rsid w:val="00C0207C"/>
    <w:rsid w:val="00C0304A"/>
    <w:rsid w:val="00C04774"/>
    <w:rsid w:val="00C04917"/>
    <w:rsid w:val="00C05DCD"/>
    <w:rsid w:val="00C07289"/>
    <w:rsid w:val="00C07D7B"/>
    <w:rsid w:val="00C07E68"/>
    <w:rsid w:val="00C10578"/>
    <w:rsid w:val="00C10DA9"/>
    <w:rsid w:val="00C11553"/>
    <w:rsid w:val="00C11B83"/>
    <w:rsid w:val="00C11D3A"/>
    <w:rsid w:val="00C120F2"/>
    <w:rsid w:val="00C125B9"/>
    <w:rsid w:val="00C12772"/>
    <w:rsid w:val="00C132B7"/>
    <w:rsid w:val="00C135BC"/>
    <w:rsid w:val="00C13B0E"/>
    <w:rsid w:val="00C13B4C"/>
    <w:rsid w:val="00C15C95"/>
    <w:rsid w:val="00C160EB"/>
    <w:rsid w:val="00C165C7"/>
    <w:rsid w:val="00C1682E"/>
    <w:rsid w:val="00C173F8"/>
    <w:rsid w:val="00C17557"/>
    <w:rsid w:val="00C20302"/>
    <w:rsid w:val="00C20669"/>
    <w:rsid w:val="00C207D0"/>
    <w:rsid w:val="00C20A3F"/>
    <w:rsid w:val="00C2148D"/>
    <w:rsid w:val="00C21D27"/>
    <w:rsid w:val="00C2231D"/>
    <w:rsid w:val="00C22667"/>
    <w:rsid w:val="00C236A3"/>
    <w:rsid w:val="00C23E9E"/>
    <w:rsid w:val="00C24EF9"/>
    <w:rsid w:val="00C2572B"/>
    <w:rsid w:val="00C25736"/>
    <w:rsid w:val="00C2596A"/>
    <w:rsid w:val="00C25B8E"/>
    <w:rsid w:val="00C2604E"/>
    <w:rsid w:val="00C2678D"/>
    <w:rsid w:val="00C26909"/>
    <w:rsid w:val="00C26C99"/>
    <w:rsid w:val="00C26EAD"/>
    <w:rsid w:val="00C27537"/>
    <w:rsid w:val="00C276CB"/>
    <w:rsid w:val="00C30391"/>
    <w:rsid w:val="00C30975"/>
    <w:rsid w:val="00C309DF"/>
    <w:rsid w:val="00C31914"/>
    <w:rsid w:val="00C31AAA"/>
    <w:rsid w:val="00C31B0E"/>
    <w:rsid w:val="00C324F9"/>
    <w:rsid w:val="00C327E1"/>
    <w:rsid w:val="00C328FE"/>
    <w:rsid w:val="00C32F50"/>
    <w:rsid w:val="00C33211"/>
    <w:rsid w:val="00C33507"/>
    <w:rsid w:val="00C33C55"/>
    <w:rsid w:val="00C34345"/>
    <w:rsid w:val="00C3447C"/>
    <w:rsid w:val="00C34AAD"/>
    <w:rsid w:val="00C35043"/>
    <w:rsid w:val="00C35EDA"/>
    <w:rsid w:val="00C37771"/>
    <w:rsid w:val="00C40717"/>
    <w:rsid w:val="00C413B6"/>
    <w:rsid w:val="00C4152D"/>
    <w:rsid w:val="00C417E1"/>
    <w:rsid w:val="00C41C1B"/>
    <w:rsid w:val="00C425F7"/>
    <w:rsid w:val="00C4409D"/>
    <w:rsid w:val="00C4483E"/>
    <w:rsid w:val="00C44CBA"/>
    <w:rsid w:val="00C44E72"/>
    <w:rsid w:val="00C4534D"/>
    <w:rsid w:val="00C45A06"/>
    <w:rsid w:val="00C45DAC"/>
    <w:rsid w:val="00C47115"/>
    <w:rsid w:val="00C47189"/>
    <w:rsid w:val="00C47E5B"/>
    <w:rsid w:val="00C50F23"/>
    <w:rsid w:val="00C51F13"/>
    <w:rsid w:val="00C5200A"/>
    <w:rsid w:val="00C52011"/>
    <w:rsid w:val="00C5214E"/>
    <w:rsid w:val="00C52CC5"/>
    <w:rsid w:val="00C52D13"/>
    <w:rsid w:val="00C53410"/>
    <w:rsid w:val="00C53473"/>
    <w:rsid w:val="00C5624E"/>
    <w:rsid w:val="00C565C5"/>
    <w:rsid w:val="00C569DA"/>
    <w:rsid w:val="00C5727D"/>
    <w:rsid w:val="00C57964"/>
    <w:rsid w:val="00C57A2B"/>
    <w:rsid w:val="00C60FEC"/>
    <w:rsid w:val="00C613BA"/>
    <w:rsid w:val="00C614BD"/>
    <w:rsid w:val="00C6189C"/>
    <w:rsid w:val="00C61E4B"/>
    <w:rsid w:val="00C62817"/>
    <w:rsid w:val="00C62FEC"/>
    <w:rsid w:val="00C641A0"/>
    <w:rsid w:val="00C64591"/>
    <w:rsid w:val="00C64BFF"/>
    <w:rsid w:val="00C651FE"/>
    <w:rsid w:val="00C655F3"/>
    <w:rsid w:val="00C65AB7"/>
    <w:rsid w:val="00C66E6B"/>
    <w:rsid w:val="00C66EE0"/>
    <w:rsid w:val="00C67131"/>
    <w:rsid w:val="00C67647"/>
    <w:rsid w:val="00C67C5B"/>
    <w:rsid w:val="00C67ED4"/>
    <w:rsid w:val="00C67F87"/>
    <w:rsid w:val="00C70146"/>
    <w:rsid w:val="00C703EB"/>
    <w:rsid w:val="00C704E9"/>
    <w:rsid w:val="00C7077D"/>
    <w:rsid w:val="00C71599"/>
    <w:rsid w:val="00C723B7"/>
    <w:rsid w:val="00C7433C"/>
    <w:rsid w:val="00C745C5"/>
    <w:rsid w:val="00C746C2"/>
    <w:rsid w:val="00C749BC"/>
    <w:rsid w:val="00C763C9"/>
    <w:rsid w:val="00C76818"/>
    <w:rsid w:val="00C76BAC"/>
    <w:rsid w:val="00C76BCA"/>
    <w:rsid w:val="00C76BE0"/>
    <w:rsid w:val="00C77D40"/>
    <w:rsid w:val="00C80010"/>
    <w:rsid w:val="00C80057"/>
    <w:rsid w:val="00C80497"/>
    <w:rsid w:val="00C80EB9"/>
    <w:rsid w:val="00C815E6"/>
    <w:rsid w:val="00C82232"/>
    <w:rsid w:val="00C823C4"/>
    <w:rsid w:val="00C8282B"/>
    <w:rsid w:val="00C82913"/>
    <w:rsid w:val="00C83004"/>
    <w:rsid w:val="00C83122"/>
    <w:rsid w:val="00C842A4"/>
    <w:rsid w:val="00C84AE6"/>
    <w:rsid w:val="00C8581A"/>
    <w:rsid w:val="00C90CCE"/>
    <w:rsid w:val="00C9222B"/>
    <w:rsid w:val="00C9252F"/>
    <w:rsid w:val="00C947D9"/>
    <w:rsid w:val="00C9521C"/>
    <w:rsid w:val="00C954E1"/>
    <w:rsid w:val="00C95559"/>
    <w:rsid w:val="00C95DBE"/>
    <w:rsid w:val="00C97143"/>
    <w:rsid w:val="00C972B1"/>
    <w:rsid w:val="00C97377"/>
    <w:rsid w:val="00CA0065"/>
    <w:rsid w:val="00CA0167"/>
    <w:rsid w:val="00CA0376"/>
    <w:rsid w:val="00CA1477"/>
    <w:rsid w:val="00CA2264"/>
    <w:rsid w:val="00CA230D"/>
    <w:rsid w:val="00CA2CC6"/>
    <w:rsid w:val="00CA2CCE"/>
    <w:rsid w:val="00CA36D5"/>
    <w:rsid w:val="00CA3872"/>
    <w:rsid w:val="00CA43FD"/>
    <w:rsid w:val="00CA69B0"/>
    <w:rsid w:val="00CA7448"/>
    <w:rsid w:val="00CA7547"/>
    <w:rsid w:val="00CA7C45"/>
    <w:rsid w:val="00CA7E5E"/>
    <w:rsid w:val="00CA7EEA"/>
    <w:rsid w:val="00CA7EF8"/>
    <w:rsid w:val="00CB0631"/>
    <w:rsid w:val="00CB39DF"/>
    <w:rsid w:val="00CB495B"/>
    <w:rsid w:val="00CB5A47"/>
    <w:rsid w:val="00CB6B8C"/>
    <w:rsid w:val="00CB6B8F"/>
    <w:rsid w:val="00CB709C"/>
    <w:rsid w:val="00CB77BE"/>
    <w:rsid w:val="00CB7E11"/>
    <w:rsid w:val="00CC0726"/>
    <w:rsid w:val="00CC1568"/>
    <w:rsid w:val="00CC2E8B"/>
    <w:rsid w:val="00CC489B"/>
    <w:rsid w:val="00CC5E4E"/>
    <w:rsid w:val="00CC6561"/>
    <w:rsid w:val="00CC6FAA"/>
    <w:rsid w:val="00CC79DB"/>
    <w:rsid w:val="00CD01B5"/>
    <w:rsid w:val="00CD0B60"/>
    <w:rsid w:val="00CD1C8A"/>
    <w:rsid w:val="00CD2BCD"/>
    <w:rsid w:val="00CD3629"/>
    <w:rsid w:val="00CD385B"/>
    <w:rsid w:val="00CD3A4C"/>
    <w:rsid w:val="00CD44BB"/>
    <w:rsid w:val="00CD4ED6"/>
    <w:rsid w:val="00CD72AE"/>
    <w:rsid w:val="00CD7679"/>
    <w:rsid w:val="00CD78D2"/>
    <w:rsid w:val="00CD7E57"/>
    <w:rsid w:val="00CE02CB"/>
    <w:rsid w:val="00CE0A8C"/>
    <w:rsid w:val="00CE10E9"/>
    <w:rsid w:val="00CE1F20"/>
    <w:rsid w:val="00CE1F6A"/>
    <w:rsid w:val="00CE2007"/>
    <w:rsid w:val="00CE2341"/>
    <w:rsid w:val="00CE2910"/>
    <w:rsid w:val="00CE300D"/>
    <w:rsid w:val="00CE4D27"/>
    <w:rsid w:val="00CE4D69"/>
    <w:rsid w:val="00CE4FEF"/>
    <w:rsid w:val="00CE52C8"/>
    <w:rsid w:val="00CE5393"/>
    <w:rsid w:val="00CE57E0"/>
    <w:rsid w:val="00CE58A4"/>
    <w:rsid w:val="00CE64CB"/>
    <w:rsid w:val="00CE656E"/>
    <w:rsid w:val="00CE6E64"/>
    <w:rsid w:val="00CE6EF8"/>
    <w:rsid w:val="00CE76FD"/>
    <w:rsid w:val="00CE7A94"/>
    <w:rsid w:val="00CE7BDF"/>
    <w:rsid w:val="00CF067D"/>
    <w:rsid w:val="00CF0FCB"/>
    <w:rsid w:val="00CF1B08"/>
    <w:rsid w:val="00CF1CC6"/>
    <w:rsid w:val="00CF1CD4"/>
    <w:rsid w:val="00CF1FB4"/>
    <w:rsid w:val="00CF2AA9"/>
    <w:rsid w:val="00CF36BE"/>
    <w:rsid w:val="00CF3752"/>
    <w:rsid w:val="00CF4915"/>
    <w:rsid w:val="00CF4938"/>
    <w:rsid w:val="00CF4D91"/>
    <w:rsid w:val="00CF5557"/>
    <w:rsid w:val="00CF6000"/>
    <w:rsid w:val="00CF62AC"/>
    <w:rsid w:val="00CF6839"/>
    <w:rsid w:val="00CF7FCD"/>
    <w:rsid w:val="00D003F3"/>
    <w:rsid w:val="00D0148E"/>
    <w:rsid w:val="00D01507"/>
    <w:rsid w:val="00D02823"/>
    <w:rsid w:val="00D02D73"/>
    <w:rsid w:val="00D034D4"/>
    <w:rsid w:val="00D0364F"/>
    <w:rsid w:val="00D04F7C"/>
    <w:rsid w:val="00D0520B"/>
    <w:rsid w:val="00D05770"/>
    <w:rsid w:val="00D06394"/>
    <w:rsid w:val="00D06834"/>
    <w:rsid w:val="00D068FE"/>
    <w:rsid w:val="00D07531"/>
    <w:rsid w:val="00D07E6B"/>
    <w:rsid w:val="00D12D11"/>
    <w:rsid w:val="00D14D94"/>
    <w:rsid w:val="00D14DC8"/>
    <w:rsid w:val="00D14DCE"/>
    <w:rsid w:val="00D1583E"/>
    <w:rsid w:val="00D15C78"/>
    <w:rsid w:val="00D16AC7"/>
    <w:rsid w:val="00D20ED4"/>
    <w:rsid w:val="00D21724"/>
    <w:rsid w:val="00D2225F"/>
    <w:rsid w:val="00D232FC"/>
    <w:rsid w:val="00D236FB"/>
    <w:rsid w:val="00D256D6"/>
    <w:rsid w:val="00D25C46"/>
    <w:rsid w:val="00D263D5"/>
    <w:rsid w:val="00D264EF"/>
    <w:rsid w:val="00D267D1"/>
    <w:rsid w:val="00D279D0"/>
    <w:rsid w:val="00D30179"/>
    <w:rsid w:val="00D308ED"/>
    <w:rsid w:val="00D30C12"/>
    <w:rsid w:val="00D316DF"/>
    <w:rsid w:val="00D31857"/>
    <w:rsid w:val="00D3250F"/>
    <w:rsid w:val="00D33AB9"/>
    <w:rsid w:val="00D343C9"/>
    <w:rsid w:val="00D343FA"/>
    <w:rsid w:val="00D36D86"/>
    <w:rsid w:val="00D3716D"/>
    <w:rsid w:val="00D37BFD"/>
    <w:rsid w:val="00D37D82"/>
    <w:rsid w:val="00D37EF2"/>
    <w:rsid w:val="00D401D5"/>
    <w:rsid w:val="00D417E8"/>
    <w:rsid w:val="00D4189A"/>
    <w:rsid w:val="00D428AA"/>
    <w:rsid w:val="00D42B17"/>
    <w:rsid w:val="00D447E6"/>
    <w:rsid w:val="00D44BB2"/>
    <w:rsid w:val="00D44C5A"/>
    <w:rsid w:val="00D45949"/>
    <w:rsid w:val="00D45AAF"/>
    <w:rsid w:val="00D47E8F"/>
    <w:rsid w:val="00D50A34"/>
    <w:rsid w:val="00D5144F"/>
    <w:rsid w:val="00D51A08"/>
    <w:rsid w:val="00D51CC7"/>
    <w:rsid w:val="00D52F1E"/>
    <w:rsid w:val="00D532AA"/>
    <w:rsid w:val="00D5341E"/>
    <w:rsid w:val="00D534D7"/>
    <w:rsid w:val="00D53C76"/>
    <w:rsid w:val="00D53EFA"/>
    <w:rsid w:val="00D5531F"/>
    <w:rsid w:val="00D55EE0"/>
    <w:rsid w:val="00D560CF"/>
    <w:rsid w:val="00D56D9D"/>
    <w:rsid w:val="00D5737C"/>
    <w:rsid w:val="00D579DF"/>
    <w:rsid w:val="00D618EF"/>
    <w:rsid w:val="00D61F23"/>
    <w:rsid w:val="00D63049"/>
    <w:rsid w:val="00D63292"/>
    <w:rsid w:val="00D64ABF"/>
    <w:rsid w:val="00D65D4E"/>
    <w:rsid w:val="00D66058"/>
    <w:rsid w:val="00D664A4"/>
    <w:rsid w:val="00D6679A"/>
    <w:rsid w:val="00D66DB3"/>
    <w:rsid w:val="00D70775"/>
    <w:rsid w:val="00D710BE"/>
    <w:rsid w:val="00D725FA"/>
    <w:rsid w:val="00D727AB"/>
    <w:rsid w:val="00D75905"/>
    <w:rsid w:val="00D75FEC"/>
    <w:rsid w:val="00D76547"/>
    <w:rsid w:val="00D77485"/>
    <w:rsid w:val="00D80228"/>
    <w:rsid w:val="00D8048F"/>
    <w:rsid w:val="00D81221"/>
    <w:rsid w:val="00D82356"/>
    <w:rsid w:val="00D82E7F"/>
    <w:rsid w:val="00D83DD6"/>
    <w:rsid w:val="00D841A3"/>
    <w:rsid w:val="00D842CB"/>
    <w:rsid w:val="00D84D42"/>
    <w:rsid w:val="00D85418"/>
    <w:rsid w:val="00D856C8"/>
    <w:rsid w:val="00D85953"/>
    <w:rsid w:val="00D86027"/>
    <w:rsid w:val="00D86999"/>
    <w:rsid w:val="00D8720A"/>
    <w:rsid w:val="00D87C95"/>
    <w:rsid w:val="00D87E3F"/>
    <w:rsid w:val="00D900AC"/>
    <w:rsid w:val="00D9041E"/>
    <w:rsid w:val="00D9101C"/>
    <w:rsid w:val="00D91116"/>
    <w:rsid w:val="00D9131D"/>
    <w:rsid w:val="00D92587"/>
    <w:rsid w:val="00D92D18"/>
    <w:rsid w:val="00D9383C"/>
    <w:rsid w:val="00D93B8B"/>
    <w:rsid w:val="00D94241"/>
    <w:rsid w:val="00D9434B"/>
    <w:rsid w:val="00D94A7C"/>
    <w:rsid w:val="00D95042"/>
    <w:rsid w:val="00D95237"/>
    <w:rsid w:val="00D9557F"/>
    <w:rsid w:val="00D95896"/>
    <w:rsid w:val="00D959D9"/>
    <w:rsid w:val="00D95A71"/>
    <w:rsid w:val="00D97150"/>
    <w:rsid w:val="00D976D2"/>
    <w:rsid w:val="00D97D36"/>
    <w:rsid w:val="00DA0BDB"/>
    <w:rsid w:val="00DA1187"/>
    <w:rsid w:val="00DA2A03"/>
    <w:rsid w:val="00DA3EA5"/>
    <w:rsid w:val="00DA3FF0"/>
    <w:rsid w:val="00DA43F4"/>
    <w:rsid w:val="00DA4B3B"/>
    <w:rsid w:val="00DA5666"/>
    <w:rsid w:val="00DA64D2"/>
    <w:rsid w:val="00DA6EFF"/>
    <w:rsid w:val="00DA777C"/>
    <w:rsid w:val="00DA7D30"/>
    <w:rsid w:val="00DB102F"/>
    <w:rsid w:val="00DB1281"/>
    <w:rsid w:val="00DB202B"/>
    <w:rsid w:val="00DB2923"/>
    <w:rsid w:val="00DB2983"/>
    <w:rsid w:val="00DB4D61"/>
    <w:rsid w:val="00DB7080"/>
    <w:rsid w:val="00DB7646"/>
    <w:rsid w:val="00DC01E9"/>
    <w:rsid w:val="00DC0486"/>
    <w:rsid w:val="00DC0E9F"/>
    <w:rsid w:val="00DC1257"/>
    <w:rsid w:val="00DC1535"/>
    <w:rsid w:val="00DC16B7"/>
    <w:rsid w:val="00DC2025"/>
    <w:rsid w:val="00DC24F0"/>
    <w:rsid w:val="00DC2C94"/>
    <w:rsid w:val="00DC3CFE"/>
    <w:rsid w:val="00DC3DC0"/>
    <w:rsid w:val="00DC5B2B"/>
    <w:rsid w:val="00DC629D"/>
    <w:rsid w:val="00DC698C"/>
    <w:rsid w:val="00DC7C32"/>
    <w:rsid w:val="00DC7CD5"/>
    <w:rsid w:val="00DD1556"/>
    <w:rsid w:val="00DD2002"/>
    <w:rsid w:val="00DD20BF"/>
    <w:rsid w:val="00DD2426"/>
    <w:rsid w:val="00DD2A7A"/>
    <w:rsid w:val="00DD318D"/>
    <w:rsid w:val="00DD446B"/>
    <w:rsid w:val="00DD53FB"/>
    <w:rsid w:val="00DD718B"/>
    <w:rsid w:val="00DD71DE"/>
    <w:rsid w:val="00DD736A"/>
    <w:rsid w:val="00DE0276"/>
    <w:rsid w:val="00DE0848"/>
    <w:rsid w:val="00DE1991"/>
    <w:rsid w:val="00DE1A2F"/>
    <w:rsid w:val="00DE2593"/>
    <w:rsid w:val="00DE26FC"/>
    <w:rsid w:val="00DE350A"/>
    <w:rsid w:val="00DE3ED4"/>
    <w:rsid w:val="00DE4C84"/>
    <w:rsid w:val="00DE55CD"/>
    <w:rsid w:val="00DE5E7B"/>
    <w:rsid w:val="00DE6EBC"/>
    <w:rsid w:val="00DE70C8"/>
    <w:rsid w:val="00DE7800"/>
    <w:rsid w:val="00DF21BA"/>
    <w:rsid w:val="00DF245B"/>
    <w:rsid w:val="00DF2AE5"/>
    <w:rsid w:val="00DF2C5E"/>
    <w:rsid w:val="00DF2E12"/>
    <w:rsid w:val="00DF49F0"/>
    <w:rsid w:val="00DF50CD"/>
    <w:rsid w:val="00DF514A"/>
    <w:rsid w:val="00DF5239"/>
    <w:rsid w:val="00DF5A34"/>
    <w:rsid w:val="00DF6690"/>
    <w:rsid w:val="00DF66BB"/>
    <w:rsid w:val="00DF6804"/>
    <w:rsid w:val="00DF6B5B"/>
    <w:rsid w:val="00DF6CA5"/>
    <w:rsid w:val="00DF6F8B"/>
    <w:rsid w:val="00DF73D0"/>
    <w:rsid w:val="00DF77FA"/>
    <w:rsid w:val="00DF780D"/>
    <w:rsid w:val="00DF7EA2"/>
    <w:rsid w:val="00E00447"/>
    <w:rsid w:val="00E008D7"/>
    <w:rsid w:val="00E01B32"/>
    <w:rsid w:val="00E02DE0"/>
    <w:rsid w:val="00E0358D"/>
    <w:rsid w:val="00E03E04"/>
    <w:rsid w:val="00E04323"/>
    <w:rsid w:val="00E05285"/>
    <w:rsid w:val="00E060EE"/>
    <w:rsid w:val="00E06E6C"/>
    <w:rsid w:val="00E070A2"/>
    <w:rsid w:val="00E0721D"/>
    <w:rsid w:val="00E07B12"/>
    <w:rsid w:val="00E10710"/>
    <w:rsid w:val="00E10A50"/>
    <w:rsid w:val="00E10D07"/>
    <w:rsid w:val="00E10E6F"/>
    <w:rsid w:val="00E1106D"/>
    <w:rsid w:val="00E1185F"/>
    <w:rsid w:val="00E12648"/>
    <w:rsid w:val="00E12921"/>
    <w:rsid w:val="00E12BB2"/>
    <w:rsid w:val="00E13A9B"/>
    <w:rsid w:val="00E13B78"/>
    <w:rsid w:val="00E15247"/>
    <w:rsid w:val="00E165FA"/>
    <w:rsid w:val="00E16615"/>
    <w:rsid w:val="00E16659"/>
    <w:rsid w:val="00E175F8"/>
    <w:rsid w:val="00E17616"/>
    <w:rsid w:val="00E17B15"/>
    <w:rsid w:val="00E17B9C"/>
    <w:rsid w:val="00E21BEC"/>
    <w:rsid w:val="00E22078"/>
    <w:rsid w:val="00E229D8"/>
    <w:rsid w:val="00E242DC"/>
    <w:rsid w:val="00E248D8"/>
    <w:rsid w:val="00E2656A"/>
    <w:rsid w:val="00E26655"/>
    <w:rsid w:val="00E26867"/>
    <w:rsid w:val="00E26935"/>
    <w:rsid w:val="00E30B91"/>
    <w:rsid w:val="00E31EFA"/>
    <w:rsid w:val="00E32526"/>
    <w:rsid w:val="00E33502"/>
    <w:rsid w:val="00E33724"/>
    <w:rsid w:val="00E34735"/>
    <w:rsid w:val="00E34E5A"/>
    <w:rsid w:val="00E35BD5"/>
    <w:rsid w:val="00E35F9E"/>
    <w:rsid w:val="00E36A24"/>
    <w:rsid w:val="00E377F5"/>
    <w:rsid w:val="00E3792E"/>
    <w:rsid w:val="00E404CA"/>
    <w:rsid w:val="00E4065B"/>
    <w:rsid w:val="00E412D0"/>
    <w:rsid w:val="00E41766"/>
    <w:rsid w:val="00E42890"/>
    <w:rsid w:val="00E42E90"/>
    <w:rsid w:val="00E43391"/>
    <w:rsid w:val="00E43894"/>
    <w:rsid w:val="00E4449F"/>
    <w:rsid w:val="00E445F3"/>
    <w:rsid w:val="00E45E69"/>
    <w:rsid w:val="00E465C0"/>
    <w:rsid w:val="00E467F6"/>
    <w:rsid w:val="00E47722"/>
    <w:rsid w:val="00E47836"/>
    <w:rsid w:val="00E50A6E"/>
    <w:rsid w:val="00E5255D"/>
    <w:rsid w:val="00E528B8"/>
    <w:rsid w:val="00E52A32"/>
    <w:rsid w:val="00E5306A"/>
    <w:rsid w:val="00E530BF"/>
    <w:rsid w:val="00E531F4"/>
    <w:rsid w:val="00E5320B"/>
    <w:rsid w:val="00E53BE9"/>
    <w:rsid w:val="00E5452E"/>
    <w:rsid w:val="00E549F6"/>
    <w:rsid w:val="00E54ADD"/>
    <w:rsid w:val="00E54E6B"/>
    <w:rsid w:val="00E55229"/>
    <w:rsid w:val="00E55AAC"/>
    <w:rsid w:val="00E5604A"/>
    <w:rsid w:val="00E56322"/>
    <w:rsid w:val="00E576B1"/>
    <w:rsid w:val="00E60982"/>
    <w:rsid w:val="00E62C62"/>
    <w:rsid w:val="00E62DE1"/>
    <w:rsid w:val="00E6399F"/>
    <w:rsid w:val="00E6507D"/>
    <w:rsid w:val="00E654C1"/>
    <w:rsid w:val="00E65D97"/>
    <w:rsid w:val="00E67330"/>
    <w:rsid w:val="00E70497"/>
    <w:rsid w:val="00E70CA2"/>
    <w:rsid w:val="00E7220B"/>
    <w:rsid w:val="00E72A5A"/>
    <w:rsid w:val="00E73354"/>
    <w:rsid w:val="00E73967"/>
    <w:rsid w:val="00E73D5A"/>
    <w:rsid w:val="00E7413C"/>
    <w:rsid w:val="00E74208"/>
    <w:rsid w:val="00E74B12"/>
    <w:rsid w:val="00E753FA"/>
    <w:rsid w:val="00E7540D"/>
    <w:rsid w:val="00E75B75"/>
    <w:rsid w:val="00E769C9"/>
    <w:rsid w:val="00E76AB2"/>
    <w:rsid w:val="00E77BC6"/>
    <w:rsid w:val="00E810BF"/>
    <w:rsid w:val="00E820DD"/>
    <w:rsid w:val="00E823E9"/>
    <w:rsid w:val="00E82D1B"/>
    <w:rsid w:val="00E84AA6"/>
    <w:rsid w:val="00E851AA"/>
    <w:rsid w:val="00E85A7C"/>
    <w:rsid w:val="00E86A77"/>
    <w:rsid w:val="00E86FDC"/>
    <w:rsid w:val="00E87934"/>
    <w:rsid w:val="00E9096A"/>
    <w:rsid w:val="00E90AF1"/>
    <w:rsid w:val="00E91DE1"/>
    <w:rsid w:val="00E91F5D"/>
    <w:rsid w:val="00E9242D"/>
    <w:rsid w:val="00E93942"/>
    <w:rsid w:val="00E94571"/>
    <w:rsid w:val="00E9489A"/>
    <w:rsid w:val="00E963B4"/>
    <w:rsid w:val="00E97380"/>
    <w:rsid w:val="00E976B3"/>
    <w:rsid w:val="00E97DED"/>
    <w:rsid w:val="00E97F8F"/>
    <w:rsid w:val="00EA14EB"/>
    <w:rsid w:val="00EA2B28"/>
    <w:rsid w:val="00EA3206"/>
    <w:rsid w:val="00EA322F"/>
    <w:rsid w:val="00EA3581"/>
    <w:rsid w:val="00EA40E8"/>
    <w:rsid w:val="00EA47D9"/>
    <w:rsid w:val="00EA5303"/>
    <w:rsid w:val="00EA546A"/>
    <w:rsid w:val="00EA55BA"/>
    <w:rsid w:val="00EA5860"/>
    <w:rsid w:val="00EA5A7D"/>
    <w:rsid w:val="00EA65F4"/>
    <w:rsid w:val="00EA681E"/>
    <w:rsid w:val="00EA7760"/>
    <w:rsid w:val="00EA7E64"/>
    <w:rsid w:val="00EB00E2"/>
    <w:rsid w:val="00EB0598"/>
    <w:rsid w:val="00EB0D34"/>
    <w:rsid w:val="00EB0E3F"/>
    <w:rsid w:val="00EB1BDA"/>
    <w:rsid w:val="00EB3AF3"/>
    <w:rsid w:val="00EB5255"/>
    <w:rsid w:val="00EB5698"/>
    <w:rsid w:val="00EB5C47"/>
    <w:rsid w:val="00EB5CB1"/>
    <w:rsid w:val="00EB6314"/>
    <w:rsid w:val="00EB69E6"/>
    <w:rsid w:val="00EB6EC4"/>
    <w:rsid w:val="00EB6FF1"/>
    <w:rsid w:val="00EB741B"/>
    <w:rsid w:val="00EC0A72"/>
    <w:rsid w:val="00EC1A58"/>
    <w:rsid w:val="00EC1A72"/>
    <w:rsid w:val="00EC51BD"/>
    <w:rsid w:val="00EC5640"/>
    <w:rsid w:val="00EC6720"/>
    <w:rsid w:val="00EC69AD"/>
    <w:rsid w:val="00EC7857"/>
    <w:rsid w:val="00EC7EDB"/>
    <w:rsid w:val="00ED018D"/>
    <w:rsid w:val="00ED0639"/>
    <w:rsid w:val="00ED0924"/>
    <w:rsid w:val="00ED1005"/>
    <w:rsid w:val="00ED11B5"/>
    <w:rsid w:val="00ED1314"/>
    <w:rsid w:val="00ED2098"/>
    <w:rsid w:val="00ED26C2"/>
    <w:rsid w:val="00ED36DD"/>
    <w:rsid w:val="00ED3D4B"/>
    <w:rsid w:val="00ED42AE"/>
    <w:rsid w:val="00ED4A3A"/>
    <w:rsid w:val="00ED61B6"/>
    <w:rsid w:val="00ED7B67"/>
    <w:rsid w:val="00ED7DFB"/>
    <w:rsid w:val="00EE0470"/>
    <w:rsid w:val="00EE0DA9"/>
    <w:rsid w:val="00EE132B"/>
    <w:rsid w:val="00EE176D"/>
    <w:rsid w:val="00EE2BD8"/>
    <w:rsid w:val="00EE39DB"/>
    <w:rsid w:val="00EE3E8D"/>
    <w:rsid w:val="00EE414F"/>
    <w:rsid w:val="00EE426A"/>
    <w:rsid w:val="00EE4FC3"/>
    <w:rsid w:val="00EE54DA"/>
    <w:rsid w:val="00EE5AA6"/>
    <w:rsid w:val="00EE5C2D"/>
    <w:rsid w:val="00EE62D0"/>
    <w:rsid w:val="00EE7227"/>
    <w:rsid w:val="00EF0134"/>
    <w:rsid w:val="00EF145D"/>
    <w:rsid w:val="00EF1AB7"/>
    <w:rsid w:val="00EF245E"/>
    <w:rsid w:val="00EF2C4B"/>
    <w:rsid w:val="00EF34D7"/>
    <w:rsid w:val="00EF4283"/>
    <w:rsid w:val="00EF4755"/>
    <w:rsid w:val="00EF5030"/>
    <w:rsid w:val="00EF531A"/>
    <w:rsid w:val="00EF5E10"/>
    <w:rsid w:val="00EF66F9"/>
    <w:rsid w:val="00EF7135"/>
    <w:rsid w:val="00EF7341"/>
    <w:rsid w:val="00EF769F"/>
    <w:rsid w:val="00EF7E1B"/>
    <w:rsid w:val="00EF7FC0"/>
    <w:rsid w:val="00F01115"/>
    <w:rsid w:val="00F018B5"/>
    <w:rsid w:val="00F01D87"/>
    <w:rsid w:val="00F01E90"/>
    <w:rsid w:val="00F027DB"/>
    <w:rsid w:val="00F029C1"/>
    <w:rsid w:val="00F042ED"/>
    <w:rsid w:val="00F05256"/>
    <w:rsid w:val="00F05757"/>
    <w:rsid w:val="00F0754C"/>
    <w:rsid w:val="00F07894"/>
    <w:rsid w:val="00F07C5B"/>
    <w:rsid w:val="00F07DF5"/>
    <w:rsid w:val="00F10079"/>
    <w:rsid w:val="00F100D7"/>
    <w:rsid w:val="00F1248F"/>
    <w:rsid w:val="00F12846"/>
    <w:rsid w:val="00F12C98"/>
    <w:rsid w:val="00F13079"/>
    <w:rsid w:val="00F13362"/>
    <w:rsid w:val="00F14367"/>
    <w:rsid w:val="00F145CD"/>
    <w:rsid w:val="00F14A7A"/>
    <w:rsid w:val="00F15AB1"/>
    <w:rsid w:val="00F15BCA"/>
    <w:rsid w:val="00F1620A"/>
    <w:rsid w:val="00F1732F"/>
    <w:rsid w:val="00F176F9"/>
    <w:rsid w:val="00F179DE"/>
    <w:rsid w:val="00F20251"/>
    <w:rsid w:val="00F21E89"/>
    <w:rsid w:val="00F22133"/>
    <w:rsid w:val="00F22192"/>
    <w:rsid w:val="00F22502"/>
    <w:rsid w:val="00F225EB"/>
    <w:rsid w:val="00F22985"/>
    <w:rsid w:val="00F22D08"/>
    <w:rsid w:val="00F25026"/>
    <w:rsid w:val="00F2581D"/>
    <w:rsid w:val="00F2682C"/>
    <w:rsid w:val="00F26BC8"/>
    <w:rsid w:val="00F27BBC"/>
    <w:rsid w:val="00F27CC8"/>
    <w:rsid w:val="00F27FF2"/>
    <w:rsid w:val="00F3014F"/>
    <w:rsid w:val="00F30955"/>
    <w:rsid w:val="00F32A13"/>
    <w:rsid w:val="00F32ECD"/>
    <w:rsid w:val="00F335C8"/>
    <w:rsid w:val="00F3383E"/>
    <w:rsid w:val="00F33C9B"/>
    <w:rsid w:val="00F34A38"/>
    <w:rsid w:val="00F34C05"/>
    <w:rsid w:val="00F35844"/>
    <w:rsid w:val="00F358E5"/>
    <w:rsid w:val="00F35F03"/>
    <w:rsid w:val="00F36E08"/>
    <w:rsid w:val="00F37980"/>
    <w:rsid w:val="00F4020B"/>
    <w:rsid w:val="00F40DB2"/>
    <w:rsid w:val="00F418BD"/>
    <w:rsid w:val="00F41A00"/>
    <w:rsid w:val="00F41DFC"/>
    <w:rsid w:val="00F43640"/>
    <w:rsid w:val="00F445A3"/>
    <w:rsid w:val="00F44ACB"/>
    <w:rsid w:val="00F44ACC"/>
    <w:rsid w:val="00F44B28"/>
    <w:rsid w:val="00F45D12"/>
    <w:rsid w:val="00F45F84"/>
    <w:rsid w:val="00F465A7"/>
    <w:rsid w:val="00F47715"/>
    <w:rsid w:val="00F47B92"/>
    <w:rsid w:val="00F50B7C"/>
    <w:rsid w:val="00F51016"/>
    <w:rsid w:val="00F529A8"/>
    <w:rsid w:val="00F54319"/>
    <w:rsid w:val="00F550E6"/>
    <w:rsid w:val="00F57F1B"/>
    <w:rsid w:val="00F6088F"/>
    <w:rsid w:val="00F615CA"/>
    <w:rsid w:val="00F62261"/>
    <w:rsid w:val="00F6355C"/>
    <w:rsid w:val="00F6400A"/>
    <w:rsid w:val="00F64057"/>
    <w:rsid w:val="00F64126"/>
    <w:rsid w:val="00F657EA"/>
    <w:rsid w:val="00F66224"/>
    <w:rsid w:val="00F67648"/>
    <w:rsid w:val="00F7007B"/>
    <w:rsid w:val="00F72ABC"/>
    <w:rsid w:val="00F7326A"/>
    <w:rsid w:val="00F7329E"/>
    <w:rsid w:val="00F74345"/>
    <w:rsid w:val="00F74F15"/>
    <w:rsid w:val="00F7553C"/>
    <w:rsid w:val="00F75702"/>
    <w:rsid w:val="00F778B6"/>
    <w:rsid w:val="00F80241"/>
    <w:rsid w:val="00F805DD"/>
    <w:rsid w:val="00F80A0A"/>
    <w:rsid w:val="00F80BBF"/>
    <w:rsid w:val="00F80CA5"/>
    <w:rsid w:val="00F814A8"/>
    <w:rsid w:val="00F8244A"/>
    <w:rsid w:val="00F82B19"/>
    <w:rsid w:val="00F82BD8"/>
    <w:rsid w:val="00F83122"/>
    <w:rsid w:val="00F84A47"/>
    <w:rsid w:val="00F84C53"/>
    <w:rsid w:val="00F86564"/>
    <w:rsid w:val="00F868A9"/>
    <w:rsid w:val="00F901F1"/>
    <w:rsid w:val="00F90407"/>
    <w:rsid w:val="00F91D5F"/>
    <w:rsid w:val="00F9212D"/>
    <w:rsid w:val="00F9216D"/>
    <w:rsid w:val="00F9243B"/>
    <w:rsid w:val="00F9257D"/>
    <w:rsid w:val="00F939CE"/>
    <w:rsid w:val="00F93FF5"/>
    <w:rsid w:val="00F94534"/>
    <w:rsid w:val="00F94D54"/>
    <w:rsid w:val="00F965DA"/>
    <w:rsid w:val="00F96F25"/>
    <w:rsid w:val="00F972B7"/>
    <w:rsid w:val="00FA00A3"/>
    <w:rsid w:val="00FA07AE"/>
    <w:rsid w:val="00FA10D6"/>
    <w:rsid w:val="00FA2108"/>
    <w:rsid w:val="00FA33AF"/>
    <w:rsid w:val="00FA3579"/>
    <w:rsid w:val="00FA3CEE"/>
    <w:rsid w:val="00FA406A"/>
    <w:rsid w:val="00FA47D2"/>
    <w:rsid w:val="00FA4AB5"/>
    <w:rsid w:val="00FA4ED3"/>
    <w:rsid w:val="00FA5332"/>
    <w:rsid w:val="00FA5545"/>
    <w:rsid w:val="00FA5565"/>
    <w:rsid w:val="00FA5995"/>
    <w:rsid w:val="00FA5AEA"/>
    <w:rsid w:val="00FA68E7"/>
    <w:rsid w:val="00FA776C"/>
    <w:rsid w:val="00FB1903"/>
    <w:rsid w:val="00FB1E7F"/>
    <w:rsid w:val="00FB2A0B"/>
    <w:rsid w:val="00FB2BC9"/>
    <w:rsid w:val="00FB2C9B"/>
    <w:rsid w:val="00FB2CAE"/>
    <w:rsid w:val="00FB36C9"/>
    <w:rsid w:val="00FB4C44"/>
    <w:rsid w:val="00FB4D7A"/>
    <w:rsid w:val="00FB4F0D"/>
    <w:rsid w:val="00FB4FF8"/>
    <w:rsid w:val="00FB503A"/>
    <w:rsid w:val="00FB516C"/>
    <w:rsid w:val="00FB583C"/>
    <w:rsid w:val="00FB5D0A"/>
    <w:rsid w:val="00FB6CE9"/>
    <w:rsid w:val="00FC01F6"/>
    <w:rsid w:val="00FC02BF"/>
    <w:rsid w:val="00FC0A2D"/>
    <w:rsid w:val="00FC12BB"/>
    <w:rsid w:val="00FC1D78"/>
    <w:rsid w:val="00FC1E7C"/>
    <w:rsid w:val="00FC2753"/>
    <w:rsid w:val="00FC2E2A"/>
    <w:rsid w:val="00FC4D4B"/>
    <w:rsid w:val="00FC5548"/>
    <w:rsid w:val="00FC5792"/>
    <w:rsid w:val="00FC6321"/>
    <w:rsid w:val="00FC6944"/>
    <w:rsid w:val="00FC7247"/>
    <w:rsid w:val="00FC75BE"/>
    <w:rsid w:val="00FC7A63"/>
    <w:rsid w:val="00FC7ADD"/>
    <w:rsid w:val="00FD019D"/>
    <w:rsid w:val="00FD0236"/>
    <w:rsid w:val="00FD09C4"/>
    <w:rsid w:val="00FD102C"/>
    <w:rsid w:val="00FD18BF"/>
    <w:rsid w:val="00FD18F4"/>
    <w:rsid w:val="00FD2045"/>
    <w:rsid w:val="00FD271B"/>
    <w:rsid w:val="00FD2B28"/>
    <w:rsid w:val="00FD3D6E"/>
    <w:rsid w:val="00FD4584"/>
    <w:rsid w:val="00FD54DB"/>
    <w:rsid w:val="00FD59D6"/>
    <w:rsid w:val="00FD5ADE"/>
    <w:rsid w:val="00FD619F"/>
    <w:rsid w:val="00FD6504"/>
    <w:rsid w:val="00FD68C7"/>
    <w:rsid w:val="00FE00E6"/>
    <w:rsid w:val="00FE0BB1"/>
    <w:rsid w:val="00FE262E"/>
    <w:rsid w:val="00FE2957"/>
    <w:rsid w:val="00FE44E4"/>
    <w:rsid w:val="00FE4CD8"/>
    <w:rsid w:val="00FE55B4"/>
    <w:rsid w:val="00FE5DE6"/>
    <w:rsid w:val="00FE6313"/>
    <w:rsid w:val="00FE71AA"/>
    <w:rsid w:val="00FE776C"/>
    <w:rsid w:val="00FE77C4"/>
    <w:rsid w:val="00FE77E2"/>
    <w:rsid w:val="00FF0777"/>
    <w:rsid w:val="00FF191D"/>
    <w:rsid w:val="00FF1A96"/>
    <w:rsid w:val="00FF24E3"/>
    <w:rsid w:val="00FF25FD"/>
    <w:rsid w:val="00FF3037"/>
    <w:rsid w:val="00FF3796"/>
    <w:rsid w:val="00FF496C"/>
    <w:rsid w:val="00FF4AFA"/>
    <w:rsid w:val="00FF583F"/>
    <w:rsid w:val="00FF6260"/>
    <w:rsid w:val="00FF689C"/>
    <w:rsid w:val="00FF761F"/>
    <w:rsid w:val="00FF777B"/>
    <w:rsid w:val="00FF7D8B"/>
    <w:rsid w:val="010C0502"/>
    <w:rsid w:val="010F7FF3"/>
    <w:rsid w:val="01176EA7"/>
    <w:rsid w:val="011B2A07"/>
    <w:rsid w:val="012810B4"/>
    <w:rsid w:val="01290F7E"/>
    <w:rsid w:val="012F5F9F"/>
    <w:rsid w:val="01323CE1"/>
    <w:rsid w:val="01347A59"/>
    <w:rsid w:val="013730A5"/>
    <w:rsid w:val="013D4B60"/>
    <w:rsid w:val="014B08FF"/>
    <w:rsid w:val="014D28C9"/>
    <w:rsid w:val="014F219D"/>
    <w:rsid w:val="01521C8D"/>
    <w:rsid w:val="01541EA9"/>
    <w:rsid w:val="0156352C"/>
    <w:rsid w:val="015B4FE6"/>
    <w:rsid w:val="015D1E09"/>
    <w:rsid w:val="015D26E0"/>
    <w:rsid w:val="016F45ED"/>
    <w:rsid w:val="01830099"/>
    <w:rsid w:val="01853E11"/>
    <w:rsid w:val="01973B44"/>
    <w:rsid w:val="01993D60"/>
    <w:rsid w:val="019B155D"/>
    <w:rsid w:val="01A87AFF"/>
    <w:rsid w:val="01B42948"/>
    <w:rsid w:val="01C25065"/>
    <w:rsid w:val="01C2715E"/>
    <w:rsid w:val="01C34939"/>
    <w:rsid w:val="01CE3A0A"/>
    <w:rsid w:val="01D56040"/>
    <w:rsid w:val="01E925F2"/>
    <w:rsid w:val="01EE19B6"/>
    <w:rsid w:val="01FA47FF"/>
    <w:rsid w:val="02056D00"/>
    <w:rsid w:val="020A2568"/>
    <w:rsid w:val="021F7DC1"/>
    <w:rsid w:val="02201D8C"/>
    <w:rsid w:val="02286DC3"/>
    <w:rsid w:val="022A6766"/>
    <w:rsid w:val="022B0E5C"/>
    <w:rsid w:val="022D017E"/>
    <w:rsid w:val="022E44A8"/>
    <w:rsid w:val="0236335D"/>
    <w:rsid w:val="023974AE"/>
    <w:rsid w:val="023A109F"/>
    <w:rsid w:val="02447828"/>
    <w:rsid w:val="024737BC"/>
    <w:rsid w:val="0247556A"/>
    <w:rsid w:val="024B6E08"/>
    <w:rsid w:val="024C3094"/>
    <w:rsid w:val="024C492F"/>
    <w:rsid w:val="02532161"/>
    <w:rsid w:val="025F4662"/>
    <w:rsid w:val="0261487E"/>
    <w:rsid w:val="02662408"/>
    <w:rsid w:val="02697903"/>
    <w:rsid w:val="0273010D"/>
    <w:rsid w:val="027520D7"/>
    <w:rsid w:val="02777BFD"/>
    <w:rsid w:val="027A5940"/>
    <w:rsid w:val="027F2F56"/>
    <w:rsid w:val="02897931"/>
    <w:rsid w:val="02924607"/>
    <w:rsid w:val="02A1111E"/>
    <w:rsid w:val="02A36C44"/>
    <w:rsid w:val="02AD361F"/>
    <w:rsid w:val="02B40466"/>
    <w:rsid w:val="02B726F0"/>
    <w:rsid w:val="02BC3862"/>
    <w:rsid w:val="02BC7D06"/>
    <w:rsid w:val="02C1531D"/>
    <w:rsid w:val="02C31095"/>
    <w:rsid w:val="02C57005"/>
    <w:rsid w:val="02EC793D"/>
    <w:rsid w:val="02ED6112"/>
    <w:rsid w:val="02F744C4"/>
    <w:rsid w:val="02F96569"/>
    <w:rsid w:val="02F96864"/>
    <w:rsid w:val="02FE031F"/>
    <w:rsid w:val="030575F7"/>
    <w:rsid w:val="03060F81"/>
    <w:rsid w:val="030772AE"/>
    <w:rsid w:val="03196F07"/>
    <w:rsid w:val="032558AB"/>
    <w:rsid w:val="032D650E"/>
    <w:rsid w:val="032D73A2"/>
    <w:rsid w:val="032F1FDE"/>
    <w:rsid w:val="0331105F"/>
    <w:rsid w:val="03351867"/>
    <w:rsid w:val="0335536C"/>
    <w:rsid w:val="0336210E"/>
    <w:rsid w:val="033E071B"/>
    <w:rsid w:val="03541CED"/>
    <w:rsid w:val="035B751F"/>
    <w:rsid w:val="03634626"/>
    <w:rsid w:val="03676DC5"/>
    <w:rsid w:val="036839EA"/>
    <w:rsid w:val="036F2FCB"/>
    <w:rsid w:val="03910393"/>
    <w:rsid w:val="03962305"/>
    <w:rsid w:val="03A728D3"/>
    <w:rsid w:val="03AD58A1"/>
    <w:rsid w:val="03B835AD"/>
    <w:rsid w:val="03C41C41"/>
    <w:rsid w:val="03CA1FAF"/>
    <w:rsid w:val="03DC2677"/>
    <w:rsid w:val="03DF3349"/>
    <w:rsid w:val="03E07A24"/>
    <w:rsid w:val="03E80687"/>
    <w:rsid w:val="03E94B2B"/>
    <w:rsid w:val="03EA7B21"/>
    <w:rsid w:val="03FA1027"/>
    <w:rsid w:val="03FB03BA"/>
    <w:rsid w:val="03FE7EAB"/>
    <w:rsid w:val="04003C23"/>
    <w:rsid w:val="04073203"/>
    <w:rsid w:val="040E27E3"/>
    <w:rsid w:val="04133956"/>
    <w:rsid w:val="04185410"/>
    <w:rsid w:val="041C5567"/>
    <w:rsid w:val="042042C5"/>
    <w:rsid w:val="04243DB5"/>
    <w:rsid w:val="042B5143"/>
    <w:rsid w:val="043164D2"/>
    <w:rsid w:val="043F299D"/>
    <w:rsid w:val="044A30F0"/>
    <w:rsid w:val="04504BAA"/>
    <w:rsid w:val="045301F6"/>
    <w:rsid w:val="04531FA4"/>
    <w:rsid w:val="04553F6E"/>
    <w:rsid w:val="0458580D"/>
    <w:rsid w:val="045E3B6A"/>
    <w:rsid w:val="04702B56"/>
    <w:rsid w:val="04736B53"/>
    <w:rsid w:val="04762137"/>
    <w:rsid w:val="04785EAF"/>
    <w:rsid w:val="047A1C27"/>
    <w:rsid w:val="047C599F"/>
    <w:rsid w:val="04801DA2"/>
    <w:rsid w:val="04826D2E"/>
    <w:rsid w:val="04842AA6"/>
    <w:rsid w:val="04846602"/>
    <w:rsid w:val="048605CC"/>
    <w:rsid w:val="0486237A"/>
    <w:rsid w:val="04873C46"/>
    <w:rsid w:val="048C54B6"/>
    <w:rsid w:val="048D0870"/>
    <w:rsid w:val="04B70785"/>
    <w:rsid w:val="04BD1B14"/>
    <w:rsid w:val="04BE5FB8"/>
    <w:rsid w:val="04C962C4"/>
    <w:rsid w:val="04D01847"/>
    <w:rsid w:val="04D23811"/>
    <w:rsid w:val="04D74983"/>
    <w:rsid w:val="04F01EE9"/>
    <w:rsid w:val="04F41E13"/>
    <w:rsid w:val="04F512AE"/>
    <w:rsid w:val="04F67AC7"/>
    <w:rsid w:val="04FF3EDA"/>
    <w:rsid w:val="050A338C"/>
    <w:rsid w:val="050D4849"/>
    <w:rsid w:val="05147822"/>
    <w:rsid w:val="05152A51"/>
    <w:rsid w:val="05184F9C"/>
    <w:rsid w:val="05216546"/>
    <w:rsid w:val="05275C98"/>
    <w:rsid w:val="05327D53"/>
    <w:rsid w:val="05353DA0"/>
    <w:rsid w:val="053A0D8B"/>
    <w:rsid w:val="054E0F0A"/>
    <w:rsid w:val="05542478"/>
    <w:rsid w:val="05594AC8"/>
    <w:rsid w:val="05663F59"/>
    <w:rsid w:val="05665D07"/>
    <w:rsid w:val="056B4102"/>
    <w:rsid w:val="056C189E"/>
    <w:rsid w:val="056D0B77"/>
    <w:rsid w:val="056F1060"/>
    <w:rsid w:val="058211D0"/>
    <w:rsid w:val="05852631"/>
    <w:rsid w:val="058A40EC"/>
    <w:rsid w:val="058F525E"/>
    <w:rsid w:val="05962A91"/>
    <w:rsid w:val="059A3C03"/>
    <w:rsid w:val="059E36F3"/>
    <w:rsid w:val="05A32D8D"/>
    <w:rsid w:val="05AD7DDA"/>
    <w:rsid w:val="05B002F6"/>
    <w:rsid w:val="05B66C8F"/>
    <w:rsid w:val="05B747B5"/>
    <w:rsid w:val="05C25634"/>
    <w:rsid w:val="05C3315A"/>
    <w:rsid w:val="05CE0EE5"/>
    <w:rsid w:val="05DE1D42"/>
    <w:rsid w:val="05E51322"/>
    <w:rsid w:val="05EC0902"/>
    <w:rsid w:val="05EF21A1"/>
    <w:rsid w:val="05EF3F4F"/>
    <w:rsid w:val="05F15F19"/>
    <w:rsid w:val="05F83EAE"/>
    <w:rsid w:val="060379FA"/>
    <w:rsid w:val="061B2F96"/>
    <w:rsid w:val="0627193B"/>
    <w:rsid w:val="06277B8D"/>
    <w:rsid w:val="06361B7E"/>
    <w:rsid w:val="063D115E"/>
    <w:rsid w:val="063E7D85"/>
    <w:rsid w:val="06400C4E"/>
    <w:rsid w:val="06450013"/>
    <w:rsid w:val="064918B1"/>
    <w:rsid w:val="06530982"/>
    <w:rsid w:val="065546FA"/>
    <w:rsid w:val="065B7836"/>
    <w:rsid w:val="06620BC5"/>
    <w:rsid w:val="06712BB6"/>
    <w:rsid w:val="06826B71"/>
    <w:rsid w:val="06946D6A"/>
    <w:rsid w:val="06971968"/>
    <w:rsid w:val="06A27213"/>
    <w:rsid w:val="06A411DD"/>
    <w:rsid w:val="06A50AB1"/>
    <w:rsid w:val="06B50CF4"/>
    <w:rsid w:val="06B55198"/>
    <w:rsid w:val="06B64A6C"/>
    <w:rsid w:val="06B807E5"/>
    <w:rsid w:val="06B84C89"/>
    <w:rsid w:val="06BF5992"/>
    <w:rsid w:val="06C61153"/>
    <w:rsid w:val="06D05B2E"/>
    <w:rsid w:val="06D73361"/>
    <w:rsid w:val="06DC2725"/>
    <w:rsid w:val="06E65352"/>
    <w:rsid w:val="06F153EC"/>
    <w:rsid w:val="06F3181D"/>
    <w:rsid w:val="06F34A44"/>
    <w:rsid w:val="06F834E1"/>
    <w:rsid w:val="06FA5E93"/>
    <w:rsid w:val="06FD31B7"/>
    <w:rsid w:val="06FF6413"/>
    <w:rsid w:val="07035F04"/>
    <w:rsid w:val="070457D8"/>
    <w:rsid w:val="070B125C"/>
    <w:rsid w:val="070E6657"/>
    <w:rsid w:val="07124399"/>
    <w:rsid w:val="071579E5"/>
    <w:rsid w:val="071A1CED"/>
    <w:rsid w:val="071C07DD"/>
    <w:rsid w:val="07280C98"/>
    <w:rsid w:val="07293490"/>
    <w:rsid w:val="07293586"/>
    <w:rsid w:val="07295285"/>
    <w:rsid w:val="07342561"/>
    <w:rsid w:val="07357C36"/>
    <w:rsid w:val="0748600C"/>
    <w:rsid w:val="07571DAC"/>
    <w:rsid w:val="075B5D40"/>
    <w:rsid w:val="075C5614"/>
    <w:rsid w:val="07612C2A"/>
    <w:rsid w:val="07632E46"/>
    <w:rsid w:val="07634BF4"/>
    <w:rsid w:val="07636392"/>
    <w:rsid w:val="0768045D"/>
    <w:rsid w:val="076D7821"/>
    <w:rsid w:val="07770C56"/>
    <w:rsid w:val="0781151E"/>
    <w:rsid w:val="07837045"/>
    <w:rsid w:val="07852DBD"/>
    <w:rsid w:val="07866B35"/>
    <w:rsid w:val="07913A17"/>
    <w:rsid w:val="07921036"/>
    <w:rsid w:val="079319F4"/>
    <w:rsid w:val="07A174CB"/>
    <w:rsid w:val="07A62D33"/>
    <w:rsid w:val="07AB012E"/>
    <w:rsid w:val="07B13BB2"/>
    <w:rsid w:val="07B45450"/>
    <w:rsid w:val="07BC4304"/>
    <w:rsid w:val="07C338E5"/>
    <w:rsid w:val="07C66F31"/>
    <w:rsid w:val="07C75183"/>
    <w:rsid w:val="07CA0317"/>
    <w:rsid w:val="07CA4C73"/>
    <w:rsid w:val="07CB4548"/>
    <w:rsid w:val="07CC279A"/>
    <w:rsid w:val="07D01B5E"/>
    <w:rsid w:val="07D16002"/>
    <w:rsid w:val="07D478A0"/>
    <w:rsid w:val="07D63618"/>
    <w:rsid w:val="07DB29DD"/>
    <w:rsid w:val="07E92CA1"/>
    <w:rsid w:val="07F41CF0"/>
    <w:rsid w:val="07F7533D"/>
    <w:rsid w:val="07F910B5"/>
    <w:rsid w:val="07FD519E"/>
    <w:rsid w:val="080812F8"/>
    <w:rsid w:val="080C528C"/>
    <w:rsid w:val="080D2DB2"/>
    <w:rsid w:val="081E3021"/>
    <w:rsid w:val="082425D6"/>
    <w:rsid w:val="082A3964"/>
    <w:rsid w:val="082C71AD"/>
    <w:rsid w:val="082D0D5E"/>
    <w:rsid w:val="08316AA1"/>
    <w:rsid w:val="08332819"/>
    <w:rsid w:val="08381BDD"/>
    <w:rsid w:val="08393BA7"/>
    <w:rsid w:val="08431BB0"/>
    <w:rsid w:val="08493DEA"/>
    <w:rsid w:val="084F4760"/>
    <w:rsid w:val="084F5179"/>
    <w:rsid w:val="085B3B1D"/>
    <w:rsid w:val="0870581B"/>
    <w:rsid w:val="08730E67"/>
    <w:rsid w:val="0874698D"/>
    <w:rsid w:val="087D715E"/>
    <w:rsid w:val="08907C6B"/>
    <w:rsid w:val="08941CC4"/>
    <w:rsid w:val="08A234FA"/>
    <w:rsid w:val="08A54D99"/>
    <w:rsid w:val="08A70B11"/>
    <w:rsid w:val="08A857F0"/>
    <w:rsid w:val="08AC113B"/>
    <w:rsid w:val="08B51480"/>
    <w:rsid w:val="08B7391C"/>
    <w:rsid w:val="08BA0844"/>
    <w:rsid w:val="08BD20E2"/>
    <w:rsid w:val="08C01BD2"/>
    <w:rsid w:val="08CA47FF"/>
    <w:rsid w:val="08D631A4"/>
    <w:rsid w:val="08D8516E"/>
    <w:rsid w:val="08E121CB"/>
    <w:rsid w:val="08E753B1"/>
    <w:rsid w:val="08FA3336"/>
    <w:rsid w:val="090221EB"/>
    <w:rsid w:val="09120680"/>
    <w:rsid w:val="092217DD"/>
    <w:rsid w:val="092C034B"/>
    <w:rsid w:val="093A7294"/>
    <w:rsid w:val="093E6C7B"/>
    <w:rsid w:val="09414AC1"/>
    <w:rsid w:val="09440A55"/>
    <w:rsid w:val="09442803"/>
    <w:rsid w:val="095B3317"/>
    <w:rsid w:val="095F13EB"/>
    <w:rsid w:val="096009AB"/>
    <w:rsid w:val="09625EB6"/>
    <w:rsid w:val="09694018"/>
    <w:rsid w:val="09786BA6"/>
    <w:rsid w:val="09832116"/>
    <w:rsid w:val="098350DA"/>
    <w:rsid w:val="098552F6"/>
    <w:rsid w:val="098705F9"/>
    <w:rsid w:val="0995305F"/>
    <w:rsid w:val="09972933"/>
    <w:rsid w:val="099E0166"/>
    <w:rsid w:val="09A60DC8"/>
    <w:rsid w:val="09AB4631"/>
    <w:rsid w:val="09B01C47"/>
    <w:rsid w:val="09B47989"/>
    <w:rsid w:val="09B96D4E"/>
    <w:rsid w:val="09BA0F52"/>
    <w:rsid w:val="09C556F2"/>
    <w:rsid w:val="09C851E3"/>
    <w:rsid w:val="09EB1836"/>
    <w:rsid w:val="09EC7123"/>
    <w:rsid w:val="09F15A65"/>
    <w:rsid w:val="09F2400E"/>
    <w:rsid w:val="09F61D50"/>
    <w:rsid w:val="0A014251"/>
    <w:rsid w:val="0A0700B4"/>
    <w:rsid w:val="0A072F1E"/>
    <w:rsid w:val="0A1514CB"/>
    <w:rsid w:val="0A171EF8"/>
    <w:rsid w:val="0A187F18"/>
    <w:rsid w:val="0A193C90"/>
    <w:rsid w:val="0A1B0553"/>
    <w:rsid w:val="0A1B17B6"/>
    <w:rsid w:val="0A263993"/>
    <w:rsid w:val="0A2D3AC2"/>
    <w:rsid w:val="0A3E36F7"/>
    <w:rsid w:val="0A426D43"/>
    <w:rsid w:val="0A4705E0"/>
    <w:rsid w:val="0A57379D"/>
    <w:rsid w:val="0A5D3B7D"/>
    <w:rsid w:val="0A5E78F5"/>
    <w:rsid w:val="0A636CB9"/>
    <w:rsid w:val="0A6842D0"/>
    <w:rsid w:val="0A6A44EC"/>
    <w:rsid w:val="0A7D421F"/>
    <w:rsid w:val="0A8B3CB0"/>
    <w:rsid w:val="0A981059"/>
    <w:rsid w:val="0A982E07"/>
    <w:rsid w:val="0A9A7155"/>
    <w:rsid w:val="0A9C171F"/>
    <w:rsid w:val="0AA25A34"/>
    <w:rsid w:val="0AA51080"/>
    <w:rsid w:val="0AA755DF"/>
    <w:rsid w:val="0ABA63D1"/>
    <w:rsid w:val="0AC05EBA"/>
    <w:rsid w:val="0AC41E4E"/>
    <w:rsid w:val="0ACA6D38"/>
    <w:rsid w:val="0ACB31DC"/>
    <w:rsid w:val="0AD61B20"/>
    <w:rsid w:val="0AD83203"/>
    <w:rsid w:val="0ADA51CD"/>
    <w:rsid w:val="0ADF0A36"/>
    <w:rsid w:val="0AE465EC"/>
    <w:rsid w:val="0AEA67C4"/>
    <w:rsid w:val="0AF677C2"/>
    <w:rsid w:val="0AFA147A"/>
    <w:rsid w:val="0AFF69E2"/>
    <w:rsid w:val="0B04224A"/>
    <w:rsid w:val="0B073AE9"/>
    <w:rsid w:val="0B100BEF"/>
    <w:rsid w:val="0B106E41"/>
    <w:rsid w:val="0B120D44"/>
    <w:rsid w:val="0B13248D"/>
    <w:rsid w:val="0B1A1A6E"/>
    <w:rsid w:val="0B1F0C52"/>
    <w:rsid w:val="0B2226D0"/>
    <w:rsid w:val="0B2E72C7"/>
    <w:rsid w:val="0B304DED"/>
    <w:rsid w:val="0B332B30"/>
    <w:rsid w:val="0B3E2A86"/>
    <w:rsid w:val="0B3F7726"/>
    <w:rsid w:val="0B444D3D"/>
    <w:rsid w:val="0B4F7FE6"/>
    <w:rsid w:val="0B52745A"/>
    <w:rsid w:val="0B5346A2"/>
    <w:rsid w:val="0B57681E"/>
    <w:rsid w:val="0B6251C3"/>
    <w:rsid w:val="0B662F05"/>
    <w:rsid w:val="0B6E1DBA"/>
    <w:rsid w:val="0B7849E6"/>
    <w:rsid w:val="0B7D3DAB"/>
    <w:rsid w:val="0B845139"/>
    <w:rsid w:val="0B8B64C8"/>
    <w:rsid w:val="0B8D0492"/>
    <w:rsid w:val="0B941820"/>
    <w:rsid w:val="0B974E6D"/>
    <w:rsid w:val="0B980BE5"/>
    <w:rsid w:val="0B9C06D5"/>
    <w:rsid w:val="0BA63302"/>
    <w:rsid w:val="0BB342DB"/>
    <w:rsid w:val="0BB563C4"/>
    <w:rsid w:val="0BB6325E"/>
    <w:rsid w:val="0BB73761"/>
    <w:rsid w:val="0BBF1DEA"/>
    <w:rsid w:val="0BD27BF6"/>
    <w:rsid w:val="0BDA11FD"/>
    <w:rsid w:val="0BDB744F"/>
    <w:rsid w:val="0BED2CDE"/>
    <w:rsid w:val="0BF3700E"/>
    <w:rsid w:val="0BF4406D"/>
    <w:rsid w:val="0C0369A6"/>
    <w:rsid w:val="0C0B13B7"/>
    <w:rsid w:val="0C152235"/>
    <w:rsid w:val="0C177D5B"/>
    <w:rsid w:val="0C193AD3"/>
    <w:rsid w:val="0C2506CA"/>
    <w:rsid w:val="0C28640C"/>
    <w:rsid w:val="0C2F779B"/>
    <w:rsid w:val="0C346B5F"/>
    <w:rsid w:val="0C37664F"/>
    <w:rsid w:val="0C3B3C7D"/>
    <w:rsid w:val="0C3B7EEE"/>
    <w:rsid w:val="0C476893"/>
    <w:rsid w:val="0C5C1C12"/>
    <w:rsid w:val="0C5E3BDC"/>
    <w:rsid w:val="0C6531BD"/>
    <w:rsid w:val="0C686809"/>
    <w:rsid w:val="0C6D2071"/>
    <w:rsid w:val="0C6F1945"/>
    <w:rsid w:val="0C72113D"/>
    <w:rsid w:val="0C734298"/>
    <w:rsid w:val="0C7451AE"/>
    <w:rsid w:val="0C831895"/>
    <w:rsid w:val="0C882A07"/>
    <w:rsid w:val="0C8A654B"/>
    <w:rsid w:val="0CA041F5"/>
    <w:rsid w:val="0CA158BB"/>
    <w:rsid w:val="0CAB2EAE"/>
    <w:rsid w:val="0CAC0DEC"/>
    <w:rsid w:val="0CAC2B9A"/>
    <w:rsid w:val="0CAD06C0"/>
    <w:rsid w:val="0CB41A4E"/>
    <w:rsid w:val="0CC214CA"/>
    <w:rsid w:val="0CC46135"/>
    <w:rsid w:val="0CC61E6C"/>
    <w:rsid w:val="0CCA74C4"/>
    <w:rsid w:val="0CCF4ADA"/>
    <w:rsid w:val="0CD21ED4"/>
    <w:rsid w:val="0CD81BE1"/>
    <w:rsid w:val="0CD8398F"/>
    <w:rsid w:val="0CDD0FA5"/>
    <w:rsid w:val="0CE73BD2"/>
    <w:rsid w:val="0CE9794A"/>
    <w:rsid w:val="0CEF2A86"/>
    <w:rsid w:val="0CF12CA2"/>
    <w:rsid w:val="0CF14A50"/>
    <w:rsid w:val="0CF602B9"/>
    <w:rsid w:val="0CF62067"/>
    <w:rsid w:val="0CF63FDF"/>
    <w:rsid w:val="0CFF0F1B"/>
    <w:rsid w:val="0D004C93"/>
    <w:rsid w:val="0D0223F1"/>
    <w:rsid w:val="0D0522AA"/>
    <w:rsid w:val="0D067D90"/>
    <w:rsid w:val="0D094977"/>
    <w:rsid w:val="0D0A78C0"/>
    <w:rsid w:val="0D0F4ED6"/>
    <w:rsid w:val="0D116EA1"/>
    <w:rsid w:val="0D197B03"/>
    <w:rsid w:val="0D1F15BD"/>
    <w:rsid w:val="0D2B6E2A"/>
    <w:rsid w:val="0D387F9E"/>
    <w:rsid w:val="0D3B0F42"/>
    <w:rsid w:val="0D3D2F00"/>
    <w:rsid w:val="0D3D37F2"/>
    <w:rsid w:val="0D3D5EE8"/>
    <w:rsid w:val="0D3F3A0E"/>
    <w:rsid w:val="0D4258E7"/>
    <w:rsid w:val="0D474670"/>
    <w:rsid w:val="0D4E59FF"/>
    <w:rsid w:val="0D505C1B"/>
    <w:rsid w:val="0D51204E"/>
    <w:rsid w:val="0D5154EF"/>
    <w:rsid w:val="0D523741"/>
    <w:rsid w:val="0D5D20E6"/>
    <w:rsid w:val="0D5D5C42"/>
    <w:rsid w:val="0D614C28"/>
    <w:rsid w:val="0D621C7D"/>
    <w:rsid w:val="0D6641F4"/>
    <w:rsid w:val="0D68593C"/>
    <w:rsid w:val="0D690A8B"/>
    <w:rsid w:val="0D6D331C"/>
    <w:rsid w:val="0D745214"/>
    <w:rsid w:val="0D755681"/>
    <w:rsid w:val="0D7F3E0A"/>
    <w:rsid w:val="0D8D29CB"/>
    <w:rsid w:val="0D8D4779"/>
    <w:rsid w:val="0D8E04F1"/>
    <w:rsid w:val="0D8F3763"/>
    <w:rsid w:val="0D926E4C"/>
    <w:rsid w:val="0DA675E9"/>
    <w:rsid w:val="0DAC3888"/>
    <w:rsid w:val="0DB53CD0"/>
    <w:rsid w:val="0DB7190D"/>
    <w:rsid w:val="0DB735A4"/>
    <w:rsid w:val="0DB96584"/>
    <w:rsid w:val="0DB97F78"/>
    <w:rsid w:val="0DBA3AA3"/>
    <w:rsid w:val="0DBD4932"/>
    <w:rsid w:val="0DBF06AB"/>
    <w:rsid w:val="0DC23341"/>
    <w:rsid w:val="0DC42165"/>
    <w:rsid w:val="0DC81FCB"/>
    <w:rsid w:val="0DDA54E4"/>
    <w:rsid w:val="0DED16BC"/>
    <w:rsid w:val="0E011208"/>
    <w:rsid w:val="0E016F15"/>
    <w:rsid w:val="0E0B7D94"/>
    <w:rsid w:val="0E0F1632"/>
    <w:rsid w:val="0E152CDE"/>
    <w:rsid w:val="0E1E7AC7"/>
    <w:rsid w:val="0E214EC1"/>
    <w:rsid w:val="0E25358B"/>
    <w:rsid w:val="0E2C21E4"/>
    <w:rsid w:val="0E2C4ADD"/>
    <w:rsid w:val="0E2F75DE"/>
    <w:rsid w:val="0E35096D"/>
    <w:rsid w:val="0E3B2427"/>
    <w:rsid w:val="0E3E5A73"/>
    <w:rsid w:val="0E477234"/>
    <w:rsid w:val="0E4A4418"/>
    <w:rsid w:val="0E572FD9"/>
    <w:rsid w:val="0E63372C"/>
    <w:rsid w:val="0E653000"/>
    <w:rsid w:val="0E6652CB"/>
    <w:rsid w:val="0E73034D"/>
    <w:rsid w:val="0E796AAB"/>
    <w:rsid w:val="0E797ADB"/>
    <w:rsid w:val="0E8518F4"/>
    <w:rsid w:val="0E8611C8"/>
    <w:rsid w:val="0E8C2C83"/>
    <w:rsid w:val="0E8D07A9"/>
    <w:rsid w:val="0E8D69FB"/>
    <w:rsid w:val="0EA62AB8"/>
    <w:rsid w:val="0EAC50D3"/>
    <w:rsid w:val="0EB16245"/>
    <w:rsid w:val="0EBE0962"/>
    <w:rsid w:val="0ECF0DC1"/>
    <w:rsid w:val="0ED63EFE"/>
    <w:rsid w:val="0EEA5BFB"/>
    <w:rsid w:val="0EED0CB1"/>
    <w:rsid w:val="0F0E5A87"/>
    <w:rsid w:val="0F13775A"/>
    <w:rsid w:val="0F16254C"/>
    <w:rsid w:val="0F242EBB"/>
    <w:rsid w:val="0F2C1D70"/>
    <w:rsid w:val="0F2E77DD"/>
    <w:rsid w:val="0F3B0205"/>
    <w:rsid w:val="0F3F5F47"/>
    <w:rsid w:val="0F474DFC"/>
    <w:rsid w:val="0F476BAA"/>
    <w:rsid w:val="0F580DB7"/>
    <w:rsid w:val="0F5C32C3"/>
    <w:rsid w:val="0F5E07FD"/>
    <w:rsid w:val="0F5F45FE"/>
    <w:rsid w:val="0F720D71"/>
    <w:rsid w:val="0F76748F"/>
    <w:rsid w:val="0F81030D"/>
    <w:rsid w:val="0F816BBF"/>
    <w:rsid w:val="0F84395A"/>
    <w:rsid w:val="0F8A6A96"/>
    <w:rsid w:val="0F931DEF"/>
    <w:rsid w:val="0F9A112B"/>
    <w:rsid w:val="0F9C5147"/>
    <w:rsid w:val="0FA83AEC"/>
    <w:rsid w:val="0FAB3235"/>
    <w:rsid w:val="0FB10A42"/>
    <w:rsid w:val="0FB42B59"/>
    <w:rsid w:val="0FB670B5"/>
    <w:rsid w:val="0FBC7598"/>
    <w:rsid w:val="0FC63F72"/>
    <w:rsid w:val="0FC95811"/>
    <w:rsid w:val="0FCB3337"/>
    <w:rsid w:val="0FCD00C7"/>
    <w:rsid w:val="0FCE72CB"/>
    <w:rsid w:val="0FCF7859"/>
    <w:rsid w:val="0FD03043"/>
    <w:rsid w:val="0FDD12BC"/>
    <w:rsid w:val="0FE663C2"/>
    <w:rsid w:val="0FE97C61"/>
    <w:rsid w:val="0FED14FF"/>
    <w:rsid w:val="0FED59A3"/>
    <w:rsid w:val="0FF349BC"/>
    <w:rsid w:val="0FFE370C"/>
    <w:rsid w:val="100920B1"/>
    <w:rsid w:val="100B5E29"/>
    <w:rsid w:val="100E76C7"/>
    <w:rsid w:val="101963B4"/>
    <w:rsid w:val="101D5627"/>
    <w:rsid w:val="102173FB"/>
    <w:rsid w:val="102E38C6"/>
    <w:rsid w:val="103435D2"/>
    <w:rsid w:val="103A226A"/>
    <w:rsid w:val="10437371"/>
    <w:rsid w:val="104D0F21"/>
    <w:rsid w:val="105228C0"/>
    <w:rsid w:val="106D0892"/>
    <w:rsid w:val="106D2F64"/>
    <w:rsid w:val="1074577C"/>
    <w:rsid w:val="107A6B0B"/>
    <w:rsid w:val="107C0AD5"/>
    <w:rsid w:val="10832575"/>
    <w:rsid w:val="109B53FF"/>
    <w:rsid w:val="109E0A4B"/>
    <w:rsid w:val="10A122E9"/>
    <w:rsid w:val="10A2678D"/>
    <w:rsid w:val="10B62239"/>
    <w:rsid w:val="10B63710"/>
    <w:rsid w:val="10BE4C49"/>
    <w:rsid w:val="10C1473A"/>
    <w:rsid w:val="10C4357C"/>
    <w:rsid w:val="10DB57FB"/>
    <w:rsid w:val="10E072B6"/>
    <w:rsid w:val="10E741A0"/>
    <w:rsid w:val="10F10820"/>
    <w:rsid w:val="10F13271"/>
    <w:rsid w:val="10F845FF"/>
    <w:rsid w:val="10FB40F0"/>
    <w:rsid w:val="10FD1C16"/>
    <w:rsid w:val="11020FDA"/>
    <w:rsid w:val="11050ACA"/>
    <w:rsid w:val="111C2F7A"/>
    <w:rsid w:val="1122167C"/>
    <w:rsid w:val="112847B9"/>
    <w:rsid w:val="112F78F5"/>
    <w:rsid w:val="113847BC"/>
    <w:rsid w:val="113F222E"/>
    <w:rsid w:val="11423ACC"/>
    <w:rsid w:val="114F7F97"/>
    <w:rsid w:val="11641C95"/>
    <w:rsid w:val="11643A43"/>
    <w:rsid w:val="116577BB"/>
    <w:rsid w:val="11665CA1"/>
    <w:rsid w:val="11671785"/>
    <w:rsid w:val="116B3023"/>
    <w:rsid w:val="11767768"/>
    <w:rsid w:val="11812847"/>
    <w:rsid w:val="11877731"/>
    <w:rsid w:val="11947050"/>
    <w:rsid w:val="11965BC6"/>
    <w:rsid w:val="11987B90"/>
    <w:rsid w:val="11A2456B"/>
    <w:rsid w:val="11A249A7"/>
    <w:rsid w:val="11C10E95"/>
    <w:rsid w:val="11D54941"/>
    <w:rsid w:val="11D706B9"/>
    <w:rsid w:val="11EB7CC0"/>
    <w:rsid w:val="11FC7D5F"/>
    <w:rsid w:val="11FD5C45"/>
    <w:rsid w:val="120668A8"/>
    <w:rsid w:val="120B3EBE"/>
    <w:rsid w:val="120E7E53"/>
    <w:rsid w:val="1222745A"/>
    <w:rsid w:val="122A4C8C"/>
    <w:rsid w:val="122B630F"/>
    <w:rsid w:val="122C48A4"/>
    <w:rsid w:val="122D02D9"/>
    <w:rsid w:val="122D2087"/>
    <w:rsid w:val="12313B9D"/>
    <w:rsid w:val="12340D87"/>
    <w:rsid w:val="123553DF"/>
    <w:rsid w:val="123E7A4A"/>
    <w:rsid w:val="12483364"/>
    <w:rsid w:val="12535865"/>
    <w:rsid w:val="12555A81"/>
    <w:rsid w:val="12557A4B"/>
    <w:rsid w:val="125F245C"/>
    <w:rsid w:val="12601E40"/>
    <w:rsid w:val="12617F82"/>
    <w:rsid w:val="12636839"/>
    <w:rsid w:val="126A054C"/>
    <w:rsid w:val="1272218F"/>
    <w:rsid w:val="127777A6"/>
    <w:rsid w:val="12887C05"/>
    <w:rsid w:val="128B599F"/>
    <w:rsid w:val="129E4D32"/>
    <w:rsid w:val="12A83E03"/>
    <w:rsid w:val="12AB7509"/>
    <w:rsid w:val="12B02CB8"/>
    <w:rsid w:val="12B05320"/>
    <w:rsid w:val="12B66520"/>
    <w:rsid w:val="12B74046"/>
    <w:rsid w:val="12CB18A0"/>
    <w:rsid w:val="12CF313E"/>
    <w:rsid w:val="12DB7D35"/>
    <w:rsid w:val="12DC3AAD"/>
    <w:rsid w:val="12EA5065"/>
    <w:rsid w:val="12EE5C96"/>
    <w:rsid w:val="12EF558E"/>
    <w:rsid w:val="12F6691D"/>
    <w:rsid w:val="12F74FF8"/>
    <w:rsid w:val="130354DD"/>
    <w:rsid w:val="13091FED"/>
    <w:rsid w:val="130C4392"/>
    <w:rsid w:val="130D3C66"/>
    <w:rsid w:val="130F79DE"/>
    <w:rsid w:val="13143247"/>
    <w:rsid w:val="131B6383"/>
    <w:rsid w:val="131D659F"/>
    <w:rsid w:val="13270F35"/>
    <w:rsid w:val="132A4201"/>
    <w:rsid w:val="133D454B"/>
    <w:rsid w:val="133E6515"/>
    <w:rsid w:val="13441D7E"/>
    <w:rsid w:val="13482376"/>
    <w:rsid w:val="134D0507"/>
    <w:rsid w:val="134E6759"/>
    <w:rsid w:val="134F0723"/>
    <w:rsid w:val="135573A7"/>
    <w:rsid w:val="1360648C"/>
    <w:rsid w:val="13650795"/>
    <w:rsid w:val="136917E4"/>
    <w:rsid w:val="136A730B"/>
    <w:rsid w:val="136A7AAF"/>
    <w:rsid w:val="13750189"/>
    <w:rsid w:val="137703B3"/>
    <w:rsid w:val="13781A27"/>
    <w:rsid w:val="13785584"/>
    <w:rsid w:val="137B5074"/>
    <w:rsid w:val="137B7981"/>
    <w:rsid w:val="137F6D99"/>
    <w:rsid w:val="13833F28"/>
    <w:rsid w:val="13871C6A"/>
    <w:rsid w:val="13893C35"/>
    <w:rsid w:val="138A175B"/>
    <w:rsid w:val="138B77FE"/>
    <w:rsid w:val="138E2FF9"/>
    <w:rsid w:val="13915EB9"/>
    <w:rsid w:val="13951726"/>
    <w:rsid w:val="139B3968"/>
    <w:rsid w:val="139B74C4"/>
    <w:rsid w:val="13A50343"/>
    <w:rsid w:val="13A83E89"/>
    <w:rsid w:val="13AF4D1D"/>
    <w:rsid w:val="13B567D8"/>
    <w:rsid w:val="13BA3DEE"/>
    <w:rsid w:val="13C92283"/>
    <w:rsid w:val="13CA3512"/>
    <w:rsid w:val="13CF716E"/>
    <w:rsid w:val="13D12EE6"/>
    <w:rsid w:val="13D34EB0"/>
    <w:rsid w:val="13DF3855"/>
    <w:rsid w:val="13E1581F"/>
    <w:rsid w:val="13E26EA1"/>
    <w:rsid w:val="13F56BD4"/>
    <w:rsid w:val="14010CEA"/>
    <w:rsid w:val="140212F1"/>
    <w:rsid w:val="14092680"/>
    <w:rsid w:val="14096B23"/>
    <w:rsid w:val="14396509"/>
    <w:rsid w:val="143A0A8B"/>
    <w:rsid w:val="143A7FD8"/>
    <w:rsid w:val="14402B55"/>
    <w:rsid w:val="144F75BF"/>
    <w:rsid w:val="1457163D"/>
    <w:rsid w:val="1461070D"/>
    <w:rsid w:val="146B50E8"/>
    <w:rsid w:val="14717CCC"/>
    <w:rsid w:val="147A532B"/>
    <w:rsid w:val="14832432"/>
    <w:rsid w:val="148368D6"/>
    <w:rsid w:val="148B578A"/>
    <w:rsid w:val="148D53CE"/>
    <w:rsid w:val="14975EDD"/>
    <w:rsid w:val="14977C8B"/>
    <w:rsid w:val="149B41B6"/>
    <w:rsid w:val="14A72759"/>
    <w:rsid w:val="14A85814"/>
    <w:rsid w:val="14AA3E63"/>
    <w:rsid w:val="14AB3737"/>
    <w:rsid w:val="14B52807"/>
    <w:rsid w:val="14BC76F2"/>
    <w:rsid w:val="14BF5434"/>
    <w:rsid w:val="14C842E9"/>
    <w:rsid w:val="14C9074B"/>
    <w:rsid w:val="14CD7B51"/>
    <w:rsid w:val="14D321E7"/>
    <w:rsid w:val="14D7277E"/>
    <w:rsid w:val="14D7452C"/>
    <w:rsid w:val="14DD2C3C"/>
    <w:rsid w:val="14E153AA"/>
    <w:rsid w:val="14E31122"/>
    <w:rsid w:val="14EF3F6B"/>
    <w:rsid w:val="15015A4D"/>
    <w:rsid w:val="15081003"/>
    <w:rsid w:val="150D43F1"/>
    <w:rsid w:val="151412DC"/>
    <w:rsid w:val="15202592"/>
    <w:rsid w:val="15211C4B"/>
    <w:rsid w:val="15282FD9"/>
    <w:rsid w:val="152D56A6"/>
    <w:rsid w:val="1532626E"/>
    <w:rsid w:val="15332E1D"/>
    <w:rsid w:val="153E50BB"/>
    <w:rsid w:val="154F6EFA"/>
    <w:rsid w:val="155362A8"/>
    <w:rsid w:val="15561459"/>
    <w:rsid w:val="15593193"/>
    <w:rsid w:val="155B6F0B"/>
    <w:rsid w:val="156264EB"/>
    <w:rsid w:val="15673B02"/>
    <w:rsid w:val="15712BD2"/>
    <w:rsid w:val="15791A87"/>
    <w:rsid w:val="157D3325"/>
    <w:rsid w:val="15853F88"/>
    <w:rsid w:val="158C5316"/>
    <w:rsid w:val="159643E7"/>
    <w:rsid w:val="15973CBB"/>
    <w:rsid w:val="159A605B"/>
    <w:rsid w:val="159E329B"/>
    <w:rsid w:val="15A25245"/>
    <w:rsid w:val="15A60A7D"/>
    <w:rsid w:val="15B036FB"/>
    <w:rsid w:val="15C01464"/>
    <w:rsid w:val="15C03212"/>
    <w:rsid w:val="15C40F54"/>
    <w:rsid w:val="15CA22E2"/>
    <w:rsid w:val="15E46F00"/>
    <w:rsid w:val="15E909BB"/>
    <w:rsid w:val="15EC2259"/>
    <w:rsid w:val="16013F56"/>
    <w:rsid w:val="16087E1D"/>
    <w:rsid w:val="160C6457"/>
    <w:rsid w:val="162419F3"/>
    <w:rsid w:val="163065E9"/>
    <w:rsid w:val="16414353"/>
    <w:rsid w:val="1647748F"/>
    <w:rsid w:val="164E081E"/>
    <w:rsid w:val="165A0178"/>
    <w:rsid w:val="165A3666"/>
    <w:rsid w:val="165E3157"/>
    <w:rsid w:val="16695657"/>
    <w:rsid w:val="166B79E9"/>
    <w:rsid w:val="166C5148"/>
    <w:rsid w:val="16810BF3"/>
    <w:rsid w:val="168357F5"/>
    <w:rsid w:val="168560B2"/>
    <w:rsid w:val="168626AD"/>
    <w:rsid w:val="16913C4C"/>
    <w:rsid w:val="169721C5"/>
    <w:rsid w:val="169C5A2D"/>
    <w:rsid w:val="169C77DB"/>
    <w:rsid w:val="169E17A5"/>
    <w:rsid w:val="16A36DBB"/>
    <w:rsid w:val="16A91EF8"/>
    <w:rsid w:val="16B8213B"/>
    <w:rsid w:val="16BF796D"/>
    <w:rsid w:val="16C44F84"/>
    <w:rsid w:val="16CB4564"/>
    <w:rsid w:val="16CD208A"/>
    <w:rsid w:val="16CD5BE6"/>
    <w:rsid w:val="16CF5E02"/>
    <w:rsid w:val="16D03928"/>
    <w:rsid w:val="16D7385B"/>
    <w:rsid w:val="16DA2EAC"/>
    <w:rsid w:val="16DB77CE"/>
    <w:rsid w:val="16E55626"/>
    <w:rsid w:val="16E573D4"/>
    <w:rsid w:val="16E86EC4"/>
    <w:rsid w:val="16EA7873"/>
    <w:rsid w:val="16FA2753"/>
    <w:rsid w:val="16FC64CC"/>
    <w:rsid w:val="16FF7D6A"/>
    <w:rsid w:val="1706734A"/>
    <w:rsid w:val="170D11CC"/>
    <w:rsid w:val="17101F77"/>
    <w:rsid w:val="17103D25"/>
    <w:rsid w:val="17125CEF"/>
    <w:rsid w:val="1715050E"/>
    <w:rsid w:val="17222C24"/>
    <w:rsid w:val="17251D76"/>
    <w:rsid w:val="17253C74"/>
    <w:rsid w:val="172B0B5F"/>
    <w:rsid w:val="17340B91"/>
    <w:rsid w:val="17367C2F"/>
    <w:rsid w:val="173870C5"/>
    <w:rsid w:val="175005C5"/>
    <w:rsid w:val="17563E2E"/>
    <w:rsid w:val="17575DF8"/>
    <w:rsid w:val="17606A5A"/>
    <w:rsid w:val="17614581"/>
    <w:rsid w:val="176C48CD"/>
    <w:rsid w:val="17701D14"/>
    <w:rsid w:val="177249E0"/>
    <w:rsid w:val="17735226"/>
    <w:rsid w:val="177444E1"/>
    <w:rsid w:val="17771FF6"/>
    <w:rsid w:val="17780248"/>
    <w:rsid w:val="177B1AE6"/>
    <w:rsid w:val="17884203"/>
    <w:rsid w:val="178C3CF3"/>
    <w:rsid w:val="178F10EE"/>
    <w:rsid w:val="17942BA8"/>
    <w:rsid w:val="179B7A92"/>
    <w:rsid w:val="179C380B"/>
    <w:rsid w:val="179D1A5D"/>
    <w:rsid w:val="17B31280"/>
    <w:rsid w:val="17B46DA6"/>
    <w:rsid w:val="17C92852"/>
    <w:rsid w:val="17D9680D"/>
    <w:rsid w:val="17E4463B"/>
    <w:rsid w:val="17F84EE5"/>
    <w:rsid w:val="17FD699F"/>
    <w:rsid w:val="1800023D"/>
    <w:rsid w:val="18063ECA"/>
    <w:rsid w:val="180715CC"/>
    <w:rsid w:val="180F5C45"/>
    <w:rsid w:val="18167A61"/>
    <w:rsid w:val="181B6E25"/>
    <w:rsid w:val="18214C6A"/>
    <w:rsid w:val="18302AE3"/>
    <w:rsid w:val="183B3024"/>
    <w:rsid w:val="183C74C7"/>
    <w:rsid w:val="183C7FF2"/>
    <w:rsid w:val="183D4FEE"/>
    <w:rsid w:val="183F2B14"/>
    <w:rsid w:val="184243B2"/>
    <w:rsid w:val="184620F4"/>
    <w:rsid w:val="18491408"/>
    <w:rsid w:val="185760AF"/>
    <w:rsid w:val="18583BD5"/>
    <w:rsid w:val="185D743E"/>
    <w:rsid w:val="18641AC1"/>
    <w:rsid w:val="18673E19"/>
    <w:rsid w:val="18695DE3"/>
    <w:rsid w:val="186C671F"/>
    <w:rsid w:val="187A2728"/>
    <w:rsid w:val="18866995"/>
    <w:rsid w:val="188B7B07"/>
    <w:rsid w:val="18954E2A"/>
    <w:rsid w:val="18966B40"/>
    <w:rsid w:val="18972950"/>
    <w:rsid w:val="189F624C"/>
    <w:rsid w:val="18A1557C"/>
    <w:rsid w:val="18A24E51"/>
    <w:rsid w:val="18AB1F57"/>
    <w:rsid w:val="18B352B0"/>
    <w:rsid w:val="18B51028"/>
    <w:rsid w:val="18C15C1F"/>
    <w:rsid w:val="18C43019"/>
    <w:rsid w:val="18C97FE6"/>
    <w:rsid w:val="18CD6371"/>
    <w:rsid w:val="18D35CA5"/>
    <w:rsid w:val="18D45952"/>
    <w:rsid w:val="18D47700"/>
    <w:rsid w:val="18DA0A8E"/>
    <w:rsid w:val="18EB4A4A"/>
    <w:rsid w:val="18EE62E8"/>
    <w:rsid w:val="18F55316"/>
    <w:rsid w:val="18FA2EDF"/>
    <w:rsid w:val="19044611"/>
    <w:rsid w:val="190478B9"/>
    <w:rsid w:val="19053D5D"/>
    <w:rsid w:val="19094ED0"/>
    <w:rsid w:val="190B6E9A"/>
    <w:rsid w:val="191A0E8B"/>
    <w:rsid w:val="19232435"/>
    <w:rsid w:val="192817FA"/>
    <w:rsid w:val="19297320"/>
    <w:rsid w:val="192D0BBE"/>
    <w:rsid w:val="192E7D66"/>
    <w:rsid w:val="193261D5"/>
    <w:rsid w:val="1934019F"/>
    <w:rsid w:val="193463F1"/>
    <w:rsid w:val="193A32DB"/>
    <w:rsid w:val="19414586"/>
    <w:rsid w:val="19445F08"/>
    <w:rsid w:val="194660D8"/>
    <w:rsid w:val="194B54E8"/>
    <w:rsid w:val="19502AFF"/>
    <w:rsid w:val="195E16BF"/>
    <w:rsid w:val="196A0064"/>
    <w:rsid w:val="19784DF0"/>
    <w:rsid w:val="198253AE"/>
    <w:rsid w:val="198527A8"/>
    <w:rsid w:val="1991739F"/>
    <w:rsid w:val="199E1ABC"/>
    <w:rsid w:val="19A1335A"/>
    <w:rsid w:val="19A277FE"/>
    <w:rsid w:val="19A30E80"/>
    <w:rsid w:val="19AD1CFF"/>
    <w:rsid w:val="19B94B48"/>
    <w:rsid w:val="19D21766"/>
    <w:rsid w:val="19E00326"/>
    <w:rsid w:val="19E716B5"/>
    <w:rsid w:val="19EA6AAF"/>
    <w:rsid w:val="19EE2A43"/>
    <w:rsid w:val="19F0726B"/>
    <w:rsid w:val="19F60DAB"/>
    <w:rsid w:val="19FC630C"/>
    <w:rsid w:val="1A037B71"/>
    <w:rsid w:val="1A1C66C0"/>
    <w:rsid w:val="1A226249"/>
    <w:rsid w:val="1A277D03"/>
    <w:rsid w:val="1A2C531A"/>
    <w:rsid w:val="1A2C70C8"/>
    <w:rsid w:val="1A3146DE"/>
    <w:rsid w:val="1A3A7A37"/>
    <w:rsid w:val="1A3D7527"/>
    <w:rsid w:val="1A420699"/>
    <w:rsid w:val="1A42393B"/>
    <w:rsid w:val="1A4B1C44"/>
    <w:rsid w:val="1A5403CD"/>
    <w:rsid w:val="1A5D3725"/>
    <w:rsid w:val="1A626F8D"/>
    <w:rsid w:val="1A646862"/>
    <w:rsid w:val="1A6920CA"/>
    <w:rsid w:val="1A77599C"/>
    <w:rsid w:val="1A7B1EDC"/>
    <w:rsid w:val="1A7D7923"/>
    <w:rsid w:val="1A862C7C"/>
    <w:rsid w:val="1A88215A"/>
    <w:rsid w:val="1A8C5DB8"/>
    <w:rsid w:val="1A8E38DF"/>
    <w:rsid w:val="1A976C37"/>
    <w:rsid w:val="1A9C249F"/>
    <w:rsid w:val="1A9D6217"/>
    <w:rsid w:val="1AA03612"/>
    <w:rsid w:val="1AA94BBC"/>
    <w:rsid w:val="1AA9696A"/>
    <w:rsid w:val="1AAB26E2"/>
    <w:rsid w:val="1AAD45DE"/>
    <w:rsid w:val="1AB377E9"/>
    <w:rsid w:val="1AB71087"/>
    <w:rsid w:val="1ABD2416"/>
    <w:rsid w:val="1ABF7F3C"/>
    <w:rsid w:val="1AC45552"/>
    <w:rsid w:val="1AC83294"/>
    <w:rsid w:val="1AD8261A"/>
    <w:rsid w:val="1AD97598"/>
    <w:rsid w:val="1ADF238C"/>
    <w:rsid w:val="1AEA0BD6"/>
    <w:rsid w:val="1AED7821"/>
    <w:rsid w:val="1AF23E6D"/>
    <w:rsid w:val="1AF72DAB"/>
    <w:rsid w:val="1AF77BC9"/>
    <w:rsid w:val="1B012302"/>
    <w:rsid w:val="1B046F80"/>
    <w:rsid w:val="1B0911B7"/>
    <w:rsid w:val="1B0D6EF9"/>
    <w:rsid w:val="1B0F08A0"/>
    <w:rsid w:val="1B122762"/>
    <w:rsid w:val="1B1464DA"/>
    <w:rsid w:val="1B1738D4"/>
    <w:rsid w:val="1B1F70DD"/>
    <w:rsid w:val="1B28788F"/>
    <w:rsid w:val="1B2B55D1"/>
    <w:rsid w:val="1B2E0C1E"/>
    <w:rsid w:val="1B32070E"/>
    <w:rsid w:val="1B3267B5"/>
    <w:rsid w:val="1B382F2B"/>
    <w:rsid w:val="1B395F40"/>
    <w:rsid w:val="1B3B0382"/>
    <w:rsid w:val="1B40161D"/>
    <w:rsid w:val="1B414DF5"/>
    <w:rsid w:val="1B441859"/>
    <w:rsid w:val="1B505038"/>
    <w:rsid w:val="1B520DB0"/>
    <w:rsid w:val="1B6258F4"/>
    <w:rsid w:val="1B634D6B"/>
    <w:rsid w:val="1B636B19"/>
    <w:rsid w:val="1B6606B1"/>
    <w:rsid w:val="1B712425"/>
    <w:rsid w:val="1B730056"/>
    <w:rsid w:val="1B740D26"/>
    <w:rsid w:val="1B7C7BDB"/>
    <w:rsid w:val="1B9273FE"/>
    <w:rsid w:val="1B991CA9"/>
    <w:rsid w:val="1B9B2757"/>
    <w:rsid w:val="1B9C027D"/>
    <w:rsid w:val="1BA11DBE"/>
    <w:rsid w:val="1BA535D6"/>
    <w:rsid w:val="1BA62EAA"/>
    <w:rsid w:val="1BAB226E"/>
    <w:rsid w:val="1BB2184F"/>
    <w:rsid w:val="1BB750B7"/>
    <w:rsid w:val="1BB824B6"/>
    <w:rsid w:val="1BC11A92"/>
    <w:rsid w:val="1BC577D4"/>
    <w:rsid w:val="1BC7354C"/>
    <w:rsid w:val="1BD73063"/>
    <w:rsid w:val="1BDD4B1E"/>
    <w:rsid w:val="1BDE0896"/>
    <w:rsid w:val="1BE7774A"/>
    <w:rsid w:val="1BEC4D61"/>
    <w:rsid w:val="1BF105C9"/>
    <w:rsid w:val="1BFB4FA4"/>
    <w:rsid w:val="1C0960D8"/>
    <w:rsid w:val="1C252021"/>
    <w:rsid w:val="1C25477F"/>
    <w:rsid w:val="1C2564C4"/>
    <w:rsid w:val="1C330BE1"/>
    <w:rsid w:val="1C346708"/>
    <w:rsid w:val="1C3861F8"/>
    <w:rsid w:val="1C386A45"/>
    <w:rsid w:val="1C4701E9"/>
    <w:rsid w:val="1C4A5F2B"/>
    <w:rsid w:val="1C533032"/>
    <w:rsid w:val="1C5E7925"/>
    <w:rsid w:val="1C654B13"/>
    <w:rsid w:val="1C6F520E"/>
    <w:rsid w:val="1C7865F4"/>
    <w:rsid w:val="1C890801"/>
    <w:rsid w:val="1C896A53"/>
    <w:rsid w:val="1C8F25F8"/>
    <w:rsid w:val="1C915908"/>
    <w:rsid w:val="1CAD6A29"/>
    <w:rsid w:val="1CB735C0"/>
    <w:rsid w:val="1CBC2C96"/>
    <w:rsid w:val="1CBD04AB"/>
    <w:rsid w:val="1CBF5FD1"/>
    <w:rsid w:val="1CC932F4"/>
    <w:rsid w:val="1CCC4B92"/>
    <w:rsid w:val="1CD31A7D"/>
    <w:rsid w:val="1CE27F12"/>
    <w:rsid w:val="1CE343B6"/>
    <w:rsid w:val="1CEE060E"/>
    <w:rsid w:val="1CFD070F"/>
    <w:rsid w:val="1D102CD1"/>
    <w:rsid w:val="1D1A58FD"/>
    <w:rsid w:val="1D1B7663"/>
    <w:rsid w:val="1D1C6F38"/>
    <w:rsid w:val="1D230C56"/>
    <w:rsid w:val="1D295B40"/>
    <w:rsid w:val="1D2B18A6"/>
    <w:rsid w:val="1D3249F5"/>
    <w:rsid w:val="1D377815"/>
    <w:rsid w:val="1D385D84"/>
    <w:rsid w:val="1D434E54"/>
    <w:rsid w:val="1D4666F2"/>
    <w:rsid w:val="1D4806BC"/>
    <w:rsid w:val="1D4961E3"/>
    <w:rsid w:val="1D5A3F4C"/>
    <w:rsid w:val="1D5F6196"/>
    <w:rsid w:val="1D6132A5"/>
    <w:rsid w:val="1D6372A4"/>
    <w:rsid w:val="1D660B43"/>
    <w:rsid w:val="1D6A3CEE"/>
    <w:rsid w:val="1D6B43AB"/>
    <w:rsid w:val="1D7A45EE"/>
    <w:rsid w:val="1D7E5E8C"/>
    <w:rsid w:val="1D813CEF"/>
    <w:rsid w:val="1D8E56D5"/>
    <w:rsid w:val="1DAA390F"/>
    <w:rsid w:val="1DD30ECA"/>
    <w:rsid w:val="1DD45AAC"/>
    <w:rsid w:val="1DDE5E96"/>
    <w:rsid w:val="1DE008F5"/>
    <w:rsid w:val="1DE101C9"/>
    <w:rsid w:val="1DE55F0B"/>
    <w:rsid w:val="1DED6B6E"/>
    <w:rsid w:val="1DEF0B38"/>
    <w:rsid w:val="1DF4614E"/>
    <w:rsid w:val="1DFB128B"/>
    <w:rsid w:val="1E0A7720"/>
    <w:rsid w:val="1E116D00"/>
    <w:rsid w:val="1E2307E2"/>
    <w:rsid w:val="1E2A6014"/>
    <w:rsid w:val="1E336318"/>
    <w:rsid w:val="1E3D18A3"/>
    <w:rsid w:val="1E3D7AF5"/>
    <w:rsid w:val="1E472722"/>
    <w:rsid w:val="1E491E00"/>
    <w:rsid w:val="1E544E3F"/>
    <w:rsid w:val="1E5B7F7C"/>
    <w:rsid w:val="1E5D0198"/>
    <w:rsid w:val="1E605592"/>
    <w:rsid w:val="1E6A01BF"/>
    <w:rsid w:val="1E6A6411"/>
    <w:rsid w:val="1E7A43DA"/>
    <w:rsid w:val="1E850B9D"/>
    <w:rsid w:val="1E94348E"/>
    <w:rsid w:val="1E9A4F48"/>
    <w:rsid w:val="1EAC6A29"/>
    <w:rsid w:val="1EAE27A1"/>
    <w:rsid w:val="1EB458DE"/>
    <w:rsid w:val="1EB61656"/>
    <w:rsid w:val="1EBA2EF4"/>
    <w:rsid w:val="1EBB0A1A"/>
    <w:rsid w:val="1EC10726"/>
    <w:rsid w:val="1ECC70CB"/>
    <w:rsid w:val="1ECD533E"/>
    <w:rsid w:val="1ED3045A"/>
    <w:rsid w:val="1ED33FB6"/>
    <w:rsid w:val="1ED815CC"/>
    <w:rsid w:val="1EDD1341"/>
    <w:rsid w:val="1EDF0BAD"/>
    <w:rsid w:val="1EE2069D"/>
    <w:rsid w:val="1EE241F9"/>
    <w:rsid w:val="1EE95587"/>
    <w:rsid w:val="1EED151B"/>
    <w:rsid w:val="1EEE2B9E"/>
    <w:rsid w:val="1EEE3B23"/>
    <w:rsid w:val="1EFA3C38"/>
    <w:rsid w:val="1EFF124F"/>
    <w:rsid w:val="1F0B19A2"/>
    <w:rsid w:val="1F0B4696"/>
    <w:rsid w:val="1F0C571A"/>
    <w:rsid w:val="1F100D66"/>
    <w:rsid w:val="1F132604"/>
    <w:rsid w:val="1F14457A"/>
    <w:rsid w:val="1F170346"/>
    <w:rsid w:val="1F262338"/>
    <w:rsid w:val="1F2B5BA0"/>
    <w:rsid w:val="1F2E743E"/>
    <w:rsid w:val="1F3031B6"/>
    <w:rsid w:val="1F37249F"/>
    <w:rsid w:val="1F38206B"/>
    <w:rsid w:val="1F3E082E"/>
    <w:rsid w:val="1F4D3D68"/>
    <w:rsid w:val="1F521540"/>
    <w:rsid w:val="1F6B0692"/>
    <w:rsid w:val="1F6C30AF"/>
    <w:rsid w:val="1F6F0182"/>
    <w:rsid w:val="1F7A2683"/>
    <w:rsid w:val="1F7C289F"/>
    <w:rsid w:val="1F7E2174"/>
    <w:rsid w:val="1F811C64"/>
    <w:rsid w:val="1F841754"/>
    <w:rsid w:val="1F8C3E0D"/>
    <w:rsid w:val="1F933745"/>
    <w:rsid w:val="1F9A2D26"/>
    <w:rsid w:val="1F9D6372"/>
    <w:rsid w:val="1FA0658E"/>
    <w:rsid w:val="1FA47700"/>
    <w:rsid w:val="1FA53BA4"/>
    <w:rsid w:val="1FA83694"/>
    <w:rsid w:val="1FB738D7"/>
    <w:rsid w:val="1FB97650"/>
    <w:rsid w:val="1FBC2C9C"/>
    <w:rsid w:val="1FBC3495"/>
    <w:rsid w:val="1FE169D2"/>
    <w:rsid w:val="1FE7539E"/>
    <w:rsid w:val="1FE8583F"/>
    <w:rsid w:val="1FEC680C"/>
    <w:rsid w:val="1FF02459"/>
    <w:rsid w:val="1FF57F5C"/>
    <w:rsid w:val="1FF71F26"/>
    <w:rsid w:val="200838C8"/>
    <w:rsid w:val="200F54C2"/>
    <w:rsid w:val="201523AC"/>
    <w:rsid w:val="20166850"/>
    <w:rsid w:val="201B5A3A"/>
    <w:rsid w:val="201E413A"/>
    <w:rsid w:val="202820DF"/>
    <w:rsid w:val="202B1BD0"/>
    <w:rsid w:val="20346CD6"/>
    <w:rsid w:val="203E7B55"/>
    <w:rsid w:val="20407429"/>
    <w:rsid w:val="205D622D"/>
    <w:rsid w:val="205E01F7"/>
    <w:rsid w:val="20607ACB"/>
    <w:rsid w:val="20671BE0"/>
    <w:rsid w:val="20686980"/>
    <w:rsid w:val="206C6470"/>
    <w:rsid w:val="206D21E8"/>
    <w:rsid w:val="20717F2A"/>
    <w:rsid w:val="20742BE8"/>
    <w:rsid w:val="207E61A3"/>
    <w:rsid w:val="20847C5E"/>
    <w:rsid w:val="2085729B"/>
    <w:rsid w:val="208732AA"/>
    <w:rsid w:val="20963CB8"/>
    <w:rsid w:val="209F6845"/>
    <w:rsid w:val="20A81A1B"/>
    <w:rsid w:val="20B07FB6"/>
    <w:rsid w:val="20B646FB"/>
    <w:rsid w:val="20BB08CD"/>
    <w:rsid w:val="20BB73F7"/>
    <w:rsid w:val="20C43D7C"/>
    <w:rsid w:val="20CE712B"/>
    <w:rsid w:val="20E06E5E"/>
    <w:rsid w:val="20E200CD"/>
    <w:rsid w:val="20E80162"/>
    <w:rsid w:val="20E95D13"/>
    <w:rsid w:val="20EB1A8B"/>
    <w:rsid w:val="20EC5803"/>
    <w:rsid w:val="20F14BC7"/>
    <w:rsid w:val="20F85F56"/>
    <w:rsid w:val="20FC3C98"/>
    <w:rsid w:val="21037F2E"/>
    <w:rsid w:val="21042B4C"/>
    <w:rsid w:val="21045513"/>
    <w:rsid w:val="210466A8"/>
    <w:rsid w:val="211663DC"/>
    <w:rsid w:val="211A2370"/>
    <w:rsid w:val="212E1977"/>
    <w:rsid w:val="2130749E"/>
    <w:rsid w:val="21311468"/>
    <w:rsid w:val="213B74B1"/>
    <w:rsid w:val="21442F49"/>
    <w:rsid w:val="21505D92"/>
    <w:rsid w:val="215435BC"/>
    <w:rsid w:val="2159732E"/>
    <w:rsid w:val="215A2310"/>
    <w:rsid w:val="215C7A7E"/>
    <w:rsid w:val="215D400B"/>
    <w:rsid w:val="216144E1"/>
    <w:rsid w:val="216607B4"/>
    <w:rsid w:val="216B497A"/>
    <w:rsid w:val="21731A80"/>
    <w:rsid w:val="21843C8D"/>
    <w:rsid w:val="21845A3B"/>
    <w:rsid w:val="21863561"/>
    <w:rsid w:val="21894E00"/>
    <w:rsid w:val="219263AA"/>
    <w:rsid w:val="21933ED0"/>
    <w:rsid w:val="21935C7E"/>
    <w:rsid w:val="219537A4"/>
    <w:rsid w:val="219A700D"/>
    <w:rsid w:val="219C2D85"/>
    <w:rsid w:val="219D08AB"/>
    <w:rsid w:val="219E4D4F"/>
    <w:rsid w:val="21A0582B"/>
    <w:rsid w:val="21A734D8"/>
    <w:rsid w:val="21AB2FC8"/>
    <w:rsid w:val="21B52099"/>
    <w:rsid w:val="21B5759E"/>
    <w:rsid w:val="21BA67D7"/>
    <w:rsid w:val="21C4408A"/>
    <w:rsid w:val="21CA7EEC"/>
    <w:rsid w:val="21DB19E4"/>
    <w:rsid w:val="21DD6EFA"/>
    <w:rsid w:val="21DE318A"/>
    <w:rsid w:val="21EB1616"/>
    <w:rsid w:val="21ED35E0"/>
    <w:rsid w:val="21EF5B80"/>
    <w:rsid w:val="21F26E49"/>
    <w:rsid w:val="21F52495"/>
    <w:rsid w:val="21F66939"/>
    <w:rsid w:val="21F93D33"/>
    <w:rsid w:val="21FC3824"/>
    <w:rsid w:val="220152DE"/>
    <w:rsid w:val="220B357A"/>
    <w:rsid w:val="220F3557"/>
    <w:rsid w:val="22162B37"/>
    <w:rsid w:val="22484CBB"/>
    <w:rsid w:val="224A458F"/>
    <w:rsid w:val="224D407F"/>
    <w:rsid w:val="22554506"/>
    <w:rsid w:val="22576990"/>
    <w:rsid w:val="225B679C"/>
    <w:rsid w:val="225E628C"/>
    <w:rsid w:val="226508ED"/>
    <w:rsid w:val="226513C9"/>
    <w:rsid w:val="226B7E22"/>
    <w:rsid w:val="226F3FF6"/>
    <w:rsid w:val="227A0C62"/>
    <w:rsid w:val="22835CF3"/>
    <w:rsid w:val="22851A6B"/>
    <w:rsid w:val="22873A35"/>
    <w:rsid w:val="228E4DC3"/>
    <w:rsid w:val="228F60C3"/>
    <w:rsid w:val="22934188"/>
    <w:rsid w:val="22A5210D"/>
    <w:rsid w:val="22A53EBB"/>
    <w:rsid w:val="22AC1F65"/>
    <w:rsid w:val="22AC53BE"/>
    <w:rsid w:val="22AE0FC2"/>
    <w:rsid w:val="22B14F6F"/>
    <w:rsid w:val="22B45EAC"/>
    <w:rsid w:val="22CD6F6E"/>
    <w:rsid w:val="22D12F02"/>
    <w:rsid w:val="22E06CA1"/>
    <w:rsid w:val="22EC1AEA"/>
    <w:rsid w:val="22EE13BE"/>
    <w:rsid w:val="22F15352"/>
    <w:rsid w:val="22F47480"/>
    <w:rsid w:val="22F64717"/>
    <w:rsid w:val="23007343"/>
    <w:rsid w:val="23040BE2"/>
    <w:rsid w:val="23046E34"/>
    <w:rsid w:val="23103A2A"/>
    <w:rsid w:val="231057D9"/>
    <w:rsid w:val="232A43C0"/>
    <w:rsid w:val="23307C29"/>
    <w:rsid w:val="233314C7"/>
    <w:rsid w:val="23333F99"/>
    <w:rsid w:val="23515DF1"/>
    <w:rsid w:val="23580F2E"/>
    <w:rsid w:val="235A2EF8"/>
    <w:rsid w:val="2369313B"/>
    <w:rsid w:val="237044C9"/>
    <w:rsid w:val="23784056"/>
    <w:rsid w:val="237C4C1C"/>
    <w:rsid w:val="237F295E"/>
    <w:rsid w:val="23841D23"/>
    <w:rsid w:val="23843AD1"/>
    <w:rsid w:val="23861312"/>
    <w:rsid w:val="238E494F"/>
    <w:rsid w:val="23923942"/>
    <w:rsid w:val="239A1546"/>
    <w:rsid w:val="239D2DE4"/>
    <w:rsid w:val="239D4B92"/>
    <w:rsid w:val="23A81EB5"/>
    <w:rsid w:val="23A979DB"/>
    <w:rsid w:val="23AB5501"/>
    <w:rsid w:val="23AB72AF"/>
    <w:rsid w:val="23B24564"/>
    <w:rsid w:val="23B75C54"/>
    <w:rsid w:val="23C6058D"/>
    <w:rsid w:val="23C95987"/>
    <w:rsid w:val="23CD5478"/>
    <w:rsid w:val="23D031BA"/>
    <w:rsid w:val="23D34A58"/>
    <w:rsid w:val="23D91CAF"/>
    <w:rsid w:val="23DE1C48"/>
    <w:rsid w:val="23E005BC"/>
    <w:rsid w:val="23E46C65"/>
    <w:rsid w:val="23E704BC"/>
    <w:rsid w:val="23E9602A"/>
    <w:rsid w:val="23F21382"/>
    <w:rsid w:val="23FC3FAF"/>
    <w:rsid w:val="23FE7D27"/>
    <w:rsid w:val="23FF584D"/>
    <w:rsid w:val="240210CD"/>
    <w:rsid w:val="240F73B9"/>
    <w:rsid w:val="241C1F5B"/>
    <w:rsid w:val="24243992"/>
    <w:rsid w:val="24247062"/>
    <w:rsid w:val="24280900"/>
    <w:rsid w:val="242F7EE0"/>
    <w:rsid w:val="24311EAA"/>
    <w:rsid w:val="2435301D"/>
    <w:rsid w:val="243E0123"/>
    <w:rsid w:val="244020ED"/>
    <w:rsid w:val="24507E57"/>
    <w:rsid w:val="245A2A83"/>
    <w:rsid w:val="246062EC"/>
    <w:rsid w:val="24637B8A"/>
    <w:rsid w:val="24697CD3"/>
    <w:rsid w:val="247C0C4C"/>
    <w:rsid w:val="24973CD7"/>
    <w:rsid w:val="24975A86"/>
    <w:rsid w:val="249935AC"/>
    <w:rsid w:val="249B7324"/>
    <w:rsid w:val="24A26904"/>
    <w:rsid w:val="24A858DE"/>
    <w:rsid w:val="24B623B0"/>
    <w:rsid w:val="24BD6D6A"/>
    <w:rsid w:val="24BE1264"/>
    <w:rsid w:val="24BF09F7"/>
    <w:rsid w:val="24CA5E5B"/>
    <w:rsid w:val="24CC572F"/>
    <w:rsid w:val="24CF3471"/>
    <w:rsid w:val="24CF521F"/>
    <w:rsid w:val="24CF57D5"/>
    <w:rsid w:val="24DE5462"/>
    <w:rsid w:val="24E862E1"/>
    <w:rsid w:val="24F133E8"/>
    <w:rsid w:val="24F627AC"/>
    <w:rsid w:val="24FA6740"/>
    <w:rsid w:val="2504136D"/>
    <w:rsid w:val="250D7AF6"/>
    <w:rsid w:val="250F1AC0"/>
    <w:rsid w:val="251010F8"/>
    <w:rsid w:val="251315B0"/>
    <w:rsid w:val="251946ED"/>
    <w:rsid w:val="2521062A"/>
    <w:rsid w:val="2524184E"/>
    <w:rsid w:val="252437BD"/>
    <w:rsid w:val="252512E3"/>
    <w:rsid w:val="252D53FE"/>
    <w:rsid w:val="25381017"/>
    <w:rsid w:val="253A156C"/>
    <w:rsid w:val="253B0B07"/>
    <w:rsid w:val="254E25E8"/>
    <w:rsid w:val="25583467"/>
    <w:rsid w:val="255F47F5"/>
    <w:rsid w:val="256E67E6"/>
    <w:rsid w:val="25714529"/>
    <w:rsid w:val="257858B7"/>
    <w:rsid w:val="258129BE"/>
    <w:rsid w:val="258E50DA"/>
    <w:rsid w:val="25981AB5"/>
    <w:rsid w:val="25A0096A"/>
    <w:rsid w:val="25B757A3"/>
    <w:rsid w:val="25BE184F"/>
    <w:rsid w:val="25D16D75"/>
    <w:rsid w:val="25D518D4"/>
    <w:rsid w:val="25D7082F"/>
    <w:rsid w:val="25DC7BF4"/>
    <w:rsid w:val="25DF76E4"/>
    <w:rsid w:val="25E35426"/>
    <w:rsid w:val="25EC2D81"/>
    <w:rsid w:val="25F124E5"/>
    <w:rsid w:val="25F50CB6"/>
    <w:rsid w:val="25F82554"/>
    <w:rsid w:val="25FA62CC"/>
    <w:rsid w:val="25FC17E0"/>
    <w:rsid w:val="25FD5DBC"/>
    <w:rsid w:val="26013AFE"/>
    <w:rsid w:val="2604539D"/>
    <w:rsid w:val="260809E9"/>
    <w:rsid w:val="26086C3B"/>
    <w:rsid w:val="261750D0"/>
    <w:rsid w:val="261A071C"/>
    <w:rsid w:val="26215F4F"/>
    <w:rsid w:val="2637307C"/>
    <w:rsid w:val="26395046"/>
    <w:rsid w:val="2639784C"/>
    <w:rsid w:val="263C68E5"/>
    <w:rsid w:val="263F59E4"/>
    <w:rsid w:val="264F6618"/>
    <w:rsid w:val="2652435A"/>
    <w:rsid w:val="265C6F87"/>
    <w:rsid w:val="265E2CFF"/>
    <w:rsid w:val="26606A77"/>
    <w:rsid w:val="26663961"/>
    <w:rsid w:val="266703D2"/>
    <w:rsid w:val="26681846"/>
    <w:rsid w:val="26696EB4"/>
    <w:rsid w:val="26747E2C"/>
    <w:rsid w:val="26754238"/>
    <w:rsid w:val="26760048"/>
    <w:rsid w:val="26793695"/>
    <w:rsid w:val="267C13D7"/>
    <w:rsid w:val="2685028B"/>
    <w:rsid w:val="26864B01"/>
    <w:rsid w:val="26A23F18"/>
    <w:rsid w:val="26B60702"/>
    <w:rsid w:val="26B97F35"/>
    <w:rsid w:val="26C03072"/>
    <w:rsid w:val="26C2317A"/>
    <w:rsid w:val="26C708A4"/>
    <w:rsid w:val="26CC7C68"/>
    <w:rsid w:val="26CF59AB"/>
    <w:rsid w:val="26D44D6F"/>
    <w:rsid w:val="26D7485F"/>
    <w:rsid w:val="26DA7E66"/>
    <w:rsid w:val="26E50D2A"/>
    <w:rsid w:val="26EA4592"/>
    <w:rsid w:val="26EC030B"/>
    <w:rsid w:val="26ED5E31"/>
    <w:rsid w:val="27052670"/>
    <w:rsid w:val="27076EF2"/>
    <w:rsid w:val="2717387C"/>
    <w:rsid w:val="271C43E7"/>
    <w:rsid w:val="27201D62"/>
    <w:rsid w:val="272B32E8"/>
    <w:rsid w:val="272E26D1"/>
    <w:rsid w:val="272F72C7"/>
    <w:rsid w:val="27343A60"/>
    <w:rsid w:val="273D46C2"/>
    <w:rsid w:val="27441EF5"/>
    <w:rsid w:val="274517C9"/>
    <w:rsid w:val="27475541"/>
    <w:rsid w:val="274A5031"/>
    <w:rsid w:val="275A1718"/>
    <w:rsid w:val="275B2D9A"/>
    <w:rsid w:val="275D3960"/>
    <w:rsid w:val="275E288B"/>
    <w:rsid w:val="27632535"/>
    <w:rsid w:val="276809BF"/>
    <w:rsid w:val="27693709"/>
    <w:rsid w:val="276E51C4"/>
    <w:rsid w:val="277057A2"/>
    <w:rsid w:val="277976C4"/>
    <w:rsid w:val="277A5916"/>
    <w:rsid w:val="27912C60"/>
    <w:rsid w:val="279F537D"/>
    <w:rsid w:val="27A72E58"/>
    <w:rsid w:val="27B32BD6"/>
    <w:rsid w:val="27B70919"/>
    <w:rsid w:val="27B8643F"/>
    <w:rsid w:val="27BD3A55"/>
    <w:rsid w:val="27BD5803"/>
    <w:rsid w:val="27BF77CD"/>
    <w:rsid w:val="27C2106B"/>
    <w:rsid w:val="27D019DA"/>
    <w:rsid w:val="27D651C1"/>
    <w:rsid w:val="27DA0163"/>
    <w:rsid w:val="27DA4607"/>
    <w:rsid w:val="27DF39CB"/>
    <w:rsid w:val="27E56B08"/>
    <w:rsid w:val="27E70AD2"/>
    <w:rsid w:val="27EE3C0E"/>
    <w:rsid w:val="27F12FDD"/>
    <w:rsid w:val="27FE6FDD"/>
    <w:rsid w:val="2802590C"/>
    <w:rsid w:val="280276BA"/>
    <w:rsid w:val="280478D6"/>
    <w:rsid w:val="28081174"/>
    <w:rsid w:val="280D38D5"/>
    <w:rsid w:val="281318C7"/>
    <w:rsid w:val="28137B19"/>
    <w:rsid w:val="2818512F"/>
    <w:rsid w:val="281B3ACD"/>
    <w:rsid w:val="28237D5C"/>
    <w:rsid w:val="28277120"/>
    <w:rsid w:val="282D2989"/>
    <w:rsid w:val="28422ADC"/>
    <w:rsid w:val="284303FE"/>
    <w:rsid w:val="28497097"/>
    <w:rsid w:val="28553C8E"/>
    <w:rsid w:val="285E2096"/>
    <w:rsid w:val="285E6FE6"/>
    <w:rsid w:val="286670F3"/>
    <w:rsid w:val="28773C04"/>
    <w:rsid w:val="28810F26"/>
    <w:rsid w:val="288A7DDB"/>
    <w:rsid w:val="288D3427"/>
    <w:rsid w:val="288F52BF"/>
    <w:rsid w:val="2895052E"/>
    <w:rsid w:val="289D6B04"/>
    <w:rsid w:val="28AE2678"/>
    <w:rsid w:val="28C17575"/>
    <w:rsid w:val="28C332ED"/>
    <w:rsid w:val="28C606E7"/>
    <w:rsid w:val="28D42E04"/>
    <w:rsid w:val="28D72813"/>
    <w:rsid w:val="28E60D8A"/>
    <w:rsid w:val="28E868B0"/>
    <w:rsid w:val="28F2772E"/>
    <w:rsid w:val="28F96D0F"/>
    <w:rsid w:val="290E1025"/>
    <w:rsid w:val="29121B7F"/>
    <w:rsid w:val="291B0A33"/>
    <w:rsid w:val="291D0C4F"/>
    <w:rsid w:val="29206EB8"/>
    <w:rsid w:val="29230BFD"/>
    <w:rsid w:val="29253660"/>
    <w:rsid w:val="29277B98"/>
    <w:rsid w:val="292C2C40"/>
    <w:rsid w:val="293146FB"/>
    <w:rsid w:val="29427390"/>
    <w:rsid w:val="29451F54"/>
    <w:rsid w:val="294837F2"/>
    <w:rsid w:val="294C6E3F"/>
    <w:rsid w:val="29510776"/>
    <w:rsid w:val="2953641F"/>
    <w:rsid w:val="29595666"/>
    <w:rsid w:val="295B1778"/>
    <w:rsid w:val="29637BD0"/>
    <w:rsid w:val="2964062C"/>
    <w:rsid w:val="296648B8"/>
    <w:rsid w:val="296C5BFC"/>
    <w:rsid w:val="297168A5"/>
    <w:rsid w:val="29736AC1"/>
    <w:rsid w:val="29785E86"/>
    <w:rsid w:val="298011DE"/>
    <w:rsid w:val="29802F8C"/>
    <w:rsid w:val="2987431B"/>
    <w:rsid w:val="29874881"/>
    <w:rsid w:val="29891E41"/>
    <w:rsid w:val="298C60EC"/>
    <w:rsid w:val="29975528"/>
    <w:rsid w:val="299A404E"/>
    <w:rsid w:val="29A11E99"/>
    <w:rsid w:val="29A44ECD"/>
    <w:rsid w:val="29A900EC"/>
    <w:rsid w:val="29B36EBE"/>
    <w:rsid w:val="29B6075C"/>
    <w:rsid w:val="29BA68DC"/>
    <w:rsid w:val="29BF1D06"/>
    <w:rsid w:val="29C54E43"/>
    <w:rsid w:val="29CE3CF8"/>
    <w:rsid w:val="29DD218D"/>
    <w:rsid w:val="29E057D9"/>
    <w:rsid w:val="29E325E0"/>
    <w:rsid w:val="29E67293"/>
    <w:rsid w:val="29E928DF"/>
    <w:rsid w:val="29EE6148"/>
    <w:rsid w:val="29F11140"/>
    <w:rsid w:val="29F85218"/>
    <w:rsid w:val="29FE0C48"/>
    <w:rsid w:val="2A047719"/>
    <w:rsid w:val="2A0B4F4C"/>
    <w:rsid w:val="2A0C7C37"/>
    <w:rsid w:val="2A111E36"/>
    <w:rsid w:val="2A181417"/>
    <w:rsid w:val="2A1A0CEB"/>
    <w:rsid w:val="2A211099"/>
    <w:rsid w:val="2A336250"/>
    <w:rsid w:val="2A353D77"/>
    <w:rsid w:val="2A4168D8"/>
    <w:rsid w:val="2A426494"/>
    <w:rsid w:val="2A452503"/>
    <w:rsid w:val="2A461AE0"/>
    <w:rsid w:val="2A473AAA"/>
    <w:rsid w:val="2A4D10C0"/>
    <w:rsid w:val="2A5623E1"/>
    <w:rsid w:val="2A5C57A7"/>
    <w:rsid w:val="2A633245"/>
    <w:rsid w:val="2A64640A"/>
    <w:rsid w:val="2A685EFA"/>
    <w:rsid w:val="2A6B1546"/>
    <w:rsid w:val="2A6B59EA"/>
    <w:rsid w:val="2A701253"/>
    <w:rsid w:val="2A7233F1"/>
    <w:rsid w:val="2A81520E"/>
    <w:rsid w:val="2A88659C"/>
    <w:rsid w:val="2A8B1BE9"/>
    <w:rsid w:val="2A8B7E3A"/>
    <w:rsid w:val="2A9F7442"/>
    <w:rsid w:val="2AA333D6"/>
    <w:rsid w:val="2AA809EC"/>
    <w:rsid w:val="2AAF0662"/>
    <w:rsid w:val="2AAF3B29"/>
    <w:rsid w:val="2AB27175"/>
    <w:rsid w:val="2AB70C30"/>
    <w:rsid w:val="2AB90504"/>
    <w:rsid w:val="2AC46EA9"/>
    <w:rsid w:val="2AC84BEB"/>
    <w:rsid w:val="2ACA0963"/>
    <w:rsid w:val="2AD03A9F"/>
    <w:rsid w:val="2AD06366"/>
    <w:rsid w:val="2AD27817"/>
    <w:rsid w:val="2ADC0696"/>
    <w:rsid w:val="2ADF3CE2"/>
    <w:rsid w:val="2AF754D0"/>
    <w:rsid w:val="2B2823EB"/>
    <w:rsid w:val="2B404781"/>
    <w:rsid w:val="2B473D61"/>
    <w:rsid w:val="2B476BE1"/>
    <w:rsid w:val="2B481888"/>
    <w:rsid w:val="2B4F70BA"/>
    <w:rsid w:val="2B560448"/>
    <w:rsid w:val="2B5605C8"/>
    <w:rsid w:val="2B563FA5"/>
    <w:rsid w:val="2B577D1D"/>
    <w:rsid w:val="2B5B780D"/>
    <w:rsid w:val="2B5D3585"/>
    <w:rsid w:val="2B6366AD"/>
    <w:rsid w:val="2B674404"/>
    <w:rsid w:val="2B707821"/>
    <w:rsid w:val="2B717030"/>
    <w:rsid w:val="2B7A34A4"/>
    <w:rsid w:val="2B7D59D5"/>
    <w:rsid w:val="2B7F6702"/>
    <w:rsid w:val="2B8054C5"/>
    <w:rsid w:val="2B836D64"/>
    <w:rsid w:val="2B8C3E6A"/>
    <w:rsid w:val="2B8C79C6"/>
    <w:rsid w:val="2B920D55"/>
    <w:rsid w:val="2BA936A8"/>
    <w:rsid w:val="2BA967CA"/>
    <w:rsid w:val="2BAE17CE"/>
    <w:rsid w:val="2BB67139"/>
    <w:rsid w:val="2BC058C2"/>
    <w:rsid w:val="2BCB017A"/>
    <w:rsid w:val="2BCC24B9"/>
    <w:rsid w:val="2BD407FA"/>
    <w:rsid w:val="2BDC620F"/>
    <w:rsid w:val="2BDF21EC"/>
    <w:rsid w:val="2BE617CC"/>
    <w:rsid w:val="2BE772F2"/>
    <w:rsid w:val="2BF57C61"/>
    <w:rsid w:val="2BF8505C"/>
    <w:rsid w:val="2C0439FD"/>
    <w:rsid w:val="2C1005F7"/>
    <w:rsid w:val="2C1F4CDE"/>
    <w:rsid w:val="2C275941"/>
    <w:rsid w:val="2C315A5A"/>
    <w:rsid w:val="2C3342E6"/>
    <w:rsid w:val="2C387E60"/>
    <w:rsid w:val="2C471B3F"/>
    <w:rsid w:val="2C4B1C25"/>
    <w:rsid w:val="2C4D184B"/>
    <w:rsid w:val="2C500C98"/>
    <w:rsid w:val="2C5524AE"/>
    <w:rsid w:val="2C571B13"/>
    <w:rsid w:val="2C5F50DB"/>
    <w:rsid w:val="2C6A1310"/>
    <w:rsid w:val="2C6B7F24"/>
    <w:rsid w:val="2C704A6C"/>
    <w:rsid w:val="2C7A4CFC"/>
    <w:rsid w:val="2C923702"/>
    <w:rsid w:val="2C9A4365"/>
    <w:rsid w:val="2CA23219"/>
    <w:rsid w:val="2CA818B7"/>
    <w:rsid w:val="2CAB47C4"/>
    <w:rsid w:val="2CB73169"/>
    <w:rsid w:val="2CBF5503"/>
    <w:rsid w:val="2CC118F2"/>
    <w:rsid w:val="2CC55886"/>
    <w:rsid w:val="2CC80ED2"/>
    <w:rsid w:val="2CCD64E8"/>
    <w:rsid w:val="2CD258AD"/>
    <w:rsid w:val="2CD37F62"/>
    <w:rsid w:val="2CD645E9"/>
    <w:rsid w:val="2CD94E8D"/>
    <w:rsid w:val="2CDA6E57"/>
    <w:rsid w:val="2CDC5764"/>
    <w:rsid w:val="2CE13D42"/>
    <w:rsid w:val="2CE455E0"/>
    <w:rsid w:val="2CE60489"/>
    <w:rsid w:val="2CFB1453"/>
    <w:rsid w:val="2D016192"/>
    <w:rsid w:val="2D0B45E4"/>
    <w:rsid w:val="2D12039F"/>
    <w:rsid w:val="2D2B320F"/>
    <w:rsid w:val="2D2D342B"/>
    <w:rsid w:val="2D2F48D9"/>
    <w:rsid w:val="2D320A41"/>
    <w:rsid w:val="2D321165"/>
    <w:rsid w:val="2D3447B9"/>
    <w:rsid w:val="2D400437"/>
    <w:rsid w:val="2D450775"/>
    <w:rsid w:val="2D481CC2"/>
    <w:rsid w:val="2D4B2E42"/>
    <w:rsid w:val="2D4B5A24"/>
    <w:rsid w:val="2D502C75"/>
    <w:rsid w:val="2D510EC7"/>
    <w:rsid w:val="2D5269EE"/>
    <w:rsid w:val="2D57713A"/>
    <w:rsid w:val="2D5B3AF4"/>
    <w:rsid w:val="2D62557A"/>
    <w:rsid w:val="2D6329A9"/>
    <w:rsid w:val="2D684463"/>
    <w:rsid w:val="2D7626DC"/>
    <w:rsid w:val="2D7D7F0E"/>
    <w:rsid w:val="2D863EDD"/>
    <w:rsid w:val="2D8F379E"/>
    <w:rsid w:val="2D916EBA"/>
    <w:rsid w:val="2D9E56F5"/>
    <w:rsid w:val="2DA03BFD"/>
    <w:rsid w:val="2DAD1E76"/>
    <w:rsid w:val="2DC45B3D"/>
    <w:rsid w:val="2DC53663"/>
    <w:rsid w:val="2DCE2518"/>
    <w:rsid w:val="2DCF6290"/>
    <w:rsid w:val="2DDD09AD"/>
    <w:rsid w:val="2DE24215"/>
    <w:rsid w:val="2DE5522B"/>
    <w:rsid w:val="2DE7182C"/>
    <w:rsid w:val="2DE81100"/>
    <w:rsid w:val="2DEA131C"/>
    <w:rsid w:val="2DEB0BAD"/>
    <w:rsid w:val="2DEB7395"/>
    <w:rsid w:val="2DEF06E0"/>
    <w:rsid w:val="2DF67CC1"/>
    <w:rsid w:val="2E0221C2"/>
    <w:rsid w:val="2E057E32"/>
    <w:rsid w:val="2E062749"/>
    <w:rsid w:val="2E0917A2"/>
    <w:rsid w:val="2E163EBF"/>
    <w:rsid w:val="2E195510"/>
    <w:rsid w:val="2E1D6FFC"/>
    <w:rsid w:val="2E277E7A"/>
    <w:rsid w:val="2E295624"/>
    <w:rsid w:val="2E2E42B4"/>
    <w:rsid w:val="2E3305CD"/>
    <w:rsid w:val="2E422F06"/>
    <w:rsid w:val="2E444588"/>
    <w:rsid w:val="2E450300"/>
    <w:rsid w:val="2E494294"/>
    <w:rsid w:val="2E4C78E1"/>
    <w:rsid w:val="2E56250D"/>
    <w:rsid w:val="2E6426FB"/>
    <w:rsid w:val="2E667F96"/>
    <w:rsid w:val="2E6C345B"/>
    <w:rsid w:val="2E741572"/>
    <w:rsid w:val="2E752512"/>
    <w:rsid w:val="2E756E38"/>
    <w:rsid w:val="2E7A61FC"/>
    <w:rsid w:val="2E8226AB"/>
    <w:rsid w:val="2E823302"/>
    <w:rsid w:val="2E89367E"/>
    <w:rsid w:val="2E8959F8"/>
    <w:rsid w:val="2E8B665B"/>
    <w:rsid w:val="2E921798"/>
    <w:rsid w:val="2E9D1EEA"/>
    <w:rsid w:val="2EA1728F"/>
    <w:rsid w:val="2EA339A5"/>
    <w:rsid w:val="2EAD4823"/>
    <w:rsid w:val="2EB07E70"/>
    <w:rsid w:val="2EB4113A"/>
    <w:rsid w:val="2EB93809"/>
    <w:rsid w:val="2EBC05C2"/>
    <w:rsid w:val="2EBC4A66"/>
    <w:rsid w:val="2EC456C9"/>
    <w:rsid w:val="2EC61441"/>
    <w:rsid w:val="2EC87F81"/>
    <w:rsid w:val="2ED31DB0"/>
    <w:rsid w:val="2EDC553B"/>
    <w:rsid w:val="2EE61AE3"/>
    <w:rsid w:val="2EE93382"/>
    <w:rsid w:val="2EEB0EA8"/>
    <w:rsid w:val="2EF835C5"/>
    <w:rsid w:val="2EFD0590"/>
    <w:rsid w:val="2EFF4953"/>
    <w:rsid w:val="2F0A3A24"/>
    <w:rsid w:val="2F10090E"/>
    <w:rsid w:val="2F1F6DA3"/>
    <w:rsid w:val="2F25085E"/>
    <w:rsid w:val="2F2E2083"/>
    <w:rsid w:val="2F31792F"/>
    <w:rsid w:val="2F3A598B"/>
    <w:rsid w:val="2F3C1703"/>
    <w:rsid w:val="2F45680A"/>
    <w:rsid w:val="2F5C7FF7"/>
    <w:rsid w:val="2F633134"/>
    <w:rsid w:val="2F7658D0"/>
    <w:rsid w:val="2F77273B"/>
    <w:rsid w:val="2F79479C"/>
    <w:rsid w:val="2F8135BA"/>
    <w:rsid w:val="2F84322F"/>
    <w:rsid w:val="2F9037FD"/>
    <w:rsid w:val="2F923A19"/>
    <w:rsid w:val="2F971030"/>
    <w:rsid w:val="2F972DDE"/>
    <w:rsid w:val="2F9D602E"/>
    <w:rsid w:val="2FA15A0A"/>
    <w:rsid w:val="2FA23C5C"/>
    <w:rsid w:val="2FAA0D63"/>
    <w:rsid w:val="2FAD0853"/>
    <w:rsid w:val="2FC31E25"/>
    <w:rsid w:val="2FC5653B"/>
    <w:rsid w:val="2FC5794B"/>
    <w:rsid w:val="2FC75471"/>
    <w:rsid w:val="2FCC0CD9"/>
    <w:rsid w:val="2FCD67FF"/>
    <w:rsid w:val="2FD065E6"/>
    <w:rsid w:val="2FD96870"/>
    <w:rsid w:val="2FDB0F1C"/>
    <w:rsid w:val="2FDC1914"/>
    <w:rsid w:val="2FDC6A42"/>
    <w:rsid w:val="2FDD5232"/>
    <w:rsid w:val="2FDE6C5E"/>
    <w:rsid w:val="2FEA5603"/>
    <w:rsid w:val="2FEE68D7"/>
    <w:rsid w:val="2FEF00A2"/>
    <w:rsid w:val="2FF81ACE"/>
    <w:rsid w:val="300042A8"/>
    <w:rsid w:val="30085A89"/>
    <w:rsid w:val="300F6E18"/>
    <w:rsid w:val="301D32E3"/>
    <w:rsid w:val="301F34FF"/>
    <w:rsid w:val="3021216E"/>
    <w:rsid w:val="3022068C"/>
    <w:rsid w:val="302C1778"/>
    <w:rsid w:val="302C79CA"/>
    <w:rsid w:val="3034062C"/>
    <w:rsid w:val="3038636F"/>
    <w:rsid w:val="303A20E7"/>
    <w:rsid w:val="304E5B92"/>
    <w:rsid w:val="3050190A"/>
    <w:rsid w:val="30580BC9"/>
    <w:rsid w:val="305A62E5"/>
    <w:rsid w:val="306C6018"/>
    <w:rsid w:val="306E3B3E"/>
    <w:rsid w:val="307216AA"/>
    <w:rsid w:val="307750E9"/>
    <w:rsid w:val="308031DA"/>
    <w:rsid w:val="30894E1C"/>
    <w:rsid w:val="309015AF"/>
    <w:rsid w:val="309907CF"/>
    <w:rsid w:val="309D08C8"/>
    <w:rsid w:val="30A12166"/>
    <w:rsid w:val="30A43A04"/>
    <w:rsid w:val="30AC63F7"/>
    <w:rsid w:val="30B04157"/>
    <w:rsid w:val="30B22DCE"/>
    <w:rsid w:val="30B30794"/>
    <w:rsid w:val="30C906A8"/>
    <w:rsid w:val="30C96FC7"/>
    <w:rsid w:val="30D37E45"/>
    <w:rsid w:val="30D626B7"/>
    <w:rsid w:val="30D8545C"/>
    <w:rsid w:val="30DB4D10"/>
    <w:rsid w:val="30DD14B5"/>
    <w:rsid w:val="30E107B4"/>
    <w:rsid w:val="30E23BD7"/>
    <w:rsid w:val="30E6486A"/>
    <w:rsid w:val="30F1651D"/>
    <w:rsid w:val="30F2476F"/>
    <w:rsid w:val="30FA7AC8"/>
    <w:rsid w:val="30FC55EE"/>
    <w:rsid w:val="3102072B"/>
    <w:rsid w:val="31085D41"/>
    <w:rsid w:val="311741D6"/>
    <w:rsid w:val="311961A0"/>
    <w:rsid w:val="311B7D97"/>
    <w:rsid w:val="311E2ED7"/>
    <w:rsid w:val="311F752F"/>
    <w:rsid w:val="31215839"/>
    <w:rsid w:val="31244B45"/>
    <w:rsid w:val="312608BD"/>
    <w:rsid w:val="312863E3"/>
    <w:rsid w:val="31293F09"/>
    <w:rsid w:val="312D39F9"/>
    <w:rsid w:val="312D57A8"/>
    <w:rsid w:val="31342FDA"/>
    <w:rsid w:val="313C1E8F"/>
    <w:rsid w:val="314174A5"/>
    <w:rsid w:val="3143321D"/>
    <w:rsid w:val="31466869"/>
    <w:rsid w:val="31490108"/>
    <w:rsid w:val="315619EE"/>
    <w:rsid w:val="315C449C"/>
    <w:rsid w:val="316118F5"/>
    <w:rsid w:val="31647C95"/>
    <w:rsid w:val="31692558"/>
    <w:rsid w:val="316B2774"/>
    <w:rsid w:val="316B62D0"/>
    <w:rsid w:val="318F1FBE"/>
    <w:rsid w:val="319121DA"/>
    <w:rsid w:val="31921AAF"/>
    <w:rsid w:val="31945827"/>
    <w:rsid w:val="31975732"/>
    <w:rsid w:val="31B45EC9"/>
    <w:rsid w:val="31B55E32"/>
    <w:rsid w:val="31B82709"/>
    <w:rsid w:val="31BE0AF5"/>
    <w:rsid w:val="31BE4652"/>
    <w:rsid w:val="31C12394"/>
    <w:rsid w:val="31C72460"/>
    <w:rsid w:val="31CE76F2"/>
    <w:rsid w:val="31D05482"/>
    <w:rsid w:val="31D9592F"/>
    <w:rsid w:val="31F14A27"/>
    <w:rsid w:val="321921D0"/>
    <w:rsid w:val="32222E32"/>
    <w:rsid w:val="322748ED"/>
    <w:rsid w:val="322D17D7"/>
    <w:rsid w:val="322E055F"/>
    <w:rsid w:val="32327209"/>
    <w:rsid w:val="32342B66"/>
    <w:rsid w:val="3239017C"/>
    <w:rsid w:val="32400B34"/>
    <w:rsid w:val="324F79A0"/>
    <w:rsid w:val="325A6A70"/>
    <w:rsid w:val="325B00F2"/>
    <w:rsid w:val="325E7BE3"/>
    <w:rsid w:val="32641AEE"/>
    <w:rsid w:val="326F09FB"/>
    <w:rsid w:val="327D62BB"/>
    <w:rsid w:val="32803FFD"/>
    <w:rsid w:val="32892EB1"/>
    <w:rsid w:val="328A6C2A"/>
    <w:rsid w:val="328F0B52"/>
    <w:rsid w:val="32957AA8"/>
    <w:rsid w:val="32987DE6"/>
    <w:rsid w:val="329E6876"/>
    <w:rsid w:val="32A47CEB"/>
    <w:rsid w:val="32AB107A"/>
    <w:rsid w:val="32AE2918"/>
    <w:rsid w:val="32AF043E"/>
    <w:rsid w:val="32B55A55"/>
    <w:rsid w:val="32CB5278"/>
    <w:rsid w:val="32DD31FD"/>
    <w:rsid w:val="32E7614F"/>
    <w:rsid w:val="32F12805"/>
    <w:rsid w:val="32F347CF"/>
    <w:rsid w:val="32FA206A"/>
    <w:rsid w:val="32FB3683"/>
    <w:rsid w:val="32FF15C5"/>
    <w:rsid w:val="33030335"/>
    <w:rsid w:val="330C763F"/>
    <w:rsid w:val="33136C1F"/>
    <w:rsid w:val="33170B2E"/>
    <w:rsid w:val="33174961"/>
    <w:rsid w:val="33240E2C"/>
    <w:rsid w:val="3328091C"/>
    <w:rsid w:val="332F5278"/>
    <w:rsid w:val="333015F2"/>
    <w:rsid w:val="33331E0D"/>
    <w:rsid w:val="333472C1"/>
    <w:rsid w:val="3344502A"/>
    <w:rsid w:val="334517F7"/>
    <w:rsid w:val="334B6320"/>
    <w:rsid w:val="334B63B9"/>
    <w:rsid w:val="33586C5A"/>
    <w:rsid w:val="33610962"/>
    <w:rsid w:val="33623DED"/>
    <w:rsid w:val="33791178"/>
    <w:rsid w:val="3384586B"/>
    <w:rsid w:val="33851417"/>
    <w:rsid w:val="338A5133"/>
    <w:rsid w:val="339715FE"/>
    <w:rsid w:val="33A45AC9"/>
    <w:rsid w:val="33A51F6D"/>
    <w:rsid w:val="33B51A84"/>
    <w:rsid w:val="33B57CD6"/>
    <w:rsid w:val="33BF2903"/>
    <w:rsid w:val="33C67AB6"/>
    <w:rsid w:val="33C86C5C"/>
    <w:rsid w:val="33CD3272"/>
    <w:rsid w:val="33CF0D98"/>
    <w:rsid w:val="33D35F96"/>
    <w:rsid w:val="33D740F0"/>
    <w:rsid w:val="33D934D4"/>
    <w:rsid w:val="33E54CB2"/>
    <w:rsid w:val="33E81E5A"/>
    <w:rsid w:val="33E8545A"/>
    <w:rsid w:val="33EB36F8"/>
    <w:rsid w:val="33F24A86"/>
    <w:rsid w:val="33FE2F6A"/>
    <w:rsid w:val="340439BA"/>
    <w:rsid w:val="340D366E"/>
    <w:rsid w:val="340E07E5"/>
    <w:rsid w:val="34235BF7"/>
    <w:rsid w:val="34254E5C"/>
    <w:rsid w:val="342D5ABF"/>
    <w:rsid w:val="342F5CDB"/>
    <w:rsid w:val="3431735D"/>
    <w:rsid w:val="34346E4D"/>
    <w:rsid w:val="34394463"/>
    <w:rsid w:val="343A03A1"/>
    <w:rsid w:val="343E7CCC"/>
    <w:rsid w:val="34577491"/>
    <w:rsid w:val="34607C42"/>
    <w:rsid w:val="346239BA"/>
    <w:rsid w:val="3466427E"/>
    <w:rsid w:val="34713BFD"/>
    <w:rsid w:val="347656B7"/>
    <w:rsid w:val="347F27BE"/>
    <w:rsid w:val="348317B1"/>
    <w:rsid w:val="34906EA6"/>
    <w:rsid w:val="34930017"/>
    <w:rsid w:val="34931DC5"/>
    <w:rsid w:val="349F4C0E"/>
    <w:rsid w:val="34A00986"/>
    <w:rsid w:val="34A02734"/>
    <w:rsid w:val="34A07079"/>
    <w:rsid w:val="34B166F0"/>
    <w:rsid w:val="34B54432"/>
    <w:rsid w:val="34CA77B1"/>
    <w:rsid w:val="34DC02C7"/>
    <w:rsid w:val="34E13CEE"/>
    <w:rsid w:val="34E15227"/>
    <w:rsid w:val="34E22D4D"/>
    <w:rsid w:val="34EC2A15"/>
    <w:rsid w:val="34F14D3E"/>
    <w:rsid w:val="34F565DC"/>
    <w:rsid w:val="350B460F"/>
    <w:rsid w:val="35146A4B"/>
    <w:rsid w:val="35154ED0"/>
    <w:rsid w:val="351C625F"/>
    <w:rsid w:val="351D3D85"/>
    <w:rsid w:val="351F3659"/>
    <w:rsid w:val="35213875"/>
    <w:rsid w:val="35264036"/>
    <w:rsid w:val="35285E68"/>
    <w:rsid w:val="353070C1"/>
    <w:rsid w:val="353347FB"/>
    <w:rsid w:val="3535470A"/>
    <w:rsid w:val="35431A3E"/>
    <w:rsid w:val="35496928"/>
    <w:rsid w:val="3550415A"/>
    <w:rsid w:val="35584DBD"/>
    <w:rsid w:val="35661912"/>
    <w:rsid w:val="356E638F"/>
    <w:rsid w:val="357065AB"/>
    <w:rsid w:val="35777939"/>
    <w:rsid w:val="357C4F4F"/>
    <w:rsid w:val="357D65D2"/>
    <w:rsid w:val="358B0CEF"/>
    <w:rsid w:val="358C5FA8"/>
    <w:rsid w:val="35906305"/>
    <w:rsid w:val="359E6C74"/>
    <w:rsid w:val="35A324DC"/>
    <w:rsid w:val="35AB313F"/>
    <w:rsid w:val="35C15DF1"/>
    <w:rsid w:val="35C6441D"/>
    <w:rsid w:val="35D54660"/>
    <w:rsid w:val="35D72186"/>
    <w:rsid w:val="35DF4A23"/>
    <w:rsid w:val="35F1149A"/>
    <w:rsid w:val="36074A7F"/>
    <w:rsid w:val="360B0081"/>
    <w:rsid w:val="361231BE"/>
    <w:rsid w:val="361433DA"/>
    <w:rsid w:val="36176A26"/>
    <w:rsid w:val="362C24D2"/>
    <w:rsid w:val="362F3D70"/>
    <w:rsid w:val="36394BEF"/>
    <w:rsid w:val="36470DC1"/>
    <w:rsid w:val="364A0BAA"/>
    <w:rsid w:val="365B6913"/>
    <w:rsid w:val="365D08DD"/>
    <w:rsid w:val="36610C19"/>
    <w:rsid w:val="36653C36"/>
    <w:rsid w:val="36721EAF"/>
    <w:rsid w:val="36741BED"/>
    <w:rsid w:val="367479D5"/>
    <w:rsid w:val="367D0F7F"/>
    <w:rsid w:val="3684230E"/>
    <w:rsid w:val="36853990"/>
    <w:rsid w:val="368A544A"/>
    <w:rsid w:val="36923549"/>
    <w:rsid w:val="36A20866"/>
    <w:rsid w:val="36A75FFC"/>
    <w:rsid w:val="36AA633A"/>
    <w:rsid w:val="36B75FBF"/>
    <w:rsid w:val="36B97711"/>
    <w:rsid w:val="36BA5D2F"/>
    <w:rsid w:val="36BD0C45"/>
    <w:rsid w:val="36C070BE"/>
    <w:rsid w:val="36D44917"/>
    <w:rsid w:val="36D85446"/>
    <w:rsid w:val="36DC6F0E"/>
    <w:rsid w:val="36E2300D"/>
    <w:rsid w:val="36E678F9"/>
    <w:rsid w:val="36EC3A0F"/>
    <w:rsid w:val="36F01751"/>
    <w:rsid w:val="36FA437E"/>
    <w:rsid w:val="370074BA"/>
    <w:rsid w:val="370B658B"/>
    <w:rsid w:val="371319A5"/>
    <w:rsid w:val="37164F30"/>
    <w:rsid w:val="37182A56"/>
    <w:rsid w:val="371C0798"/>
    <w:rsid w:val="37227431"/>
    <w:rsid w:val="37353608"/>
    <w:rsid w:val="37353BA8"/>
    <w:rsid w:val="37392DF9"/>
    <w:rsid w:val="374970B3"/>
    <w:rsid w:val="37503F9E"/>
    <w:rsid w:val="37531CE0"/>
    <w:rsid w:val="375515B4"/>
    <w:rsid w:val="37620175"/>
    <w:rsid w:val="376B527C"/>
    <w:rsid w:val="37704640"/>
    <w:rsid w:val="377063EE"/>
    <w:rsid w:val="3776777C"/>
    <w:rsid w:val="377E2148"/>
    <w:rsid w:val="378105FB"/>
    <w:rsid w:val="378325C5"/>
    <w:rsid w:val="37A662B4"/>
    <w:rsid w:val="37AB38CA"/>
    <w:rsid w:val="37AB78E4"/>
    <w:rsid w:val="37AC319E"/>
    <w:rsid w:val="37B87D95"/>
    <w:rsid w:val="37BE35FD"/>
    <w:rsid w:val="37D01583"/>
    <w:rsid w:val="37D050DF"/>
    <w:rsid w:val="37D526F5"/>
    <w:rsid w:val="37DA41AF"/>
    <w:rsid w:val="37DA7D0B"/>
    <w:rsid w:val="37E00298"/>
    <w:rsid w:val="37E33064"/>
    <w:rsid w:val="37E34E12"/>
    <w:rsid w:val="37E42938"/>
    <w:rsid w:val="37E62B54"/>
    <w:rsid w:val="37F94635"/>
    <w:rsid w:val="3801798E"/>
    <w:rsid w:val="38080D1C"/>
    <w:rsid w:val="3809239F"/>
    <w:rsid w:val="38194CD8"/>
    <w:rsid w:val="38341B11"/>
    <w:rsid w:val="38392C84"/>
    <w:rsid w:val="383B2EA0"/>
    <w:rsid w:val="383C09C6"/>
    <w:rsid w:val="383F594C"/>
    <w:rsid w:val="384838E8"/>
    <w:rsid w:val="386271CD"/>
    <w:rsid w:val="386817BB"/>
    <w:rsid w:val="38704C1E"/>
    <w:rsid w:val="38767A34"/>
    <w:rsid w:val="387737AC"/>
    <w:rsid w:val="387D04F2"/>
    <w:rsid w:val="387E0FDF"/>
    <w:rsid w:val="388760E5"/>
    <w:rsid w:val="38887767"/>
    <w:rsid w:val="388F0AF6"/>
    <w:rsid w:val="38A24CCD"/>
    <w:rsid w:val="38A70D09"/>
    <w:rsid w:val="38AF1198"/>
    <w:rsid w:val="38B302F9"/>
    <w:rsid w:val="38C22C79"/>
    <w:rsid w:val="38DE55D9"/>
    <w:rsid w:val="38E72BD2"/>
    <w:rsid w:val="38EE0785"/>
    <w:rsid w:val="38EF3C8A"/>
    <w:rsid w:val="38F12CD3"/>
    <w:rsid w:val="38F94775"/>
    <w:rsid w:val="39030CF9"/>
    <w:rsid w:val="39094D4C"/>
    <w:rsid w:val="3914549F"/>
    <w:rsid w:val="39205BF2"/>
    <w:rsid w:val="392971ED"/>
    <w:rsid w:val="39325651"/>
    <w:rsid w:val="39331DC9"/>
    <w:rsid w:val="393C6ED0"/>
    <w:rsid w:val="393D0552"/>
    <w:rsid w:val="393D2C48"/>
    <w:rsid w:val="3942200C"/>
    <w:rsid w:val="394E6C03"/>
    <w:rsid w:val="395B30CE"/>
    <w:rsid w:val="39633163"/>
    <w:rsid w:val="396E1053"/>
    <w:rsid w:val="39700E21"/>
    <w:rsid w:val="39706B79"/>
    <w:rsid w:val="397275DF"/>
    <w:rsid w:val="39736669"/>
    <w:rsid w:val="39755F3E"/>
    <w:rsid w:val="39785A2E"/>
    <w:rsid w:val="39787487"/>
    <w:rsid w:val="397D64A5"/>
    <w:rsid w:val="3986014B"/>
    <w:rsid w:val="39873EC3"/>
    <w:rsid w:val="398E5251"/>
    <w:rsid w:val="39902C7F"/>
    <w:rsid w:val="399F745E"/>
    <w:rsid w:val="39A14F85"/>
    <w:rsid w:val="39B747A8"/>
    <w:rsid w:val="39BA1BA2"/>
    <w:rsid w:val="39C037D8"/>
    <w:rsid w:val="39CD7B28"/>
    <w:rsid w:val="39D07618"/>
    <w:rsid w:val="39D864CC"/>
    <w:rsid w:val="39DC5FBD"/>
    <w:rsid w:val="39E60BE9"/>
    <w:rsid w:val="39E906DA"/>
    <w:rsid w:val="39ED170C"/>
    <w:rsid w:val="39ED1F78"/>
    <w:rsid w:val="39EE5CF0"/>
    <w:rsid w:val="39F552D0"/>
    <w:rsid w:val="39FA6443"/>
    <w:rsid w:val="39FE23D7"/>
    <w:rsid w:val="39FE67C9"/>
    <w:rsid w:val="39FF3A59"/>
    <w:rsid w:val="3A015A23"/>
    <w:rsid w:val="3A0472C2"/>
    <w:rsid w:val="3A0A2948"/>
    <w:rsid w:val="3A103EB8"/>
    <w:rsid w:val="3A1204A1"/>
    <w:rsid w:val="3A120BD7"/>
    <w:rsid w:val="3A15327D"/>
    <w:rsid w:val="3A173499"/>
    <w:rsid w:val="3A213B78"/>
    <w:rsid w:val="3A2B2AA0"/>
    <w:rsid w:val="3A2E433E"/>
    <w:rsid w:val="3A2F2590"/>
    <w:rsid w:val="3A3103AA"/>
    <w:rsid w:val="3A361B71"/>
    <w:rsid w:val="3A43428E"/>
    <w:rsid w:val="3A440D4A"/>
    <w:rsid w:val="3A443B62"/>
    <w:rsid w:val="3A4A1178"/>
    <w:rsid w:val="3A4D6EBA"/>
    <w:rsid w:val="3A59585F"/>
    <w:rsid w:val="3A5A5133"/>
    <w:rsid w:val="3A667F7C"/>
    <w:rsid w:val="3A683CF4"/>
    <w:rsid w:val="3A6D4E67"/>
    <w:rsid w:val="3A775CE5"/>
    <w:rsid w:val="3A804B9A"/>
    <w:rsid w:val="3A807CE3"/>
    <w:rsid w:val="3A8521B0"/>
    <w:rsid w:val="3A872856"/>
    <w:rsid w:val="3AA0523C"/>
    <w:rsid w:val="3AA60379"/>
    <w:rsid w:val="3AAA60BB"/>
    <w:rsid w:val="3AB111F7"/>
    <w:rsid w:val="3AC54CA3"/>
    <w:rsid w:val="3AC727C9"/>
    <w:rsid w:val="3ACA050B"/>
    <w:rsid w:val="3ACB1E7C"/>
    <w:rsid w:val="3AD0485E"/>
    <w:rsid w:val="3AD55840"/>
    <w:rsid w:val="3AD66EB0"/>
    <w:rsid w:val="3AD812F3"/>
    <w:rsid w:val="3AE74C19"/>
    <w:rsid w:val="3AEB29F5"/>
    <w:rsid w:val="3AF85078"/>
    <w:rsid w:val="3AFB6916"/>
    <w:rsid w:val="3B037579"/>
    <w:rsid w:val="3B043A1D"/>
    <w:rsid w:val="3B1479D8"/>
    <w:rsid w:val="3B1654FE"/>
    <w:rsid w:val="3B1C45D1"/>
    <w:rsid w:val="3B255741"/>
    <w:rsid w:val="3B2A71FC"/>
    <w:rsid w:val="3B303BC0"/>
    <w:rsid w:val="3B31058A"/>
    <w:rsid w:val="3B3763D1"/>
    <w:rsid w:val="3B497682"/>
    <w:rsid w:val="3B554279"/>
    <w:rsid w:val="3B626996"/>
    <w:rsid w:val="3B6B3A9C"/>
    <w:rsid w:val="3B6D7897"/>
    <w:rsid w:val="3B762441"/>
    <w:rsid w:val="3B7B1805"/>
    <w:rsid w:val="3B81506E"/>
    <w:rsid w:val="3B84690C"/>
    <w:rsid w:val="3B8763FC"/>
    <w:rsid w:val="3B90705F"/>
    <w:rsid w:val="3B9823B7"/>
    <w:rsid w:val="3B9A7EDD"/>
    <w:rsid w:val="3BAE1BDB"/>
    <w:rsid w:val="3BB05953"/>
    <w:rsid w:val="3BB15227"/>
    <w:rsid w:val="3BB23479"/>
    <w:rsid w:val="3BB52F69"/>
    <w:rsid w:val="3BB80364"/>
    <w:rsid w:val="3BB80F6C"/>
    <w:rsid w:val="3BBD1E1E"/>
    <w:rsid w:val="3BC35686"/>
    <w:rsid w:val="3BC46D08"/>
    <w:rsid w:val="3BC74A4B"/>
    <w:rsid w:val="3BC96A15"/>
    <w:rsid w:val="3BDD7DCA"/>
    <w:rsid w:val="3BDF3B42"/>
    <w:rsid w:val="3BE41159"/>
    <w:rsid w:val="3BE4408A"/>
    <w:rsid w:val="3BE949C1"/>
    <w:rsid w:val="3BED4510"/>
    <w:rsid w:val="3C011D0B"/>
    <w:rsid w:val="3C017F5D"/>
    <w:rsid w:val="3C1C6B44"/>
    <w:rsid w:val="3C236125"/>
    <w:rsid w:val="3C2B322B"/>
    <w:rsid w:val="3C2F6E1E"/>
    <w:rsid w:val="3C317865"/>
    <w:rsid w:val="3C4D13F4"/>
    <w:rsid w:val="3C4D31A2"/>
    <w:rsid w:val="3C4F64BA"/>
    <w:rsid w:val="3C553E04"/>
    <w:rsid w:val="3C577B7C"/>
    <w:rsid w:val="3C6D56AB"/>
    <w:rsid w:val="3C7249B6"/>
    <w:rsid w:val="3C885F88"/>
    <w:rsid w:val="3C95322C"/>
    <w:rsid w:val="3C9E39FD"/>
    <w:rsid w:val="3CB274A9"/>
    <w:rsid w:val="3CBC20D5"/>
    <w:rsid w:val="3CC52D38"/>
    <w:rsid w:val="3CC7664A"/>
    <w:rsid w:val="3CC82828"/>
    <w:rsid w:val="3CCA034E"/>
    <w:rsid w:val="3CCD1D80"/>
    <w:rsid w:val="3CD64F45"/>
    <w:rsid w:val="3CDA245A"/>
    <w:rsid w:val="3CDC4526"/>
    <w:rsid w:val="3CE15B09"/>
    <w:rsid w:val="3CEA74F3"/>
    <w:rsid w:val="3CEF6007"/>
    <w:rsid w:val="3CF67395"/>
    <w:rsid w:val="3CFA5C50"/>
    <w:rsid w:val="3CFB0E50"/>
    <w:rsid w:val="3CFE26EE"/>
    <w:rsid w:val="3D0C6BB9"/>
    <w:rsid w:val="3D121CF5"/>
    <w:rsid w:val="3D146CD2"/>
    <w:rsid w:val="3D192527"/>
    <w:rsid w:val="3D1E06B7"/>
    <w:rsid w:val="3D2263DC"/>
    <w:rsid w:val="3D233F03"/>
    <w:rsid w:val="3D2411BE"/>
    <w:rsid w:val="3D2F0AF9"/>
    <w:rsid w:val="3D3C1709"/>
    <w:rsid w:val="3D4225DB"/>
    <w:rsid w:val="3D4A5933"/>
    <w:rsid w:val="3D5317AF"/>
    <w:rsid w:val="3D540560"/>
    <w:rsid w:val="3D583BAC"/>
    <w:rsid w:val="3D5D5666"/>
    <w:rsid w:val="3D600CB3"/>
    <w:rsid w:val="3D695DB9"/>
    <w:rsid w:val="3D6D7CC0"/>
    <w:rsid w:val="3D804EB1"/>
    <w:rsid w:val="3D8449A1"/>
    <w:rsid w:val="3D8E5820"/>
    <w:rsid w:val="3D932E36"/>
    <w:rsid w:val="3D9848F1"/>
    <w:rsid w:val="3DA07301"/>
    <w:rsid w:val="3DA6700D"/>
    <w:rsid w:val="3DBC2580"/>
    <w:rsid w:val="3DBF59D9"/>
    <w:rsid w:val="3DC659A0"/>
    <w:rsid w:val="3DCF7AA6"/>
    <w:rsid w:val="3DD376D7"/>
    <w:rsid w:val="3DD6679F"/>
    <w:rsid w:val="3DDA2813"/>
    <w:rsid w:val="3DDC1B5E"/>
    <w:rsid w:val="3DDC2A2F"/>
    <w:rsid w:val="3DE96EFA"/>
    <w:rsid w:val="3DEB4A20"/>
    <w:rsid w:val="3DFA6F17"/>
    <w:rsid w:val="3DFC4E7F"/>
    <w:rsid w:val="3DFD59D5"/>
    <w:rsid w:val="3E0603A2"/>
    <w:rsid w:val="3E111FAD"/>
    <w:rsid w:val="3E144ED2"/>
    <w:rsid w:val="3E247F32"/>
    <w:rsid w:val="3E254113"/>
    <w:rsid w:val="3E2D1EA4"/>
    <w:rsid w:val="3E32264F"/>
    <w:rsid w:val="3E353EED"/>
    <w:rsid w:val="3E3D0FF4"/>
    <w:rsid w:val="3E3D3BE3"/>
    <w:rsid w:val="3E4D56DB"/>
    <w:rsid w:val="3E4E4FAF"/>
    <w:rsid w:val="3E4F1453"/>
    <w:rsid w:val="3E4F7E71"/>
    <w:rsid w:val="3E5A3954"/>
    <w:rsid w:val="3E726EF0"/>
    <w:rsid w:val="3E832EAB"/>
    <w:rsid w:val="3E864749"/>
    <w:rsid w:val="3E907F9B"/>
    <w:rsid w:val="3E946E66"/>
    <w:rsid w:val="3E970704"/>
    <w:rsid w:val="3E995354"/>
    <w:rsid w:val="3EA352FB"/>
    <w:rsid w:val="3EA90437"/>
    <w:rsid w:val="3EAD7F28"/>
    <w:rsid w:val="3EB412B6"/>
    <w:rsid w:val="3EB47508"/>
    <w:rsid w:val="3EBF1A09"/>
    <w:rsid w:val="3EC040FF"/>
    <w:rsid w:val="3EC04549"/>
    <w:rsid w:val="3EC86B10"/>
    <w:rsid w:val="3ECA3425"/>
    <w:rsid w:val="3ECC2AA4"/>
    <w:rsid w:val="3ED656D0"/>
    <w:rsid w:val="3ED666E7"/>
    <w:rsid w:val="3EDA0523"/>
    <w:rsid w:val="3EDE27D7"/>
    <w:rsid w:val="3EE33949"/>
    <w:rsid w:val="3EE53B65"/>
    <w:rsid w:val="3EF45EA0"/>
    <w:rsid w:val="3EF67B21"/>
    <w:rsid w:val="3F0F473E"/>
    <w:rsid w:val="3F161F71"/>
    <w:rsid w:val="3F226C0E"/>
    <w:rsid w:val="3F2521B4"/>
    <w:rsid w:val="3F310B59"/>
    <w:rsid w:val="3F312907"/>
    <w:rsid w:val="3F3348D1"/>
    <w:rsid w:val="3F373C95"/>
    <w:rsid w:val="3F392CE3"/>
    <w:rsid w:val="3F3C12AC"/>
    <w:rsid w:val="3F3D5750"/>
    <w:rsid w:val="3F402B4A"/>
    <w:rsid w:val="3F4940F4"/>
    <w:rsid w:val="3F5B3E28"/>
    <w:rsid w:val="3F6031EC"/>
    <w:rsid w:val="3F6A406B"/>
    <w:rsid w:val="3F6F342F"/>
    <w:rsid w:val="3F7519B2"/>
    <w:rsid w:val="3F794A24"/>
    <w:rsid w:val="3F942E96"/>
    <w:rsid w:val="3F984734"/>
    <w:rsid w:val="3F9A4950"/>
    <w:rsid w:val="3F9D7F9C"/>
    <w:rsid w:val="3FC01EDD"/>
    <w:rsid w:val="3FC03C8B"/>
    <w:rsid w:val="3FC65745"/>
    <w:rsid w:val="3FCD07F6"/>
    <w:rsid w:val="3FD17C46"/>
    <w:rsid w:val="3FD55988"/>
    <w:rsid w:val="3FE931E1"/>
    <w:rsid w:val="3FEC2CD2"/>
    <w:rsid w:val="3FF878C8"/>
    <w:rsid w:val="400E49F6"/>
    <w:rsid w:val="4012098A"/>
    <w:rsid w:val="401B7113"/>
    <w:rsid w:val="401C0F58"/>
    <w:rsid w:val="40295216"/>
    <w:rsid w:val="40324B88"/>
    <w:rsid w:val="40330901"/>
    <w:rsid w:val="403D352D"/>
    <w:rsid w:val="404228F2"/>
    <w:rsid w:val="404535C5"/>
    <w:rsid w:val="40520D87"/>
    <w:rsid w:val="40585F20"/>
    <w:rsid w:val="406B009A"/>
    <w:rsid w:val="407210DC"/>
    <w:rsid w:val="407A6407"/>
    <w:rsid w:val="40814AC4"/>
    <w:rsid w:val="40864ED4"/>
    <w:rsid w:val="408829FA"/>
    <w:rsid w:val="408A7A27"/>
    <w:rsid w:val="408D1DBF"/>
    <w:rsid w:val="4090365D"/>
    <w:rsid w:val="40913DED"/>
    <w:rsid w:val="40927682"/>
    <w:rsid w:val="40956EC5"/>
    <w:rsid w:val="409C46F8"/>
    <w:rsid w:val="409E3FCC"/>
    <w:rsid w:val="409F5F96"/>
    <w:rsid w:val="40A8309D"/>
    <w:rsid w:val="40A92971"/>
    <w:rsid w:val="40AF442B"/>
    <w:rsid w:val="40BE641C"/>
    <w:rsid w:val="40C00DC8"/>
    <w:rsid w:val="40C33A32"/>
    <w:rsid w:val="40C357E1"/>
    <w:rsid w:val="40D0182E"/>
    <w:rsid w:val="40D53766"/>
    <w:rsid w:val="40D64CC0"/>
    <w:rsid w:val="40DA0D7C"/>
    <w:rsid w:val="40DC15A1"/>
    <w:rsid w:val="40E045E4"/>
    <w:rsid w:val="40E13EB9"/>
    <w:rsid w:val="40E37C31"/>
    <w:rsid w:val="40EB4D37"/>
    <w:rsid w:val="40ED0AAF"/>
    <w:rsid w:val="40F55BB6"/>
    <w:rsid w:val="40FB141E"/>
    <w:rsid w:val="410563CE"/>
    <w:rsid w:val="41120516"/>
    <w:rsid w:val="4114428E"/>
    <w:rsid w:val="411918A4"/>
    <w:rsid w:val="411E4559"/>
    <w:rsid w:val="412344D1"/>
    <w:rsid w:val="412451C6"/>
    <w:rsid w:val="41250249"/>
    <w:rsid w:val="412D35A2"/>
    <w:rsid w:val="412D5350"/>
    <w:rsid w:val="41304728"/>
    <w:rsid w:val="41377F7D"/>
    <w:rsid w:val="41436921"/>
    <w:rsid w:val="414601C0"/>
    <w:rsid w:val="414C1C7A"/>
    <w:rsid w:val="41523008"/>
    <w:rsid w:val="415E375B"/>
    <w:rsid w:val="41650F8E"/>
    <w:rsid w:val="41654AEA"/>
    <w:rsid w:val="416C5E78"/>
    <w:rsid w:val="416E7E42"/>
    <w:rsid w:val="416F5968"/>
    <w:rsid w:val="417116E0"/>
    <w:rsid w:val="4177481D"/>
    <w:rsid w:val="417A734B"/>
    <w:rsid w:val="417E3DFD"/>
    <w:rsid w:val="41801923"/>
    <w:rsid w:val="41962EF5"/>
    <w:rsid w:val="41994793"/>
    <w:rsid w:val="41A43864"/>
    <w:rsid w:val="41B617E9"/>
    <w:rsid w:val="41BB0BAE"/>
    <w:rsid w:val="41BE5866"/>
    <w:rsid w:val="41CA2B9F"/>
    <w:rsid w:val="41D34149"/>
    <w:rsid w:val="41D91034"/>
    <w:rsid w:val="41DD6EB8"/>
    <w:rsid w:val="41EE4ADF"/>
    <w:rsid w:val="41F8770C"/>
    <w:rsid w:val="41FF1B86"/>
    <w:rsid w:val="4200449D"/>
    <w:rsid w:val="420A743F"/>
    <w:rsid w:val="42114C71"/>
    <w:rsid w:val="42165DE4"/>
    <w:rsid w:val="42176969"/>
    <w:rsid w:val="421F2EEA"/>
    <w:rsid w:val="42204EB5"/>
    <w:rsid w:val="422449A5"/>
    <w:rsid w:val="42254279"/>
    <w:rsid w:val="422B5455"/>
    <w:rsid w:val="42361DAB"/>
    <w:rsid w:val="423A3BCC"/>
    <w:rsid w:val="42405671"/>
    <w:rsid w:val="42451FC9"/>
    <w:rsid w:val="424A1C55"/>
    <w:rsid w:val="424E557E"/>
    <w:rsid w:val="424E57D2"/>
    <w:rsid w:val="42562684"/>
    <w:rsid w:val="425874EE"/>
    <w:rsid w:val="42621029"/>
    <w:rsid w:val="426B25D4"/>
    <w:rsid w:val="426C3C56"/>
    <w:rsid w:val="426E3E72"/>
    <w:rsid w:val="42761F9E"/>
    <w:rsid w:val="427A6373"/>
    <w:rsid w:val="428247FC"/>
    <w:rsid w:val="42831BF8"/>
    <w:rsid w:val="428471F1"/>
    <w:rsid w:val="42876CE2"/>
    <w:rsid w:val="428E62C2"/>
    <w:rsid w:val="429338D8"/>
    <w:rsid w:val="42944CB7"/>
    <w:rsid w:val="42960B8A"/>
    <w:rsid w:val="42A47894"/>
    <w:rsid w:val="42A67168"/>
    <w:rsid w:val="42A7172F"/>
    <w:rsid w:val="42AC2631"/>
    <w:rsid w:val="42B26C49"/>
    <w:rsid w:val="42B555FD"/>
    <w:rsid w:val="42BA0E65"/>
    <w:rsid w:val="42BD2703"/>
    <w:rsid w:val="42CB3072"/>
    <w:rsid w:val="42D02437"/>
    <w:rsid w:val="42DC0DDB"/>
    <w:rsid w:val="42DE2DA6"/>
    <w:rsid w:val="42EA799C"/>
    <w:rsid w:val="42EB101F"/>
    <w:rsid w:val="42F223AD"/>
    <w:rsid w:val="42F3082F"/>
    <w:rsid w:val="430420E0"/>
    <w:rsid w:val="43134557"/>
    <w:rsid w:val="43194A98"/>
    <w:rsid w:val="431C1B20"/>
    <w:rsid w:val="431E7646"/>
    <w:rsid w:val="432509D4"/>
    <w:rsid w:val="433A6FE6"/>
    <w:rsid w:val="43402631"/>
    <w:rsid w:val="43432C09"/>
    <w:rsid w:val="43452E25"/>
    <w:rsid w:val="4346402A"/>
    <w:rsid w:val="43480868"/>
    <w:rsid w:val="434846C3"/>
    <w:rsid w:val="4350713C"/>
    <w:rsid w:val="43525542"/>
    <w:rsid w:val="436037BB"/>
    <w:rsid w:val="436653E0"/>
    <w:rsid w:val="43670FED"/>
    <w:rsid w:val="43775ABD"/>
    <w:rsid w:val="438035C6"/>
    <w:rsid w:val="43816D9A"/>
    <w:rsid w:val="43882D11"/>
    <w:rsid w:val="439E0787"/>
    <w:rsid w:val="43A37B4B"/>
    <w:rsid w:val="43A55671"/>
    <w:rsid w:val="43A713E9"/>
    <w:rsid w:val="43B265C3"/>
    <w:rsid w:val="43B458B4"/>
    <w:rsid w:val="43B6162D"/>
    <w:rsid w:val="43B9111D"/>
    <w:rsid w:val="43C4431A"/>
    <w:rsid w:val="43C71A8C"/>
    <w:rsid w:val="43CA50D8"/>
    <w:rsid w:val="43CD4BC8"/>
    <w:rsid w:val="43D1290A"/>
    <w:rsid w:val="43DB75BC"/>
    <w:rsid w:val="44006D4C"/>
    <w:rsid w:val="44020D16"/>
    <w:rsid w:val="440525B4"/>
    <w:rsid w:val="440C5824"/>
    <w:rsid w:val="441A605F"/>
    <w:rsid w:val="442567B2"/>
    <w:rsid w:val="442B0333"/>
    <w:rsid w:val="44341FC1"/>
    <w:rsid w:val="443D117F"/>
    <w:rsid w:val="443E115C"/>
    <w:rsid w:val="4447497A"/>
    <w:rsid w:val="44531571"/>
    <w:rsid w:val="44547675"/>
    <w:rsid w:val="44753296"/>
    <w:rsid w:val="4482188C"/>
    <w:rsid w:val="44823C05"/>
    <w:rsid w:val="4484172B"/>
    <w:rsid w:val="448636F5"/>
    <w:rsid w:val="4488746D"/>
    <w:rsid w:val="44915BF6"/>
    <w:rsid w:val="44A1408B"/>
    <w:rsid w:val="44AC2A30"/>
    <w:rsid w:val="44B951CC"/>
    <w:rsid w:val="44BC7116"/>
    <w:rsid w:val="44BF2763"/>
    <w:rsid w:val="44C8526F"/>
    <w:rsid w:val="44C93746"/>
    <w:rsid w:val="44CB55AC"/>
    <w:rsid w:val="44CD14E0"/>
    <w:rsid w:val="44D0671E"/>
    <w:rsid w:val="44D426B2"/>
    <w:rsid w:val="44D51F86"/>
    <w:rsid w:val="44DA57EF"/>
    <w:rsid w:val="44DC1712"/>
    <w:rsid w:val="44DC50C3"/>
    <w:rsid w:val="44E1092B"/>
    <w:rsid w:val="44ED72D0"/>
    <w:rsid w:val="44F20B0B"/>
    <w:rsid w:val="45047D62"/>
    <w:rsid w:val="450665E4"/>
    <w:rsid w:val="450C271E"/>
    <w:rsid w:val="450E7246"/>
    <w:rsid w:val="45101210"/>
    <w:rsid w:val="452627E2"/>
    <w:rsid w:val="452A0524"/>
    <w:rsid w:val="452B429C"/>
    <w:rsid w:val="452E5F4C"/>
    <w:rsid w:val="452F6BE7"/>
    <w:rsid w:val="454315E6"/>
    <w:rsid w:val="45482758"/>
    <w:rsid w:val="454D2364"/>
    <w:rsid w:val="454F3AE7"/>
    <w:rsid w:val="455455A1"/>
    <w:rsid w:val="45612018"/>
    <w:rsid w:val="456D6663"/>
    <w:rsid w:val="4574179F"/>
    <w:rsid w:val="457C2402"/>
    <w:rsid w:val="457F1EF2"/>
    <w:rsid w:val="45800144"/>
    <w:rsid w:val="4582210E"/>
    <w:rsid w:val="45863281"/>
    <w:rsid w:val="45886FF9"/>
    <w:rsid w:val="458946E9"/>
    <w:rsid w:val="458F0387"/>
    <w:rsid w:val="45A04342"/>
    <w:rsid w:val="45A47C0E"/>
    <w:rsid w:val="45B46040"/>
    <w:rsid w:val="45C30031"/>
    <w:rsid w:val="45CA7611"/>
    <w:rsid w:val="45DB181E"/>
    <w:rsid w:val="45DB537A"/>
    <w:rsid w:val="45E701C3"/>
    <w:rsid w:val="45E71F71"/>
    <w:rsid w:val="45EE1552"/>
    <w:rsid w:val="45F66658"/>
    <w:rsid w:val="45F75F2C"/>
    <w:rsid w:val="45FA0F01"/>
    <w:rsid w:val="45FB3C6E"/>
    <w:rsid w:val="45FC7030"/>
    <w:rsid w:val="45FE72BB"/>
    <w:rsid w:val="45FF375F"/>
    <w:rsid w:val="460348D1"/>
    <w:rsid w:val="46040D75"/>
    <w:rsid w:val="460F3276"/>
    <w:rsid w:val="46113492"/>
    <w:rsid w:val="4614088C"/>
    <w:rsid w:val="46184820"/>
    <w:rsid w:val="46195EA3"/>
    <w:rsid w:val="462431C5"/>
    <w:rsid w:val="46364CA7"/>
    <w:rsid w:val="46380A1F"/>
    <w:rsid w:val="463B406B"/>
    <w:rsid w:val="46431172"/>
    <w:rsid w:val="46496788"/>
    <w:rsid w:val="464A0752"/>
    <w:rsid w:val="464B69A4"/>
    <w:rsid w:val="464E1FF0"/>
    <w:rsid w:val="46577FD6"/>
    <w:rsid w:val="465810C1"/>
    <w:rsid w:val="466730B2"/>
    <w:rsid w:val="466E61EE"/>
    <w:rsid w:val="46767799"/>
    <w:rsid w:val="46794B93"/>
    <w:rsid w:val="4683684A"/>
    <w:rsid w:val="4685178A"/>
    <w:rsid w:val="468C42DA"/>
    <w:rsid w:val="46933C70"/>
    <w:rsid w:val="46A77C72"/>
    <w:rsid w:val="46A95479"/>
    <w:rsid w:val="46B362F7"/>
    <w:rsid w:val="46B67B95"/>
    <w:rsid w:val="46C95B1B"/>
    <w:rsid w:val="46CB3641"/>
    <w:rsid w:val="46CE3131"/>
    <w:rsid w:val="46D345E7"/>
    <w:rsid w:val="46D6330D"/>
    <w:rsid w:val="46D955A7"/>
    <w:rsid w:val="46DC3AA0"/>
    <w:rsid w:val="46E12E64"/>
    <w:rsid w:val="46F31C44"/>
    <w:rsid w:val="46F506BE"/>
    <w:rsid w:val="46FC1A4C"/>
    <w:rsid w:val="470B6133"/>
    <w:rsid w:val="470D1EAB"/>
    <w:rsid w:val="4710374A"/>
    <w:rsid w:val="47133957"/>
    <w:rsid w:val="471500F6"/>
    <w:rsid w:val="4717258D"/>
    <w:rsid w:val="47234C08"/>
    <w:rsid w:val="473311E6"/>
    <w:rsid w:val="4746716B"/>
    <w:rsid w:val="47490A0A"/>
    <w:rsid w:val="47527578"/>
    <w:rsid w:val="47710300"/>
    <w:rsid w:val="477A6E15"/>
    <w:rsid w:val="477E3008"/>
    <w:rsid w:val="478101A3"/>
    <w:rsid w:val="478A7058"/>
    <w:rsid w:val="478B1022"/>
    <w:rsid w:val="478F28C0"/>
    <w:rsid w:val="479003E6"/>
    <w:rsid w:val="479223B1"/>
    <w:rsid w:val="47941C85"/>
    <w:rsid w:val="4798483D"/>
    <w:rsid w:val="47A07E0C"/>
    <w:rsid w:val="47C50BEE"/>
    <w:rsid w:val="47DC187E"/>
    <w:rsid w:val="47DD7AD0"/>
    <w:rsid w:val="47F60B91"/>
    <w:rsid w:val="48030BB8"/>
    <w:rsid w:val="48036E0A"/>
    <w:rsid w:val="48082673"/>
    <w:rsid w:val="480D1A37"/>
    <w:rsid w:val="480E5EDB"/>
    <w:rsid w:val="480F3A01"/>
    <w:rsid w:val="48141018"/>
    <w:rsid w:val="481B05F8"/>
    <w:rsid w:val="481C0BF3"/>
    <w:rsid w:val="482079BC"/>
    <w:rsid w:val="48256D81"/>
    <w:rsid w:val="48276F9D"/>
    <w:rsid w:val="48284AC3"/>
    <w:rsid w:val="48311BC9"/>
    <w:rsid w:val="4832149E"/>
    <w:rsid w:val="484E7EB4"/>
    <w:rsid w:val="485458B8"/>
    <w:rsid w:val="485B27A2"/>
    <w:rsid w:val="48627FD5"/>
    <w:rsid w:val="4870272E"/>
    <w:rsid w:val="48783354"/>
    <w:rsid w:val="48904B42"/>
    <w:rsid w:val="48934632"/>
    <w:rsid w:val="48A71E8C"/>
    <w:rsid w:val="48AD483A"/>
    <w:rsid w:val="48BB7650"/>
    <w:rsid w:val="48C12F4D"/>
    <w:rsid w:val="48CC18F2"/>
    <w:rsid w:val="48DB38E3"/>
    <w:rsid w:val="48DD765B"/>
    <w:rsid w:val="48E1539E"/>
    <w:rsid w:val="48F52BF7"/>
    <w:rsid w:val="48FD7CFE"/>
    <w:rsid w:val="490B2684"/>
    <w:rsid w:val="490E1F0B"/>
    <w:rsid w:val="49155047"/>
    <w:rsid w:val="49184B37"/>
    <w:rsid w:val="491D214E"/>
    <w:rsid w:val="491F7C74"/>
    <w:rsid w:val="49240008"/>
    <w:rsid w:val="492928A1"/>
    <w:rsid w:val="492B1C6E"/>
    <w:rsid w:val="492C413F"/>
    <w:rsid w:val="492E7EB7"/>
    <w:rsid w:val="49331971"/>
    <w:rsid w:val="4933371F"/>
    <w:rsid w:val="493F3E72"/>
    <w:rsid w:val="49441489"/>
    <w:rsid w:val="494B6CBB"/>
    <w:rsid w:val="4953791E"/>
    <w:rsid w:val="49543DC1"/>
    <w:rsid w:val="49606422"/>
    <w:rsid w:val="49635DB3"/>
    <w:rsid w:val="49646626"/>
    <w:rsid w:val="496D09DF"/>
    <w:rsid w:val="497A134E"/>
    <w:rsid w:val="497E2BEC"/>
    <w:rsid w:val="49804BB7"/>
    <w:rsid w:val="498E6BA8"/>
    <w:rsid w:val="49973CAE"/>
    <w:rsid w:val="499C3073"/>
    <w:rsid w:val="499C6779"/>
    <w:rsid w:val="499E503D"/>
    <w:rsid w:val="49A85EBB"/>
    <w:rsid w:val="49AD6E19"/>
    <w:rsid w:val="49B02FC2"/>
    <w:rsid w:val="49B52F63"/>
    <w:rsid w:val="49B900C8"/>
    <w:rsid w:val="49BB5BEF"/>
    <w:rsid w:val="49C12AD9"/>
    <w:rsid w:val="49CA5FE7"/>
    <w:rsid w:val="49D03BDC"/>
    <w:rsid w:val="49DC7715"/>
    <w:rsid w:val="49DC7913"/>
    <w:rsid w:val="49E8275C"/>
    <w:rsid w:val="49EA0597"/>
    <w:rsid w:val="4A023139"/>
    <w:rsid w:val="4A037596"/>
    <w:rsid w:val="4A0F5F3A"/>
    <w:rsid w:val="4A113A61"/>
    <w:rsid w:val="4A161077"/>
    <w:rsid w:val="4A17094B"/>
    <w:rsid w:val="4A1B668D"/>
    <w:rsid w:val="4A1E3E10"/>
    <w:rsid w:val="4A1E5198"/>
    <w:rsid w:val="4A203CA4"/>
    <w:rsid w:val="4A233794"/>
    <w:rsid w:val="4A235542"/>
    <w:rsid w:val="4A2419A5"/>
    <w:rsid w:val="4A2F2139"/>
    <w:rsid w:val="4A3970E6"/>
    <w:rsid w:val="4A3B6D2F"/>
    <w:rsid w:val="4A3E237C"/>
    <w:rsid w:val="4A3E412A"/>
    <w:rsid w:val="4A547DF1"/>
    <w:rsid w:val="4A58343D"/>
    <w:rsid w:val="4A5B2F2E"/>
    <w:rsid w:val="4A5D0A54"/>
    <w:rsid w:val="4A606796"/>
    <w:rsid w:val="4A62606A"/>
    <w:rsid w:val="4A6F2535"/>
    <w:rsid w:val="4A767B8C"/>
    <w:rsid w:val="4A77763C"/>
    <w:rsid w:val="4A7B537E"/>
    <w:rsid w:val="4A7B576F"/>
    <w:rsid w:val="4A82670C"/>
    <w:rsid w:val="4A827A02"/>
    <w:rsid w:val="4A846200"/>
    <w:rsid w:val="4A9401EE"/>
    <w:rsid w:val="4A985F30"/>
    <w:rsid w:val="4A9A1CA8"/>
    <w:rsid w:val="4AA03036"/>
    <w:rsid w:val="4AA448D5"/>
    <w:rsid w:val="4AB16FF2"/>
    <w:rsid w:val="4AC07235"/>
    <w:rsid w:val="4AC960E9"/>
    <w:rsid w:val="4ACE41A0"/>
    <w:rsid w:val="4ACF7478"/>
    <w:rsid w:val="4ADD4F0B"/>
    <w:rsid w:val="4ADE4594"/>
    <w:rsid w:val="4AE253FD"/>
    <w:rsid w:val="4AEA3589"/>
    <w:rsid w:val="4AEC627C"/>
    <w:rsid w:val="4AF561A9"/>
    <w:rsid w:val="4B1D6F30"/>
    <w:rsid w:val="4B1F5D09"/>
    <w:rsid w:val="4B241572"/>
    <w:rsid w:val="4B2E0642"/>
    <w:rsid w:val="4B410375"/>
    <w:rsid w:val="4B45613C"/>
    <w:rsid w:val="4B4C2876"/>
    <w:rsid w:val="4B4E4D3B"/>
    <w:rsid w:val="4B683B54"/>
    <w:rsid w:val="4B692C1A"/>
    <w:rsid w:val="4B6D116B"/>
    <w:rsid w:val="4B6E0E22"/>
    <w:rsid w:val="4B7047B7"/>
    <w:rsid w:val="4B736055"/>
    <w:rsid w:val="4B7A5635"/>
    <w:rsid w:val="4B810772"/>
    <w:rsid w:val="4B814C16"/>
    <w:rsid w:val="4B8509FE"/>
    <w:rsid w:val="4B895879"/>
    <w:rsid w:val="4B9009B5"/>
    <w:rsid w:val="4B9366F7"/>
    <w:rsid w:val="4B985ABC"/>
    <w:rsid w:val="4B9A7A86"/>
    <w:rsid w:val="4B9C55AC"/>
    <w:rsid w:val="4B9F6E4A"/>
    <w:rsid w:val="4BA34B8C"/>
    <w:rsid w:val="4BB1658B"/>
    <w:rsid w:val="4BBE3774"/>
    <w:rsid w:val="4BC15012"/>
    <w:rsid w:val="4BC863A1"/>
    <w:rsid w:val="4BCF5981"/>
    <w:rsid w:val="4BD25472"/>
    <w:rsid w:val="4BD411EA"/>
    <w:rsid w:val="4BD42F98"/>
    <w:rsid w:val="4BE07B8E"/>
    <w:rsid w:val="4BE3142D"/>
    <w:rsid w:val="4BEA4569"/>
    <w:rsid w:val="4BEA73D5"/>
    <w:rsid w:val="4BEE3F86"/>
    <w:rsid w:val="4BF03B4A"/>
    <w:rsid w:val="4BF929FE"/>
    <w:rsid w:val="4C00394D"/>
    <w:rsid w:val="4C0373D9"/>
    <w:rsid w:val="4C077A3F"/>
    <w:rsid w:val="4C0849EF"/>
    <w:rsid w:val="4C1415E6"/>
    <w:rsid w:val="4C2B6930"/>
    <w:rsid w:val="4C325F10"/>
    <w:rsid w:val="4C343A36"/>
    <w:rsid w:val="4C3C0B3D"/>
    <w:rsid w:val="4C416153"/>
    <w:rsid w:val="4C431ECB"/>
    <w:rsid w:val="4C455C43"/>
    <w:rsid w:val="4C465518"/>
    <w:rsid w:val="4C4A0649"/>
    <w:rsid w:val="4C4D68A6"/>
    <w:rsid w:val="4C52210E"/>
    <w:rsid w:val="4C6205A3"/>
    <w:rsid w:val="4C6B4F7E"/>
    <w:rsid w:val="4C771B75"/>
    <w:rsid w:val="4C7B3413"/>
    <w:rsid w:val="4C7E5ECA"/>
    <w:rsid w:val="4C83676C"/>
    <w:rsid w:val="4C876AA5"/>
    <w:rsid w:val="4C891FD4"/>
    <w:rsid w:val="4C8F6EBF"/>
    <w:rsid w:val="4CA566E2"/>
    <w:rsid w:val="4CAB0D17"/>
    <w:rsid w:val="4CAE1A3B"/>
    <w:rsid w:val="4CAF130F"/>
    <w:rsid w:val="4CB132D9"/>
    <w:rsid w:val="4CB16E35"/>
    <w:rsid w:val="4CC36B68"/>
    <w:rsid w:val="4CD15729"/>
    <w:rsid w:val="4CD6689C"/>
    <w:rsid w:val="4CDB0356"/>
    <w:rsid w:val="4CEA72AE"/>
    <w:rsid w:val="4CF328B3"/>
    <w:rsid w:val="4CF3569F"/>
    <w:rsid w:val="4CFD651E"/>
    <w:rsid w:val="4CFF4044"/>
    <w:rsid w:val="4D043409"/>
    <w:rsid w:val="4D0E00FB"/>
    <w:rsid w:val="4D113B99"/>
    <w:rsid w:val="4D134502"/>
    <w:rsid w:val="4D16313C"/>
    <w:rsid w:val="4D176606"/>
    <w:rsid w:val="4D186EB4"/>
    <w:rsid w:val="4D1D44CA"/>
    <w:rsid w:val="4D203FBB"/>
    <w:rsid w:val="4D2717ED"/>
    <w:rsid w:val="4D27359B"/>
    <w:rsid w:val="4D302450"/>
    <w:rsid w:val="4D3F6B37"/>
    <w:rsid w:val="4D43317B"/>
    <w:rsid w:val="4D4E28D6"/>
    <w:rsid w:val="4D551EB6"/>
    <w:rsid w:val="4D622825"/>
    <w:rsid w:val="4D6B792C"/>
    <w:rsid w:val="4D711BC8"/>
    <w:rsid w:val="4D754306"/>
    <w:rsid w:val="4D79560E"/>
    <w:rsid w:val="4D9053D6"/>
    <w:rsid w:val="4D924EB8"/>
    <w:rsid w:val="4D994499"/>
    <w:rsid w:val="4D9A3D6D"/>
    <w:rsid w:val="4D9D4D8A"/>
    <w:rsid w:val="4D9E1F9D"/>
    <w:rsid w:val="4DA44BEC"/>
    <w:rsid w:val="4DAB7D28"/>
    <w:rsid w:val="4DB27309"/>
    <w:rsid w:val="4DB36BDD"/>
    <w:rsid w:val="4DC42B98"/>
    <w:rsid w:val="4DC57029"/>
    <w:rsid w:val="4DC8359C"/>
    <w:rsid w:val="4DCE3A17"/>
    <w:rsid w:val="4DD454D1"/>
    <w:rsid w:val="4DD76D6F"/>
    <w:rsid w:val="4DD92AE7"/>
    <w:rsid w:val="4DE30716"/>
    <w:rsid w:val="4DEB281B"/>
    <w:rsid w:val="4DEC4FB0"/>
    <w:rsid w:val="4DF07E31"/>
    <w:rsid w:val="4DF27705"/>
    <w:rsid w:val="4DF3347D"/>
    <w:rsid w:val="4DF72F6D"/>
    <w:rsid w:val="4DFC67D6"/>
    <w:rsid w:val="4E01203E"/>
    <w:rsid w:val="4E0336C0"/>
    <w:rsid w:val="4E035DB6"/>
    <w:rsid w:val="4E075D8A"/>
    <w:rsid w:val="4E0D2791"/>
    <w:rsid w:val="4E17716C"/>
    <w:rsid w:val="4E191136"/>
    <w:rsid w:val="4E1A6C5C"/>
    <w:rsid w:val="4E1B3100"/>
    <w:rsid w:val="4E231FB4"/>
    <w:rsid w:val="4E263853"/>
    <w:rsid w:val="4E317206"/>
    <w:rsid w:val="4E37780E"/>
    <w:rsid w:val="4E3D1CE6"/>
    <w:rsid w:val="4E41243B"/>
    <w:rsid w:val="4E506600"/>
    <w:rsid w:val="4E5A6FBD"/>
    <w:rsid w:val="4E606D65"/>
    <w:rsid w:val="4E661EA1"/>
    <w:rsid w:val="4E6C5709"/>
    <w:rsid w:val="4E712D20"/>
    <w:rsid w:val="4E724CEA"/>
    <w:rsid w:val="4E74636C"/>
    <w:rsid w:val="4E926F2B"/>
    <w:rsid w:val="4E9E5ADF"/>
    <w:rsid w:val="4EA03605"/>
    <w:rsid w:val="4EA47F49"/>
    <w:rsid w:val="4EA672BC"/>
    <w:rsid w:val="4EB728A6"/>
    <w:rsid w:val="4EC00FAD"/>
    <w:rsid w:val="4EC310A1"/>
    <w:rsid w:val="4ECA68D4"/>
    <w:rsid w:val="4ED5054D"/>
    <w:rsid w:val="4ED82D9F"/>
    <w:rsid w:val="4EE94FAC"/>
    <w:rsid w:val="4EEC46A8"/>
    <w:rsid w:val="4EEF1E97"/>
    <w:rsid w:val="4EF179BD"/>
    <w:rsid w:val="4EF474AD"/>
    <w:rsid w:val="4EFA15E0"/>
    <w:rsid w:val="4EFB083B"/>
    <w:rsid w:val="4F035942"/>
    <w:rsid w:val="4F060DBC"/>
    <w:rsid w:val="4F0C47F7"/>
    <w:rsid w:val="4F18763F"/>
    <w:rsid w:val="4F1B0EDE"/>
    <w:rsid w:val="4F1D07B2"/>
    <w:rsid w:val="4F1F09CE"/>
    <w:rsid w:val="4F244236"/>
    <w:rsid w:val="4F3557D2"/>
    <w:rsid w:val="4F3B1580"/>
    <w:rsid w:val="4F3F4BCC"/>
    <w:rsid w:val="4F4405DB"/>
    <w:rsid w:val="4F457D08"/>
    <w:rsid w:val="4F4E12B3"/>
    <w:rsid w:val="4F4F0B87"/>
    <w:rsid w:val="4F5148FF"/>
    <w:rsid w:val="4F532425"/>
    <w:rsid w:val="4F5B577E"/>
    <w:rsid w:val="4F5D24D8"/>
    <w:rsid w:val="4F6852D8"/>
    <w:rsid w:val="4F6A0567"/>
    <w:rsid w:val="4F6A776F"/>
    <w:rsid w:val="4F7C516F"/>
    <w:rsid w:val="4F820F5D"/>
    <w:rsid w:val="4F876573"/>
    <w:rsid w:val="4F8E1A94"/>
    <w:rsid w:val="4F9071D6"/>
    <w:rsid w:val="4F952A3E"/>
    <w:rsid w:val="4F980780"/>
    <w:rsid w:val="4F9843DC"/>
    <w:rsid w:val="4FAF7EFA"/>
    <w:rsid w:val="4FB158CE"/>
    <w:rsid w:val="4FB629B4"/>
    <w:rsid w:val="4FBD688A"/>
    <w:rsid w:val="4FC13833"/>
    <w:rsid w:val="4FC62A8C"/>
    <w:rsid w:val="4FC82E13"/>
    <w:rsid w:val="4FD03A76"/>
    <w:rsid w:val="4FE13ED5"/>
    <w:rsid w:val="4FE20F0D"/>
    <w:rsid w:val="4FE319FB"/>
    <w:rsid w:val="4FE439C5"/>
    <w:rsid w:val="4FE51552"/>
    <w:rsid w:val="4FE90FDC"/>
    <w:rsid w:val="4FEC2D98"/>
    <w:rsid w:val="4FF05EC6"/>
    <w:rsid w:val="4FF14966"/>
    <w:rsid w:val="4FF754A7"/>
    <w:rsid w:val="5019541D"/>
    <w:rsid w:val="501B2E69"/>
    <w:rsid w:val="502617E8"/>
    <w:rsid w:val="504468FD"/>
    <w:rsid w:val="504F0E3F"/>
    <w:rsid w:val="50504C4B"/>
    <w:rsid w:val="505A5A36"/>
    <w:rsid w:val="5060304C"/>
    <w:rsid w:val="50632B3C"/>
    <w:rsid w:val="50681F00"/>
    <w:rsid w:val="506A211C"/>
    <w:rsid w:val="506A3D36"/>
    <w:rsid w:val="50724B2D"/>
    <w:rsid w:val="507810D5"/>
    <w:rsid w:val="507A1C34"/>
    <w:rsid w:val="507B60D8"/>
    <w:rsid w:val="50850D04"/>
    <w:rsid w:val="508935DC"/>
    <w:rsid w:val="508A631B"/>
    <w:rsid w:val="509B22D6"/>
    <w:rsid w:val="509C6E7C"/>
    <w:rsid w:val="50A849F3"/>
    <w:rsid w:val="50AB003F"/>
    <w:rsid w:val="50B05655"/>
    <w:rsid w:val="50B138A7"/>
    <w:rsid w:val="50B45491"/>
    <w:rsid w:val="50B769E4"/>
    <w:rsid w:val="50CA2BBB"/>
    <w:rsid w:val="50CC6CD8"/>
    <w:rsid w:val="50D41344"/>
    <w:rsid w:val="50E10D8C"/>
    <w:rsid w:val="50E40AB8"/>
    <w:rsid w:val="50EA0B67"/>
    <w:rsid w:val="50EC2B32"/>
    <w:rsid w:val="50F639B0"/>
    <w:rsid w:val="51010D79"/>
    <w:rsid w:val="510734C7"/>
    <w:rsid w:val="5107796B"/>
    <w:rsid w:val="51142088"/>
    <w:rsid w:val="5116195C"/>
    <w:rsid w:val="51191C32"/>
    <w:rsid w:val="513242BC"/>
    <w:rsid w:val="51417FF4"/>
    <w:rsid w:val="514F4E6E"/>
    <w:rsid w:val="51542485"/>
    <w:rsid w:val="5162104E"/>
    <w:rsid w:val="516528E4"/>
    <w:rsid w:val="5176689F"/>
    <w:rsid w:val="517F039C"/>
    <w:rsid w:val="51864D34"/>
    <w:rsid w:val="51890106"/>
    <w:rsid w:val="51890380"/>
    <w:rsid w:val="518A40F8"/>
    <w:rsid w:val="518E1E3B"/>
    <w:rsid w:val="518E5997"/>
    <w:rsid w:val="519457DE"/>
    <w:rsid w:val="519D3E2C"/>
    <w:rsid w:val="51A46F68"/>
    <w:rsid w:val="51B3364F"/>
    <w:rsid w:val="51B64EEE"/>
    <w:rsid w:val="51C13FBE"/>
    <w:rsid w:val="51C15D6C"/>
    <w:rsid w:val="51D11D27"/>
    <w:rsid w:val="51D719E2"/>
    <w:rsid w:val="51DD247A"/>
    <w:rsid w:val="51E732F9"/>
    <w:rsid w:val="51E952C3"/>
    <w:rsid w:val="51FD1EA1"/>
    <w:rsid w:val="51FD2B1C"/>
    <w:rsid w:val="51FF6894"/>
    <w:rsid w:val="5201085F"/>
    <w:rsid w:val="52036385"/>
    <w:rsid w:val="520420FD"/>
    <w:rsid w:val="520B2DD0"/>
    <w:rsid w:val="520D7203"/>
    <w:rsid w:val="52102850"/>
    <w:rsid w:val="521A1920"/>
    <w:rsid w:val="521F0CE5"/>
    <w:rsid w:val="5221680B"/>
    <w:rsid w:val="52244D31"/>
    <w:rsid w:val="523A5B1F"/>
    <w:rsid w:val="523F3135"/>
    <w:rsid w:val="524644C3"/>
    <w:rsid w:val="52534991"/>
    <w:rsid w:val="52554706"/>
    <w:rsid w:val="526D37FE"/>
    <w:rsid w:val="527A5F1B"/>
    <w:rsid w:val="52831274"/>
    <w:rsid w:val="5285323E"/>
    <w:rsid w:val="528648C0"/>
    <w:rsid w:val="52880638"/>
    <w:rsid w:val="5294522F"/>
    <w:rsid w:val="529E7E5B"/>
    <w:rsid w:val="52A20E7D"/>
    <w:rsid w:val="52A31916"/>
    <w:rsid w:val="52AB07CA"/>
    <w:rsid w:val="52B23907"/>
    <w:rsid w:val="52B256B5"/>
    <w:rsid w:val="52C06024"/>
    <w:rsid w:val="52C64318"/>
    <w:rsid w:val="52CA50F4"/>
    <w:rsid w:val="52CB49C9"/>
    <w:rsid w:val="52D03D8D"/>
    <w:rsid w:val="52D41ACF"/>
    <w:rsid w:val="52D95337"/>
    <w:rsid w:val="52D970E6"/>
    <w:rsid w:val="52DD4E28"/>
    <w:rsid w:val="52E00474"/>
    <w:rsid w:val="52F34C32"/>
    <w:rsid w:val="52F6379B"/>
    <w:rsid w:val="52FB705C"/>
    <w:rsid w:val="53071EA5"/>
    <w:rsid w:val="530D1494"/>
    <w:rsid w:val="530D302A"/>
    <w:rsid w:val="531620E8"/>
    <w:rsid w:val="53202F66"/>
    <w:rsid w:val="53227B62"/>
    <w:rsid w:val="532B5F5D"/>
    <w:rsid w:val="53332C9A"/>
    <w:rsid w:val="53334A48"/>
    <w:rsid w:val="533F163E"/>
    <w:rsid w:val="53446C55"/>
    <w:rsid w:val="534722A1"/>
    <w:rsid w:val="534C5BD7"/>
    <w:rsid w:val="53511372"/>
    <w:rsid w:val="53566988"/>
    <w:rsid w:val="53642E53"/>
    <w:rsid w:val="53650979"/>
    <w:rsid w:val="536A2433"/>
    <w:rsid w:val="53771618"/>
    <w:rsid w:val="537961D3"/>
    <w:rsid w:val="537E1A3B"/>
    <w:rsid w:val="53803A05"/>
    <w:rsid w:val="538708F0"/>
    <w:rsid w:val="53890B0C"/>
    <w:rsid w:val="538C5F06"/>
    <w:rsid w:val="538E7ED0"/>
    <w:rsid w:val="53933685"/>
    <w:rsid w:val="539354E6"/>
    <w:rsid w:val="539574B0"/>
    <w:rsid w:val="53A039CC"/>
    <w:rsid w:val="53A1505A"/>
    <w:rsid w:val="53A25729"/>
    <w:rsid w:val="53A414A2"/>
    <w:rsid w:val="53A9759F"/>
    <w:rsid w:val="53AC65A8"/>
    <w:rsid w:val="53B10062"/>
    <w:rsid w:val="53B611D5"/>
    <w:rsid w:val="53BF71EE"/>
    <w:rsid w:val="53C03E02"/>
    <w:rsid w:val="53C71634"/>
    <w:rsid w:val="53CA4C80"/>
    <w:rsid w:val="53D31D87"/>
    <w:rsid w:val="53D855EF"/>
    <w:rsid w:val="53DD49B3"/>
    <w:rsid w:val="53FD6E04"/>
    <w:rsid w:val="54040192"/>
    <w:rsid w:val="54063E08"/>
    <w:rsid w:val="540B1521"/>
    <w:rsid w:val="540B7773"/>
    <w:rsid w:val="540B7EB5"/>
    <w:rsid w:val="54120B01"/>
    <w:rsid w:val="541D1254"/>
    <w:rsid w:val="54232D0E"/>
    <w:rsid w:val="5426418A"/>
    <w:rsid w:val="54264D90"/>
    <w:rsid w:val="543437E8"/>
    <w:rsid w:val="54370568"/>
    <w:rsid w:val="54442C85"/>
    <w:rsid w:val="544762D1"/>
    <w:rsid w:val="54520EFE"/>
    <w:rsid w:val="545364C2"/>
    <w:rsid w:val="545C7FCE"/>
    <w:rsid w:val="545D5AF4"/>
    <w:rsid w:val="545F361A"/>
    <w:rsid w:val="54613836"/>
    <w:rsid w:val="546450D5"/>
    <w:rsid w:val="54662BFB"/>
    <w:rsid w:val="54686973"/>
    <w:rsid w:val="54705828"/>
    <w:rsid w:val="5477739F"/>
    <w:rsid w:val="547F1F0F"/>
    <w:rsid w:val="5486504B"/>
    <w:rsid w:val="548E3F00"/>
    <w:rsid w:val="549537A4"/>
    <w:rsid w:val="54A51975"/>
    <w:rsid w:val="54A620A9"/>
    <w:rsid w:val="54A86D6F"/>
    <w:rsid w:val="54B05D00"/>
    <w:rsid w:val="54B06026"/>
    <w:rsid w:val="54BC281B"/>
    <w:rsid w:val="54C55B73"/>
    <w:rsid w:val="54CA25D6"/>
    <w:rsid w:val="54CC5154"/>
    <w:rsid w:val="54CE554E"/>
    <w:rsid w:val="54EA382C"/>
    <w:rsid w:val="54ED6E78"/>
    <w:rsid w:val="54F73313"/>
    <w:rsid w:val="54F80955"/>
    <w:rsid w:val="54FC1617"/>
    <w:rsid w:val="55102B67"/>
    <w:rsid w:val="55106705"/>
    <w:rsid w:val="5520002E"/>
    <w:rsid w:val="55262650"/>
    <w:rsid w:val="55264138"/>
    <w:rsid w:val="5527238A"/>
    <w:rsid w:val="552A1E7A"/>
    <w:rsid w:val="552D1798"/>
    <w:rsid w:val="55314FB7"/>
    <w:rsid w:val="55364B9F"/>
    <w:rsid w:val="55374D7B"/>
    <w:rsid w:val="55410F72"/>
    <w:rsid w:val="554F368F"/>
    <w:rsid w:val="555170A7"/>
    <w:rsid w:val="55517407"/>
    <w:rsid w:val="55570796"/>
    <w:rsid w:val="55651104"/>
    <w:rsid w:val="556F3D31"/>
    <w:rsid w:val="55735655"/>
    <w:rsid w:val="557E3F74"/>
    <w:rsid w:val="5587107B"/>
    <w:rsid w:val="5587536D"/>
    <w:rsid w:val="55886BA1"/>
    <w:rsid w:val="5589244C"/>
    <w:rsid w:val="558A46C7"/>
    <w:rsid w:val="558D41B7"/>
    <w:rsid w:val="55915A56"/>
    <w:rsid w:val="559317CE"/>
    <w:rsid w:val="559A7000"/>
    <w:rsid w:val="559B174B"/>
    <w:rsid w:val="55B3214C"/>
    <w:rsid w:val="55B45E6D"/>
    <w:rsid w:val="55B47996"/>
    <w:rsid w:val="55BA31FE"/>
    <w:rsid w:val="55C0458D"/>
    <w:rsid w:val="55C20305"/>
    <w:rsid w:val="55C220B3"/>
    <w:rsid w:val="55CE0CF4"/>
    <w:rsid w:val="55E55DA1"/>
    <w:rsid w:val="55E62245"/>
    <w:rsid w:val="55E71B19"/>
    <w:rsid w:val="55F67FAE"/>
    <w:rsid w:val="55FA184D"/>
    <w:rsid w:val="55FD758F"/>
    <w:rsid w:val="5608055F"/>
    <w:rsid w:val="560A5808"/>
    <w:rsid w:val="560C332E"/>
    <w:rsid w:val="56110933"/>
    <w:rsid w:val="561548D9"/>
    <w:rsid w:val="561631C3"/>
    <w:rsid w:val="561A1EEF"/>
    <w:rsid w:val="56222B52"/>
    <w:rsid w:val="5629529E"/>
    <w:rsid w:val="562F481D"/>
    <w:rsid w:val="563A60ED"/>
    <w:rsid w:val="563E64F9"/>
    <w:rsid w:val="564451BE"/>
    <w:rsid w:val="56486A5C"/>
    <w:rsid w:val="564968B8"/>
    <w:rsid w:val="564E7DEA"/>
    <w:rsid w:val="56513BC0"/>
    <w:rsid w:val="565151E5"/>
    <w:rsid w:val="565C67B7"/>
    <w:rsid w:val="5663365C"/>
    <w:rsid w:val="56636203"/>
    <w:rsid w:val="566B274A"/>
    <w:rsid w:val="566B62A7"/>
    <w:rsid w:val="566D64C3"/>
    <w:rsid w:val="567426CC"/>
    <w:rsid w:val="56786C15"/>
    <w:rsid w:val="567D2EA1"/>
    <w:rsid w:val="567D5FDA"/>
    <w:rsid w:val="568257FD"/>
    <w:rsid w:val="56867584"/>
    <w:rsid w:val="568B06F7"/>
    <w:rsid w:val="568D4112"/>
    <w:rsid w:val="56941CA1"/>
    <w:rsid w:val="56945417"/>
    <w:rsid w:val="569577C7"/>
    <w:rsid w:val="56B04601"/>
    <w:rsid w:val="56B22A9C"/>
    <w:rsid w:val="56B7773E"/>
    <w:rsid w:val="56B80FD4"/>
    <w:rsid w:val="56BC4D54"/>
    <w:rsid w:val="56C17957"/>
    <w:rsid w:val="56C9121F"/>
    <w:rsid w:val="56CB302E"/>
    <w:rsid w:val="56D44819"/>
    <w:rsid w:val="56D46542"/>
    <w:rsid w:val="56D93B58"/>
    <w:rsid w:val="56DA342C"/>
    <w:rsid w:val="56E02FEB"/>
    <w:rsid w:val="56EF512A"/>
    <w:rsid w:val="56FF2E93"/>
    <w:rsid w:val="570510D6"/>
    <w:rsid w:val="570B1838"/>
    <w:rsid w:val="570C5D6D"/>
    <w:rsid w:val="570D735E"/>
    <w:rsid w:val="57122BC6"/>
    <w:rsid w:val="5712706A"/>
    <w:rsid w:val="571C1C97"/>
    <w:rsid w:val="571C3A45"/>
    <w:rsid w:val="571E5A0F"/>
    <w:rsid w:val="572B0DB1"/>
    <w:rsid w:val="572F19CA"/>
    <w:rsid w:val="5730685E"/>
    <w:rsid w:val="573174F0"/>
    <w:rsid w:val="573214BA"/>
    <w:rsid w:val="57342B3C"/>
    <w:rsid w:val="57360B6F"/>
    <w:rsid w:val="573963A5"/>
    <w:rsid w:val="573A2142"/>
    <w:rsid w:val="573B211D"/>
    <w:rsid w:val="57454D4A"/>
    <w:rsid w:val="574627A7"/>
    <w:rsid w:val="574B7E86"/>
    <w:rsid w:val="57572CCF"/>
    <w:rsid w:val="575F6A6D"/>
    <w:rsid w:val="576378C6"/>
    <w:rsid w:val="57680A38"/>
    <w:rsid w:val="577B4B3D"/>
    <w:rsid w:val="577E025B"/>
    <w:rsid w:val="57925AB5"/>
    <w:rsid w:val="579B2D6B"/>
    <w:rsid w:val="579E26AC"/>
    <w:rsid w:val="57A23641"/>
    <w:rsid w:val="57A557E8"/>
    <w:rsid w:val="57A9177C"/>
    <w:rsid w:val="57B53D1C"/>
    <w:rsid w:val="57B72A76"/>
    <w:rsid w:val="57BD68DA"/>
    <w:rsid w:val="57C2283E"/>
    <w:rsid w:val="57C337BD"/>
    <w:rsid w:val="57C3426C"/>
    <w:rsid w:val="57C71C02"/>
    <w:rsid w:val="57CB6A40"/>
    <w:rsid w:val="57CE1F93"/>
    <w:rsid w:val="57D42D52"/>
    <w:rsid w:val="57D679DA"/>
    <w:rsid w:val="57E36289"/>
    <w:rsid w:val="57E36310"/>
    <w:rsid w:val="57E43DE6"/>
    <w:rsid w:val="57F329F7"/>
    <w:rsid w:val="57FB7AFE"/>
    <w:rsid w:val="57FD3876"/>
    <w:rsid w:val="57FF75EE"/>
    <w:rsid w:val="58003366"/>
    <w:rsid w:val="58070251"/>
    <w:rsid w:val="58095D77"/>
    <w:rsid w:val="580E7831"/>
    <w:rsid w:val="581035A9"/>
    <w:rsid w:val="581B1F4E"/>
    <w:rsid w:val="5822028E"/>
    <w:rsid w:val="582C5F09"/>
    <w:rsid w:val="582C6C15"/>
    <w:rsid w:val="583628E4"/>
    <w:rsid w:val="58474AF1"/>
    <w:rsid w:val="584B45E2"/>
    <w:rsid w:val="584E40D2"/>
    <w:rsid w:val="584E7C2E"/>
    <w:rsid w:val="58604F87"/>
    <w:rsid w:val="58615BB3"/>
    <w:rsid w:val="5866141B"/>
    <w:rsid w:val="586D648B"/>
    <w:rsid w:val="58801DB1"/>
    <w:rsid w:val="58823D7B"/>
    <w:rsid w:val="588673C8"/>
    <w:rsid w:val="58871392"/>
    <w:rsid w:val="588743D1"/>
    <w:rsid w:val="5887701A"/>
    <w:rsid w:val="58997E33"/>
    <w:rsid w:val="589E252E"/>
    <w:rsid w:val="58A3441E"/>
    <w:rsid w:val="58B02697"/>
    <w:rsid w:val="58B959EF"/>
    <w:rsid w:val="58BF28DA"/>
    <w:rsid w:val="58C44394"/>
    <w:rsid w:val="58C63C68"/>
    <w:rsid w:val="58CB5722"/>
    <w:rsid w:val="58D31455"/>
    <w:rsid w:val="58DC7930"/>
    <w:rsid w:val="58ED5699"/>
    <w:rsid w:val="58EF34CC"/>
    <w:rsid w:val="58F114E4"/>
    <w:rsid w:val="58FE1654"/>
    <w:rsid w:val="58FF53CC"/>
    <w:rsid w:val="59030A18"/>
    <w:rsid w:val="59154BEF"/>
    <w:rsid w:val="591C7D2C"/>
    <w:rsid w:val="59215342"/>
    <w:rsid w:val="59225652"/>
    <w:rsid w:val="592941F7"/>
    <w:rsid w:val="59417793"/>
    <w:rsid w:val="594352B9"/>
    <w:rsid w:val="595079D6"/>
    <w:rsid w:val="595219A0"/>
    <w:rsid w:val="59527BF2"/>
    <w:rsid w:val="59564420"/>
    <w:rsid w:val="59576FB6"/>
    <w:rsid w:val="59592D2E"/>
    <w:rsid w:val="595C637A"/>
    <w:rsid w:val="596C2A61"/>
    <w:rsid w:val="596F4300"/>
    <w:rsid w:val="59701E26"/>
    <w:rsid w:val="59710078"/>
    <w:rsid w:val="59741916"/>
    <w:rsid w:val="5976568E"/>
    <w:rsid w:val="59785FCB"/>
    <w:rsid w:val="59835FFD"/>
    <w:rsid w:val="59861649"/>
    <w:rsid w:val="59945B14"/>
    <w:rsid w:val="59967ADE"/>
    <w:rsid w:val="599B3347"/>
    <w:rsid w:val="59A3044D"/>
    <w:rsid w:val="59AD307A"/>
    <w:rsid w:val="59B52E52"/>
    <w:rsid w:val="59C0439F"/>
    <w:rsid w:val="59C04B5B"/>
    <w:rsid w:val="59D53926"/>
    <w:rsid w:val="59DB3743"/>
    <w:rsid w:val="59E44CEE"/>
    <w:rsid w:val="59E44D0A"/>
    <w:rsid w:val="59E958CA"/>
    <w:rsid w:val="59EC76FE"/>
    <w:rsid w:val="59EF3692"/>
    <w:rsid w:val="59FB3DE5"/>
    <w:rsid w:val="59FD190B"/>
    <w:rsid w:val="59FE5684"/>
    <w:rsid w:val="5A104EED"/>
    <w:rsid w:val="5A19426B"/>
    <w:rsid w:val="5A20384C"/>
    <w:rsid w:val="5A274BDA"/>
    <w:rsid w:val="5A2D0297"/>
    <w:rsid w:val="5A312D8C"/>
    <w:rsid w:val="5A3410A5"/>
    <w:rsid w:val="5A355549"/>
    <w:rsid w:val="5A3F0176"/>
    <w:rsid w:val="5A511C57"/>
    <w:rsid w:val="5A5159C6"/>
    <w:rsid w:val="5A551748"/>
    <w:rsid w:val="5A581238"/>
    <w:rsid w:val="5A5D05FC"/>
    <w:rsid w:val="5A5E408F"/>
    <w:rsid w:val="5A623E64"/>
    <w:rsid w:val="5A6279C1"/>
    <w:rsid w:val="5A6E21B7"/>
    <w:rsid w:val="5A7159CB"/>
    <w:rsid w:val="5A755946"/>
    <w:rsid w:val="5A767910"/>
    <w:rsid w:val="5A865DA5"/>
    <w:rsid w:val="5A9102A6"/>
    <w:rsid w:val="5A932270"/>
    <w:rsid w:val="5A9B2ED2"/>
    <w:rsid w:val="5AA12BDF"/>
    <w:rsid w:val="5AA955EF"/>
    <w:rsid w:val="5AAD5465"/>
    <w:rsid w:val="5ABD553F"/>
    <w:rsid w:val="5ABE2233"/>
    <w:rsid w:val="5AC661A1"/>
    <w:rsid w:val="5ACC35A2"/>
    <w:rsid w:val="5AD84127"/>
    <w:rsid w:val="5ADE798F"/>
    <w:rsid w:val="5AE26D53"/>
    <w:rsid w:val="5AE40D1D"/>
    <w:rsid w:val="5AE62BAD"/>
    <w:rsid w:val="5AEF0175"/>
    <w:rsid w:val="5AFC1BC3"/>
    <w:rsid w:val="5AFD593B"/>
    <w:rsid w:val="5AFF66E4"/>
    <w:rsid w:val="5B0867BA"/>
    <w:rsid w:val="5B0E18F6"/>
    <w:rsid w:val="5B1038C0"/>
    <w:rsid w:val="5B10566E"/>
    <w:rsid w:val="5B127639"/>
    <w:rsid w:val="5B13515F"/>
    <w:rsid w:val="5B172EA1"/>
    <w:rsid w:val="5B184523"/>
    <w:rsid w:val="5B3A6B8F"/>
    <w:rsid w:val="5B435A44"/>
    <w:rsid w:val="5B4377F2"/>
    <w:rsid w:val="5B6065F6"/>
    <w:rsid w:val="5B647768"/>
    <w:rsid w:val="5B661732"/>
    <w:rsid w:val="5B6D0D13"/>
    <w:rsid w:val="5B6D486F"/>
    <w:rsid w:val="5B6F4A8B"/>
    <w:rsid w:val="5B743E4F"/>
    <w:rsid w:val="5B765E19"/>
    <w:rsid w:val="5B7729C2"/>
    <w:rsid w:val="5B773940"/>
    <w:rsid w:val="5B7976B8"/>
    <w:rsid w:val="5B7A6F8C"/>
    <w:rsid w:val="5B7C4AB2"/>
    <w:rsid w:val="5B7E6A7C"/>
    <w:rsid w:val="5B8271EF"/>
    <w:rsid w:val="5B9444F1"/>
    <w:rsid w:val="5B9462A0"/>
    <w:rsid w:val="5B961A42"/>
    <w:rsid w:val="5B9C08BF"/>
    <w:rsid w:val="5B9E2C7A"/>
    <w:rsid w:val="5BBC18BD"/>
    <w:rsid w:val="5BC326E1"/>
    <w:rsid w:val="5BCA7F13"/>
    <w:rsid w:val="5BD112A2"/>
    <w:rsid w:val="5BDE751B"/>
    <w:rsid w:val="5BDF5D95"/>
    <w:rsid w:val="5BF1724E"/>
    <w:rsid w:val="5BF44F90"/>
    <w:rsid w:val="5BF84A80"/>
    <w:rsid w:val="5BFE7528"/>
    <w:rsid w:val="5C003935"/>
    <w:rsid w:val="5C0A6562"/>
    <w:rsid w:val="5C160116"/>
    <w:rsid w:val="5C164F06"/>
    <w:rsid w:val="5C186ED1"/>
    <w:rsid w:val="5C1D0043"/>
    <w:rsid w:val="5C2E04A2"/>
    <w:rsid w:val="5C441A74"/>
    <w:rsid w:val="5C473312"/>
    <w:rsid w:val="5C537F09"/>
    <w:rsid w:val="5C673620"/>
    <w:rsid w:val="5C6739B4"/>
    <w:rsid w:val="5C6A5252"/>
    <w:rsid w:val="5C6D1562"/>
    <w:rsid w:val="5C7560D1"/>
    <w:rsid w:val="5C7834CB"/>
    <w:rsid w:val="5C7A36E7"/>
    <w:rsid w:val="5C860DDF"/>
    <w:rsid w:val="5C891B7C"/>
    <w:rsid w:val="5C95407D"/>
    <w:rsid w:val="5C992880"/>
    <w:rsid w:val="5C9B540C"/>
    <w:rsid w:val="5C9D73D6"/>
    <w:rsid w:val="5CA471CF"/>
    <w:rsid w:val="5CA72002"/>
    <w:rsid w:val="5CA73DB1"/>
    <w:rsid w:val="5CAB38A1"/>
    <w:rsid w:val="5CAC13C7"/>
    <w:rsid w:val="5CB169DD"/>
    <w:rsid w:val="5CD1707F"/>
    <w:rsid w:val="5CD31049"/>
    <w:rsid w:val="5CD37479"/>
    <w:rsid w:val="5CD5091E"/>
    <w:rsid w:val="5CDA4186"/>
    <w:rsid w:val="5CE40B61"/>
    <w:rsid w:val="5CE67C21"/>
    <w:rsid w:val="5CE96177"/>
    <w:rsid w:val="5CF8460C"/>
    <w:rsid w:val="5CFB53B4"/>
    <w:rsid w:val="5CFE120B"/>
    <w:rsid w:val="5CFF1E3E"/>
    <w:rsid w:val="5D011BBD"/>
    <w:rsid w:val="5D011C12"/>
    <w:rsid w:val="5D0134C1"/>
    <w:rsid w:val="5D064F7B"/>
    <w:rsid w:val="5D137698"/>
    <w:rsid w:val="5D2278CA"/>
    <w:rsid w:val="5D261179"/>
    <w:rsid w:val="5D2C70E7"/>
    <w:rsid w:val="5D2D2508"/>
    <w:rsid w:val="5D395350"/>
    <w:rsid w:val="5D3A2E77"/>
    <w:rsid w:val="5D3D1590"/>
    <w:rsid w:val="5D3F66DF"/>
    <w:rsid w:val="5D414205"/>
    <w:rsid w:val="5D431D2B"/>
    <w:rsid w:val="5D467A6D"/>
    <w:rsid w:val="5D4810F0"/>
    <w:rsid w:val="5D544FA8"/>
    <w:rsid w:val="5D571872"/>
    <w:rsid w:val="5D5C3982"/>
    <w:rsid w:val="5D5E0891"/>
    <w:rsid w:val="5D5E0913"/>
    <w:rsid w:val="5D5F28DD"/>
    <w:rsid w:val="5D6549CF"/>
    <w:rsid w:val="5D663C6C"/>
    <w:rsid w:val="5D6B3030"/>
    <w:rsid w:val="5D6F5451"/>
    <w:rsid w:val="5D755C5D"/>
    <w:rsid w:val="5D916F3A"/>
    <w:rsid w:val="5DAD189A"/>
    <w:rsid w:val="5DB06C95"/>
    <w:rsid w:val="5DB744C7"/>
    <w:rsid w:val="5DC015CE"/>
    <w:rsid w:val="5DC55D6D"/>
    <w:rsid w:val="5DCA244C"/>
    <w:rsid w:val="5DCA7D57"/>
    <w:rsid w:val="5DD21301"/>
    <w:rsid w:val="5DD60DF1"/>
    <w:rsid w:val="5DEA664B"/>
    <w:rsid w:val="5DED7EE9"/>
    <w:rsid w:val="5DF70D68"/>
    <w:rsid w:val="5DF9063C"/>
    <w:rsid w:val="5E061063"/>
    <w:rsid w:val="5E0771FD"/>
    <w:rsid w:val="5E0B036F"/>
    <w:rsid w:val="5E0B441A"/>
    <w:rsid w:val="5E190CDE"/>
    <w:rsid w:val="5E1B17C4"/>
    <w:rsid w:val="5E2467F1"/>
    <w:rsid w:val="5E2D1477"/>
    <w:rsid w:val="5E2D4789"/>
    <w:rsid w:val="5E2F0501"/>
    <w:rsid w:val="5E30357F"/>
    <w:rsid w:val="5E31427A"/>
    <w:rsid w:val="5E3B1A64"/>
    <w:rsid w:val="5E3C677A"/>
    <w:rsid w:val="5E483371"/>
    <w:rsid w:val="5E48511F"/>
    <w:rsid w:val="5E4F7288"/>
    <w:rsid w:val="5E5F0DE7"/>
    <w:rsid w:val="5E6A74B1"/>
    <w:rsid w:val="5E6C268F"/>
    <w:rsid w:val="5E6F4DA2"/>
    <w:rsid w:val="5E7128C8"/>
    <w:rsid w:val="5E7151EB"/>
    <w:rsid w:val="5E813ADB"/>
    <w:rsid w:val="5E8C325E"/>
    <w:rsid w:val="5E8E1D57"/>
    <w:rsid w:val="5E9F11E3"/>
    <w:rsid w:val="5EA00CF6"/>
    <w:rsid w:val="5EAE1426"/>
    <w:rsid w:val="5EB3119B"/>
    <w:rsid w:val="5EB822A5"/>
    <w:rsid w:val="5EB84053"/>
    <w:rsid w:val="5EC7073A"/>
    <w:rsid w:val="5EC92704"/>
    <w:rsid w:val="5ED15115"/>
    <w:rsid w:val="5ED370DF"/>
    <w:rsid w:val="5EDA046D"/>
    <w:rsid w:val="5EDA221B"/>
    <w:rsid w:val="5EDC455B"/>
    <w:rsid w:val="5EE00429"/>
    <w:rsid w:val="5EEA72F8"/>
    <w:rsid w:val="5EEE3F19"/>
    <w:rsid w:val="5EFA466C"/>
    <w:rsid w:val="5F011E9E"/>
    <w:rsid w:val="5F061262"/>
    <w:rsid w:val="5F0674B4"/>
    <w:rsid w:val="5F117C07"/>
    <w:rsid w:val="5F161D2E"/>
    <w:rsid w:val="5F1A2B43"/>
    <w:rsid w:val="5F1A4D0E"/>
    <w:rsid w:val="5F28567D"/>
    <w:rsid w:val="5F2B2A77"/>
    <w:rsid w:val="5F304531"/>
    <w:rsid w:val="5F381638"/>
    <w:rsid w:val="5F395AF0"/>
    <w:rsid w:val="5F426012"/>
    <w:rsid w:val="5F4D01A5"/>
    <w:rsid w:val="5F4F4B3E"/>
    <w:rsid w:val="5F5669A0"/>
    <w:rsid w:val="5F613448"/>
    <w:rsid w:val="5F622211"/>
    <w:rsid w:val="5F753044"/>
    <w:rsid w:val="5F7E0234"/>
    <w:rsid w:val="5F7F7267"/>
    <w:rsid w:val="5F830B05"/>
    <w:rsid w:val="5F8B79B9"/>
    <w:rsid w:val="5F8F74AA"/>
    <w:rsid w:val="5F927ACA"/>
    <w:rsid w:val="5F9A5E4E"/>
    <w:rsid w:val="5FA0342D"/>
    <w:rsid w:val="5FA32F55"/>
    <w:rsid w:val="5FA665A1"/>
    <w:rsid w:val="5FAB1E0A"/>
    <w:rsid w:val="5FB5521C"/>
    <w:rsid w:val="5FB837BB"/>
    <w:rsid w:val="5FBE3A3F"/>
    <w:rsid w:val="5FCB6008"/>
    <w:rsid w:val="5FD17AC2"/>
    <w:rsid w:val="5FD44EBD"/>
    <w:rsid w:val="5FD4774C"/>
    <w:rsid w:val="5FD749AD"/>
    <w:rsid w:val="5FD924D3"/>
    <w:rsid w:val="5FDE21DF"/>
    <w:rsid w:val="5FF13CC0"/>
    <w:rsid w:val="5FF41A5B"/>
    <w:rsid w:val="5FF612D7"/>
    <w:rsid w:val="5FF7504F"/>
    <w:rsid w:val="5FF92B75"/>
    <w:rsid w:val="5FF9400F"/>
    <w:rsid w:val="60063A16"/>
    <w:rsid w:val="60114363"/>
    <w:rsid w:val="60172FFB"/>
    <w:rsid w:val="601E438A"/>
    <w:rsid w:val="6023401A"/>
    <w:rsid w:val="6025396A"/>
    <w:rsid w:val="60255718"/>
    <w:rsid w:val="602B6AA7"/>
    <w:rsid w:val="60327E35"/>
    <w:rsid w:val="60340F2A"/>
    <w:rsid w:val="603718EF"/>
    <w:rsid w:val="60487659"/>
    <w:rsid w:val="604F4E8B"/>
    <w:rsid w:val="605B3830"/>
    <w:rsid w:val="606C1599"/>
    <w:rsid w:val="606D70BF"/>
    <w:rsid w:val="606F4BE5"/>
    <w:rsid w:val="60730B79"/>
    <w:rsid w:val="60785396"/>
    <w:rsid w:val="607B5C80"/>
    <w:rsid w:val="60824919"/>
    <w:rsid w:val="608856E4"/>
    <w:rsid w:val="60932FCA"/>
    <w:rsid w:val="60934D78"/>
    <w:rsid w:val="60966616"/>
    <w:rsid w:val="609D1752"/>
    <w:rsid w:val="609D5BF6"/>
    <w:rsid w:val="60A55543"/>
    <w:rsid w:val="60A96349"/>
    <w:rsid w:val="60B719D8"/>
    <w:rsid w:val="60BB7E2A"/>
    <w:rsid w:val="60C304B3"/>
    <w:rsid w:val="60C413D5"/>
    <w:rsid w:val="60CC405A"/>
    <w:rsid w:val="60EE1FAE"/>
    <w:rsid w:val="60F31CBA"/>
    <w:rsid w:val="60F63558"/>
    <w:rsid w:val="60FA6BA5"/>
    <w:rsid w:val="60FB4D3A"/>
    <w:rsid w:val="61045C75"/>
    <w:rsid w:val="61120392"/>
    <w:rsid w:val="61135EB8"/>
    <w:rsid w:val="61141FF6"/>
    <w:rsid w:val="6126799A"/>
    <w:rsid w:val="614222FA"/>
    <w:rsid w:val="61483DB4"/>
    <w:rsid w:val="6158286A"/>
    <w:rsid w:val="615A5099"/>
    <w:rsid w:val="616404C2"/>
    <w:rsid w:val="61695AD8"/>
    <w:rsid w:val="616C3191"/>
    <w:rsid w:val="61730705"/>
    <w:rsid w:val="6173696E"/>
    <w:rsid w:val="617C580C"/>
    <w:rsid w:val="617D1584"/>
    <w:rsid w:val="617F52FC"/>
    <w:rsid w:val="6183303E"/>
    <w:rsid w:val="61834DEC"/>
    <w:rsid w:val="618E3791"/>
    <w:rsid w:val="619035D7"/>
    <w:rsid w:val="6192144C"/>
    <w:rsid w:val="61923281"/>
    <w:rsid w:val="619A3EE4"/>
    <w:rsid w:val="61A46B11"/>
    <w:rsid w:val="61A905CB"/>
    <w:rsid w:val="61AD1E69"/>
    <w:rsid w:val="61B054B5"/>
    <w:rsid w:val="61B22FA3"/>
    <w:rsid w:val="61BA6334"/>
    <w:rsid w:val="61BC02FE"/>
    <w:rsid w:val="61C90E60"/>
    <w:rsid w:val="61D218D0"/>
    <w:rsid w:val="61D333FC"/>
    <w:rsid w:val="61D57E6A"/>
    <w:rsid w:val="61D81735"/>
    <w:rsid w:val="61DD58BF"/>
    <w:rsid w:val="61E215D8"/>
    <w:rsid w:val="61E57855"/>
    <w:rsid w:val="61E6537B"/>
    <w:rsid w:val="61F15E2B"/>
    <w:rsid w:val="61F168F6"/>
    <w:rsid w:val="61F555BE"/>
    <w:rsid w:val="61F5736C"/>
    <w:rsid w:val="61F64265"/>
    <w:rsid w:val="61FA2BD4"/>
    <w:rsid w:val="62071863"/>
    <w:rsid w:val="62145A44"/>
    <w:rsid w:val="621B3775"/>
    <w:rsid w:val="62231A62"/>
    <w:rsid w:val="622540F5"/>
    <w:rsid w:val="623065F6"/>
    <w:rsid w:val="62364782"/>
    <w:rsid w:val="62377CD0"/>
    <w:rsid w:val="62397BA1"/>
    <w:rsid w:val="62426A55"/>
    <w:rsid w:val="6244652D"/>
    <w:rsid w:val="624F2F20"/>
    <w:rsid w:val="6252656D"/>
    <w:rsid w:val="627666FF"/>
    <w:rsid w:val="62775FD3"/>
    <w:rsid w:val="628A3F58"/>
    <w:rsid w:val="628E1C9B"/>
    <w:rsid w:val="62922E0D"/>
    <w:rsid w:val="629D3C8C"/>
    <w:rsid w:val="629E5C56"/>
    <w:rsid w:val="62A71819"/>
    <w:rsid w:val="62AA45FB"/>
    <w:rsid w:val="62B334AF"/>
    <w:rsid w:val="62B72874"/>
    <w:rsid w:val="62BB6808"/>
    <w:rsid w:val="62CA25A7"/>
    <w:rsid w:val="62CA6A4B"/>
    <w:rsid w:val="62CC74B1"/>
    <w:rsid w:val="62CE653B"/>
    <w:rsid w:val="62D17DD9"/>
    <w:rsid w:val="62D358FF"/>
    <w:rsid w:val="62DB2A06"/>
    <w:rsid w:val="62E23D94"/>
    <w:rsid w:val="62E266CC"/>
    <w:rsid w:val="62E328C2"/>
    <w:rsid w:val="62E95123"/>
    <w:rsid w:val="62EA0E9B"/>
    <w:rsid w:val="62EE2739"/>
    <w:rsid w:val="62EF200D"/>
    <w:rsid w:val="62F53AC8"/>
    <w:rsid w:val="62F80177"/>
    <w:rsid w:val="62FB4E56"/>
    <w:rsid w:val="630755A9"/>
    <w:rsid w:val="631A52DC"/>
    <w:rsid w:val="63212B0F"/>
    <w:rsid w:val="63302D52"/>
    <w:rsid w:val="633203E1"/>
    <w:rsid w:val="63414013"/>
    <w:rsid w:val="63462575"/>
    <w:rsid w:val="6347009B"/>
    <w:rsid w:val="635F3637"/>
    <w:rsid w:val="63604CB9"/>
    <w:rsid w:val="6367429A"/>
    <w:rsid w:val="637569B7"/>
    <w:rsid w:val="63844E4C"/>
    <w:rsid w:val="638A3DD8"/>
    <w:rsid w:val="638D1F52"/>
    <w:rsid w:val="6393508F"/>
    <w:rsid w:val="6394356A"/>
    <w:rsid w:val="639D7CDB"/>
    <w:rsid w:val="63A454EE"/>
    <w:rsid w:val="63AC7EFE"/>
    <w:rsid w:val="63AE1EC8"/>
    <w:rsid w:val="63B05C82"/>
    <w:rsid w:val="63B15515"/>
    <w:rsid w:val="63C17E4E"/>
    <w:rsid w:val="63C45248"/>
    <w:rsid w:val="63C61B2C"/>
    <w:rsid w:val="63C90AB0"/>
    <w:rsid w:val="63D40BE9"/>
    <w:rsid w:val="63D556A7"/>
    <w:rsid w:val="63DF6526"/>
    <w:rsid w:val="63E86E38"/>
    <w:rsid w:val="63EA3F04"/>
    <w:rsid w:val="63F0428F"/>
    <w:rsid w:val="63F20007"/>
    <w:rsid w:val="63F26259"/>
    <w:rsid w:val="63F91396"/>
    <w:rsid w:val="64030466"/>
    <w:rsid w:val="64095351"/>
    <w:rsid w:val="640B10C9"/>
    <w:rsid w:val="64102431"/>
    <w:rsid w:val="641C5084"/>
    <w:rsid w:val="64202DC6"/>
    <w:rsid w:val="642301C1"/>
    <w:rsid w:val="642B52C7"/>
    <w:rsid w:val="64341301"/>
    <w:rsid w:val="64370110"/>
    <w:rsid w:val="643D6FD7"/>
    <w:rsid w:val="64497A4A"/>
    <w:rsid w:val="644C22CE"/>
    <w:rsid w:val="6457430E"/>
    <w:rsid w:val="646031C3"/>
    <w:rsid w:val="64630F05"/>
    <w:rsid w:val="646627A3"/>
    <w:rsid w:val="646802C9"/>
    <w:rsid w:val="646A4442"/>
    <w:rsid w:val="646A4C99"/>
    <w:rsid w:val="64746C6E"/>
    <w:rsid w:val="647E0C90"/>
    <w:rsid w:val="647E7AED"/>
    <w:rsid w:val="64803865"/>
    <w:rsid w:val="64882719"/>
    <w:rsid w:val="64994927"/>
    <w:rsid w:val="649C61C5"/>
    <w:rsid w:val="64A04251"/>
    <w:rsid w:val="64A5243A"/>
    <w:rsid w:val="64AA6B34"/>
    <w:rsid w:val="64AD68B8"/>
    <w:rsid w:val="64B4350F"/>
    <w:rsid w:val="64B81251"/>
    <w:rsid w:val="64C25C2B"/>
    <w:rsid w:val="64CF0348"/>
    <w:rsid w:val="64D37E39"/>
    <w:rsid w:val="64D616D7"/>
    <w:rsid w:val="64D8544F"/>
    <w:rsid w:val="64E536C8"/>
    <w:rsid w:val="64EF13AD"/>
    <w:rsid w:val="64EF2DB3"/>
    <w:rsid w:val="64EF4547"/>
    <w:rsid w:val="64F531DE"/>
    <w:rsid w:val="6502545F"/>
    <w:rsid w:val="65055B18"/>
    <w:rsid w:val="650A312E"/>
    <w:rsid w:val="652135C9"/>
    <w:rsid w:val="65295CAB"/>
    <w:rsid w:val="653043C1"/>
    <w:rsid w:val="6530528B"/>
    <w:rsid w:val="65373578"/>
    <w:rsid w:val="653B778C"/>
    <w:rsid w:val="653E102A"/>
    <w:rsid w:val="65444892"/>
    <w:rsid w:val="654523B9"/>
    <w:rsid w:val="65586590"/>
    <w:rsid w:val="655F408F"/>
    <w:rsid w:val="65624D19"/>
    <w:rsid w:val="6562740E"/>
    <w:rsid w:val="65674A25"/>
    <w:rsid w:val="656C3DE9"/>
    <w:rsid w:val="65705687"/>
    <w:rsid w:val="65751542"/>
    <w:rsid w:val="6589499B"/>
    <w:rsid w:val="65956E9C"/>
    <w:rsid w:val="65960E66"/>
    <w:rsid w:val="65995AE1"/>
    <w:rsid w:val="659D5C58"/>
    <w:rsid w:val="65BB267B"/>
    <w:rsid w:val="65BC6B1F"/>
    <w:rsid w:val="65C4649D"/>
    <w:rsid w:val="65C6799D"/>
    <w:rsid w:val="65CD0D2C"/>
    <w:rsid w:val="65D33E68"/>
    <w:rsid w:val="65D35C16"/>
    <w:rsid w:val="65D75707"/>
    <w:rsid w:val="65E120E1"/>
    <w:rsid w:val="66020C2E"/>
    <w:rsid w:val="66061B48"/>
    <w:rsid w:val="661F0E5C"/>
    <w:rsid w:val="66216982"/>
    <w:rsid w:val="6626043C"/>
    <w:rsid w:val="662A7F2C"/>
    <w:rsid w:val="66300A78"/>
    <w:rsid w:val="66413961"/>
    <w:rsid w:val="66420775"/>
    <w:rsid w:val="664953FB"/>
    <w:rsid w:val="664D59C9"/>
    <w:rsid w:val="66552ACF"/>
    <w:rsid w:val="66560D21"/>
    <w:rsid w:val="665A00E6"/>
    <w:rsid w:val="665F56FC"/>
    <w:rsid w:val="66611474"/>
    <w:rsid w:val="6664072D"/>
    <w:rsid w:val="66644AC0"/>
    <w:rsid w:val="66652D12"/>
    <w:rsid w:val="66660838"/>
    <w:rsid w:val="666A657B"/>
    <w:rsid w:val="666D7F9E"/>
    <w:rsid w:val="666F3F89"/>
    <w:rsid w:val="66716F5F"/>
    <w:rsid w:val="667967BE"/>
    <w:rsid w:val="667F18FA"/>
    <w:rsid w:val="66815672"/>
    <w:rsid w:val="668F4233"/>
    <w:rsid w:val="669058B5"/>
    <w:rsid w:val="66952467"/>
    <w:rsid w:val="66952ECC"/>
    <w:rsid w:val="66967370"/>
    <w:rsid w:val="669B3D6D"/>
    <w:rsid w:val="669C425A"/>
    <w:rsid w:val="66AA4BC9"/>
    <w:rsid w:val="66BC6742"/>
    <w:rsid w:val="66C35C8B"/>
    <w:rsid w:val="66CC742A"/>
    <w:rsid w:val="66CD4D5B"/>
    <w:rsid w:val="66D52516"/>
    <w:rsid w:val="66DC53F8"/>
    <w:rsid w:val="66E225B5"/>
    <w:rsid w:val="66EF4CD2"/>
    <w:rsid w:val="66F44096"/>
    <w:rsid w:val="66FB71D3"/>
    <w:rsid w:val="670535DB"/>
    <w:rsid w:val="670916B1"/>
    <w:rsid w:val="670B41FB"/>
    <w:rsid w:val="671169F6"/>
    <w:rsid w:val="6712451C"/>
    <w:rsid w:val="671F124A"/>
    <w:rsid w:val="67204E8B"/>
    <w:rsid w:val="6723497B"/>
    <w:rsid w:val="67236729"/>
    <w:rsid w:val="6727446C"/>
    <w:rsid w:val="672D1356"/>
    <w:rsid w:val="672F50CE"/>
    <w:rsid w:val="67362901"/>
    <w:rsid w:val="6739419F"/>
    <w:rsid w:val="673D0F17"/>
    <w:rsid w:val="67486190"/>
    <w:rsid w:val="674A1F08"/>
    <w:rsid w:val="67506FB6"/>
    <w:rsid w:val="67566AFF"/>
    <w:rsid w:val="675D1C3B"/>
    <w:rsid w:val="675F3C06"/>
    <w:rsid w:val="67627252"/>
    <w:rsid w:val="67642FCA"/>
    <w:rsid w:val="676C6322"/>
    <w:rsid w:val="676E5BF7"/>
    <w:rsid w:val="67752FBF"/>
    <w:rsid w:val="677A33C6"/>
    <w:rsid w:val="677B0314"/>
    <w:rsid w:val="677D408C"/>
    <w:rsid w:val="67874F0A"/>
    <w:rsid w:val="679D028A"/>
    <w:rsid w:val="67AB6E4B"/>
    <w:rsid w:val="67AC214E"/>
    <w:rsid w:val="67B850C4"/>
    <w:rsid w:val="67B9724A"/>
    <w:rsid w:val="67BD7729"/>
    <w:rsid w:val="67BF28F6"/>
    <w:rsid w:val="67D839B8"/>
    <w:rsid w:val="67DA14DE"/>
    <w:rsid w:val="67DD4B2A"/>
    <w:rsid w:val="67DF4D46"/>
    <w:rsid w:val="67E22141"/>
    <w:rsid w:val="67E45EB9"/>
    <w:rsid w:val="67E9687C"/>
    <w:rsid w:val="67EB7247"/>
    <w:rsid w:val="67ED7463"/>
    <w:rsid w:val="67F307F2"/>
    <w:rsid w:val="67FA56DC"/>
    <w:rsid w:val="67FD51CC"/>
    <w:rsid w:val="68046C31"/>
    <w:rsid w:val="681309EC"/>
    <w:rsid w:val="681A3FD0"/>
    <w:rsid w:val="681C5653"/>
    <w:rsid w:val="681F3395"/>
    <w:rsid w:val="681F6961"/>
    <w:rsid w:val="6833299C"/>
    <w:rsid w:val="683706DE"/>
    <w:rsid w:val="683A01CF"/>
    <w:rsid w:val="683C3BAD"/>
    <w:rsid w:val="683D381B"/>
    <w:rsid w:val="683F3A37"/>
    <w:rsid w:val="6844104D"/>
    <w:rsid w:val="684B5F38"/>
    <w:rsid w:val="68550B65"/>
    <w:rsid w:val="685C0145"/>
    <w:rsid w:val="68610A2F"/>
    <w:rsid w:val="68617509"/>
    <w:rsid w:val="68660FC4"/>
    <w:rsid w:val="686B482C"/>
    <w:rsid w:val="687C4343"/>
    <w:rsid w:val="687E00BB"/>
    <w:rsid w:val="687E630D"/>
    <w:rsid w:val="68805514"/>
    <w:rsid w:val="688E3F4B"/>
    <w:rsid w:val="68953657"/>
    <w:rsid w:val="689C6793"/>
    <w:rsid w:val="689E075E"/>
    <w:rsid w:val="689E69AF"/>
    <w:rsid w:val="68AD63C2"/>
    <w:rsid w:val="68AF4719"/>
    <w:rsid w:val="68C06926"/>
    <w:rsid w:val="68CF0917"/>
    <w:rsid w:val="68E33665"/>
    <w:rsid w:val="68E36170"/>
    <w:rsid w:val="690802CD"/>
    <w:rsid w:val="690F0C92"/>
    <w:rsid w:val="690F6F65"/>
    <w:rsid w:val="691C78D4"/>
    <w:rsid w:val="69230C63"/>
    <w:rsid w:val="69232A11"/>
    <w:rsid w:val="692769A5"/>
    <w:rsid w:val="69316E2F"/>
    <w:rsid w:val="69342E70"/>
    <w:rsid w:val="693B7D5A"/>
    <w:rsid w:val="69407A67"/>
    <w:rsid w:val="69427065"/>
    <w:rsid w:val="694330B3"/>
    <w:rsid w:val="694766FF"/>
    <w:rsid w:val="694A5C32"/>
    <w:rsid w:val="694E199B"/>
    <w:rsid w:val="694E2071"/>
    <w:rsid w:val="695157D0"/>
    <w:rsid w:val="6954706E"/>
    <w:rsid w:val="69580E00"/>
    <w:rsid w:val="695E3F8F"/>
    <w:rsid w:val="696077C1"/>
    <w:rsid w:val="69642958"/>
    <w:rsid w:val="6965127B"/>
    <w:rsid w:val="69670B4F"/>
    <w:rsid w:val="69676DA1"/>
    <w:rsid w:val="696D1EDE"/>
    <w:rsid w:val="696F20FA"/>
    <w:rsid w:val="696F273E"/>
    <w:rsid w:val="69766163"/>
    <w:rsid w:val="69796AD5"/>
    <w:rsid w:val="697A3B33"/>
    <w:rsid w:val="69845BA5"/>
    <w:rsid w:val="69937B96"/>
    <w:rsid w:val="699D6C67"/>
    <w:rsid w:val="69A04061"/>
    <w:rsid w:val="69A40916"/>
    <w:rsid w:val="69AE2C22"/>
    <w:rsid w:val="69AE49D0"/>
    <w:rsid w:val="69B55D5F"/>
    <w:rsid w:val="69BA15C7"/>
    <w:rsid w:val="69C2222A"/>
    <w:rsid w:val="69CA7330"/>
    <w:rsid w:val="69D44760"/>
    <w:rsid w:val="69DB153D"/>
    <w:rsid w:val="69EB1780"/>
    <w:rsid w:val="69ED28C9"/>
    <w:rsid w:val="69F10D61"/>
    <w:rsid w:val="69F50851"/>
    <w:rsid w:val="69FC398E"/>
    <w:rsid w:val="69FD3262"/>
    <w:rsid w:val="69FF347E"/>
    <w:rsid w:val="6A070584"/>
    <w:rsid w:val="6A0A597F"/>
    <w:rsid w:val="6A154A4F"/>
    <w:rsid w:val="6A162576"/>
    <w:rsid w:val="6A1707C7"/>
    <w:rsid w:val="6A1C4030"/>
    <w:rsid w:val="6A1F142A"/>
    <w:rsid w:val="6A211646"/>
    <w:rsid w:val="6A2133F4"/>
    <w:rsid w:val="6A2151A2"/>
    <w:rsid w:val="6A2E5B11"/>
    <w:rsid w:val="6A474CD1"/>
    <w:rsid w:val="6A505A87"/>
    <w:rsid w:val="6A520EC7"/>
    <w:rsid w:val="6A5A6906"/>
    <w:rsid w:val="6A5D4CA1"/>
    <w:rsid w:val="6A613E90"/>
    <w:rsid w:val="6A6200E9"/>
    <w:rsid w:val="6A641533"/>
    <w:rsid w:val="6A6908F7"/>
    <w:rsid w:val="6A696B49"/>
    <w:rsid w:val="6A6B466F"/>
    <w:rsid w:val="6A6E5F0E"/>
    <w:rsid w:val="6A8614A9"/>
    <w:rsid w:val="6A8A71EB"/>
    <w:rsid w:val="6A927E4E"/>
    <w:rsid w:val="6A935974"/>
    <w:rsid w:val="6A983BCB"/>
    <w:rsid w:val="6A983F47"/>
    <w:rsid w:val="6A9B5529"/>
    <w:rsid w:val="6AA45DD3"/>
    <w:rsid w:val="6AAD2EDA"/>
    <w:rsid w:val="6AAD4C88"/>
    <w:rsid w:val="6AB853DB"/>
    <w:rsid w:val="6AC50223"/>
    <w:rsid w:val="6AC77CF3"/>
    <w:rsid w:val="6AC81AC2"/>
    <w:rsid w:val="6AD14E1A"/>
    <w:rsid w:val="6AD62431"/>
    <w:rsid w:val="6ADA35A3"/>
    <w:rsid w:val="6ADF6E0B"/>
    <w:rsid w:val="6AE044EB"/>
    <w:rsid w:val="6AE7104F"/>
    <w:rsid w:val="6AE77D3C"/>
    <w:rsid w:val="6AEA1A38"/>
    <w:rsid w:val="6AEC0AB1"/>
    <w:rsid w:val="6AF23A65"/>
    <w:rsid w:val="6AF460FA"/>
    <w:rsid w:val="6AF6662F"/>
    <w:rsid w:val="6AF87E20"/>
    <w:rsid w:val="6AFC7DC6"/>
    <w:rsid w:val="6B014FD4"/>
    <w:rsid w:val="6B086362"/>
    <w:rsid w:val="6B0B7C00"/>
    <w:rsid w:val="6B0F76F1"/>
    <w:rsid w:val="6B144D07"/>
    <w:rsid w:val="6B170353"/>
    <w:rsid w:val="6B1B42E7"/>
    <w:rsid w:val="6B2722AE"/>
    <w:rsid w:val="6B2B487C"/>
    <w:rsid w:val="6B321631"/>
    <w:rsid w:val="6B322639"/>
    <w:rsid w:val="6B4C44A1"/>
    <w:rsid w:val="6B511AB7"/>
    <w:rsid w:val="6B5A39AA"/>
    <w:rsid w:val="6B5E2426"/>
    <w:rsid w:val="6B623CC4"/>
    <w:rsid w:val="6B6932A5"/>
    <w:rsid w:val="6B712159"/>
    <w:rsid w:val="6B824F0E"/>
    <w:rsid w:val="6B8354FC"/>
    <w:rsid w:val="6B855C05"/>
    <w:rsid w:val="6B8C2AEF"/>
    <w:rsid w:val="6B9145AA"/>
    <w:rsid w:val="6B946546"/>
    <w:rsid w:val="6B9E0A74"/>
    <w:rsid w:val="6BA306E0"/>
    <w:rsid w:val="6BA51E03"/>
    <w:rsid w:val="6BAC3191"/>
    <w:rsid w:val="6BB107A8"/>
    <w:rsid w:val="6BB64010"/>
    <w:rsid w:val="6BC4672D"/>
    <w:rsid w:val="6BD821D8"/>
    <w:rsid w:val="6BD9385B"/>
    <w:rsid w:val="6BDB5825"/>
    <w:rsid w:val="6BE558C2"/>
    <w:rsid w:val="6BE566A3"/>
    <w:rsid w:val="6BE75F78"/>
    <w:rsid w:val="6BEC5C84"/>
    <w:rsid w:val="6BEE37AA"/>
    <w:rsid w:val="6BF12222"/>
    <w:rsid w:val="6BF1329A"/>
    <w:rsid w:val="6BF15048"/>
    <w:rsid w:val="6BF863D7"/>
    <w:rsid w:val="6BFA214F"/>
    <w:rsid w:val="6C00528B"/>
    <w:rsid w:val="6C037118"/>
    <w:rsid w:val="6C042FCD"/>
    <w:rsid w:val="6C094140"/>
    <w:rsid w:val="6C0A7EB8"/>
    <w:rsid w:val="6C0B435C"/>
    <w:rsid w:val="6C1D218E"/>
    <w:rsid w:val="6C1F6FDB"/>
    <w:rsid w:val="6C2216A6"/>
    <w:rsid w:val="6C2B0F5D"/>
    <w:rsid w:val="6C3118E9"/>
    <w:rsid w:val="6C33740F"/>
    <w:rsid w:val="6C417D7E"/>
    <w:rsid w:val="6C423AF6"/>
    <w:rsid w:val="6C4E5FF7"/>
    <w:rsid w:val="6C553829"/>
    <w:rsid w:val="6C636C38"/>
    <w:rsid w:val="6C7A3290"/>
    <w:rsid w:val="6C8222E0"/>
    <w:rsid w:val="6C871509"/>
    <w:rsid w:val="6C8859AD"/>
    <w:rsid w:val="6C944351"/>
    <w:rsid w:val="6CB06577"/>
    <w:rsid w:val="6CBC7404"/>
    <w:rsid w:val="6CC22541"/>
    <w:rsid w:val="6CC30793"/>
    <w:rsid w:val="6CC4450B"/>
    <w:rsid w:val="6CD51C5E"/>
    <w:rsid w:val="6CDD2B64"/>
    <w:rsid w:val="6CDE55CC"/>
    <w:rsid w:val="6CE00951"/>
    <w:rsid w:val="6CE150BD"/>
    <w:rsid w:val="6CE629DD"/>
    <w:rsid w:val="6CEB1DAA"/>
    <w:rsid w:val="6CED5810"/>
    <w:rsid w:val="6CF03552"/>
    <w:rsid w:val="6CF070AE"/>
    <w:rsid w:val="6CF52916"/>
    <w:rsid w:val="6CF83798"/>
    <w:rsid w:val="6CFE5C6F"/>
    <w:rsid w:val="6D0268F4"/>
    <w:rsid w:val="6D3E42BD"/>
    <w:rsid w:val="6D3F53F1"/>
    <w:rsid w:val="6D486EEA"/>
    <w:rsid w:val="6D4F2026"/>
    <w:rsid w:val="6D527D69"/>
    <w:rsid w:val="6D59799B"/>
    <w:rsid w:val="6D5F39C1"/>
    <w:rsid w:val="6D6020B1"/>
    <w:rsid w:val="6D6F26C8"/>
    <w:rsid w:val="6D785A21"/>
    <w:rsid w:val="6D8A0FB0"/>
    <w:rsid w:val="6D8B6DD7"/>
    <w:rsid w:val="6DA85BDA"/>
    <w:rsid w:val="6DB34098"/>
    <w:rsid w:val="6DB4632D"/>
    <w:rsid w:val="6DB523BB"/>
    <w:rsid w:val="6DB545B6"/>
    <w:rsid w:val="6DC742B3"/>
    <w:rsid w:val="6DCF13B9"/>
    <w:rsid w:val="6DCF760B"/>
    <w:rsid w:val="6DD237D1"/>
    <w:rsid w:val="6DD54C21"/>
    <w:rsid w:val="6DD90074"/>
    <w:rsid w:val="6DE02FB4"/>
    <w:rsid w:val="6DE22E9A"/>
    <w:rsid w:val="6DE44E65"/>
    <w:rsid w:val="6DEE183F"/>
    <w:rsid w:val="6DEE5CE3"/>
    <w:rsid w:val="6DFB21AE"/>
    <w:rsid w:val="6E0252EB"/>
    <w:rsid w:val="6E054DDB"/>
    <w:rsid w:val="6E080427"/>
    <w:rsid w:val="6E182D60"/>
    <w:rsid w:val="6E1B63AC"/>
    <w:rsid w:val="6E2711F5"/>
    <w:rsid w:val="6E2B2A93"/>
    <w:rsid w:val="6E361438"/>
    <w:rsid w:val="6E380A90"/>
    <w:rsid w:val="6E40579E"/>
    <w:rsid w:val="6E427433"/>
    <w:rsid w:val="6E4753F3"/>
    <w:rsid w:val="6E514CED"/>
    <w:rsid w:val="6E6164B5"/>
    <w:rsid w:val="6E625D89"/>
    <w:rsid w:val="6E6829CA"/>
    <w:rsid w:val="6E710C21"/>
    <w:rsid w:val="6E712470"/>
    <w:rsid w:val="6E7206C2"/>
    <w:rsid w:val="6E7361E8"/>
    <w:rsid w:val="6E7F4149"/>
    <w:rsid w:val="6E804461"/>
    <w:rsid w:val="6E8126B3"/>
    <w:rsid w:val="6E874588"/>
    <w:rsid w:val="6E963C85"/>
    <w:rsid w:val="6E9B24E1"/>
    <w:rsid w:val="6EA2087C"/>
    <w:rsid w:val="6EA36ACE"/>
    <w:rsid w:val="6EA63EC8"/>
    <w:rsid w:val="6EB563D5"/>
    <w:rsid w:val="6EB74327"/>
    <w:rsid w:val="6EBE047E"/>
    <w:rsid w:val="6EBF31DC"/>
    <w:rsid w:val="6ED92677"/>
    <w:rsid w:val="6EDC1FE0"/>
    <w:rsid w:val="6EEA28A8"/>
    <w:rsid w:val="6EF06139"/>
    <w:rsid w:val="6EF530A1"/>
    <w:rsid w:val="6EF94940"/>
    <w:rsid w:val="6F03131A"/>
    <w:rsid w:val="6F060E0B"/>
    <w:rsid w:val="6F0B4673"/>
    <w:rsid w:val="6F162691"/>
    <w:rsid w:val="6F225983"/>
    <w:rsid w:val="6F225B20"/>
    <w:rsid w:val="6F2A4AF9"/>
    <w:rsid w:val="6F2F2088"/>
    <w:rsid w:val="6F3516F0"/>
    <w:rsid w:val="6F3B6D06"/>
    <w:rsid w:val="6F4656AB"/>
    <w:rsid w:val="6F4F27B2"/>
    <w:rsid w:val="6F573414"/>
    <w:rsid w:val="6F5A2023"/>
    <w:rsid w:val="6F5A2F04"/>
    <w:rsid w:val="6F616041"/>
    <w:rsid w:val="6F63000B"/>
    <w:rsid w:val="6F683679"/>
    <w:rsid w:val="6F6A1399"/>
    <w:rsid w:val="6F6D3755"/>
    <w:rsid w:val="6F711126"/>
    <w:rsid w:val="6F733C2C"/>
    <w:rsid w:val="6F795A80"/>
    <w:rsid w:val="6F79782E"/>
    <w:rsid w:val="6F865AA7"/>
    <w:rsid w:val="6F880045"/>
    <w:rsid w:val="6F881820"/>
    <w:rsid w:val="6F8D5088"/>
    <w:rsid w:val="6F8F7052"/>
    <w:rsid w:val="6F975F07"/>
    <w:rsid w:val="6F984159"/>
    <w:rsid w:val="6F9B59F7"/>
    <w:rsid w:val="6F9E54E7"/>
    <w:rsid w:val="6F9E7295"/>
    <w:rsid w:val="6FB005CF"/>
    <w:rsid w:val="6FBD596D"/>
    <w:rsid w:val="6FBE16E5"/>
    <w:rsid w:val="6FC25688"/>
    <w:rsid w:val="6FC33627"/>
    <w:rsid w:val="6FC50CC6"/>
    <w:rsid w:val="6FC54822"/>
    <w:rsid w:val="6FD431D8"/>
    <w:rsid w:val="6FDD600F"/>
    <w:rsid w:val="6FE27182"/>
    <w:rsid w:val="6FE51DFB"/>
    <w:rsid w:val="6FE74798"/>
    <w:rsid w:val="6FEA072C"/>
    <w:rsid w:val="6FF2313D"/>
    <w:rsid w:val="6FFB1220"/>
    <w:rsid w:val="6FFC5590"/>
    <w:rsid w:val="700215D2"/>
    <w:rsid w:val="700309CA"/>
    <w:rsid w:val="7003534A"/>
    <w:rsid w:val="70082960"/>
    <w:rsid w:val="700A492A"/>
    <w:rsid w:val="70115CB9"/>
    <w:rsid w:val="702A28D7"/>
    <w:rsid w:val="70333E81"/>
    <w:rsid w:val="703674CE"/>
    <w:rsid w:val="703F02E2"/>
    <w:rsid w:val="704240C4"/>
    <w:rsid w:val="704D3810"/>
    <w:rsid w:val="704E4817"/>
    <w:rsid w:val="705362D1"/>
    <w:rsid w:val="70536EF3"/>
    <w:rsid w:val="7053793E"/>
    <w:rsid w:val="706D1DD0"/>
    <w:rsid w:val="70700C31"/>
    <w:rsid w:val="70763D6E"/>
    <w:rsid w:val="70765B1C"/>
    <w:rsid w:val="70781894"/>
    <w:rsid w:val="707B1384"/>
    <w:rsid w:val="707B1DF5"/>
    <w:rsid w:val="70814BED"/>
    <w:rsid w:val="70856B87"/>
    <w:rsid w:val="708A0630"/>
    <w:rsid w:val="708C3591"/>
    <w:rsid w:val="708E730A"/>
    <w:rsid w:val="709567BC"/>
    <w:rsid w:val="70967F6C"/>
    <w:rsid w:val="70A408DB"/>
    <w:rsid w:val="70A46B2D"/>
    <w:rsid w:val="70A96832"/>
    <w:rsid w:val="70AC59E2"/>
    <w:rsid w:val="70B825D8"/>
    <w:rsid w:val="70C64CF5"/>
    <w:rsid w:val="70C8281B"/>
    <w:rsid w:val="70D527EE"/>
    <w:rsid w:val="70D54F38"/>
    <w:rsid w:val="70D55786"/>
    <w:rsid w:val="70D80585"/>
    <w:rsid w:val="70D94A29"/>
    <w:rsid w:val="70DA254F"/>
    <w:rsid w:val="70DE203F"/>
    <w:rsid w:val="70ED4030"/>
    <w:rsid w:val="70F5225F"/>
    <w:rsid w:val="70FD092D"/>
    <w:rsid w:val="70FF5B11"/>
    <w:rsid w:val="71080E6A"/>
    <w:rsid w:val="710B6BAC"/>
    <w:rsid w:val="711772FF"/>
    <w:rsid w:val="71184E25"/>
    <w:rsid w:val="711A6DEF"/>
    <w:rsid w:val="711D41EA"/>
    <w:rsid w:val="71221C3A"/>
    <w:rsid w:val="7130216F"/>
    <w:rsid w:val="71324139"/>
    <w:rsid w:val="713779A1"/>
    <w:rsid w:val="71457804"/>
    <w:rsid w:val="714A3D55"/>
    <w:rsid w:val="715220E5"/>
    <w:rsid w:val="715B5300"/>
    <w:rsid w:val="7162317B"/>
    <w:rsid w:val="71793EC4"/>
    <w:rsid w:val="7189187F"/>
    <w:rsid w:val="718A5D23"/>
    <w:rsid w:val="71926986"/>
    <w:rsid w:val="71970440"/>
    <w:rsid w:val="71A5490B"/>
    <w:rsid w:val="71B40FF2"/>
    <w:rsid w:val="71B94F7B"/>
    <w:rsid w:val="71BD4434"/>
    <w:rsid w:val="71C37049"/>
    <w:rsid w:val="71CD5C10"/>
    <w:rsid w:val="71D27F8A"/>
    <w:rsid w:val="71DB4C11"/>
    <w:rsid w:val="71DE7E1D"/>
    <w:rsid w:val="71E74F23"/>
    <w:rsid w:val="71EA4A14"/>
    <w:rsid w:val="72020244"/>
    <w:rsid w:val="72031631"/>
    <w:rsid w:val="7205184D"/>
    <w:rsid w:val="720F7FD6"/>
    <w:rsid w:val="72101B3F"/>
    <w:rsid w:val="72111FA0"/>
    <w:rsid w:val="72203F91"/>
    <w:rsid w:val="722515A8"/>
    <w:rsid w:val="722C0F51"/>
    <w:rsid w:val="72323CC5"/>
    <w:rsid w:val="7234403C"/>
    <w:rsid w:val="72361A07"/>
    <w:rsid w:val="723B0DCB"/>
    <w:rsid w:val="723D2D95"/>
    <w:rsid w:val="724C122A"/>
    <w:rsid w:val="72553024"/>
    <w:rsid w:val="725974A3"/>
    <w:rsid w:val="725D6F93"/>
    <w:rsid w:val="726C367A"/>
    <w:rsid w:val="7275761B"/>
    <w:rsid w:val="727A7B45"/>
    <w:rsid w:val="727C643D"/>
    <w:rsid w:val="72802C82"/>
    <w:rsid w:val="72850298"/>
    <w:rsid w:val="72866BBC"/>
    <w:rsid w:val="7289422C"/>
    <w:rsid w:val="728C5ACB"/>
    <w:rsid w:val="7294672D"/>
    <w:rsid w:val="72954250"/>
    <w:rsid w:val="72967753"/>
    <w:rsid w:val="729A0448"/>
    <w:rsid w:val="72A252EE"/>
    <w:rsid w:val="72A42E14"/>
    <w:rsid w:val="72A9042B"/>
    <w:rsid w:val="72A93F87"/>
    <w:rsid w:val="72B172DF"/>
    <w:rsid w:val="72B62B48"/>
    <w:rsid w:val="72B92290"/>
    <w:rsid w:val="72BD3ED6"/>
    <w:rsid w:val="72BF37AA"/>
    <w:rsid w:val="72C74D55"/>
    <w:rsid w:val="72DB435C"/>
    <w:rsid w:val="72F07E08"/>
    <w:rsid w:val="73066A32"/>
    <w:rsid w:val="73076EFF"/>
    <w:rsid w:val="730833A3"/>
    <w:rsid w:val="730A3BF2"/>
    <w:rsid w:val="73122968"/>
    <w:rsid w:val="731376BB"/>
    <w:rsid w:val="731B6897"/>
    <w:rsid w:val="731F5D5E"/>
    <w:rsid w:val="732950C8"/>
    <w:rsid w:val="73320420"/>
    <w:rsid w:val="733C4DFB"/>
    <w:rsid w:val="73440153"/>
    <w:rsid w:val="7349576A"/>
    <w:rsid w:val="735008A6"/>
    <w:rsid w:val="73577E87"/>
    <w:rsid w:val="736305DA"/>
    <w:rsid w:val="736600CA"/>
    <w:rsid w:val="736D76AA"/>
    <w:rsid w:val="7375030D"/>
    <w:rsid w:val="73770529"/>
    <w:rsid w:val="73797DFD"/>
    <w:rsid w:val="737A5923"/>
    <w:rsid w:val="73814F04"/>
    <w:rsid w:val="738B18DE"/>
    <w:rsid w:val="73905147"/>
    <w:rsid w:val="73913558"/>
    <w:rsid w:val="739E1612"/>
    <w:rsid w:val="73A806E2"/>
    <w:rsid w:val="73AB771E"/>
    <w:rsid w:val="73AC6367"/>
    <w:rsid w:val="73AD5CF9"/>
    <w:rsid w:val="73B47087"/>
    <w:rsid w:val="73C44343"/>
    <w:rsid w:val="73C51AD5"/>
    <w:rsid w:val="73C66DBA"/>
    <w:rsid w:val="73CD1EF7"/>
    <w:rsid w:val="73D03795"/>
    <w:rsid w:val="73D239B1"/>
    <w:rsid w:val="73D2562A"/>
    <w:rsid w:val="73D70FC8"/>
    <w:rsid w:val="73D9089C"/>
    <w:rsid w:val="73DD5EE1"/>
    <w:rsid w:val="73E10605"/>
    <w:rsid w:val="73E3796C"/>
    <w:rsid w:val="73E610C9"/>
    <w:rsid w:val="73EE31E0"/>
    <w:rsid w:val="73FC458A"/>
    <w:rsid w:val="740578E3"/>
    <w:rsid w:val="740743E3"/>
    <w:rsid w:val="740854B1"/>
    <w:rsid w:val="740A4021"/>
    <w:rsid w:val="740A6CA7"/>
    <w:rsid w:val="740F0761"/>
    <w:rsid w:val="740F42CF"/>
    <w:rsid w:val="74116287"/>
    <w:rsid w:val="74161AF0"/>
    <w:rsid w:val="741E793C"/>
    <w:rsid w:val="742837BB"/>
    <w:rsid w:val="742B3E22"/>
    <w:rsid w:val="743106D8"/>
    <w:rsid w:val="74363B44"/>
    <w:rsid w:val="743C0E2B"/>
    <w:rsid w:val="74493C73"/>
    <w:rsid w:val="744A3547"/>
    <w:rsid w:val="74575C64"/>
    <w:rsid w:val="745E3944"/>
    <w:rsid w:val="7461100D"/>
    <w:rsid w:val="746D013B"/>
    <w:rsid w:val="746D57C9"/>
    <w:rsid w:val="747400A6"/>
    <w:rsid w:val="74744A68"/>
    <w:rsid w:val="74836A59"/>
    <w:rsid w:val="74934EEE"/>
    <w:rsid w:val="74A73278"/>
    <w:rsid w:val="74AC4202"/>
    <w:rsid w:val="74CE64CD"/>
    <w:rsid w:val="74D6302D"/>
    <w:rsid w:val="74D80B53"/>
    <w:rsid w:val="74DF0134"/>
    <w:rsid w:val="74DF6386"/>
    <w:rsid w:val="74E514C2"/>
    <w:rsid w:val="74E7348C"/>
    <w:rsid w:val="74EB6AD9"/>
    <w:rsid w:val="74EE481B"/>
    <w:rsid w:val="74F31E31"/>
    <w:rsid w:val="74F51705"/>
    <w:rsid w:val="74F6661B"/>
    <w:rsid w:val="74FB388F"/>
    <w:rsid w:val="74FC6F38"/>
    <w:rsid w:val="750615ED"/>
    <w:rsid w:val="750758DC"/>
    <w:rsid w:val="750E27C7"/>
    <w:rsid w:val="750E6C6B"/>
    <w:rsid w:val="750F5B7F"/>
    <w:rsid w:val="75114065"/>
    <w:rsid w:val="7513602F"/>
    <w:rsid w:val="75241941"/>
    <w:rsid w:val="752A26BD"/>
    <w:rsid w:val="75357D54"/>
    <w:rsid w:val="75380E70"/>
    <w:rsid w:val="75422471"/>
    <w:rsid w:val="75462D32"/>
    <w:rsid w:val="754B3A1B"/>
    <w:rsid w:val="754D2D59"/>
    <w:rsid w:val="7553467E"/>
    <w:rsid w:val="75562D42"/>
    <w:rsid w:val="755C3F1C"/>
    <w:rsid w:val="755F74C6"/>
    <w:rsid w:val="75693EA1"/>
    <w:rsid w:val="75695C4F"/>
    <w:rsid w:val="757271FA"/>
    <w:rsid w:val="75742F72"/>
    <w:rsid w:val="75862CA5"/>
    <w:rsid w:val="75894543"/>
    <w:rsid w:val="759D1CBC"/>
    <w:rsid w:val="75A35605"/>
    <w:rsid w:val="75A82C1C"/>
    <w:rsid w:val="75AB0C56"/>
    <w:rsid w:val="75B72C70"/>
    <w:rsid w:val="75B94E29"/>
    <w:rsid w:val="75D222C7"/>
    <w:rsid w:val="75E11C8A"/>
    <w:rsid w:val="75E8126A"/>
    <w:rsid w:val="75ED062E"/>
    <w:rsid w:val="75F0011F"/>
    <w:rsid w:val="75F16D07"/>
    <w:rsid w:val="75F419BD"/>
    <w:rsid w:val="75F61BD9"/>
    <w:rsid w:val="75F66397"/>
    <w:rsid w:val="75F8409D"/>
    <w:rsid w:val="75F8708D"/>
    <w:rsid w:val="76014685"/>
    <w:rsid w:val="760342F6"/>
    <w:rsid w:val="76142D94"/>
    <w:rsid w:val="761C0F14"/>
    <w:rsid w:val="761D53B8"/>
    <w:rsid w:val="7621652A"/>
    <w:rsid w:val="76231B50"/>
    <w:rsid w:val="762A3631"/>
    <w:rsid w:val="76322C84"/>
    <w:rsid w:val="7635099D"/>
    <w:rsid w:val="76361FD5"/>
    <w:rsid w:val="76375D4D"/>
    <w:rsid w:val="764566BC"/>
    <w:rsid w:val="76465612"/>
    <w:rsid w:val="76465F91"/>
    <w:rsid w:val="764A782F"/>
    <w:rsid w:val="766052A4"/>
    <w:rsid w:val="76607052"/>
    <w:rsid w:val="76637662"/>
    <w:rsid w:val="766528BB"/>
    <w:rsid w:val="766F3739"/>
    <w:rsid w:val="769431A0"/>
    <w:rsid w:val="769A6A08"/>
    <w:rsid w:val="769B008A"/>
    <w:rsid w:val="769D2054"/>
    <w:rsid w:val="769F5FB4"/>
    <w:rsid w:val="76A00373"/>
    <w:rsid w:val="76AF2641"/>
    <w:rsid w:val="76B14580"/>
    <w:rsid w:val="76B33626"/>
    <w:rsid w:val="76B52A9A"/>
    <w:rsid w:val="76BF021D"/>
    <w:rsid w:val="76C75323"/>
    <w:rsid w:val="76CC0B8C"/>
    <w:rsid w:val="76CC293A"/>
    <w:rsid w:val="76D31F1A"/>
    <w:rsid w:val="76D474B3"/>
    <w:rsid w:val="76D57A40"/>
    <w:rsid w:val="76D70A46"/>
    <w:rsid w:val="76D87F09"/>
    <w:rsid w:val="76DD06A3"/>
    <w:rsid w:val="76DD68F5"/>
    <w:rsid w:val="76E539FB"/>
    <w:rsid w:val="76EB7264"/>
    <w:rsid w:val="76EE0B02"/>
    <w:rsid w:val="76F459ED"/>
    <w:rsid w:val="76F55BDC"/>
    <w:rsid w:val="76FD6F97"/>
    <w:rsid w:val="76FF55B7"/>
    <w:rsid w:val="770245AD"/>
    <w:rsid w:val="770667A9"/>
    <w:rsid w:val="77071BC4"/>
    <w:rsid w:val="77120FED"/>
    <w:rsid w:val="771C566F"/>
    <w:rsid w:val="772269FE"/>
    <w:rsid w:val="77277B70"/>
    <w:rsid w:val="772B3B04"/>
    <w:rsid w:val="772C162A"/>
    <w:rsid w:val="772E12CE"/>
    <w:rsid w:val="773457EA"/>
    <w:rsid w:val="77387FCF"/>
    <w:rsid w:val="773C186D"/>
    <w:rsid w:val="773C7772"/>
    <w:rsid w:val="774279C4"/>
    <w:rsid w:val="77534E09"/>
    <w:rsid w:val="77650F1E"/>
    <w:rsid w:val="77660C7B"/>
    <w:rsid w:val="776B3F01"/>
    <w:rsid w:val="776C1A27"/>
    <w:rsid w:val="77753BCB"/>
    <w:rsid w:val="77762421"/>
    <w:rsid w:val="777C610E"/>
    <w:rsid w:val="777E6082"/>
    <w:rsid w:val="777F79AC"/>
    <w:rsid w:val="77876861"/>
    <w:rsid w:val="778B00FF"/>
    <w:rsid w:val="778E5E41"/>
    <w:rsid w:val="7798554B"/>
    <w:rsid w:val="779C055E"/>
    <w:rsid w:val="77A13DC6"/>
    <w:rsid w:val="77A86F03"/>
    <w:rsid w:val="77AD4519"/>
    <w:rsid w:val="77AF56F4"/>
    <w:rsid w:val="77B56B1F"/>
    <w:rsid w:val="77C16217"/>
    <w:rsid w:val="77E13D86"/>
    <w:rsid w:val="77E617D9"/>
    <w:rsid w:val="77F55EC0"/>
    <w:rsid w:val="77F57C6E"/>
    <w:rsid w:val="78056103"/>
    <w:rsid w:val="780D320A"/>
    <w:rsid w:val="780F09F4"/>
    <w:rsid w:val="78123E9D"/>
    <w:rsid w:val="78127739"/>
    <w:rsid w:val="78144598"/>
    <w:rsid w:val="78160310"/>
    <w:rsid w:val="78191BA8"/>
    <w:rsid w:val="78212811"/>
    <w:rsid w:val="782A5B6A"/>
    <w:rsid w:val="782F3180"/>
    <w:rsid w:val="78304EBB"/>
    <w:rsid w:val="78393FFF"/>
    <w:rsid w:val="78412EB3"/>
    <w:rsid w:val="784364EE"/>
    <w:rsid w:val="78436C2C"/>
    <w:rsid w:val="78462278"/>
    <w:rsid w:val="784A1D68"/>
    <w:rsid w:val="784D3606"/>
    <w:rsid w:val="785C7CED"/>
    <w:rsid w:val="78615304"/>
    <w:rsid w:val="78646B19"/>
    <w:rsid w:val="78654DF4"/>
    <w:rsid w:val="78680440"/>
    <w:rsid w:val="786A41B8"/>
    <w:rsid w:val="7872306D"/>
    <w:rsid w:val="787259C9"/>
    <w:rsid w:val="7879089F"/>
    <w:rsid w:val="787C3EEC"/>
    <w:rsid w:val="788C2381"/>
    <w:rsid w:val="788D60F9"/>
    <w:rsid w:val="78A90480"/>
    <w:rsid w:val="78B24A4A"/>
    <w:rsid w:val="78B5296D"/>
    <w:rsid w:val="78BB4A14"/>
    <w:rsid w:val="78CF3543"/>
    <w:rsid w:val="78D07E08"/>
    <w:rsid w:val="78DD0E2E"/>
    <w:rsid w:val="78E51A91"/>
    <w:rsid w:val="78E71CAD"/>
    <w:rsid w:val="78F9553C"/>
    <w:rsid w:val="79013F04"/>
    <w:rsid w:val="790939D1"/>
    <w:rsid w:val="79102FB2"/>
    <w:rsid w:val="791B54B2"/>
    <w:rsid w:val="79200D1B"/>
    <w:rsid w:val="79215947"/>
    <w:rsid w:val="79222CE5"/>
    <w:rsid w:val="792425B9"/>
    <w:rsid w:val="7929744E"/>
    <w:rsid w:val="79297BCF"/>
    <w:rsid w:val="792E51E6"/>
    <w:rsid w:val="79444A09"/>
    <w:rsid w:val="79455F8D"/>
    <w:rsid w:val="794B223C"/>
    <w:rsid w:val="794B3FEA"/>
    <w:rsid w:val="79500D88"/>
    <w:rsid w:val="79556412"/>
    <w:rsid w:val="795F5CE7"/>
    <w:rsid w:val="795F7A95"/>
    <w:rsid w:val="7961380D"/>
    <w:rsid w:val="79621333"/>
    <w:rsid w:val="796C3F60"/>
    <w:rsid w:val="797177C8"/>
    <w:rsid w:val="7973709D"/>
    <w:rsid w:val="79752E15"/>
    <w:rsid w:val="797D616D"/>
    <w:rsid w:val="798219D5"/>
    <w:rsid w:val="798412AA"/>
    <w:rsid w:val="79886E4E"/>
    <w:rsid w:val="79975481"/>
    <w:rsid w:val="79A61220"/>
    <w:rsid w:val="79AA6D13"/>
    <w:rsid w:val="79B24069"/>
    <w:rsid w:val="79BE75E0"/>
    <w:rsid w:val="79C101AD"/>
    <w:rsid w:val="79C66BE7"/>
    <w:rsid w:val="79CF741F"/>
    <w:rsid w:val="79D33FDF"/>
    <w:rsid w:val="79DD6C0C"/>
    <w:rsid w:val="79E955B1"/>
    <w:rsid w:val="79EF48FE"/>
    <w:rsid w:val="79F24465"/>
    <w:rsid w:val="79F503F9"/>
    <w:rsid w:val="79F779B5"/>
    <w:rsid w:val="79F8458D"/>
    <w:rsid w:val="79FF4DD4"/>
    <w:rsid w:val="7A04063C"/>
    <w:rsid w:val="7A0643B5"/>
    <w:rsid w:val="7A0D5743"/>
    <w:rsid w:val="7A124B07"/>
    <w:rsid w:val="7A1E1210"/>
    <w:rsid w:val="7A1E525A"/>
    <w:rsid w:val="7A230AC3"/>
    <w:rsid w:val="7A2D7B93"/>
    <w:rsid w:val="7A2E5E43"/>
    <w:rsid w:val="7A340F22"/>
    <w:rsid w:val="7A3525A4"/>
    <w:rsid w:val="7A364017"/>
    <w:rsid w:val="7A4078C7"/>
    <w:rsid w:val="7A4822D7"/>
    <w:rsid w:val="7A48677B"/>
    <w:rsid w:val="7A4F7B0A"/>
    <w:rsid w:val="7A505630"/>
    <w:rsid w:val="7A590988"/>
    <w:rsid w:val="7A5A025C"/>
    <w:rsid w:val="7A603AC5"/>
    <w:rsid w:val="7A611144"/>
    <w:rsid w:val="7A6F5AB6"/>
    <w:rsid w:val="7A7632E8"/>
    <w:rsid w:val="7A770E0E"/>
    <w:rsid w:val="7A777060"/>
    <w:rsid w:val="7A796935"/>
    <w:rsid w:val="7A7B26AD"/>
    <w:rsid w:val="7A7F1A71"/>
    <w:rsid w:val="7A813A3B"/>
    <w:rsid w:val="7A8265E1"/>
    <w:rsid w:val="7A913182"/>
    <w:rsid w:val="7AA02113"/>
    <w:rsid w:val="7AA17C39"/>
    <w:rsid w:val="7AAA11E4"/>
    <w:rsid w:val="7AB83901"/>
    <w:rsid w:val="7AC027B5"/>
    <w:rsid w:val="7AD46261"/>
    <w:rsid w:val="7ADA600B"/>
    <w:rsid w:val="7ADD3367"/>
    <w:rsid w:val="7AF20495"/>
    <w:rsid w:val="7AF46C76"/>
    <w:rsid w:val="7AF64429"/>
    <w:rsid w:val="7AF71CE4"/>
    <w:rsid w:val="7AF95CC7"/>
    <w:rsid w:val="7B007056"/>
    <w:rsid w:val="7B02692A"/>
    <w:rsid w:val="7B046B46"/>
    <w:rsid w:val="7B0F7299"/>
    <w:rsid w:val="7B113011"/>
    <w:rsid w:val="7B136D89"/>
    <w:rsid w:val="7B1F572E"/>
    <w:rsid w:val="7B2971CA"/>
    <w:rsid w:val="7B310FBD"/>
    <w:rsid w:val="7B354F51"/>
    <w:rsid w:val="7B38234C"/>
    <w:rsid w:val="7B3B1E3C"/>
    <w:rsid w:val="7B3E4C64"/>
    <w:rsid w:val="7B486307"/>
    <w:rsid w:val="7B533629"/>
    <w:rsid w:val="7B592DD5"/>
    <w:rsid w:val="7B5D5213"/>
    <w:rsid w:val="7B615D46"/>
    <w:rsid w:val="7B6249F8"/>
    <w:rsid w:val="7B6273C9"/>
    <w:rsid w:val="7B686D42"/>
    <w:rsid w:val="7B735A7A"/>
    <w:rsid w:val="7B762E74"/>
    <w:rsid w:val="7B771530"/>
    <w:rsid w:val="7B783090"/>
    <w:rsid w:val="7B784E3E"/>
    <w:rsid w:val="7B796C64"/>
    <w:rsid w:val="7B7A0BB6"/>
    <w:rsid w:val="7B7D06A6"/>
    <w:rsid w:val="7B7F441F"/>
    <w:rsid w:val="7B841746"/>
    <w:rsid w:val="7B8C2698"/>
    <w:rsid w:val="7B9146D0"/>
    <w:rsid w:val="7B933A26"/>
    <w:rsid w:val="7B9F2C00"/>
    <w:rsid w:val="7BAA1B68"/>
    <w:rsid w:val="7BAE6AB2"/>
    <w:rsid w:val="7BB045D8"/>
    <w:rsid w:val="7BB8348D"/>
    <w:rsid w:val="7BBA7205"/>
    <w:rsid w:val="7BCF6EDE"/>
    <w:rsid w:val="7BE10C35"/>
    <w:rsid w:val="7BE44282"/>
    <w:rsid w:val="7BE6624C"/>
    <w:rsid w:val="7BFA1CF7"/>
    <w:rsid w:val="7BFC2A96"/>
    <w:rsid w:val="7C030BAC"/>
    <w:rsid w:val="7C071E7D"/>
    <w:rsid w:val="7C123517"/>
    <w:rsid w:val="7C1D7794"/>
    <w:rsid w:val="7C1F52BA"/>
    <w:rsid w:val="7C2B3C5E"/>
    <w:rsid w:val="7C2D4CD4"/>
    <w:rsid w:val="7C2F7BF3"/>
    <w:rsid w:val="7C417926"/>
    <w:rsid w:val="7C480CB4"/>
    <w:rsid w:val="7C492337"/>
    <w:rsid w:val="7C4F3DF1"/>
    <w:rsid w:val="7C556F2D"/>
    <w:rsid w:val="7C572CA5"/>
    <w:rsid w:val="7C611D76"/>
    <w:rsid w:val="7C653614"/>
    <w:rsid w:val="7C662EE9"/>
    <w:rsid w:val="7C670314"/>
    <w:rsid w:val="7C6C2CF0"/>
    <w:rsid w:val="7C6C5AC7"/>
    <w:rsid w:val="7C7750F6"/>
    <w:rsid w:val="7C8617DD"/>
    <w:rsid w:val="7C861FC1"/>
    <w:rsid w:val="7C8F243F"/>
    <w:rsid w:val="7C95557C"/>
    <w:rsid w:val="7C9712F4"/>
    <w:rsid w:val="7C975798"/>
    <w:rsid w:val="7CAA1027"/>
    <w:rsid w:val="7CAF41D8"/>
    <w:rsid w:val="7CB618B9"/>
    <w:rsid w:val="7CB71996"/>
    <w:rsid w:val="7CBE2D25"/>
    <w:rsid w:val="7CC6544B"/>
    <w:rsid w:val="7CC7607D"/>
    <w:rsid w:val="7CCA3477"/>
    <w:rsid w:val="7CCD4D16"/>
    <w:rsid w:val="7CD21390"/>
    <w:rsid w:val="7CD442F6"/>
    <w:rsid w:val="7CD73DE6"/>
    <w:rsid w:val="7CD9190C"/>
    <w:rsid w:val="7CD95DB0"/>
    <w:rsid w:val="7CDB7433"/>
    <w:rsid w:val="7CDD764F"/>
    <w:rsid w:val="7CE21998"/>
    <w:rsid w:val="7CE527EE"/>
    <w:rsid w:val="7CE53CE8"/>
    <w:rsid w:val="7CED360A"/>
    <w:rsid w:val="7CEF2EDE"/>
    <w:rsid w:val="7D0239FF"/>
    <w:rsid w:val="7D034BDB"/>
    <w:rsid w:val="7D050953"/>
    <w:rsid w:val="7D0576D4"/>
    <w:rsid w:val="7D0B3AF3"/>
    <w:rsid w:val="7D0C3194"/>
    <w:rsid w:val="7D11554A"/>
    <w:rsid w:val="7D145888"/>
    <w:rsid w:val="7D162B61"/>
    <w:rsid w:val="7D1F634F"/>
    <w:rsid w:val="7D2D1C58"/>
    <w:rsid w:val="7D384885"/>
    <w:rsid w:val="7D3B6123"/>
    <w:rsid w:val="7D3F20B7"/>
    <w:rsid w:val="7D4A45B8"/>
    <w:rsid w:val="7D584F27"/>
    <w:rsid w:val="7D5947FB"/>
    <w:rsid w:val="7D5C044C"/>
    <w:rsid w:val="7D5D253D"/>
    <w:rsid w:val="7D5E40CD"/>
    <w:rsid w:val="7D5E5BF9"/>
    <w:rsid w:val="7D7D04EA"/>
    <w:rsid w:val="7D8A2C07"/>
    <w:rsid w:val="7D8B70AB"/>
    <w:rsid w:val="7D8F547A"/>
    <w:rsid w:val="7D902913"/>
    <w:rsid w:val="7D9046C1"/>
    <w:rsid w:val="7D943785"/>
    <w:rsid w:val="7D951CD7"/>
    <w:rsid w:val="7D9B4E14"/>
    <w:rsid w:val="7D9C12B8"/>
    <w:rsid w:val="7DAA64BC"/>
    <w:rsid w:val="7DAC5273"/>
    <w:rsid w:val="7DAF266D"/>
    <w:rsid w:val="7DB12889"/>
    <w:rsid w:val="7DB14637"/>
    <w:rsid w:val="7DB3215D"/>
    <w:rsid w:val="7DB87774"/>
    <w:rsid w:val="7DBA0AE4"/>
    <w:rsid w:val="7DC425BD"/>
    <w:rsid w:val="7DC66335"/>
    <w:rsid w:val="7DCD56F2"/>
    <w:rsid w:val="7DCE6210"/>
    <w:rsid w:val="7DCF47E1"/>
    <w:rsid w:val="7DD02D0F"/>
    <w:rsid w:val="7DD24CD9"/>
    <w:rsid w:val="7DE2661C"/>
    <w:rsid w:val="7DEE3196"/>
    <w:rsid w:val="7DF10ED8"/>
    <w:rsid w:val="7DF764EE"/>
    <w:rsid w:val="7DFD162B"/>
    <w:rsid w:val="7DFF53A3"/>
    <w:rsid w:val="7E002EC9"/>
    <w:rsid w:val="7E01111B"/>
    <w:rsid w:val="7E064983"/>
    <w:rsid w:val="7E096221"/>
    <w:rsid w:val="7E192908"/>
    <w:rsid w:val="7E3808B5"/>
    <w:rsid w:val="7E3C03A5"/>
    <w:rsid w:val="7E413C0D"/>
    <w:rsid w:val="7E41734E"/>
    <w:rsid w:val="7E437985"/>
    <w:rsid w:val="7E503E50"/>
    <w:rsid w:val="7E584145"/>
    <w:rsid w:val="7E5D031B"/>
    <w:rsid w:val="7E611BB9"/>
    <w:rsid w:val="7E6325B9"/>
    <w:rsid w:val="7E6478FC"/>
    <w:rsid w:val="7E666749"/>
    <w:rsid w:val="7E6873EC"/>
    <w:rsid w:val="7E735023"/>
    <w:rsid w:val="7E8104AE"/>
    <w:rsid w:val="7E865AC4"/>
    <w:rsid w:val="7E927FC5"/>
    <w:rsid w:val="7E932529"/>
    <w:rsid w:val="7E971A7F"/>
    <w:rsid w:val="7E9975A5"/>
    <w:rsid w:val="7EA1645A"/>
    <w:rsid w:val="7EA66867"/>
    <w:rsid w:val="7EAD12A3"/>
    <w:rsid w:val="7EAF6DC9"/>
    <w:rsid w:val="7EB20B96"/>
    <w:rsid w:val="7EB97C47"/>
    <w:rsid w:val="7EBC3294"/>
    <w:rsid w:val="7ECB40C1"/>
    <w:rsid w:val="7ED00AED"/>
    <w:rsid w:val="7ED625A7"/>
    <w:rsid w:val="7EE66563"/>
    <w:rsid w:val="7EE84089"/>
    <w:rsid w:val="7EF26CB5"/>
    <w:rsid w:val="7EFB200E"/>
    <w:rsid w:val="7EFE38AC"/>
    <w:rsid w:val="7F001CE7"/>
    <w:rsid w:val="7F054C3B"/>
    <w:rsid w:val="7F076C05"/>
    <w:rsid w:val="7F0D3AEF"/>
    <w:rsid w:val="7F1B7FBA"/>
    <w:rsid w:val="7F250E39"/>
    <w:rsid w:val="7F2C0419"/>
    <w:rsid w:val="7F361298"/>
    <w:rsid w:val="7F511C2E"/>
    <w:rsid w:val="7F5434CC"/>
    <w:rsid w:val="7F591CD9"/>
    <w:rsid w:val="7F5C58C3"/>
    <w:rsid w:val="7F653E05"/>
    <w:rsid w:val="7F6556D9"/>
    <w:rsid w:val="7F6851CA"/>
    <w:rsid w:val="7F6852F2"/>
    <w:rsid w:val="7F721BA4"/>
    <w:rsid w:val="7F737DF6"/>
    <w:rsid w:val="7F7B472A"/>
    <w:rsid w:val="7F7B4EFD"/>
    <w:rsid w:val="7F8042C1"/>
    <w:rsid w:val="7F833DB1"/>
    <w:rsid w:val="7F840255"/>
    <w:rsid w:val="7F8A3392"/>
    <w:rsid w:val="7F8A5140"/>
    <w:rsid w:val="7F8E0374"/>
    <w:rsid w:val="7F8F6BFA"/>
    <w:rsid w:val="7F930498"/>
    <w:rsid w:val="7F9A1827"/>
    <w:rsid w:val="7F9D30C5"/>
    <w:rsid w:val="7F9F6E3D"/>
    <w:rsid w:val="7FA75CF2"/>
    <w:rsid w:val="7FAA7590"/>
    <w:rsid w:val="7FAC2ABB"/>
    <w:rsid w:val="7FB14ABB"/>
    <w:rsid w:val="7FB23200"/>
    <w:rsid w:val="7FB56661"/>
    <w:rsid w:val="7FB87EFF"/>
    <w:rsid w:val="7FBF128D"/>
    <w:rsid w:val="7FCA7F16"/>
    <w:rsid w:val="7FD64829"/>
    <w:rsid w:val="7FDF723A"/>
    <w:rsid w:val="7FE47E50"/>
    <w:rsid w:val="7FE82072"/>
    <w:rsid w:val="7FF01447"/>
    <w:rsid w:val="7FF30F37"/>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iPriority="99"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7"/>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88"/>
    <w:autoRedefine/>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5"/>
    <w:autoRedefine/>
    <w:qFormat/>
    <w:locked/>
    <w:uiPriority w:val="0"/>
    <w:pPr>
      <w:keepNext/>
      <w:keepLines/>
      <w:spacing w:before="260" w:after="260" w:line="416" w:lineRule="auto"/>
      <w:outlineLvl w:val="2"/>
    </w:pPr>
    <w:rPr>
      <w:b/>
      <w:bCs/>
      <w:sz w:val="32"/>
      <w:szCs w:val="32"/>
    </w:rPr>
  </w:style>
  <w:style w:type="paragraph" w:styleId="5">
    <w:name w:val="heading 4"/>
    <w:basedOn w:val="1"/>
    <w:next w:val="1"/>
    <w:link w:val="90"/>
    <w:autoRedefine/>
    <w:semiHidden/>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6"/>
    <w:autoRedefine/>
    <w:qFormat/>
    <w:locked/>
    <w:uiPriority w:val="0"/>
    <w:pPr>
      <w:keepNext/>
      <w:keepLines/>
      <w:spacing w:before="280" w:after="290" w:line="376" w:lineRule="auto"/>
      <w:outlineLvl w:val="4"/>
    </w:pPr>
    <w:rPr>
      <w:b/>
      <w:bCs/>
      <w:sz w:val="28"/>
      <w:szCs w:val="28"/>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5"/>
    <w:autoRedefine/>
    <w:qFormat/>
    <w:locked/>
    <w:uiPriority w:val="0"/>
    <w:rPr>
      <w:rFonts w:ascii="Calibri" w:hAnsi="Calibri"/>
      <w:sz w:val="28"/>
      <w:szCs w:val="22"/>
    </w:rPr>
  </w:style>
  <w:style w:type="paragraph" w:styleId="8">
    <w:name w:val="toa heading"/>
    <w:basedOn w:val="1"/>
    <w:next w:val="1"/>
    <w:autoRedefine/>
    <w:qFormat/>
    <w:locked/>
    <w:uiPriority w:val="0"/>
    <w:pPr>
      <w:spacing w:before="120"/>
    </w:pPr>
    <w:rPr>
      <w:rFonts w:ascii="Arial" w:hAnsi="Arial" w:cs="Arial"/>
      <w:szCs w:val="22"/>
    </w:rPr>
  </w:style>
  <w:style w:type="paragraph" w:styleId="9">
    <w:name w:val="annotation text"/>
    <w:basedOn w:val="1"/>
    <w:link w:val="37"/>
    <w:autoRedefine/>
    <w:qFormat/>
    <w:uiPriority w:val="0"/>
    <w:pPr>
      <w:jc w:val="left"/>
    </w:pPr>
    <w:rPr>
      <w:kern w:val="0"/>
      <w:sz w:val="24"/>
      <w:szCs w:val="20"/>
    </w:rPr>
  </w:style>
  <w:style w:type="paragraph" w:styleId="10">
    <w:name w:val="Body Text"/>
    <w:basedOn w:val="1"/>
    <w:next w:val="1"/>
    <w:link w:val="38"/>
    <w:autoRedefine/>
    <w:qFormat/>
    <w:uiPriority w:val="0"/>
    <w:pPr>
      <w:widowControl/>
      <w:snapToGrid w:val="0"/>
      <w:spacing w:before="60" w:after="160" w:line="259" w:lineRule="auto"/>
      <w:ind w:right="113"/>
    </w:pPr>
    <w:rPr>
      <w:kern w:val="0"/>
      <w:sz w:val="18"/>
      <w:szCs w:val="20"/>
    </w:rPr>
  </w:style>
  <w:style w:type="paragraph" w:styleId="11">
    <w:name w:val="Body Text Indent"/>
    <w:basedOn w:val="1"/>
    <w:next w:val="12"/>
    <w:link w:val="39"/>
    <w:autoRedefine/>
    <w:qFormat/>
    <w:uiPriority w:val="0"/>
    <w:pPr>
      <w:spacing w:after="120"/>
      <w:ind w:left="420" w:leftChars="200"/>
    </w:pPr>
    <w:rPr>
      <w:kern w:val="0"/>
      <w:sz w:val="24"/>
      <w:szCs w:val="20"/>
    </w:rPr>
  </w:style>
  <w:style w:type="paragraph" w:styleId="12">
    <w:name w:val="Balloon Text"/>
    <w:basedOn w:val="1"/>
    <w:link w:val="42"/>
    <w:autoRedefine/>
    <w:semiHidden/>
    <w:qFormat/>
    <w:uiPriority w:val="0"/>
    <w:rPr>
      <w:kern w:val="0"/>
      <w:sz w:val="18"/>
      <w:szCs w:val="20"/>
    </w:rPr>
  </w:style>
  <w:style w:type="paragraph" w:styleId="13">
    <w:name w:val="Plain Text"/>
    <w:basedOn w:val="1"/>
    <w:autoRedefine/>
    <w:qFormat/>
    <w:locked/>
    <w:uiPriority w:val="0"/>
    <w:rPr>
      <w:rFonts w:ascii="宋体" w:hAnsi="Courier New"/>
      <w:kern w:val="16"/>
      <w:vertAlign w:val="superscript"/>
    </w:rPr>
  </w:style>
  <w:style w:type="paragraph" w:styleId="14">
    <w:name w:val="Date"/>
    <w:basedOn w:val="1"/>
    <w:next w:val="1"/>
    <w:link w:val="40"/>
    <w:autoRedefine/>
    <w:qFormat/>
    <w:uiPriority w:val="0"/>
    <w:pPr>
      <w:ind w:left="100" w:leftChars="2500"/>
    </w:pPr>
    <w:rPr>
      <w:kern w:val="0"/>
      <w:sz w:val="24"/>
      <w:szCs w:val="20"/>
    </w:rPr>
  </w:style>
  <w:style w:type="paragraph" w:styleId="15">
    <w:name w:val="Body Text Indent 2"/>
    <w:basedOn w:val="1"/>
    <w:link w:val="41"/>
    <w:autoRedefine/>
    <w:unhideWhenUsed/>
    <w:qFormat/>
    <w:locked/>
    <w:uiPriority w:val="99"/>
    <w:pPr>
      <w:widowControl/>
      <w:spacing w:after="120" w:line="480" w:lineRule="auto"/>
      <w:ind w:left="420" w:leftChars="200"/>
      <w:jc w:val="left"/>
    </w:pPr>
    <w:rPr>
      <w:sz w:val="28"/>
      <w:szCs w:val="20"/>
    </w:rPr>
  </w:style>
  <w:style w:type="paragraph" w:styleId="16">
    <w:name w:val="footer"/>
    <w:basedOn w:val="1"/>
    <w:link w:val="43"/>
    <w:autoRedefine/>
    <w:qFormat/>
    <w:uiPriority w:val="99"/>
    <w:pPr>
      <w:tabs>
        <w:tab w:val="center" w:pos="4153"/>
        <w:tab w:val="right" w:pos="8306"/>
      </w:tabs>
      <w:snapToGrid w:val="0"/>
      <w:jc w:val="left"/>
    </w:pPr>
    <w:rPr>
      <w:kern w:val="0"/>
      <w:sz w:val="18"/>
      <w:szCs w:val="20"/>
    </w:rPr>
  </w:style>
  <w:style w:type="paragraph" w:styleId="17">
    <w:name w:val="header"/>
    <w:basedOn w:val="1"/>
    <w:next w:val="18"/>
    <w:link w:val="44"/>
    <w:autoRedefine/>
    <w:qFormat/>
    <w:uiPriority w:val="99"/>
    <w:pPr>
      <w:pBdr>
        <w:bottom w:val="single" w:color="auto" w:sz="6" w:space="1"/>
      </w:pBdr>
      <w:tabs>
        <w:tab w:val="center" w:pos="4153"/>
        <w:tab w:val="right" w:pos="8306"/>
      </w:tabs>
      <w:snapToGrid w:val="0"/>
      <w:jc w:val="center"/>
    </w:pPr>
    <w:rPr>
      <w:kern w:val="0"/>
      <w:sz w:val="18"/>
      <w:szCs w:val="20"/>
    </w:rPr>
  </w:style>
  <w:style w:type="paragraph" w:customStyle="1" w:styleId="18">
    <w:name w:val="样式5"/>
    <w:basedOn w:val="19"/>
    <w:next w:val="15"/>
    <w:autoRedefine/>
    <w:qFormat/>
    <w:uiPriority w:val="0"/>
    <w:pPr>
      <w:snapToGrid w:val="0"/>
      <w:spacing w:line="360" w:lineRule="auto"/>
      <w:ind w:firstLine="510"/>
    </w:pPr>
    <w:rPr>
      <w:sz w:val="24"/>
    </w:rPr>
  </w:style>
  <w:style w:type="paragraph" w:customStyle="1" w:styleId="19">
    <w:name w:val="样式3"/>
    <w:basedOn w:val="20"/>
    <w:next w:val="10"/>
    <w:autoRedefine/>
    <w:qFormat/>
    <w:uiPriority w:val="0"/>
    <w:pPr>
      <w:adjustRightInd w:val="0"/>
      <w:snapToGrid w:val="0"/>
      <w:spacing w:line="360" w:lineRule="auto"/>
      <w:ind w:firstLine="480" w:firstLineChars="200"/>
    </w:pPr>
    <w:rPr>
      <w:rFonts w:eastAsia="Times New Roman"/>
      <w:snapToGrid w:val="0"/>
      <w:color w:val="0000FF"/>
      <w:kern w:val="0"/>
      <w:sz w:val="24"/>
    </w:rPr>
  </w:style>
  <w:style w:type="paragraph" w:styleId="20">
    <w:name w:val="List"/>
    <w:basedOn w:val="1"/>
    <w:autoRedefine/>
    <w:qFormat/>
    <w:locked/>
    <w:uiPriority w:val="0"/>
    <w:pPr>
      <w:widowControl/>
      <w:spacing w:line="440" w:lineRule="exact"/>
      <w:ind w:left="200" w:hanging="200"/>
      <w:jc w:val="left"/>
    </w:pPr>
    <w:rPr>
      <w:kern w:val="0"/>
      <w:sz w:val="24"/>
      <w:szCs w:val="20"/>
    </w:rPr>
  </w:style>
  <w:style w:type="paragraph" w:styleId="21">
    <w:name w:val="Normal (Web)"/>
    <w:basedOn w:val="1"/>
    <w:link w:val="45"/>
    <w:autoRedefine/>
    <w:qFormat/>
    <w:uiPriority w:val="99"/>
    <w:pPr>
      <w:widowControl/>
      <w:spacing w:before="100" w:beforeAutospacing="1" w:after="100" w:afterAutospacing="1"/>
      <w:jc w:val="left"/>
    </w:pPr>
    <w:rPr>
      <w:rFonts w:ascii="宋体" w:hAnsi="宋体"/>
      <w:kern w:val="0"/>
      <w:sz w:val="24"/>
      <w:szCs w:val="20"/>
    </w:rPr>
  </w:style>
  <w:style w:type="paragraph" w:styleId="22">
    <w:name w:val="index 1"/>
    <w:basedOn w:val="1"/>
    <w:next w:val="1"/>
    <w:autoRedefine/>
    <w:qFormat/>
    <w:locked/>
    <w:uiPriority w:val="0"/>
  </w:style>
  <w:style w:type="paragraph" w:styleId="23">
    <w:name w:val="annotation subject"/>
    <w:basedOn w:val="9"/>
    <w:next w:val="9"/>
    <w:link w:val="46"/>
    <w:autoRedefine/>
    <w:semiHidden/>
    <w:qFormat/>
    <w:uiPriority w:val="0"/>
    <w:rPr>
      <w:b/>
    </w:rPr>
  </w:style>
  <w:style w:type="paragraph" w:styleId="24">
    <w:name w:val="Body Text First Indent 2"/>
    <w:basedOn w:val="11"/>
    <w:next w:val="1"/>
    <w:autoRedefine/>
    <w:unhideWhenUsed/>
    <w:qFormat/>
    <w:locked/>
    <w:uiPriority w:val="99"/>
    <w:pPr>
      <w:ind w:firstLine="420" w:firstLineChars="200"/>
    </w:pPr>
  </w:style>
  <w:style w:type="table" w:styleId="26">
    <w:name w:val="Table Grid"/>
    <w:basedOn w:val="2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qFormat/>
    <w:locked/>
    <w:uiPriority w:val="0"/>
    <w:rPr>
      <w:b/>
    </w:rPr>
  </w:style>
  <w:style w:type="character" w:styleId="29">
    <w:name w:val="page number"/>
    <w:autoRedefine/>
    <w:qFormat/>
    <w:locked/>
    <w:uiPriority w:val="0"/>
  </w:style>
  <w:style w:type="character" w:styleId="30">
    <w:name w:val="Hyperlink"/>
    <w:autoRedefine/>
    <w:qFormat/>
    <w:locked/>
    <w:uiPriority w:val="99"/>
    <w:rPr>
      <w:color w:val="136EC2"/>
      <w:u w:val="single"/>
    </w:rPr>
  </w:style>
  <w:style w:type="character" w:styleId="31">
    <w:name w:val="annotation reference"/>
    <w:autoRedefine/>
    <w:semiHidden/>
    <w:qFormat/>
    <w:uiPriority w:val="0"/>
    <w:rPr>
      <w:sz w:val="21"/>
    </w:rPr>
  </w:style>
  <w:style w:type="paragraph" w:customStyle="1" w:styleId="32">
    <w:name w:val="Default"/>
    <w:basedOn w:val="33"/>
    <w:link w:val="65"/>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3">
    <w:name w:val="纯文本1"/>
    <w:basedOn w:val="1"/>
    <w:autoRedefine/>
    <w:qFormat/>
    <w:uiPriority w:val="0"/>
    <w:rPr>
      <w:rFonts w:hint="eastAsia" w:ascii="宋体" w:hAnsi="Courier New"/>
      <w:szCs w:val="22"/>
    </w:rPr>
  </w:style>
  <w:style w:type="paragraph" w:customStyle="1" w:styleId="34">
    <w:name w:val="报告"/>
    <w:basedOn w:val="1"/>
    <w:next w:val="1"/>
    <w:autoRedefine/>
    <w:qFormat/>
    <w:uiPriority w:val="0"/>
    <w:pPr>
      <w:autoSpaceDE w:val="0"/>
      <w:autoSpaceDN w:val="0"/>
      <w:adjustRightInd w:val="0"/>
      <w:spacing w:line="360" w:lineRule="auto"/>
      <w:ind w:firstLine="505"/>
      <w:jc w:val="left"/>
      <w:textAlignment w:val="baseline"/>
    </w:pPr>
    <w:rPr>
      <w:kern w:val="0"/>
      <w:sz w:val="24"/>
      <w:szCs w:val="20"/>
    </w:rPr>
  </w:style>
  <w:style w:type="character" w:customStyle="1" w:styleId="35">
    <w:name w:val="标题 3 字符"/>
    <w:link w:val="4"/>
    <w:autoRedefine/>
    <w:qFormat/>
    <w:uiPriority w:val="0"/>
    <w:rPr>
      <w:b/>
      <w:bCs/>
      <w:kern w:val="2"/>
      <w:sz w:val="32"/>
      <w:szCs w:val="32"/>
    </w:rPr>
  </w:style>
  <w:style w:type="character" w:customStyle="1" w:styleId="36">
    <w:name w:val="标题 5 字符"/>
    <w:link w:val="6"/>
    <w:autoRedefine/>
    <w:qFormat/>
    <w:uiPriority w:val="0"/>
    <w:rPr>
      <w:b/>
      <w:bCs/>
      <w:kern w:val="2"/>
      <w:sz w:val="28"/>
      <w:szCs w:val="28"/>
    </w:rPr>
  </w:style>
  <w:style w:type="character" w:customStyle="1" w:styleId="37">
    <w:name w:val="批注文字 字符"/>
    <w:link w:val="9"/>
    <w:autoRedefine/>
    <w:qFormat/>
    <w:locked/>
    <w:uiPriority w:val="0"/>
    <w:rPr>
      <w:rFonts w:ascii="Times New Roman" w:hAnsi="Times New Roman" w:eastAsia="宋体"/>
      <w:sz w:val="24"/>
    </w:rPr>
  </w:style>
  <w:style w:type="character" w:customStyle="1" w:styleId="38">
    <w:name w:val="正文文本 字符"/>
    <w:link w:val="10"/>
    <w:autoRedefine/>
    <w:qFormat/>
    <w:locked/>
    <w:uiPriority w:val="0"/>
    <w:rPr>
      <w:sz w:val="18"/>
    </w:rPr>
  </w:style>
  <w:style w:type="character" w:customStyle="1" w:styleId="39">
    <w:name w:val="正文文本缩进 字符"/>
    <w:link w:val="11"/>
    <w:autoRedefine/>
    <w:qFormat/>
    <w:locked/>
    <w:uiPriority w:val="0"/>
    <w:rPr>
      <w:rFonts w:ascii="Times New Roman" w:hAnsi="Times New Roman" w:eastAsia="宋体"/>
      <w:sz w:val="24"/>
    </w:rPr>
  </w:style>
  <w:style w:type="character" w:customStyle="1" w:styleId="40">
    <w:name w:val="日期 字符1"/>
    <w:link w:val="14"/>
    <w:autoRedefine/>
    <w:qFormat/>
    <w:locked/>
    <w:uiPriority w:val="0"/>
    <w:rPr>
      <w:rFonts w:ascii="Times New Roman" w:hAnsi="Times New Roman" w:eastAsia="宋体"/>
      <w:sz w:val="24"/>
    </w:rPr>
  </w:style>
  <w:style w:type="character" w:customStyle="1" w:styleId="41">
    <w:name w:val="正文文本缩进 2 字符"/>
    <w:link w:val="15"/>
    <w:autoRedefine/>
    <w:qFormat/>
    <w:uiPriority w:val="99"/>
    <w:rPr>
      <w:kern w:val="2"/>
      <w:sz w:val="28"/>
    </w:rPr>
  </w:style>
  <w:style w:type="character" w:customStyle="1" w:styleId="42">
    <w:name w:val="批注框文本 字符"/>
    <w:link w:val="12"/>
    <w:autoRedefine/>
    <w:semiHidden/>
    <w:qFormat/>
    <w:locked/>
    <w:uiPriority w:val="0"/>
    <w:rPr>
      <w:rFonts w:ascii="Times New Roman" w:hAnsi="Times New Roman" w:eastAsia="宋体"/>
      <w:sz w:val="18"/>
    </w:rPr>
  </w:style>
  <w:style w:type="character" w:customStyle="1" w:styleId="43">
    <w:name w:val="页脚 字符1"/>
    <w:link w:val="16"/>
    <w:autoRedefine/>
    <w:qFormat/>
    <w:locked/>
    <w:uiPriority w:val="99"/>
    <w:rPr>
      <w:sz w:val="18"/>
    </w:rPr>
  </w:style>
  <w:style w:type="character" w:customStyle="1" w:styleId="44">
    <w:name w:val="页眉 字符"/>
    <w:link w:val="17"/>
    <w:autoRedefine/>
    <w:qFormat/>
    <w:locked/>
    <w:uiPriority w:val="99"/>
    <w:rPr>
      <w:sz w:val="18"/>
    </w:rPr>
  </w:style>
  <w:style w:type="character" w:customStyle="1" w:styleId="45">
    <w:name w:val="普通(网站) 字符"/>
    <w:link w:val="21"/>
    <w:autoRedefine/>
    <w:qFormat/>
    <w:locked/>
    <w:uiPriority w:val="99"/>
    <w:rPr>
      <w:rFonts w:ascii="宋体" w:hAnsi="宋体" w:eastAsia="宋体"/>
      <w:sz w:val="24"/>
    </w:rPr>
  </w:style>
  <w:style w:type="character" w:customStyle="1" w:styleId="46">
    <w:name w:val="批注主题 字符"/>
    <w:link w:val="23"/>
    <w:autoRedefine/>
    <w:semiHidden/>
    <w:qFormat/>
    <w:locked/>
    <w:uiPriority w:val="0"/>
    <w:rPr>
      <w:rFonts w:ascii="Times New Roman" w:hAnsi="Times New Roman" w:eastAsia="宋体"/>
      <w:b/>
      <w:kern w:val="2"/>
      <w:sz w:val="24"/>
    </w:rPr>
  </w:style>
  <w:style w:type="character" w:customStyle="1" w:styleId="47">
    <w:name w:val="页脚 字符"/>
    <w:autoRedefine/>
    <w:qFormat/>
    <w:uiPriority w:val="99"/>
  </w:style>
  <w:style w:type="character" w:customStyle="1" w:styleId="48">
    <w:name w:val="正文文本 字符1"/>
    <w:autoRedefine/>
    <w:semiHidden/>
    <w:qFormat/>
    <w:uiPriority w:val="0"/>
    <w:rPr>
      <w:rFonts w:ascii="Times New Roman" w:hAnsi="Times New Roman" w:eastAsia="宋体"/>
      <w:sz w:val="24"/>
    </w:rPr>
  </w:style>
  <w:style w:type="character" w:customStyle="1" w:styleId="49">
    <w:name w:val="表格 Char"/>
    <w:link w:val="50"/>
    <w:autoRedefine/>
    <w:qFormat/>
    <w:locked/>
    <w:uiPriority w:val="0"/>
    <w:rPr>
      <w:rFonts w:ascii="宋体"/>
      <w:sz w:val="21"/>
    </w:rPr>
  </w:style>
  <w:style w:type="paragraph" w:customStyle="1" w:styleId="50">
    <w:name w:val="表格"/>
    <w:basedOn w:val="20"/>
    <w:link w:val="49"/>
    <w:autoRedefine/>
    <w:qFormat/>
    <w:uiPriority w:val="0"/>
    <w:pPr>
      <w:adjustRightInd w:val="0"/>
      <w:snapToGrid w:val="0"/>
      <w:spacing w:beforeLines="10" w:afterLines="10" w:line="259" w:lineRule="auto"/>
      <w:jc w:val="center"/>
    </w:pPr>
    <w:rPr>
      <w:rFonts w:ascii="宋体"/>
      <w:kern w:val="0"/>
      <w:szCs w:val="20"/>
    </w:rPr>
  </w:style>
  <w:style w:type="character" w:customStyle="1" w:styleId="51">
    <w:name w:val="日期 字符"/>
    <w:autoRedefine/>
    <w:semiHidden/>
    <w:qFormat/>
    <w:uiPriority w:val="0"/>
    <w:rPr>
      <w:rFonts w:ascii="Times New Roman" w:hAnsi="Times New Roman" w:eastAsia="宋体"/>
      <w:sz w:val="24"/>
    </w:rPr>
  </w:style>
  <w:style w:type="character" w:customStyle="1" w:styleId="52">
    <w:name w:val="批注文字 字符1"/>
    <w:autoRedefine/>
    <w:semiHidden/>
    <w:qFormat/>
    <w:uiPriority w:val="0"/>
    <w:rPr>
      <w:rFonts w:ascii="Times New Roman" w:hAnsi="Times New Roman" w:eastAsia="宋体"/>
      <w:sz w:val="24"/>
    </w:rPr>
  </w:style>
  <w:style w:type="paragraph" w:customStyle="1" w:styleId="53">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4">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55">
    <w:name w:val="表头 Char2"/>
    <w:link w:val="56"/>
    <w:autoRedefine/>
    <w:qFormat/>
    <w:uiPriority w:val="0"/>
    <w:rPr>
      <w:rFonts w:eastAsia="黑体"/>
      <w:bCs/>
      <w:color w:val="000000"/>
      <w:sz w:val="24"/>
      <w:szCs w:val="24"/>
      <w:lang w:val="zh-CN"/>
    </w:rPr>
  </w:style>
  <w:style w:type="paragraph" w:customStyle="1" w:styleId="56">
    <w:name w:val="表头"/>
    <w:basedOn w:val="57"/>
    <w:link w:val="55"/>
    <w:autoRedefine/>
    <w:qFormat/>
    <w:uiPriority w:val="0"/>
    <w:pPr>
      <w:spacing w:before="0" w:after="0" w:line="360" w:lineRule="auto"/>
      <w:ind w:firstLine="480" w:firstLineChars="200"/>
      <w:jc w:val="center"/>
    </w:pPr>
    <w:rPr>
      <w:rFonts w:eastAsia="黑体"/>
      <w:color w:val="000000"/>
      <w:kern w:val="0"/>
      <w:sz w:val="24"/>
      <w:szCs w:val="24"/>
      <w:lang w:val="zh-CN"/>
    </w:rPr>
  </w:style>
  <w:style w:type="paragraph" w:customStyle="1" w:styleId="57">
    <w:name w:val="小正文"/>
    <w:basedOn w:val="13"/>
    <w:next w:val="13"/>
    <w:autoRedefine/>
    <w:qFormat/>
    <w:uiPriority w:val="0"/>
    <w:pPr>
      <w:widowControl w:val="0"/>
      <w:wordWrap/>
      <w:topLinePunct w:val="0"/>
      <w:spacing w:line="360" w:lineRule="auto"/>
      <w:ind w:firstLine="420" w:firstLineChars="200"/>
    </w:pPr>
    <w:rPr>
      <w:rFonts w:ascii="Times New Roman" w:hAnsi="Times New Roman"/>
      <w:kern w:val="0"/>
      <w:sz w:val="24"/>
      <w:szCs w:val="20"/>
    </w:rPr>
  </w:style>
  <w:style w:type="character" w:customStyle="1" w:styleId="58">
    <w:name w:val="+++正文、 Char Char"/>
    <w:link w:val="59"/>
    <w:autoRedefine/>
    <w:qFormat/>
    <w:uiPriority w:val="0"/>
    <w:rPr>
      <w:kern w:val="2"/>
      <w:sz w:val="24"/>
      <w:szCs w:val="24"/>
    </w:rPr>
  </w:style>
  <w:style w:type="paragraph" w:customStyle="1" w:styleId="59">
    <w:name w:val="+++正文、"/>
    <w:basedOn w:val="1"/>
    <w:link w:val="58"/>
    <w:autoRedefine/>
    <w:qFormat/>
    <w:uiPriority w:val="0"/>
    <w:pPr>
      <w:widowControl/>
      <w:autoSpaceDE w:val="0"/>
      <w:autoSpaceDN w:val="0"/>
      <w:adjustRightInd w:val="0"/>
      <w:spacing w:line="360" w:lineRule="auto"/>
      <w:ind w:firstLine="200" w:firstLineChars="200"/>
      <w:jc w:val="left"/>
    </w:pPr>
    <w:rPr>
      <w:sz w:val="24"/>
    </w:rPr>
  </w:style>
  <w:style w:type="paragraph" w:customStyle="1" w:styleId="60">
    <w:name w:val="样式 标题 3 + 四号 段前: 0 磅 段后: 0 磅 行距: 单倍行距"/>
    <w:basedOn w:val="4"/>
    <w:autoRedefine/>
    <w:qFormat/>
    <w:uiPriority w:val="0"/>
    <w:pPr>
      <w:spacing w:before="0" w:after="0" w:line="240" w:lineRule="auto"/>
    </w:pPr>
    <w:rPr>
      <w:rFonts w:cs="宋体"/>
      <w:snapToGrid w:val="0"/>
      <w:sz w:val="28"/>
      <w:szCs w:val="28"/>
    </w:rPr>
  </w:style>
  <w:style w:type="paragraph" w:customStyle="1" w:styleId="61">
    <w:name w:val="二级标题"/>
    <w:basedOn w:val="1"/>
    <w:autoRedefine/>
    <w:qFormat/>
    <w:uiPriority w:val="0"/>
    <w:pPr>
      <w:adjustRightInd w:val="0"/>
      <w:spacing w:before="120" w:after="120" w:line="400" w:lineRule="atLeast"/>
      <w:textAlignment w:val="baseline"/>
    </w:pPr>
    <w:rPr>
      <w:rFonts w:eastAsia="黑体"/>
      <w:kern w:val="0"/>
      <w:sz w:val="28"/>
      <w:szCs w:val="20"/>
    </w:rPr>
  </w:style>
  <w:style w:type="paragraph" w:customStyle="1" w:styleId="62">
    <w:name w:val="报告表格"/>
    <w:basedOn w:val="1"/>
    <w:next w:val="63"/>
    <w:link w:val="64"/>
    <w:autoRedefine/>
    <w:qFormat/>
    <w:uiPriority w:val="0"/>
    <w:pPr>
      <w:autoSpaceDE w:val="0"/>
      <w:autoSpaceDN w:val="0"/>
      <w:adjustRightInd w:val="0"/>
      <w:spacing w:line="318" w:lineRule="atLeast"/>
      <w:jc w:val="center"/>
      <w:textAlignment w:val="bottom"/>
    </w:pPr>
    <w:rPr>
      <w:kern w:val="0"/>
      <w:sz w:val="24"/>
      <w:szCs w:val="20"/>
    </w:rPr>
  </w:style>
  <w:style w:type="paragraph" w:customStyle="1" w:styleId="63">
    <w:name w:val="报告书"/>
    <w:basedOn w:val="1"/>
    <w:autoRedefine/>
    <w:semiHidden/>
    <w:qFormat/>
    <w:uiPriority w:val="0"/>
    <w:pPr>
      <w:autoSpaceDE w:val="0"/>
      <w:autoSpaceDN w:val="0"/>
      <w:adjustRightInd w:val="0"/>
      <w:spacing w:line="360" w:lineRule="auto"/>
      <w:ind w:firstLine="505"/>
      <w:jc w:val="left"/>
      <w:textAlignment w:val="bottom"/>
    </w:pPr>
    <w:rPr>
      <w:kern w:val="0"/>
      <w:sz w:val="24"/>
      <w:szCs w:val="20"/>
    </w:rPr>
  </w:style>
  <w:style w:type="character" w:customStyle="1" w:styleId="64">
    <w:name w:val="报告表格 Char"/>
    <w:link w:val="62"/>
    <w:autoRedefine/>
    <w:qFormat/>
    <w:uiPriority w:val="0"/>
    <w:rPr>
      <w:sz w:val="24"/>
    </w:rPr>
  </w:style>
  <w:style w:type="character" w:customStyle="1" w:styleId="65">
    <w:name w:val="Default Char Char"/>
    <w:link w:val="32"/>
    <w:autoRedefine/>
    <w:qFormat/>
    <w:uiPriority w:val="0"/>
    <w:rPr>
      <w:rFonts w:ascii="宋体" w:hAnsi="宋体" w:cs="宋体"/>
      <w:color w:val="000000"/>
      <w:sz w:val="24"/>
      <w:szCs w:val="24"/>
    </w:rPr>
  </w:style>
  <w:style w:type="character" w:customStyle="1" w:styleId="66">
    <w:name w:val="表格内容 Char"/>
    <w:link w:val="67"/>
    <w:autoRedefine/>
    <w:qFormat/>
    <w:locked/>
    <w:uiPriority w:val="0"/>
    <w:rPr>
      <w:rFonts w:ascii="宋体" w:hAnsi="宋体"/>
      <w:snapToGrid/>
      <w:sz w:val="18"/>
    </w:rPr>
  </w:style>
  <w:style w:type="paragraph" w:customStyle="1" w:styleId="67">
    <w:name w:val="表格内容"/>
    <w:basedOn w:val="1"/>
    <w:link w:val="66"/>
    <w:autoRedefine/>
    <w:qFormat/>
    <w:uiPriority w:val="0"/>
    <w:pPr>
      <w:spacing w:line="280" w:lineRule="exact"/>
      <w:jc w:val="center"/>
    </w:pPr>
    <w:rPr>
      <w:rFonts w:ascii="宋体" w:hAnsi="宋体"/>
      <w:snapToGrid w:val="0"/>
      <w:kern w:val="0"/>
      <w:sz w:val="18"/>
      <w:szCs w:val="20"/>
    </w:rPr>
  </w:style>
  <w:style w:type="character" w:customStyle="1" w:styleId="68">
    <w:name w:val="标题1"/>
    <w:autoRedefine/>
    <w:qFormat/>
    <w:uiPriority w:val="0"/>
  </w:style>
  <w:style w:type="character" w:customStyle="1" w:styleId="69">
    <w:name w:val="无间隔 字符"/>
    <w:link w:val="70"/>
    <w:autoRedefine/>
    <w:qFormat/>
    <w:uiPriority w:val="1"/>
    <w:rPr>
      <w:rFonts w:ascii="仿宋_GB2312" w:eastAsia="仿宋_GB2312"/>
      <w:kern w:val="2"/>
      <w:sz w:val="21"/>
      <w:szCs w:val="22"/>
    </w:rPr>
  </w:style>
  <w:style w:type="paragraph" w:styleId="70">
    <w:name w:val="No Spacing"/>
    <w:next w:val="1"/>
    <w:link w:val="69"/>
    <w:autoRedefine/>
    <w:qFormat/>
    <w:uiPriority w:val="1"/>
    <w:pPr>
      <w:widowControl w:val="0"/>
      <w:jc w:val="center"/>
    </w:pPr>
    <w:rPr>
      <w:rFonts w:ascii="仿宋_GB2312" w:hAnsi="Times New Roman" w:eastAsia="仿宋_GB2312" w:cs="Times New Roman"/>
      <w:kern w:val="2"/>
      <w:sz w:val="21"/>
      <w:szCs w:val="22"/>
      <w:lang w:val="en-US" w:eastAsia="zh-CN" w:bidi="ar-SA"/>
    </w:rPr>
  </w:style>
  <w:style w:type="paragraph" w:styleId="71">
    <w:name w:val="List Paragraph"/>
    <w:basedOn w:val="1"/>
    <w:autoRedefine/>
    <w:qFormat/>
    <w:uiPriority w:val="99"/>
    <w:pPr>
      <w:ind w:firstLine="420" w:firstLineChars="200"/>
    </w:pPr>
  </w:style>
  <w:style w:type="character" w:customStyle="1" w:styleId="72">
    <w:name w:val="W正文 Char"/>
    <w:link w:val="73"/>
    <w:autoRedefine/>
    <w:qFormat/>
    <w:uiPriority w:val="0"/>
    <w:rPr>
      <w:sz w:val="24"/>
    </w:rPr>
  </w:style>
  <w:style w:type="paragraph" w:customStyle="1" w:styleId="73">
    <w:name w:val="W正文"/>
    <w:basedOn w:val="1"/>
    <w:link w:val="72"/>
    <w:autoRedefine/>
    <w:qFormat/>
    <w:uiPriority w:val="0"/>
    <w:pPr>
      <w:adjustRightInd w:val="0"/>
      <w:snapToGrid w:val="0"/>
      <w:spacing w:line="480" w:lineRule="exact"/>
      <w:ind w:firstLine="200" w:firstLineChars="200"/>
    </w:pPr>
    <w:rPr>
      <w:kern w:val="0"/>
      <w:sz w:val="24"/>
      <w:szCs w:val="20"/>
    </w:rPr>
  </w:style>
  <w:style w:type="paragraph" w:customStyle="1" w:styleId="74">
    <w:name w:val="Table Paragraph"/>
    <w:basedOn w:val="1"/>
    <w:autoRedefine/>
    <w:qFormat/>
    <w:uiPriority w:val="1"/>
    <w:rPr>
      <w:rFonts w:ascii="宋体" w:hAnsi="宋体" w:cs="宋体"/>
      <w:lang w:val="zh-CN" w:bidi="zh-CN"/>
    </w:rPr>
  </w:style>
  <w:style w:type="paragraph" w:customStyle="1" w:styleId="75">
    <w:name w:val="Normal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76">
    <w:name w:val="修订1"/>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77">
    <w:name w:val="批注文字 Char"/>
    <w:autoRedefine/>
    <w:qFormat/>
    <w:uiPriority w:val="0"/>
    <w:rPr>
      <w:kern w:val="2"/>
      <w:sz w:val="21"/>
      <w:szCs w:val="24"/>
    </w:rPr>
  </w:style>
  <w:style w:type="paragraph" w:customStyle="1" w:styleId="78">
    <w:name w:val="Normal_0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79">
    <w:name w:val="Table Grid_0"/>
    <w:basedOn w:val="25"/>
    <w:autoRedefine/>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0">
    <w:name w:val="fontstyle01"/>
    <w:basedOn w:val="27"/>
    <w:autoRedefine/>
    <w:qFormat/>
    <w:uiPriority w:val="0"/>
    <w:rPr>
      <w:rFonts w:hint="eastAsia" w:ascii="宋体" w:hAnsi="宋体" w:eastAsia="宋体"/>
      <w:color w:val="000000"/>
      <w:sz w:val="24"/>
      <w:szCs w:val="24"/>
    </w:rPr>
  </w:style>
  <w:style w:type="character" w:customStyle="1" w:styleId="81">
    <w:name w:val="表内字 Char"/>
    <w:link w:val="82"/>
    <w:autoRedefine/>
    <w:qFormat/>
    <w:uiPriority w:val="0"/>
    <w:rPr>
      <w:kern w:val="2"/>
      <w:sz w:val="21"/>
      <w:szCs w:val="24"/>
    </w:rPr>
  </w:style>
  <w:style w:type="paragraph" w:customStyle="1" w:styleId="82">
    <w:name w:val="表内字"/>
    <w:basedOn w:val="1"/>
    <w:link w:val="81"/>
    <w:autoRedefine/>
    <w:qFormat/>
    <w:uiPriority w:val="0"/>
    <w:pPr>
      <w:spacing w:line="240" w:lineRule="atLeast"/>
      <w:jc w:val="center"/>
    </w:pPr>
  </w:style>
  <w:style w:type="paragraph" w:customStyle="1" w:styleId="83">
    <w:name w:val="小四缩进2"/>
    <w:basedOn w:val="1"/>
    <w:autoRedefine/>
    <w:qFormat/>
    <w:uiPriority w:val="0"/>
    <w:pPr>
      <w:adjustRightInd w:val="0"/>
      <w:snapToGrid w:val="0"/>
      <w:spacing w:line="360" w:lineRule="auto"/>
      <w:ind w:firstLine="480" w:firstLineChars="200"/>
    </w:pPr>
    <w:rPr>
      <w:rFonts w:ascii="Calibri" w:hAnsi="Calibri" w:cs="Calibri"/>
      <w:kern w:val="0"/>
      <w:sz w:val="24"/>
    </w:rPr>
  </w:style>
  <w:style w:type="character" w:customStyle="1" w:styleId="84">
    <w:name w:val="正文-wl 字符"/>
    <w:link w:val="85"/>
    <w:autoRedefine/>
    <w:qFormat/>
    <w:uiPriority w:val="0"/>
    <w:rPr>
      <w:kern w:val="2"/>
      <w:sz w:val="24"/>
      <w:szCs w:val="24"/>
    </w:rPr>
  </w:style>
  <w:style w:type="paragraph" w:customStyle="1" w:styleId="85">
    <w:name w:val="正文-wl"/>
    <w:basedOn w:val="1"/>
    <w:link w:val="84"/>
    <w:autoRedefine/>
    <w:qFormat/>
    <w:uiPriority w:val="0"/>
    <w:pPr>
      <w:spacing w:line="360" w:lineRule="auto"/>
      <w:ind w:firstLine="200" w:firstLineChars="200"/>
      <w:jc w:val="left"/>
    </w:pPr>
    <w:rPr>
      <w:sz w:val="24"/>
    </w:rPr>
  </w:style>
  <w:style w:type="table" w:customStyle="1" w:styleId="86">
    <w:name w:val="Table Normal"/>
    <w:autoRedefine/>
    <w:semiHidden/>
    <w:unhideWhenUsed/>
    <w:qFormat/>
    <w:uiPriority w:val="0"/>
    <w:tblPr>
      <w:tblCellMar>
        <w:top w:w="0" w:type="dxa"/>
        <w:left w:w="0" w:type="dxa"/>
        <w:bottom w:w="0" w:type="dxa"/>
        <w:right w:w="0" w:type="dxa"/>
      </w:tblCellMar>
    </w:tblPr>
  </w:style>
  <w:style w:type="character" w:customStyle="1" w:styleId="87">
    <w:name w:val="标题 1 字符"/>
    <w:basedOn w:val="27"/>
    <w:link w:val="2"/>
    <w:autoRedefine/>
    <w:qFormat/>
    <w:uiPriority w:val="99"/>
    <w:rPr>
      <w:rFonts w:eastAsia="黑体"/>
      <w:b/>
      <w:bCs/>
      <w:color w:val="000000"/>
      <w:kern w:val="44"/>
      <w:sz w:val="30"/>
      <w:szCs w:val="30"/>
    </w:rPr>
  </w:style>
  <w:style w:type="character" w:customStyle="1" w:styleId="88">
    <w:name w:val="标题 2 字符"/>
    <w:basedOn w:val="27"/>
    <w:link w:val="3"/>
    <w:autoRedefine/>
    <w:semiHidden/>
    <w:qFormat/>
    <w:uiPriority w:val="0"/>
    <w:rPr>
      <w:rFonts w:asciiTheme="majorHAnsi" w:hAnsiTheme="majorHAnsi" w:eastAsiaTheme="majorEastAsia" w:cstheme="majorBidi"/>
      <w:b/>
      <w:bCs/>
      <w:kern w:val="2"/>
      <w:sz w:val="32"/>
      <w:szCs w:val="32"/>
    </w:rPr>
  </w:style>
  <w:style w:type="paragraph" w:customStyle="1" w:styleId="89">
    <w:name w:val="报告表正文"/>
    <w:basedOn w:val="1"/>
    <w:autoRedefine/>
    <w:qFormat/>
    <w:uiPriority w:val="0"/>
    <w:pPr>
      <w:adjustRightInd w:val="0"/>
      <w:spacing w:line="300" w:lineRule="auto"/>
      <w:ind w:left="113" w:right="113"/>
      <w:textAlignment w:val="baseline"/>
    </w:pPr>
    <w:rPr>
      <w:kern w:val="0"/>
      <w:sz w:val="24"/>
      <w:szCs w:val="20"/>
    </w:rPr>
  </w:style>
  <w:style w:type="character" w:customStyle="1" w:styleId="90">
    <w:name w:val="标题 4 字符"/>
    <w:basedOn w:val="27"/>
    <w:link w:val="5"/>
    <w:autoRedefine/>
    <w:semiHidden/>
    <w:qFormat/>
    <w:uiPriority w:val="0"/>
    <w:rPr>
      <w:rFonts w:asciiTheme="majorHAnsi" w:hAnsiTheme="majorHAnsi" w:eastAsiaTheme="majorEastAsia" w:cstheme="majorBidi"/>
      <w:b/>
      <w:bCs/>
      <w:kern w:val="2"/>
      <w:sz w:val="28"/>
      <w:szCs w:val="28"/>
    </w:rPr>
  </w:style>
  <w:style w:type="paragraph" w:customStyle="1" w:styleId="91">
    <w:name w:val="表格文字"/>
    <w:autoRedefine/>
    <w:qFormat/>
    <w:uiPriority w:val="0"/>
    <w:pPr>
      <w:widowControl w:val="0"/>
      <w:autoSpaceDE w:val="0"/>
      <w:autoSpaceDN w:val="0"/>
      <w:adjustRightInd w:val="0"/>
      <w:spacing w:line="240" w:lineRule="atLeast"/>
      <w:jc w:val="center"/>
      <w:textAlignment w:val="baseline"/>
    </w:pPr>
    <w:rPr>
      <w:rFonts w:ascii="Calibri" w:hAnsi="Calibri" w:eastAsia="宋体" w:cs="Times New Roman"/>
      <w:color w:val="000000"/>
      <w:kern w:val="2"/>
      <w:sz w:val="24"/>
      <w:szCs w:val="22"/>
      <w:lang w:val="en-US" w:eastAsia="zh-CN" w:bidi="ar-SA"/>
    </w:rPr>
  </w:style>
  <w:style w:type="paragraph" w:customStyle="1" w:styleId="92">
    <w:name w:val="Table Text"/>
    <w:basedOn w:val="1"/>
    <w:autoRedefine/>
    <w:semiHidden/>
    <w:qFormat/>
    <w:uiPriority w:val="0"/>
    <w:rPr>
      <w:rFonts w:ascii="微软雅黑" w:hAnsi="微软雅黑" w:eastAsia="微软雅黑" w:cs="微软雅黑"/>
      <w:sz w:val="19"/>
      <w:szCs w:val="19"/>
      <w:lang w:val="en-US" w:eastAsia="en-US" w:bidi="ar-SA"/>
    </w:rPr>
  </w:style>
  <w:style w:type="paragraph" w:customStyle="1" w:styleId="93">
    <w:name w:val="样式2"/>
    <w:basedOn w:val="1"/>
    <w:autoRedefine/>
    <w:qFormat/>
    <w:uiPriority w:val="0"/>
    <w:pPr>
      <w:widowControl w:val="0"/>
      <w:adjustRightInd w:val="0"/>
      <w:ind w:left="170"/>
      <w:textAlignment w:val="baseline"/>
    </w:pPr>
    <w:rPr>
      <w:rFonts w:ascii="Times New Roman" w:hAnsi="Times New Roman" w:cs="Times New Roman"/>
      <w:b/>
      <w:szCs w:val="20"/>
    </w:rPr>
  </w:style>
  <w:style w:type="paragraph" w:customStyle="1" w:styleId="94">
    <w:name w:val="新表"/>
    <w:basedOn w:val="1"/>
    <w:autoRedefine/>
    <w:qFormat/>
    <w:uiPriority w:val="0"/>
    <w:pPr>
      <w:spacing w:line="360" w:lineRule="exact"/>
    </w:pPr>
    <w:rPr>
      <w:rFonts w:eastAsia="仿宋_GB2312"/>
      <w:bCs/>
      <w:kern w:val="0"/>
    </w:rPr>
  </w:style>
  <w:style w:type="paragraph" w:customStyle="1" w:styleId="95">
    <w:name w:val="简单回函地址"/>
    <w:basedOn w:val="1"/>
    <w:next w:val="96"/>
    <w:autoRedefine/>
    <w:qFormat/>
    <w:uiPriority w:val="0"/>
    <w:rPr>
      <w:rFonts w:ascii="Times New Roman" w:hAnsi="Times New Roman" w:eastAsia="宋体" w:cs="Times New Roman"/>
      <w:sz w:val="24"/>
      <w:szCs w:val="20"/>
    </w:rPr>
  </w:style>
  <w:style w:type="paragraph" w:customStyle="1" w:styleId="96">
    <w:name w:val="正文2"/>
    <w:basedOn w:val="1"/>
    <w:autoRedefine/>
    <w:qFormat/>
    <w:uiPriority w:val="0"/>
    <w:pPr>
      <w:adjustRightInd w:val="0"/>
      <w:snapToGrid w:val="0"/>
      <w:spacing w:line="440" w:lineRule="atLeast"/>
      <w:ind w:firstLine="567"/>
    </w:pPr>
    <w:rPr>
      <w:rFonts w:ascii="Times New Roman" w:hAnsi="Times New Roman" w:eastAsia="宋体" w:cs="Times New Roman"/>
      <w:sz w:val="24"/>
      <w:szCs w:val="20"/>
    </w:rPr>
  </w:style>
  <w:style w:type="paragraph" w:customStyle="1" w:styleId="97">
    <w:name w:val="1表格"/>
    <w:basedOn w:val="1"/>
    <w:autoRedefine/>
    <w:qFormat/>
    <w:uiPriority w:val="0"/>
    <w:pPr>
      <w:snapToGrid w:val="0"/>
      <w:spacing w:line="160" w:lineRule="atLeast"/>
      <w:jc w:val="center"/>
    </w:pPr>
    <w:rPr>
      <w:rFonts w:eastAsia="仿宋_GB2312"/>
      <w:szCs w:val="20"/>
    </w:rPr>
  </w:style>
  <w:style w:type="paragraph" w:customStyle="1" w:styleId="98">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9">
    <w:name w:val="文本（正文）"/>
    <w:basedOn w:val="1"/>
    <w:autoRedefine/>
    <w:qFormat/>
    <w:uiPriority w:val="0"/>
    <w:pPr>
      <w:adjustRightInd w:val="0"/>
      <w:snapToGrid w:val="0"/>
      <w:spacing w:line="360" w:lineRule="auto"/>
      <w:ind w:firstLine="480" w:firstLineChars="200"/>
    </w:pPr>
    <w:rPr>
      <w:bCs/>
      <w:color w:val="000000"/>
      <w:kern w:val="0"/>
      <w:sz w:val="24"/>
      <w:szCs w:val="32"/>
    </w:rPr>
  </w:style>
  <w:style w:type="paragraph" w:customStyle="1" w:styleId="100">
    <w:name w:val="表格内容lh"/>
    <w:basedOn w:val="1"/>
    <w:autoRedefine/>
    <w:qFormat/>
    <w:uiPriority w:val="0"/>
    <w:pPr>
      <w:adjustRightInd w:val="0"/>
      <w:snapToGrid w:val="0"/>
    </w:pPr>
    <w:rPr>
      <w:bCs/>
      <w:szCs w:val="21"/>
    </w:rPr>
  </w:style>
  <w:style w:type="paragraph" w:customStyle="1" w:styleId="101">
    <w:name w:val="00 表内字"/>
    <w:basedOn w:val="1"/>
    <w:autoRedefine/>
    <w:qFormat/>
    <w:uiPriority w:val="0"/>
    <w:pPr>
      <w:spacing w:line="240" w:lineRule="atLeast"/>
      <w:jc w:val="center"/>
    </w:pPr>
    <w:rPr>
      <w:rFonts w:ascii="Times New Roman" w:hAnsi="Times New Roman" w:eastAsia="宋体"/>
    </w:rPr>
  </w:style>
  <w:style w:type="paragraph" w:customStyle="1" w:styleId="102">
    <w:name w:val="00 表头文字"/>
    <w:basedOn w:val="1"/>
    <w:next w:val="1"/>
    <w:autoRedefine/>
    <w:qFormat/>
    <w:uiPriority w:val="0"/>
    <w:pPr>
      <w:adjustRightInd w:val="0"/>
      <w:snapToGrid w:val="0"/>
      <w:spacing w:before="10" w:beforeLines="10" w:after="10" w:afterLines="10" w:line="240" w:lineRule="auto"/>
      <w:ind w:firstLine="0" w:firstLineChars="0"/>
      <w:jc w:val="center"/>
    </w:pPr>
    <w:rPr>
      <w:rFonts w:ascii="Times New Roman" w:hAnsi="Times New Roman" w:eastAsia="宋体"/>
      <w:b/>
      <w:kern w:val="0"/>
      <w:szCs w:val="20"/>
    </w:rPr>
  </w:style>
  <w:style w:type="paragraph" w:customStyle="1" w:styleId="103">
    <w:name w:val="1 报告表正文"/>
    <w:basedOn w:val="1"/>
    <w:qFormat/>
    <w:uiPriority w:val="0"/>
    <w:pPr>
      <w:adjustRightInd w:val="0"/>
      <w:spacing w:line="360" w:lineRule="auto"/>
      <w:ind w:left="0" w:right="0" w:firstLine="720" w:firstLineChars="200"/>
      <w:jc w:val="left"/>
      <w:textAlignment w:val="baseline"/>
    </w:pPr>
    <w:rPr>
      <w:rFonts w:ascii="Times New Roman" w:hAnsi="Times New Roman" w:eastAsia="宋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3.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emf"/><Relationship Id="rId50" Type="http://schemas.openxmlformats.org/officeDocument/2006/relationships/image" Target="media/image31.jpeg"/><Relationship Id="rId5" Type="http://schemas.openxmlformats.org/officeDocument/2006/relationships/footer" Target="footer2.xml"/><Relationship Id="rId49" Type="http://schemas.openxmlformats.org/officeDocument/2006/relationships/image" Target="media/image30.jpeg"/><Relationship Id="rId48" Type="http://schemas.openxmlformats.org/officeDocument/2006/relationships/image" Target="media/image29.jpe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wmf"/><Relationship Id="rId4" Type="http://schemas.openxmlformats.org/officeDocument/2006/relationships/footer" Target="footer1.xml"/><Relationship Id="rId39" Type="http://schemas.openxmlformats.org/officeDocument/2006/relationships/image" Target="media/image20.png"/><Relationship Id="rId38" Type="http://schemas.openxmlformats.org/officeDocument/2006/relationships/image" Target="media/image19.emf"/><Relationship Id="rId37" Type="http://schemas.openxmlformats.org/officeDocument/2006/relationships/oleObject" Target="embeddings/oleObject10.bin"/><Relationship Id="rId36" Type="http://schemas.openxmlformats.org/officeDocument/2006/relationships/image" Target="media/image18.emf"/><Relationship Id="rId35" Type="http://schemas.openxmlformats.org/officeDocument/2006/relationships/oleObject" Target="embeddings/oleObject9.bin"/><Relationship Id="rId34" Type="http://schemas.openxmlformats.org/officeDocument/2006/relationships/image" Target="media/image17.emf"/><Relationship Id="rId33" Type="http://schemas.openxmlformats.org/officeDocument/2006/relationships/oleObject" Target="embeddings/oleObject8.bin"/><Relationship Id="rId32" Type="http://schemas.openxmlformats.org/officeDocument/2006/relationships/image" Target="media/image16.emf"/><Relationship Id="rId31" Type="http://schemas.openxmlformats.org/officeDocument/2006/relationships/oleObject" Target="embeddings/oleObject7.bin"/><Relationship Id="rId30" Type="http://schemas.openxmlformats.org/officeDocument/2006/relationships/image" Target="media/image15.e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4.png"/><Relationship Id="rId27" Type="http://schemas.openxmlformats.org/officeDocument/2006/relationships/image" Target="media/image13.emf"/><Relationship Id="rId26" Type="http://schemas.openxmlformats.org/officeDocument/2006/relationships/oleObject" Target="embeddings/oleObject5.bin"/><Relationship Id="rId25" Type="http://schemas.openxmlformats.org/officeDocument/2006/relationships/image" Target="media/image12.emf"/><Relationship Id="rId24" Type="http://schemas.openxmlformats.org/officeDocument/2006/relationships/oleObject" Target="embeddings/oleObject4.bin"/><Relationship Id="rId23" Type="http://schemas.openxmlformats.org/officeDocument/2006/relationships/image" Target="media/image11.emf"/><Relationship Id="rId22" Type="http://schemas.openxmlformats.org/officeDocument/2006/relationships/oleObject" Target="embeddings/oleObject3.bin"/><Relationship Id="rId21" Type="http://schemas.openxmlformats.org/officeDocument/2006/relationships/image" Target="media/image10.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1.bin"/><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130</Pages>
  <Words>398</Words>
  <Characters>494</Characters>
  <Lines>483</Lines>
  <Paragraphs>136</Paragraphs>
  <TotalTime>208</TotalTime>
  <ScaleCrop>false</ScaleCrop>
  <LinksUpToDate>false</LinksUpToDate>
  <CharactersWithSpaces>564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2023-09-01T06:55:00Z</dcterms:created>
  <dc:creator>lhj</dc:creator>
  <cp:lastModifiedBy> </cp:lastModifiedBy>
  <cp:lastPrinted>2023-05-30T07:58:00Z</cp:lastPrinted>
  <dcterms:modified xsi:type="dcterms:W3CDTF">2025-05-20T06:58:56Z</dcterms:modified>
  <dc:title>附件2</dc:title>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B0FCE29EE3154C8BBD11D20D42A98706_13</vt:lpwstr>
  </property>
  <property fmtid="{D5CDD505-2E9C-101B-9397-08002B2CF9AE}" pid="4" name="KSOTemplateDocerSaveRecord">
    <vt:lpwstr>eyJoZGlkIjoiYzE4NTNiNmE2M2NmMTFhOTFkZWU1NGUyMGU3YTExNjIiLCJ1c2VySWQiOiIzNDIwNTM2NzcifQ==</vt:lpwstr>
  </property>
</Properties>
</file>