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10"/>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遂大环函</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rPr>
        <w:t>〕</w:t>
      </w:r>
      <w:r>
        <w:rPr>
          <w:rFonts w:hint="eastAsia" w:cs="Times New Roman"/>
          <w:sz w:val="32"/>
          <w:szCs w:val="32"/>
          <w:lang w:val="en-US" w:eastAsia="zh-CN"/>
        </w:rPr>
        <w:t>37</w:t>
      </w:r>
      <w:r>
        <w:rPr>
          <w:rFonts w:hint="eastAsia" w:ascii="仿宋" w:hAnsi="仿宋" w:eastAsia="仿宋" w:cs="仿宋"/>
          <w:sz w:val="32"/>
          <w:szCs w:val="32"/>
        </w:rPr>
        <w:t>号</w:t>
      </w:r>
    </w:p>
    <w:p w14:paraId="187037DF">
      <w:pPr>
        <w:pStyle w:val="10"/>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777076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关于80万吨/年生物质集中供热项目</w:t>
      </w:r>
    </w:p>
    <w:p w14:paraId="6C1FF6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环境影响报告表的批复</w:t>
      </w:r>
    </w:p>
    <w:p w14:paraId="1A4C9D87">
      <w:pPr>
        <w:pStyle w:val="14"/>
        <w:keepNext w:val="0"/>
        <w:keepLines w:val="0"/>
        <w:pageBreakBefore w:val="0"/>
        <w:widowControl w:val="0"/>
        <w:kinsoku/>
        <w:wordWrap/>
        <w:overflowPunct/>
        <w:topLinePunct w:val="0"/>
        <w:autoSpaceDE/>
        <w:autoSpaceDN/>
        <w:bidi w:val="0"/>
        <w:adjustRightInd/>
        <w:snapToGrid/>
        <w:spacing w:line="544" w:lineRule="exact"/>
        <w:ind w:left="0"/>
        <w:jc w:val="both"/>
        <w:textAlignment w:val="auto"/>
        <w:rPr>
          <w:rFonts w:hint="eastAsia" w:ascii="仿宋" w:hAnsi="仿宋" w:eastAsia="仿宋" w:cs="仿宋"/>
          <w:color w:val="auto"/>
          <w:spacing w:val="-6"/>
          <w:kern w:val="2"/>
          <w:sz w:val="32"/>
          <w:szCs w:val="32"/>
          <w:lang w:val="en-US" w:eastAsia="zh-CN" w:bidi="ar-SA"/>
        </w:rPr>
      </w:pPr>
    </w:p>
    <w:p w14:paraId="3769A889">
      <w:pPr>
        <w:keepNext w:val="0"/>
        <w:keepLines w:val="0"/>
        <w:pageBreakBefore w:val="0"/>
        <w:widowControl w:val="0"/>
        <w:kinsoku/>
        <w:wordWrap/>
        <w:overflowPunct/>
        <w:topLinePunct w:val="0"/>
        <w:autoSpaceDE/>
        <w:autoSpaceDN/>
        <w:bidi w:val="0"/>
        <w:adjustRightInd/>
        <w:snapToGrid/>
        <w:spacing w:line="544" w:lineRule="exact"/>
        <w:ind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四川亿昂洋新能源科技有限公司：</w:t>
      </w:r>
    </w:p>
    <w:p w14:paraId="73D9EAFB">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你公司报送的《</w:t>
      </w:r>
      <w:r>
        <w:rPr>
          <w:rFonts w:hint="default" w:ascii="Times New Roman" w:hAnsi="Times New Roman" w:eastAsia="仿宋" w:cs="Times New Roman"/>
          <w:color w:val="auto"/>
          <w:sz w:val="32"/>
          <w:szCs w:val="32"/>
          <w:lang w:val="en-US" w:eastAsia="zh-CN"/>
        </w:rPr>
        <w:t>80</w:t>
      </w:r>
      <w:r>
        <w:rPr>
          <w:rFonts w:hint="eastAsia" w:ascii="仿宋" w:hAnsi="仿宋" w:eastAsia="仿宋" w:cs="仿宋"/>
          <w:color w:val="auto"/>
          <w:sz w:val="32"/>
          <w:szCs w:val="32"/>
          <w:lang w:val="en-US" w:eastAsia="zh-CN"/>
        </w:rPr>
        <w:t>万吨/年生物质集中供热项目环境影响报告表》（以下简称《报告表》）收悉。经研究，批复如下：</w:t>
      </w:r>
    </w:p>
    <w:p w14:paraId="23FC22B6">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一、项目概况及总体意见</w:t>
      </w:r>
    </w:p>
    <w:p w14:paraId="536A8087">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项目位于</w:t>
      </w:r>
      <w:r>
        <w:rPr>
          <w:rFonts w:hint="eastAsia" w:ascii="仿宋" w:hAnsi="仿宋" w:cs="仿宋"/>
          <w:color w:val="auto"/>
          <w:sz w:val="32"/>
          <w:szCs w:val="32"/>
          <w:lang w:val="en-US" w:eastAsia="zh-CN"/>
        </w:rPr>
        <w:t>四川大英经济开发区盛马大道中段，新建</w:t>
      </w:r>
      <w:r>
        <w:rPr>
          <w:rFonts w:hint="default" w:ascii="Times New Roman" w:hAnsi="Times New Roman" w:cs="Times New Roman"/>
          <w:color w:val="auto"/>
          <w:sz w:val="32"/>
          <w:szCs w:val="32"/>
          <w:lang w:val="en-US" w:eastAsia="zh-CN"/>
        </w:rPr>
        <w:t>35</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t/h</w:t>
      </w:r>
      <w:r>
        <w:rPr>
          <w:rFonts w:hint="eastAsia" w:ascii="仿宋" w:hAnsi="仿宋" w:cs="仿宋"/>
          <w:color w:val="auto"/>
          <w:sz w:val="32"/>
          <w:szCs w:val="32"/>
          <w:lang w:val="en-US" w:eastAsia="zh-CN"/>
        </w:rPr>
        <w:t>生物质燃气专用蒸汽锅炉</w:t>
      </w:r>
      <w:r>
        <w:rPr>
          <w:rFonts w:hint="eastAsia" w:ascii="Times New Roman" w:hAnsi="Times New Roman" w:cs="Times New Roman"/>
          <w:color w:val="auto"/>
          <w:sz w:val="32"/>
          <w:szCs w:val="32"/>
          <w:lang w:val="en-US" w:eastAsia="zh-CN"/>
        </w:rPr>
        <w:t>4</w:t>
      </w:r>
      <w:r>
        <w:rPr>
          <w:rFonts w:hint="eastAsia" w:ascii="仿宋" w:hAnsi="仿宋" w:cs="仿宋"/>
          <w:color w:val="auto"/>
          <w:sz w:val="32"/>
          <w:szCs w:val="32"/>
          <w:lang w:val="en-US" w:eastAsia="zh-CN"/>
        </w:rPr>
        <w:t>台，生物质气反应器（即汽化炉）</w:t>
      </w:r>
      <w:r>
        <w:rPr>
          <w:rFonts w:hint="eastAsia" w:ascii="Times New Roman" w:hAnsi="Times New Roman" w:cs="Times New Roman"/>
          <w:color w:val="auto"/>
          <w:sz w:val="32"/>
          <w:szCs w:val="32"/>
          <w:lang w:val="en-US" w:eastAsia="zh-CN"/>
        </w:rPr>
        <w:t>5</w:t>
      </w:r>
      <w:r>
        <w:rPr>
          <w:rFonts w:hint="eastAsia" w:ascii="仿宋" w:hAnsi="仿宋" w:cs="仿宋"/>
          <w:color w:val="auto"/>
          <w:sz w:val="32"/>
          <w:szCs w:val="32"/>
          <w:lang w:val="en-US" w:eastAsia="zh-CN"/>
        </w:rPr>
        <w:t>台（</w:t>
      </w:r>
      <w:r>
        <w:rPr>
          <w:rFonts w:hint="eastAsia" w:ascii="Times New Roman" w:hAnsi="Times New Roman" w:cs="Times New Roman"/>
          <w:color w:val="auto"/>
          <w:sz w:val="32"/>
          <w:szCs w:val="32"/>
          <w:lang w:val="en-US" w:eastAsia="zh-CN"/>
        </w:rPr>
        <w:t>4用1</w:t>
      </w:r>
      <w:r>
        <w:rPr>
          <w:rFonts w:hint="eastAsia" w:ascii="仿宋" w:hAnsi="仿宋" w:cs="仿宋"/>
          <w:color w:val="auto"/>
          <w:sz w:val="32"/>
          <w:szCs w:val="32"/>
          <w:lang w:val="en-US" w:eastAsia="zh-CN"/>
        </w:rPr>
        <w:t>备），并配套相关公辅及环保设施，建成后形成年产蒸汽</w:t>
      </w:r>
      <w:r>
        <w:rPr>
          <w:rFonts w:hint="eastAsia" w:ascii="Times New Roman" w:hAnsi="Times New Roman" w:cs="Times New Roman"/>
          <w:color w:val="auto"/>
          <w:sz w:val="32"/>
          <w:szCs w:val="32"/>
          <w:lang w:val="en-US" w:eastAsia="zh-CN"/>
        </w:rPr>
        <w:t>80</w:t>
      </w:r>
      <w:r>
        <w:rPr>
          <w:rFonts w:hint="eastAsia" w:ascii="仿宋" w:hAnsi="仿宋" w:cs="仿宋"/>
          <w:color w:val="auto"/>
          <w:sz w:val="32"/>
          <w:szCs w:val="32"/>
          <w:lang w:val="en-US" w:eastAsia="zh-CN"/>
        </w:rPr>
        <w:t>万吨的总产能。项目总投资</w:t>
      </w:r>
      <w:r>
        <w:rPr>
          <w:rFonts w:hint="eastAsia" w:ascii="Times New Roman" w:hAnsi="Times New Roman" w:cs="Times New Roman"/>
          <w:color w:val="auto"/>
          <w:sz w:val="32"/>
          <w:szCs w:val="32"/>
          <w:lang w:val="en-US" w:eastAsia="zh-CN"/>
        </w:rPr>
        <w:t>15000</w:t>
      </w:r>
      <w:r>
        <w:rPr>
          <w:rFonts w:hint="eastAsia" w:ascii="仿宋" w:hAnsi="仿宋" w:cs="仿宋"/>
          <w:color w:val="auto"/>
          <w:sz w:val="32"/>
          <w:szCs w:val="32"/>
          <w:lang w:val="en-US" w:eastAsia="zh-CN"/>
        </w:rPr>
        <w:t>万元，其中环保投资</w:t>
      </w:r>
      <w:r>
        <w:rPr>
          <w:rFonts w:hint="eastAsia" w:ascii="Times New Roman" w:hAnsi="Times New Roman" w:cs="Times New Roman"/>
          <w:color w:val="auto"/>
          <w:sz w:val="32"/>
          <w:szCs w:val="32"/>
          <w:lang w:val="en-US" w:eastAsia="zh-CN"/>
        </w:rPr>
        <w:t>989</w:t>
      </w:r>
      <w:r>
        <w:rPr>
          <w:rFonts w:hint="eastAsia" w:ascii="仿宋" w:hAnsi="仿宋" w:cs="仿宋"/>
          <w:color w:val="auto"/>
          <w:sz w:val="32"/>
          <w:szCs w:val="32"/>
          <w:lang w:val="en-US" w:eastAsia="zh-CN"/>
        </w:rPr>
        <w:t>万元。</w:t>
      </w:r>
    </w:p>
    <w:p w14:paraId="07F87DDA">
      <w:pPr>
        <w:keepNext w:val="0"/>
        <w:keepLines w:val="0"/>
        <w:pageBreakBefore w:val="0"/>
        <w:widowControl w:val="0"/>
        <w:kinsoku/>
        <w:wordWrap/>
        <w:overflowPunct/>
        <w:topLinePunct w:val="0"/>
        <w:autoSpaceDE/>
        <w:autoSpaceDN/>
        <w:bidi w:val="0"/>
        <w:adjustRightInd w:val="0"/>
        <w:snapToGrid/>
        <w:spacing w:line="544" w:lineRule="exact"/>
        <w:ind w:firstLine="632" w:firstLineChars="200"/>
        <w:jc w:val="both"/>
        <w:textAlignment w:val="auto"/>
        <w:rPr>
          <w:rFonts w:hint="eastAsia" w:ascii="Times New Roman" w:hAnsi="Times New Roman" w:eastAsia="仿宋_GB2312" w:cs="Times New Roman"/>
          <w:sz w:val="32"/>
          <w:szCs w:val="32"/>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仿宋" w:hAnsi="仿宋" w:eastAsia="仿宋" w:cs="仿宋"/>
          <w:color w:val="auto"/>
          <w:sz w:val="32"/>
          <w:szCs w:val="32"/>
          <w:lang w:val="en-US" w:eastAsia="zh-CN"/>
        </w:rPr>
        <w:t>项目经大英县发展和改革局登记备案（川投资备</w:t>
      </w:r>
      <w:r>
        <w:rPr>
          <w:rFonts w:hint="eastAsia" w:ascii="Times New Roman" w:hAnsi="Times New Roman" w:eastAsia="仿宋" w:cs="Times New Roman"/>
          <w:color w:val="auto"/>
          <w:sz w:val="32"/>
          <w:szCs w:val="32"/>
          <w:lang w:val="en-US" w:eastAsia="zh-CN"/>
        </w:rPr>
        <w:t>【2410-510923-04-01-305250】FGQB-03</w:t>
      </w:r>
      <w:r>
        <w:rPr>
          <w:rFonts w:hint="eastAsia" w:ascii="Times New Roman" w:hAnsi="Times New Roman" w:cs="Times New Roman"/>
          <w:color w:val="auto"/>
          <w:sz w:val="32"/>
          <w:szCs w:val="32"/>
          <w:lang w:val="en-US" w:eastAsia="zh-CN"/>
        </w:rPr>
        <w:t>22</w:t>
      </w:r>
      <w:r>
        <w:rPr>
          <w:rFonts w:hint="eastAsia" w:ascii="Times New Roman" w:hAnsi="Times New Roman" w:eastAsia="仿宋" w:cs="Times New Roman"/>
          <w:color w:val="auto"/>
          <w:sz w:val="32"/>
          <w:szCs w:val="32"/>
          <w:lang w:val="en-US" w:eastAsia="zh-CN"/>
        </w:rPr>
        <w:t>号</w:t>
      </w:r>
      <w:r>
        <w:rPr>
          <w:rFonts w:hint="eastAsia" w:ascii="仿宋" w:hAnsi="仿宋" w:eastAsia="仿宋" w:cs="仿宋"/>
          <w:color w:val="auto"/>
          <w:sz w:val="32"/>
          <w:szCs w:val="32"/>
          <w:lang w:val="en-US" w:eastAsia="zh-CN"/>
        </w:rPr>
        <w:t>），属于《产业结构调整指导目录（</w:t>
      </w:r>
      <w:r>
        <w:rPr>
          <w:rFonts w:hint="eastAsia"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年本）》中的鼓励类项目。</w:t>
      </w:r>
      <w:r>
        <w:rPr>
          <w:rFonts w:hint="eastAsia" w:ascii="Times New Roman" w:hAnsi="Times New Roman" w:eastAsia="仿宋_GB2312" w:cs="Times New Roman"/>
          <w:sz w:val="32"/>
          <w:szCs w:val="32"/>
        </w:rPr>
        <w:t>项目用地已取得不动产权证〔川（202</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rPr>
        <w:t>）大英县不动产权第0</w:t>
      </w:r>
      <w:r>
        <w:rPr>
          <w:rFonts w:hint="eastAsia" w:eastAsia="仿宋_GB2312" w:cs="Times New Roman"/>
          <w:sz w:val="32"/>
          <w:szCs w:val="32"/>
          <w:lang w:val="en-US" w:eastAsia="zh-CN"/>
        </w:rPr>
        <w:t>006055</w:t>
      </w:r>
      <w:r>
        <w:rPr>
          <w:rFonts w:hint="eastAsia" w:ascii="Times New Roman" w:hAnsi="Times New Roman" w:eastAsia="仿宋_GB2312" w:cs="Times New Roman"/>
          <w:sz w:val="32"/>
          <w:szCs w:val="32"/>
        </w:rPr>
        <w:t>号〕、〔川（202</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rPr>
        <w:t>）大英县不动产权第0</w:t>
      </w:r>
      <w:r>
        <w:rPr>
          <w:rFonts w:hint="eastAsia" w:eastAsia="仿宋_GB2312" w:cs="Times New Roman"/>
          <w:sz w:val="32"/>
          <w:szCs w:val="32"/>
          <w:lang w:val="en-US" w:eastAsia="zh-CN"/>
        </w:rPr>
        <w:t>006068</w:t>
      </w:r>
      <w:r>
        <w:rPr>
          <w:rFonts w:hint="eastAsia" w:ascii="Times New Roman" w:hAnsi="Times New Roman" w:eastAsia="仿宋_GB2312" w:cs="Times New Roman"/>
          <w:sz w:val="32"/>
          <w:szCs w:val="32"/>
        </w:rPr>
        <w:t>号〕</w:t>
      </w:r>
      <w:r>
        <w:rPr>
          <w:rFonts w:hint="eastAsia" w:ascii="仿宋" w:hAnsi="仿宋" w:cs="仿宋"/>
          <w:color w:val="auto"/>
          <w:sz w:val="32"/>
          <w:szCs w:val="32"/>
          <w:lang w:val="en-US" w:eastAsia="zh-CN"/>
        </w:rPr>
        <w:t>，</w:t>
      </w:r>
      <w:r>
        <w:rPr>
          <w:rFonts w:hint="eastAsia" w:ascii="Times New Roman" w:hAnsi="Times New Roman" w:eastAsia="仿宋_GB2312" w:cs="Times New Roman"/>
          <w:sz w:val="32"/>
          <w:szCs w:val="32"/>
        </w:rPr>
        <w:t>用地性质为工业用地。项目建设选址的四川大英经济开发区，已开展规划环评并取得审</w:t>
      </w:r>
    </w:p>
    <w:p w14:paraId="20A6248E">
      <w:pPr>
        <w:keepNext w:val="0"/>
        <w:keepLines w:val="0"/>
        <w:pageBreakBefore w:val="0"/>
        <w:widowControl w:val="0"/>
        <w:kinsoku/>
        <w:wordWrap/>
        <w:overflowPunct/>
        <w:topLinePunct w:val="0"/>
        <w:autoSpaceDE/>
        <w:autoSpaceDN/>
        <w:bidi w:val="0"/>
        <w:adjustRightInd w:val="0"/>
        <w:snapToGrid/>
        <w:spacing w:line="544" w:lineRule="exact"/>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查意见（川环建函〔2019〕48号）。《报告表》认为该项目建设符合国家产业政策，选址符合相关规划和规划环评相关要求。</w:t>
      </w:r>
    </w:p>
    <w:p w14:paraId="370BB13B">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3E918E1C">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二、项目建设及营运期应重点做好以下工作</w:t>
      </w:r>
    </w:p>
    <w:p w14:paraId="0F17C6C9">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（一）落实污染防治和环境管理措施。</w:t>
      </w:r>
      <w:r>
        <w:rPr>
          <w:rFonts w:hint="eastAsia" w:ascii="仿宋" w:hAnsi="仿宋" w:eastAsia="仿宋" w:cs="仿宋"/>
          <w:color w:val="auto"/>
          <w:sz w:val="32"/>
          <w:szCs w:val="32"/>
          <w:lang w:val="en-US" w:eastAsia="zh-CN"/>
        </w:rPr>
        <w:t>加强环保设施的日常管理和维护，确保环保设施正常运行及各类污染物稳定达标排放。制定并不断完善突发环境事件应急预案，规范内部管理，严格规范操作，定期开展自行监测，防止污染事故的发生。</w:t>
      </w:r>
    </w:p>
    <w:p w14:paraId="3727C8AE">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default"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（二）落实废水处理措施。</w:t>
      </w:r>
      <w:r>
        <w:rPr>
          <w:rFonts w:hint="eastAsia" w:ascii="仿宋" w:hAnsi="仿宋" w:eastAsia="仿宋" w:cs="仿宋"/>
          <w:color w:val="auto"/>
          <w:sz w:val="32"/>
          <w:szCs w:val="32"/>
          <w:lang w:val="en-US" w:eastAsia="zh-CN"/>
        </w:rPr>
        <w:t>施工期：生活污水依托园区已建污水处理设施；车辆冲洗废水经沉淀后回用，不外排。运营期：锅炉排污水和软水制备废水经沉淀池处理后，优先用于除尘设备用水，剩余部分与经过预处理的生活污水一并通过市政管网进入大英县工业污水处理厂处理达标后排放；除尘设备用水循环使用，不外排</w:t>
      </w:r>
      <w:r>
        <w:rPr>
          <w:rFonts w:hint="eastAsia" w:ascii="仿宋" w:hAnsi="仿宋" w:cs="仿宋"/>
          <w:color w:val="auto"/>
          <w:sz w:val="32"/>
          <w:szCs w:val="32"/>
          <w:lang w:val="en-US" w:eastAsia="zh-CN"/>
        </w:rPr>
        <w:t>。</w:t>
      </w:r>
    </w:p>
    <w:p w14:paraId="750C6001">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（三）落实废气治理措施。</w:t>
      </w:r>
      <w:r>
        <w:rPr>
          <w:rFonts w:hint="eastAsia" w:ascii="仿宋" w:hAnsi="仿宋" w:eastAsia="仿宋" w:cs="仿宋"/>
          <w:color w:val="auto"/>
          <w:sz w:val="32"/>
          <w:szCs w:val="32"/>
          <w:lang w:val="en-US" w:eastAsia="zh-CN"/>
        </w:rPr>
        <w:t>施工期：严格落实“六必须六不准”和“六个百分百”要求，通过在工地周边设置围挡、物料堆放覆盖、土方开挖湿法作业、路面硬化、出入车辆清洗、渣土车辆密闭运输等措施降低施工扬尘产生量。运营期：每台锅炉配置</w:t>
      </w:r>
      <w:bookmarkStart w:id="0" w:name="_GoBack"/>
      <w:bookmarkEnd w:id="0"/>
      <w:r>
        <w:rPr>
          <w:rFonts w:hint="eastAsia" w:ascii="仿宋" w:hAnsi="仿宋" w:eastAsia="仿宋" w:cs="仿宋"/>
          <w:color w:val="auto"/>
          <w:sz w:val="32"/>
          <w:szCs w:val="32"/>
          <w:lang w:val="en-US" w:eastAsia="zh-CN"/>
        </w:rPr>
        <w:t>一套“低氮燃烧+</w:t>
      </w:r>
      <w:r>
        <w:rPr>
          <w:rFonts w:hint="default" w:ascii="Times New Roman" w:hAnsi="Times New Roman" w:eastAsia="仿宋" w:cs="Times New Roman"/>
          <w:color w:val="auto"/>
          <w:sz w:val="32"/>
          <w:szCs w:val="32"/>
          <w:lang w:val="en-US" w:eastAsia="zh-CN"/>
        </w:rPr>
        <w:t>SCR</w:t>
      </w:r>
      <w:r>
        <w:rPr>
          <w:rFonts w:hint="eastAsia" w:ascii="仿宋" w:hAnsi="仿宋" w:eastAsia="仿宋" w:cs="仿宋"/>
          <w:color w:val="auto"/>
          <w:sz w:val="32"/>
          <w:szCs w:val="32"/>
          <w:lang w:val="en-US" w:eastAsia="zh-CN"/>
        </w:rPr>
        <w:t>脱硝+喷淋式水膜除尘器”尾气处理装置，全厂共</w:t>
      </w:r>
      <w:r>
        <w:rPr>
          <w:rFonts w:hint="eastAsia" w:ascii="Times New Roman" w:hAnsi="Times New Roman" w:eastAsia="仿宋" w:cs="Times New Roman"/>
          <w:color w:val="auto"/>
          <w:sz w:val="32"/>
          <w:szCs w:val="32"/>
          <w:lang w:val="en-US" w:eastAsia="zh-CN"/>
        </w:rPr>
        <w:t>4</w:t>
      </w:r>
      <w:r>
        <w:rPr>
          <w:rFonts w:hint="eastAsia" w:ascii="仿宋" w:hAnsi="仿宋" w:eastAsia="仿宋" w:cs="仿宋"/>
          <w:color w:val="auto"/>
          <w:sz w:val="32"/>
          <w:szCs w:val="32"/>
          <w:lang w:val="en-US" w:eastAsia="zh-CN"/>
        </w:rPr>
        <w:t>套尾气处理装置，每</w:t>
      </w:r>
      <w:r>
        <w:rPr>
          <w:rFonts w:hint="eastAsia"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lang w:val="en-US" w:eastAsia="zh-CN"/>
        </w:rPr>
        <w:t>套尾气处理装置共用</w:t>
      </w:r>
      <w:r>
        <w:rPr>
          <w:rFonts w:hint="eastAsia"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val="en-US" w:eastAsia="zh-CN"/>
        </w:rPr>
        <w:t>根</w:t>
      </w:r>
      <w:r>
        <w:rPr>
          <w:rFonts w:hint="eastAsia" w:ascii="Times New Roman" w:hAnsi="Times New Roman" w:eastAsia="仿宋" w:cs="Times New Roman"/>
          <w:color w:val="auto"/>
          <w:sz w:val="32"/>
          <w:szCs w:val="32"/>
          <w:lang w:val="en-US" w:eastAsia="zh-CN"/>
        </w:rPr>
        <w:t>26m</w:t>
      </w:r>
      <w:r>
        <w:rPr>
          <w:rFonts w:hint="eastAsia" w:ascii="仿宋" w:hAnsi="仿宋" w:eastAsia="仿宋" w:cs="仿宋"/>
          <w:color w:val="auto"/>
          <w:sz w:val="32"/>
          <w:szCs w:val="32"/>
          <w:lang w:val="en-US" w:eastAsia="zh-CN"/>
        </w:rPr>
        <w:t>高排气筒，全厂共</w:t>
      </w:r>
      <w:r>
        <w:rPr>
          <w:rFonts w:hint="eastAsia" w:ascii="Times New Roman" w:hAnsi="Times New Roman" w:eastAsia="仿宋" w:cs="Times New Roman"/>
          <w:color w:val="auto"/>
          <w:sz w:val="32"/>
          <w:szCs w:val="32"/>
          <w:lang w:val="en-US" w:eastAsia="zh-CN"/>
        </w:rPr>
        <w:t>2根排气筒（DA001和DA002</w:t>
      </w:r>
      <w:r>
        <w:rPr>
          <w:rFonts w:hint="eastAsia" w:ascii="仿宋" w:hAnsi="仿宋" w:eastAsia="仿宋" w:cs="仿宋"/>
          <w:color w:val="auto"/>
          <w:sz w:val="32"/>
          <w:szCs w:val="32"/>
          <w:lang w:val="en-US" w:eastAsia="zh-CN"/>
        </w:rPr>
        <w:t>），</w:t>
      </w:r>
      <w:r>
        <w:rPr>
          <w:rFonts w:hint="eastAsia" w:ascii="仿宋" w:hAnsi="仿宋" w:cs="仿宋"/>
          <w:color w:val="auto"/>
        </w:rPr>
        <w:t>每根排气筒配套</w:t>
      </w:r>
      <w:r>
        <w:rPr>
          <w:rFonts w:hint="eastAsia" w:ascii="Times New Roman" w:hAnsi="Times New Roman" w:eastAsia="仿宋" w:cs="Times New Roman"/>
          <w:color w:val="auto"/>
          <w:sz w:val="32"/>
          <w:szCs w:val="32"/>
          <w:lang w:val="en-US" w:eastAsia="zh-CN"/>
        </w:rPr>
        <w:t>1</w:t>
      </w:r>
      <w:r>
        <w:rPr>
          <w:rFonts w:hint="eastAsia" w:ascii="仿宋" w:hAnsi="仿宋" w:cs="仿宋"/>
          <w:color w:val="auto"/>
        </w:rPr>
        <w:t>套废气在线监测设备，共计</w:t>
      </w:r>
      <w:r>
        <w:rPr>
          <w:rFonts w:hint="eastAsia" w:ascii="Times New Roman" w:hAnsi="Times New Roman" w:eastAsia="仿宋" w:cs="Times New Roman"/>
          <w:color w:val="auto"/>
          <w:sz w:val="32"/>
          <w:szCs w:val="32"/>
          <w:lang w:val="en-US" w:eastAsia="zh-CN"/>
        </w:rPr>
        <w:t>2</w:t>
      </w:r>
      <w:r>
        <w:rPr>
          <w:rFonts w:hint="eastAsia" w:ascii="仿宋" w:hAnsi="仿宋" w:cs="仿宋"/>
          <w:color w:val="auto"/>
        </w:rPr>
        <w:t>套废气在线监测设备</w:t>
      </w:r>
      <w:r>
        <w:rPr>
          <w:rFonts w:hint="eastAsia" w:ascii="仿宋" w:hAnsi="仿宋" w:cs="仿宋"/>
          <w:color w:val="auto"/>
          <w:lang w:eastAsia="zh-CN"/>
        </w:rPr>
        <w:t>，</w:t>
      </w:r>
      <w:r>
        <w:rPr>
          <w:rFonts w:hint="eastAsia" w:ascii="仿宋" w:hAnsi="仿宋" w:eastAsia="仿宋" w:cs="仿宋"/>
          <w:color w:val="auto"/>
          <w:sz w:val="32"/>
          <w:szCs w:val="32"/>
          <w:lang w:val="en-US" w:eastAsia="zh-CN"/>
        </w:rPr>
        <w:t>锅炉废气经尾气处理装置处理达标</w:t>
      </w:r>
      <w:r>
        <w:rPr>
          <w:rFonts w:hint="eastAsia" w:ascii="仿宋" w:hAnsi="仿宋" w:cs="仿宋"/>
          <w:color w:val="auto"/>
          <w:sz w:val="32"/>
          <w:szCs w:val="32"/>
          <w:lang w:val="en-US" w:eastAsia="zh-CN"/>
        </w:rPr>
        <w:t>后通过排气筒</w:t>
      </w:r>
      <w:r>
        <w:rPr>
          <w:rFonts w:hint="eastAsia" w:ascii="仿宋" w:hAnsi="仿宋" w:eastAsia="仿宋" w:cs="仿宋"/>
          <w:color w:val="auto"/>
          <w:sz w:val="32"/>
          <w:szCs w:val="32"/>
          <w:lang w:val="en-US" w:eastAsia="zh-CN"/>
        </w:rPr>
        <w:t>排放。</w:t>
      </w:r>
    </w:p>
    <w:p w14:paraId="3E944228">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（四）落实固废处置措施。</w:t>
      </w:r>
      <w:r>
        <w:rPr>
          <w:rFonts w:hint="eastAsia" w:ascii="仿宋" w:hAnsi="仿宋" w:eastAsia="仿宋" w:cs="仿宋"/>
          <w:color w:val="auto"/>
          <w:sz w:val="32"/>
          <w:szCs w:val="32"/>
          <w:lang w:val="en-US" w:eastAsia="zh-CN"/>
        </w:rPr>
        <w:t>施工期：土石方挖填平衡，可回收建筑垃圾交废物收购站回收处理，不可回收建筑垃圾清运至指定垃圾场处理。运营期：生物质气反应器灰渣和除尘器收尘外售；废离子交换树脂由更换单位带走处置；生活垃圾交由环卫部门处置；废机油、废机油沾染物和废催化剂等危险废物定期交由有资质单位处置，转移过程严格落实《危险废物转移管理办法》。</w:t>
      </w:r>
    </w:p>
    <w:p w14:paraId="0981590E">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（五）落实噪声防治措施。</w:t>
      </w:r>
      <w:r>
        <w:rPr>
          <w:rFonts w:hint="eastAsia" w:ascii="仿宋" w:hAnsi="仿宋" w:eastAsia="仿宋" w:cs="仿宋"/>
          <w:color w:val="auto"/>
          <w:sz w:val="32"/>
          <w:szCs w:val="32"/>
          <w:lang w:val="en-US" w:eastAsia="zh-CN"/>
        </w:rPr>
        <w:t>施工期：通过选用低噪声设备，采取隔声减振措施，合理布局并安排作业时间，文明施工，设置围挡等实现降噪，满足《建筑施工场界环境噪声排放标准》（</w:t>
      </w:r>
      <w:r>
        <w:rPr>
          <w:rFonts w:hint="default" w:ascii="Times New Roman" w:hAnsi="Times New Roman" w:eastAsia="仿宋" w:cs="Times New Roman"/>
          <w:color w:val="auto"/>
          <w:sz w:val="32"/>
          <w:szCs w:val="32"/>
          <w:lang w:val="en-US" w:eastAsia="zh-CN"/>
        </w:rPr>
        <w:t>GB12523-2011</w:t>
      </w:r>
      <w:r>
        <w:rPr>
          <w:rFonts w:hint="eastAsia" w:ascii="仿宋" w:hAnsi="仿宋" w:eastAsia="仿宋" w:cs="仿宋"/>
          <w:color w:val="auto"/>
          <w:sz w:val="32"/>
          <w:szCs w:val="32"/>
          <w:lang w:val="en-US" w:eastAsia="zh-CN"/>
        </w:rPr>
        <w:t>）要求。运营期：噪声源应合理布局，在设备选型上应优选低噪声设备，采取隔声、减振、消声等措施，同时加强机械设备的日常维护，确保满足《工业企业厂界环境噪声排放标准》（</w:t>
      </w:r>
      <w:r>
        <w:rPr>
          <w:rFonts w:hint="default" w:ascii="Times New Roman" w:hAnsi="Times New Roman" w:eastAsia="仿宋" w:cs="Times New Roman"/>
          <w:color w:val="auto"/>
          <w:sz w:val="32"/>
          <w:szCs w:val="32"/>
          <w:lang w:val="en-US" w:eastAsia="zh-CN"/>
        </w:rPr>
        <w:t>GB12348-2008）中的3</w:t>
      </w:r>
      <w:r>
        <w:rPr>
          <w:rFonts w:hint="eastAsia" w:ascii="仿宋" w:hAnsi="仿宋" w:eastAsia="仿宋" w:cs="仿宋"/>
          <w:color w:val="auto"/>
          <w:sz w:val="32"/>
          <w:szCs w:val="32"/>
          <w:lang w:val="en-US" w:eastAsia="zh-CN"/>
        </w:rPr>
        <w:t>类声环境功能区排放限值的要求。</w:t>
      </w:r>
    </w:p>
    <w:p w14:paraId="2C03EE2F">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（六）落实地下水、土壤污染防治措施。</w:t>
      </w:r>
      <w:r>
        <w:rPr>
          <w:rFonts w:hint="eastAsia" w:ascii="仿宋" w:hAnsi="仿宋" w:eastAsia="仿宋" w:cs="仿宋"/>
          <w:color w:val="auto"/>
          <w:sz w:val="32"/>
          <w:szCs w:val="32"/>
          <w:lang w:val="en-US" w:eastAsia="zh-CN"/>
        </w:rPr>
        <w:t>落实分区防渗措施，危废储存间和氨水储罐区进行重点防渗；沉淀池、冷却循环水池、预处理池、雨水收集池、消防水池等区域进行一般防渗；其他区域进行简单防渗。</w:t>
      </w:r>
    </w:p>
    <w:p w14:paraId="2ECA93DC">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三、污染物排放总量</w:t>
      </w:r>
    </w:p>
    <w:p w14:paraId="43433E82">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根据《报告表》预测，项目建成后主要大气污染物有组织排放总量为：颗粒物</w:t>
      </w:r>
      <w:r>
        <w:rPr>
          <w:rFonts w:hint="eastAsia" w:cs="Times New Roman"/>
          <w:color w:val="auto"/>
          <w:sz w:val="32"/>
          <w:szCs w:val="32"/>
          <w:lang w:val="en-US" w:eastAsia="zh-CN"/>
        </w:rPr>
        <w:t>7.54</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t/a、SO</w:t>
      </w:r>
      <w:r>
        <w:rPr>
          <w:rFonts w:hint="default" w:ascii="Times New Roman" w:hAnsi="Times New Roman" w:eastAsia="仿宋" w:cs="Times New Roman"/>
          <w:color w:val="auto"/>
          <w:sz w:val="32"/>
          <w:szCs w:val="32"/>
          <w:vertAlign w:val="subscript"/>
          <w:lang w:val="en-US" w:eastAsia="zh-CN"/>
        </w:rPr>
        <w:t>2</w:t>
      </w:r>
      <w:r>
        <w:rPr>
          <w:rFonts w:hint="eastAsia" w:ascii="Times New Roman" w:hAnsi="Times New Roman" w:cs="Times New Roman"/>
          <w:color w:val="auto"/>
          <w:sz w:val="32"/>
          <w:szCs w:val="32"/>
          <w:vertAlign w:val="subscript"/>
          <w:lang w:val="en-US" w:eastAsia="zh-CN"/>
        </w:rPr>
        <w:t xml:space="preserve"> </w:t>
      </w:r>
      <w:r>
        <w:rPr>
          <w:rFonts w:hint="eastAsia" w:cs="Times New Roman"/>
          <w:color w:val="auto"/>
          <w:sz w:val="32"/>
          <w:szCs w:val="32"/>
          <w:lang w:val="en-US" w:eastAsia="zh-CN"/>
        </w:rPr>
        <w:t>0.35</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t/a、NO</w:t>
      </w:r>
      <w:r>
        <w:rPr>
          <w:rFonts w:hint="default" w:ascii="Times New Roman" w:hAnsi="Times New Roman" w:eastAsia="仿宋" w:cs="Times New Roman"/>
          <w:color w:val="auto"/>
          <w:sz w:val="32"/>
          <w:szCs w:val="32"/>
          <w:vertAlign w:val="subscript"/>
          <w:lang w:val="en-US" w:eastAsia="zh-CN"/>
        </w:rPr>
        <w:t>X</w:t>
      </w:r>
      <w:r>
        <w:rPr>
          <w:rFonts w:hint="eastAsia" w:ascii="Times New Roman" w:hAnsi="Times New Roman" w:cs="Times New Roman"/>
          <w:color w:val="auto"/>
          <w:sz w:val="32"/>
          <w:szCs w:val="32"/>
          <w:vertAlign w:val="subscript"/>
          <w:lang w:val="en-US" w:eastAsia="zh-CN"/>
        </w:rPr>
        <w:t xml:space="preserve"> </w:t>
      </w:r>
      <w:r>
        <w:rPr>
          <w:rFonts w:hint="eastAsia" w:cs="Times New Roman"/>
          <w:color w:val="auto"/>
          <w:sz w:val="32"/>
          <w:szCs w:val="32"/>
          <w:lang w:val="en-US" w:eastAsia="zh-CN"/>
        </w:rPr>
        <w:t>35.87</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cs="Times New Roman"/>
          <w:color w:val="auto"/>
          <w:sz w:val="32"/>
          <w:szCs w:val="32"/>
          <w:lang w:val="en-US" w:eastAsia="zh-CN"/>
        </w:rPr>
        <w:t>，其中</w:t>
      </w:r>
      <w:r>
        <w:rPr>
          <w:rFonts w:hint="default" w:ascii="Times New Roman" w:hAnsi="Times New Roman" w:eastAsia="仿宋" w:cs="Times New Roman"/>
          <w:color w:val="auto"/>
          <w:sz w:val="32"/>
          <w:szCs w:val="32"/>
          <w:lang w:val="en-US" w:eastAsia="zh-CN"/>
        </w:rPr>
        <w:t>NO</w:t>
      </w:r>
      <w:r>
        <w:rPr>
          <w:rFonts w:hint="default" w:ascii="Times New Roman" w:hAnsi="Times New Roman" w:eastAsia="仿宋" w:cs="Times New Roman"/>
          <w:color w:val="auto"/>
          <w:sz w:val="32"/>
          <w:szCs w:val="32"/>
          <w:vertAlign w:val="subscript"/>
          <w:lang w:val="en-US" w:eastAsia="zh-CN"/>
        </w:rPr>
        <w:t>X</w:t>
      </w:r>
      <w:r>
        <w:rPr>
          <w:rFonts w:hint="eastAsia" w:ascii="Times New Roman" w:hAnsi="Times New Roman" w:cs="Times New Roman"/>
          <w:color w:val="auto"/>
          <w:sz w:val="32"/>
          <w:szCs w:val="32"/>
          <w:vertAlign w:val="baseline"/>
          <w:lang w:val="en-US" w:eastAsia="zh-CN"/>
        </w:rPr>
        <w:t>总量来源于四川盛马化工有限公司锅炉低氮改造减排量。</w:t>
      </w:r>
    </w:p>
    <w:p w14:paraId="1E684A28">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四、</w:t>
      </w:r>
      <w:r>
        <w:rPr>
          <w:rFonts w:hint="eastAsia" w:ascii="仿宋" w:hAnsi="仿宋" w:eastAsia="仿宋" w:cs="仿宋"/>
          <w:color w:val="auto"/>
          <w:sz w:val="32"/>
          <w:szCs w:val="32"/>
          <w:lang w:val="en-US" w:eastAsia="zh-CN"/>
        </w:rPr>
        <w:t>项目开工建设前，应依法完备其他行政许可手续。</w:t>
      </w:r>
    </w:p>
    <w:p w14:paraId="46BF23F8">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五、排污许可和环保验收</w:t>
      </w:r>
    </w:p>
    <w:p w14:paraId="66617B78">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56E2C45D">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6414DCF5">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六、其他规定</w:t>
      </w:r>
    </w:p>
    <w:p w14:paraId="50BFF411">
      <w:pPr>
        <w:keepNext w:val="0"/>
        <w:keepLines w:val="0"/>
        <w:pageBreakBefore w:val="0"/>
        <w:widowControl w:val="0"/>
        <w:kinsoku/>
        <w:wordWrap/>
        <w:overflowPunct/>
        <w:topLinePunct w:val="0"/>
        <w:autoSpaceDE/>
        <w:autoSpaceDN/>
        <w:bidi w:val="0"/>
        <w:adjustRightInd/>
        <w:snapToGrid/>
        <w:spacing w:line="544"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环境影响评价文件经批准后，如项目的性质、规模、地点、工艺或者防治污染、防止生态破坏的措施发生重大变动，你公司应当重新报批环境影响评价文件，否则不得实施建设。自环境影响评价文件批准之日起，如项目超过</w:t>
      </w:r>
      <w:r>
        <w:rPr>
          <w:rFonts w:hint="default" w:ascii="Times New Roman" w:hAnsi="Times New Roman" w:eastAsia="仿宋" w:cs="Times New Roman"/>
          <w:color w:val="auto"/>
          <w:sz w:val="32"/>
          <w:szCs w:val="32"/>
          <w:lang w:val="en-US" w:eastAsia="zh-CN"/>
        </w:rPr>
        <w:t>5</w:t>
      </w:r>
      <w:r>
        <w:rPr>
          <w:rFonts w:hint="eastAsia" w:ascii="仿宋" w:hAnsi="仿宋" w:eastAsia="仿宋" w:cs="仿宋"/>
          <w:color w:val="auto"/>
          <w:sz w:val="32"/>
          <w:szCs w:val="32"/>
          <w:lang w:val="en-US" w:eastAsia="zh-CN"/>
        </w:rPr>
        <w:t>年方决定开工建设，环境影响评价文件应当报我局重新审核。</w:t>
      </w:r>
    </w:p>
    <w:p w14:paraId="19499E5D">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779AAE4A">
      <w:pPr>
        <w:pStyle w:val="25"/>
        <w:keepNext w:val="0"/>
        <w:keepLines w:val="0"/>
        <w:pageBreakBefore w:val="0"/>
        <w:widowControl w:val="0"/>
        <w:kinsoku/>
        <w:wordWrap/>
        <w:overflowPunct/>
        <w:topLinePunct w:val="0"/>
        <w:autoSpaceDE/>
        <w:autoSpaceDN/>
        <w:bidi w:val="0"/>
        <w:adjustRightInd/>
        <w:snapToGrid/>
        <w:spacing w:line="600" w:lineRule="exact"/>
        <w:ind w:firstLine="4864" w:firstLineChars="16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58396B84">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方正小标宋简体" w:hAnsi="方正小标宋简体" w:eastAsia="方正小标宋简体" w:cs="方正小标宋简体"/>
          <w:color w:val="auto"/>
          <w:sz w:val="32"/>
          <w:szCs w:val="32"/>
          <w:lang w:val="en-US" w:eastAsia="zh-CN"/>
        </w:rPr>
      </w:pPr>
      <w:r>
        <w:rPr>
          <w:rFonts w:hint="default" w:ascii="Times New Roman" w:hAnsi="Times New Roman" w:eastAsia="仿宋" w:cs="Times New Roman"/>
          <w:spacing w:val="-6"/>
          <w:sz w:val="32"/>
          <w:szCs w:val="32"/>
          <w:lang w:val="en-US" w:eastAsia="zh-CN"/>
        </w:rPr>
        <w:t>2025年</w:t>
      </w:r>
      <w:r>
        <w:rPr>
          <w:rFonts w:hint="eastAsia" w:cs="Times New Roman"/>
          <w:spacing w:val="-6"/>
          <w:sz w:val="32"/>
          <w:szCs w:val="32"/>
          <w:lang w:val="en-US" w:eastAsia="zh-CN"/>
        </w:rPr>
        <w:t>5</w:t>
      </w:r>
      <w:r>
        <w:rPr>
          <w:rFonts w:hint="default" w:ascii="Times New Roman" w:hAnsi="Times New Roman" w:eastAsia="仿宋" w:cs="Times New Roman"/>
          <w:spacing w:val="-6"/>
          <w:sz w:val="32"/>
          <w:szCs w:val="32"/>
          <w:lang w:val="en-US" w:eastAsia="zh-CN"/>
        </w:rPr>
        <w:t>月2</w:t>
      </w:r>
      <w:r>
        <w:rPr>
          <w:rFonts w:hint="eastAsia" w:cs="Times New Roman"/>
          <w:spacing w:val="-6"/>
          <w:sz w:val="32"/>
          <w:szCs w:val="32"/>
          <w:lang w:val="en-US" w:eastAsia="zh-CN"/>
        </w:rPr>
        <w:t>0</w:t>
      </w:r>
      <w:r>
        <w:rPr>
          <w:rFonts w:hint="eastAsia" w:ascii="仿宋" w:hAnsi="仿宋" w:eastAsia="仿宋" w:cs="仿宋"/>
          <w:spacing w:val="-6"/>
          <w:sz w:val="32"/>
          <w:szCs w:val="32"/>
          <w:lang w:val="en-US" w:eastAsia="zh-CN"/>
        </w:rPr>
        <w:t xml:space="preserve">日        </w:t>
      </w: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77E0">
    <w:pPr>
      <w:pStyle w:val="15"/>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E55E">
    <w:pPr>
      <w:pStyle w:val="15"/>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0325D">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0mRU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6A90325D">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F9E7">
    <w:pPr>
      <w:pStyle w:val="15"/>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2A5B7">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7612A5B7">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1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11F28D3"/>
    <w:rsid w:val="012670EA"/>
    <w:rsid w:val="01844E19"/>
    <w:rsid w:val="01CF32DE"/>
    <w:rsid w:val="01DD1972"/>
    <w:rsid w:val="01FD40F1"/>
    <w:rsid w:val="02051E2E"/>
    <w:rsid w:val="02B22144"/>
    <w:rsid w:val="030014CC"/>
    <w:rsid w:val="03455479"/>
    <w:rsid w:val="03AC7D7B"/>
    <w:rsid w:val="04013FA5"/>
    <w:rsid w:val="04051239"/>
    <w:rsid w:val="041E0EAD"/>
    <w:rsid w:val="04B073F7"/>
    <w:rsid w:val="04F90CBC"/>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DA51CD"/>
    <w:rsid w:val="0AE4604C"/>
    <w:rsid w:val="0B327E48"/>
    <w:rsid w:val="0B5D195B"/>
    <w:rsid w:val="0B8E1704"/>
    <w:rsid w:val="0BDC4F75"/>
    <w:rsid w:val="0BE4740F"/>
    <w:rsid w:val="0C112E71"/>
    <w:rsid w:val="0C4C2651"/>
    <w:rsid w:val="0C8F3D96"/>
    <w:rsid w:val="0F410220"/>
    <w:rsid w:val="0F5D7B56"/>
    <w:rsid w:val="0F926D2E"/>
    <w:rsid w:val="0FB35FED"/>
    <w:rsid w:val="10632F32"/>
    <w:rsid w:val="108B04C2"/>
    <w:rsid w:val="10D95F27"/>
    <w:rsid w:val="10FC434A"/>
    <w:rsid w:val="1142587A"/>
    <w:rsid w:val="11553800"/>
    <w:rsid w:val="12011292"/>
    <w:rsid w:val="129F4917"/>
    <w:rsid w:val="13421B62"/>
    <w:rsid w:val="13A050E7"/>
    <w:rsid w:val="13A244C7"/>
    <w:rsid w:val="13EF0002"/>
    <w:rsid w:val="1404150D"/>
    <w:rsid w:val="147409B1"/>
    <w:rsid w:val="14741B39"/>
    <w:rsid w:val="14AA3E63"/>
    <w:rsid w:val="14CA62B3"/>
    <w:rsid w:val="150D00D3"/>
    <w:rsid w:val="15AB60E4"/>
    <w:rsid w:val="15B64A89"/>
    <w:rsid w:val="15C947BC"/>
    <w:rsid w:val="16243B6E"/>
    <w:rsid w:val="16500214"/>
    <w:rsid w:val="16614C2A"/>
    <w:rsid w:val="16793172"/>
    <w:rsid w:val="172120C7"/>
    <w:rsid w:val="1735378C"/>
    <w:rsid w:val="17586B74"/>
    <w:rsid w:val="17866686"/>
    <w:rsid w:val="18196B6F"/>
    <w:rsid w:val="1907403C"/>
    <w:rsid w:val="194A1AC8"/>
    <w:rsid w:val="196654F1"/>
    <w:rsid w:val="1A5916FA"/>
    <w:rsid w:val="1ACF0994"/>
    <w:rsid w:val="1ACF1846"/>
    <w:rsid w:val="1ADB2985"/>
    <w:rsid w:val="1B1262BE"/>
    <w:rsid w:val="1B326960"/>
    <w:rsid w:val="1B7C3FB9"/>
    <w:rsid w:val="1BCC1635"/>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2836844"/>
    <w:rsid w:val="23631F61"/>
    <w:rsid w:val="23775858"/>
    <w:rsid w:val="238D507B"/>
    <w:rsid w:val="23E07BD5"/>
    <w:rsid w:val="251C281B"/>
    <w:rsid w:val="25280D20"/>
    <w:rsid w:val="25BB0A6F"/>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2D4A4E"/>
    <w:rsid w:val="2B79362F"/>
    <w:rsid w:val="2B8C4F39"/>
    <w:rsid w:val="2B9E2295"/>
    <w:rsid w:val="2C8B41B2"/>
    <w:rsid w:val="2CFA5D9C"/>
    <w:rsid w:val="2DC309C3"/>
    <w:rsid w:val="2DED6716"/>
    <w:rsid w:val="2E07339C"/>
    <w:rsid w:val="2EFC29C4"/>
    <w:rsid w:val="2F1C72B3"/>
    <w:rsid w:val="2F57550A"/>
    <w:rsid w:val="2FC71794"/>
    <w:rsid w:val="310F7B8F"/>
    <w:rsid w:val="31224929"/>
    <w:rsid w:val="31442D31"/>
    <w:rsid w:val="31774C75"/>
    <w:rsid w:val="31F50C2D"/>
    <w:rsid w:val="31FD6612"/>
    <w:rsid w:val="32C1089D"/>
    <w:rsid w:val="32EB3B6C"/>
    <w:rsid w:val="33351A68"/>
    <w:rsid w:val="33775400"/>
    <w:rsid w:val="33F01C8F"/>
    <w:rsid w:val="34047828"/>
    <w:rsid w:val="343706EB"/>
    <w:rsid w:val="344E1C6F"/>
    <w:rsid w:val="347C2F67"/>
    <w:rsid w:val="34996C6F"/>
    <w:rsid w:val="34A22009"/>
    <w:rsid w:val="34D12CF9"/>
    <w:rsid w:val="354A265C"/>
    <w:rsid w:val="35B53FBD"/>
    <w:rsid w:val="363D60B8"/>
    <w:rsid w:val="36A77DAA"/>
    <w:rsid w:val="36BB5518"/>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B2522B6"/>
    <w:rsid w:val="3B313DE1"/>
    <w:rsid w:val="3B495557"/>
    <w:rsid w:val="3B7918F6"/>
    <w:rsid w:val="3B9603ED"/>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DA2351"/>
    <w:rsid w:val="41EC74B9"/>
    <w:rsid w:val="42A751E8"/>
    <w:rsid w:val="42B94077"/>
    <w:rsid w:val="42D92940"/>
    <w:rsid w:val="42E61C5A"/>
    <w:rsid w:val="433E49AD"/>
    <w:rsid w:val="43C024AB"/>
    <w:rsid w:val="43EE526A"/>
    <w:rsid w:val="44000AFA"/>
    <w:rsid w:val="440C3E60"/>
    <w:rsid w:val="44242A3A"/>
    <w:rsid w:val="44496945"/>
    <w:rsid w:val="445043AE"/>
    <w:rsid w:val="44D6679B"/>
    <w:rsid w:val="44EB79FC"/>
    <w:rsid w:val="453B44DF"/>
    <w:rsid w:val="45650C43"/>
    <w:rsid w:val="457B0D80"/>
    <w:rsid w:val="45EE22DC"/>
    <w:rsid w:val="46564467"/>
    <w:rsid w:val="46CE1751"/>
    <w:rsid w:val="47173438"/>
    <w:rsid w:val="47B72074"/>
    <w:rsid w:val="47ED3A8B"/>
    <w:rsid w:val="47FC4AB3"/>
    <w:rsid w:val="48473F43"/>
    <w:rsid w:val="486C0E54"/>
    <w:rsid w:val="489B34E7"/>
    <w:rsid w:val="491F4DFE"/>
    <w:rsid w:val="49225801"/>
    <w:rsid w:val="4944487A"/>
    <w:rsid w:val="496833C9"/>
    <w:rsid w:val="49F74B85"/>
    <w:rsid w:val="4B6126FE"/>
    <w:rsid w:val="4BA71E75"/>
    <w:rsid w:val="4BBC5C4E"/>
    <w:rsid w:val="4C6267F5"/>
    <w:rsid w:val="4CD46FC7"/>
    <w:rsid w:val="4CEA0599"/>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5E19A1"/>
    <w:rsid w:val="517406A1"/>
    <w:rsid w:val="518979CC"/>
    <w:rsid w:val="52614E59"/>
    <w:rsid w:val="52A56FED"/>
    <w:rsid w:val="52FC4B82"/>
    <w:rsid w:val="53B349BB"/>
    <w:rsid w:val="53ED2369"/>
    <w:rsid w:val="540E1011"/>
    <w:rsid w:val="54454557"/>
    <w:rsid w:val="5467641D"/>
    <w:rsid w:val="54C73958"/>
    <w:rsid w:val="54E51D72"/>
    <w:rsid w:val="550541C2"/>
    <w:rsid w:val="55517407"/>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7A4EC7"/>
    <w:rsid w:val="58902BFC"/>
    <w:rsid w:val="58AD279A"/>
    <w:rsid w:val="58C4394C"/>
    <w:rsid w:val="58D418CA"/>
    <w:rsid w:val="58E529EC"/>
    <w:rsid w:val="59030A18"/>
    <w:rsid w:val="59205D38"/>
    <w:rsid w:val="597D4C6F"/>
    <w:rsid w:val="59C94FB5"/>
    <w:rsid w:val="59D820AB"/>
    <w:rsid w:val="5A9803FD"/>
    <w:rsid w:val="5B2E7F20"/>
    <w:rsid w:val="5C46174B"/>
    <w:rsid w:val="5C781657"/>
    <w:rsid w:val="5CBA1D36"/>
    <w:rsid w:val="5D307EFB"/>
    <w:rsid w:val="5D942597"/>
    <w:rsid w:val="5DCB6DD4"/>
    <w:rsid w:val="5DDD5997"/>
    <w:rsid w:val="5DDE7CA6"/>
    <w:rsid w:val="5E543AC4"/>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66CE8"/>
    <w:rsid w:val="62B47F03"/>
    <w:rsid w:val="62BB2173"/>
    <w:rsid w:val="6307250B"/>
    <w:rsid w:val="63133F4E"/>
    <w:rsid w:val="632C2E62"/>
    <w:rsid w:val="63A23524"/>
    <w:rsid w:val="64EF4296"/>
    <w:rsid w:val="654B3E73"/>
    <w:rsid w:val="65A43DE1"/>
    <w:rsid w:val="66C335AB"/>
    <w:rsid w:val="670815C7"/>
    <w:rsid w:val="67B77544"/>
    <w:rsid w:val="67C91DE0"/>
    <w:rsid w:val="681D537C"/>
    <w:rsid w:val="682A747C"/>
    <w:rsid w:val="682D2963"/>
    <w:rsid w:val="68AF64C7"/>
    <w:rsid w:val="692F54EF"/>
    <w:rsid w:val="69431305"/>
    <w:rsid w:val="69966FC3"/>
    <w:rsid w:val="69BE7A7D"/>
    <w:rsid w:val="69CD2D06"/>
    <w:rsid w:val="6A2932E0"/>
    <w:rsid w:val="6A832EF5"/>
    <w:rsid w:val="6AAA7F05"/>
    <w:rsid w:val="6AAE27AE"/>
    <w:rsid w:val="6AEF34F2"/>
    <w:rsid w:val="6BD65887"/>
    <w:rsid w:val="6C564F9A"/>
    <w:rsid w:val="6C846928"/>
    <w:rsid w:val="6CAD5413"/>
    <w:rsid w:val="6CB26586"/>
    <w:rsid w:val="6D274DA7"/>
    <w:rsid w:val="6D3C5791"/>
    <w:rsid w:val="6D5A5D50"/>
    <w:rsid w:val="6DEB6B12"/>
    <w:rsid w:val="6E02688E"/>
    <w:rsid w:val="6E550418"/>
    <w:rsid w:val="6E560B0F"/>
    <w:rsid w:val="6EAF58DB"/>
    <w:rsid w:val="6EF74724"/>
    <w:rsid w:val="6EFF47BA"/>
    <w:rsid w:val="6F394D3C"/>
    <w:rsid w:val="6F657F39"/>
    <w:rsid w:val="6F6E3FD1"/>
    <w:rsid w:val="6F705600"/>
    <w:rsid w:val="6FC445FC"/>
    <w:rsid w:val="6FD61F1E"/>
    <w:rsid w:val="6FF46C64"/>
    <w:rsid w:val="708C17E3"/>
    <w:rsid w:val="70D24CB2"/>
    <w:rsid w:val="714B060F"/>
    <w:rsid w:val="71B27028"/>
    <w:rsid w:val="724B2FD5"/>
    <w:rsid w:val="72774C9A"/>
    <w:rsid w:val="727C1767"/>
    <w:rsid w:val="72B86D8A"/>
    <w:rsid w:val="72C65FB9"/>
    <w:rsid w:val="72F86CBC"/>
    <w:rsid w:val="73C80D84"/>
    <w:rsid w:val="740B7313"/>
    <w:rsid w:val="746F0F41"/>
    <w:rsid w:val="74AF784E"/>
    <w:rsid w:val="74B80DF9"/>
    <w:rsid w:val="74C657DF"/>
    <w:rsid w:val="75091655"/>
    <w:rsid w:val="751C3136"/>
    <w:rsid w:val="75F05E6C"/>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87219A"/>
    <w:rsid w:val="79C96773"/>
    <w:rsid w:val="79D61A12"/>
    <w:rsid w:val="7A195E96"/>
    <w:rsid w:val="7A3945A5"/>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F1B7FBA"/>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10">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11">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header"/>
    <w:basedOn w:val="1"/>
    <w:next w:val="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样式5"/>
    <w:basedOn w:val="6"/>
    <w:next w:val="9"/>
    <w:autoRedefine/>
    <w:qFormat/>
    <w:uiPriority w:val="0"/>
    <w:pPr>
      <w:ind w:firstLine="510"/>
    </w:pPr>
  </w:style>
  <w:style w:type="paragraph" w:customStyle="1" w:styleId="6">
    <w:name w:val="样式3"/>
    <w:basedOn w:val="7"/>
    <w:next w:val="8"/>
    <w:autoRedefine/>
    <w:qFormat/>
    <w:uiPriority w:val="0"/>
    <w:pPr>
      <w:adjustRightInd w:val="0"/>
      <w:snapToGrid w:val="0"/>
      <w:spacing w:line="360" w:lineRule="auto"/>
      <w:ind w:firstLine="480" w:firstLineChars="200"/>
    </w:pPr>
    <w:rPr>
      <w:rFonts w:eastAsia="Times New Roman"/>
      <w:snapToGrid w:val="0"/>
      <w:color w:val="0000FF"/>
    </w:rPr>
  </w:style>
  <w:style w:type="paragraph" w:styleId="7">
    <w:name w:val="List"/>
    <w:basedOn w:val="1"/>
    <w:qFormat/>
    <w:uiPriority w:val="0"/>
    <w:pPr>
      <w:widowControl/>
      <w:spacing w:line="440" w:lineRule="exact"/>
      <w:ind w:left="200" w:hanging="200"/>
      <w:jc w:val="left"/>
    </w:pPr>
    <w:rPr>
      <w:kern w:val="0"/>
      <w:sz w:val="24"/>
      <w:szCs w:val="20"/>
    </w:rPr>
  </w:style>
  <w:style w:type="paragraph" w:styleId="8">
    <w:name w:val="Body Text"/>
    <w:basedOn w:val="1"/>
    <w:autoRedefine/>
    <w:qFormat/>
    <w:uiPriority w:val="0"/>
    <w:pPr>
      <w:ind w:left="120"/>
    </w:pPr>
    <w:rPr>
      <w:rFonts w:ascii="宋体" w:hAnsi="宋体"/>
      <w:sz w:val="32"/>
      <w:szCs w:val="32"/>
    </w:rPr>
  </w:style>
  <w:style w:type="paragraph" w:styleId="9">
    <w:name w:val="Body Text Indent 2"/>
    <w:basedOn w:val="1"/>
    <w:next w:val="1"/>
    <w:autoRedefine/>
    <w:qFormat/>
    <w:uiPriority w:val="0"/>
    <w:pPr>
      <w:adjustRightInd w:val="0"/>
      <w:snapToGrid w:val="0"/>
      <w:spacing w:line="440" w:lineRule="atLeast"/>
      <w:ind w:firstLine="573"/>
    </w:pPr>
    <w:rPr>
      <w:rFonts w:ascii="宋体"/>
    </w:rPr>
  </w:style>
  <w:style w:type="paragraph" w:styleId="12">
    <w:name w:val="List Number"/>
    <w:basedOn w:val="1"/>
    <w:autoRedefine/>
    <w:qFormat/>
    <w:uiPriority w:val="0"/>
    <w:pPr>
      <w:numPr>
        <w:ilvl w:val="0"/>
        <w:numId w:val="1"/>
      </w:numPr>
    </w:pPr>
  </w:style>
  <w:style w:type="paragraph" w:styleId="13">
    <w:name w:val="toa heading"/>
    <w:basedOn w:val="1"/>
    <w:next w:val="1"/>
    <w:autoRedefine/>
    <w:qFormat/>
    <w:uiPriority w:val="0"/>
    <w:pPr>
      <w:spacing w:before="120"/>
    </w:pPr>
    <w:rPr>
      <w:rFonts w:ascii="Arial" w:hAnsi="Arial" w:cs="Arial"/>
    </w:rPr>
  </w:style>
  <w:style w:type="paragraph" w:styleId="14">
    <w:name w:val="Plain Text"/>
    <w:basedOn w:val="1"/>
    <w:autoRedefine/>
    <w:qFormat/>
    <w:uiPriority w:val="0"/>
    <w:rPr>
      <w:rFonts w:ascii="宋体" w:hAnsi="Courier New" w:eastAsia="宋体" w:cs="Times New Roman"/>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toc 6"/>
    <w:basedOn w:val="1"/>
    <w:next w:val="1"/>
    <w:autoRedefine/>
    <w:qFormat/>
    <w:uiPriority w:val="0"/>
    <w:pPr>
      <w:ind w:left="2100"/>
    </w:pPr>
    <w:rPr>
      <w:rFonts w:ascii="楷体_GB2312" w:hAnsi="Calibri" w:eastAsia="楷体_GB2312"/>
    </w:rPr>
  </w:style>
  <w:style w:type="paragraph" w:styleId="17">
    <w:name w:val="table of figures"/>
    <w:basedOn w:val="1"/>
    <w:next w:val="1"/>
    <w:autoRedefine/>
    <w:qFormat/>
    <w:uiPriority w:val="0"/>
    <w:pPr>
      <w:ind w:left="200" w:leftChars="200" w:hanging="200" w:hangingChars="200"/>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简单回函地址"/>
    <w:basedOn w:val="1"/>
    <w:next w:val="24"/>
    <w:autoRedefine/>
    <w:qFormat/>
    <w:uiPriority w:val="0"/>
    <w:rPr>
      <w:szCs w:val="20"/>
    </w:rPr>
  </w:style>
  <w:style w:type="paragraph" w:customStyle="1" w:styleId="24">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25">
    <w:name w:val="常用样式（方正仿宋简）"/>
    <w:basedOn w:val="26"/>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6">
    <w:name w:val="正文1"/>
    <w:next w:val="2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_Style 2"/>
    <w:basedOn w:val="1"/>
    <w:autoRedefine/>
    <w:qFormat/>
    <w:uiPriority w:val="34"/>
    <w:pPr>
      <w:ind w:firstLine="420" w:firstLineChars="200"/>
    </w:pPr>
  </w:style>
  <w:style w:type="paragraph" w:customStyle="1" w:styleId="28">
    <w:name w:val="正文文本1"/>
    <w:basedOn w:val="26"/>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31">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32">
    <w:name w:val="font21"/>
    <w:basedOn w:val="21"/>
    <w:autoRedefine/>
    <w:qFormat/>
    <w:uiPriority w:val="0"/>
    <w:rPr>
      <w:rFonts w:hint="eastAsia" w:ascii="宋体" w:hAnsi="宋体" w:eastAsia="宋体" w:cs="宋体"/>
      <w:color w:val="000000"/>
      <w:sz w:val="20"/>
      <w:szCs w:val="20"/>
      <w:u w:val="none"/>
    </w:rPr>
  </w:style>
  <w:style w:type="paragraph" w:customStyle="1" w:styleId="33">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4">
    <w:name w:val="font71"/>
    <w:basedOn w:val="21"/>
    <w:autoRedefine/>
    <w:qFormat/>
    <w:uiPriority w:val="0"/>
    <w:rPr>
      <w:rFonts w:hint="eastAsia" w:ascii="宋体" w:hAnsi="宋体" w:eastAsia="宋体" w:cs="宋体"/>
      <w:color w:val="000000"/>
      <w:sz w:val="22"/>
      <w:szCs w:val="22"/>
      <w:u w:val="none"/>
    </w:rPr>
  </w:style>
  <w:style w:type="paragraph" w:customStyle="1" w:styleId="35">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6">
    <w:name w:val="List Paragraph"/>
    <w:basedOn w:val="1"/>
    <w:autoRedefine/>
    <w:qFormat/>
    <w:uiPriority w:val="99"/>
    <w:pPr>
      <w:ind w:firstLine="420" w:firstLineChars="200"/>
    </w:pPr>
  </w:style>
  <w:style w:type="character" w:customStyle="1" w:styleId="37">
    <w:name w:val="font01"/>
    <w:basedOn w:val="21"/>
    <w:autoRedefine/>
    <w:qFormat/>
    <w:uiPriority w:val="0"/>
    <w:rPr>
      <w:rFonts w:hint="eastAsia" w:ascii="宋体" w:hAnsi="宋体" w:eastAsia="宋体" w:cs="宋体"/>
      <w:color w:val="000000"/>
      <w:sz w:val="16"/>
      <w:szCs w:val="16"/>
      <w:u w:val="none"/>
    </w:rPr>
  </w:style>
  <w:style w:type="paragraph" w:customStyle="1" w:styleId="38">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9">
    <w:name w:val="font11"/>
    <w:autoRedefine/>
    <w:qFormat/>
    <w:uiPriority w:val="0"/>
    <w:rPr>
      <w:rFonts w:ascii="宋体" w:eastAsia="宋体" w:cs="宋体"/>
      <w:color w:val="000000"/>
      <w:sz w:val="22"/>
      <w:szCs w:val="22"/>
      <w:u w:val="none"/>
      <w:lang w:bidi="ar-SA"/>
    </w:rPr>
  </w:style>
  <w:style w:type="paragraph" w:customStyle="1" w:styleId="40">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423</Words>
  <Characters>434</Characters>
  <Lines>0</Lines>
  <Paragraphs>0</Paragraphs>
  <TotalTime>0</TotalTime>
  <ScaleCrop>false</ScaleCrop>
  <LinksUpToDate>false</LinksUpToDate>
  <CharactersWithSpaces>442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2024-10-23T03:35:00Z</cp:lastPrinted>
  <dcterms:modified xsi:type="dcterms:W3CDTF">2025-05-21T02:30:13Z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