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74C9EB14">
      <w:pPr>
        <w:rPr>
          <w:rFonts w:ascii="仿宋_GB2312" w:hAnsi="仿宋_GB2312" w:eastAsia="仿宋_GB2312" w:cs="仿宋_GB2312"/>
          <w:sz w:val="36"/>
          <w:szCs w:val="36"/>
        </w:rPr>
      </w:pPr>
      <w:bookmarkStart w:id="0" w:name="_Hlk57883707"/>
    </w:p>
    <w:bookmarkEnd w:id="0"/>
    <w:p w14:paraId="4E64AB78">
      <w:pPr>
        <w:adjustRightInd w:val="0"/>
        <w:snapToGrid w:val="0"/>
        <w:jc w:val="center"/>
        <w:outlineLvl w:val="0"/>
        <w:rPr>
          <w:rFonts w:ascii="方正小标宋_GBK" w:eastAsia="方正小标宋_GBK"/>
          <w:bCs/>
          <w:sz w:val="72"/>
          <w:szCs w:val="72"/>
        </w:rPr>
      </w:pPr>
      <w:bookmarkStart w:id="1" w:name="_Toc150173879"/>
      <w:r>
        <w:rPr>
          <w:rFonts w:hint="eastAsia" w:ascii="方正小标宋_GBK" w:eastAsia="方正小标宋_GBK"/>
          <w:bCs/>
          <w:sz w:val="72"/>
          <w:szCs w:val="72"/>
        </w:rPr>
        <w:t>建设项目环境影响报告表</w:t>
      </w:r>
      <w:bookmarkEnd w:id="1"/>
    </w:p>
    <w:p w14:paraId="5080B3EB">
      <w:pPr>
        <w:adjustRightInd w:val="0"/>
        <w:snapToGrid w:val="0"/>
        <w:spacing w:before="192" w:beforeLines="80" w:after="240"/>
        <w:jc w:val="center"/>
        <w:rPr>
          <w:rFonts w:ascii="楷体_GB2312" w:eastAsia="楷体_GB2312"/>
          <w:b/>
          <w:bCs/>
          <w:sz w:val="48"/>
          <w:szCs w:val="48"/>
        </w:rPr>
      </w:pPr>
      <w:r>
        <w:rPr>
          <w:rFonts w:hint="eastAsia" w:ascii="楷体_GB2312" w:eastAsia="楷体_GB2312"/>
          <w:b/>
          <w:bCs/>
          <w:sz w:val="48"/>
          <w:szCs w:val="48"/>
        </w:rPr>
        <w:t>（生态影响类）</w:t>
      </w:r>
    </w:p>
    <w:p w14:paraId="3237544B">
      <w:pPr>
        <w:adjustRightInd w:val="0"/>
        <w:snapToGrid w:val="0"/>
        <w:spacing w:before="192" w:beforeLines="80"/>
        <w:jc w:val="center"/>
        <w:rPr>
          <w:rFonts w:ascii="黑体" w:hAnsi="黑体" w:eastAsia="黑体"/>
          <w:bCs/>
          <w:sz w:val="36"/>
          <w:szCs w:val="36"/>
        </w:rPr>
      </w:pPr>
      <w:bookmarkStart w:id="2" w:name="_Hlk57883728"/>
    </w:p>
    <w:p w14:paraId="048B6D50">
      <w:pPr>
        <w:adjustRightInd w:val="0"/>
        <w:snapToGrid w:val="0"/>
        <w:spacing w:before="192" w:beforeLines="80"/>
        <w:jc w:val="center"/>
        <w:rPr>
          <w:rFonts w:ascii="黑体" w:hAnsi="黑体" w:eastAsia="黑体" w:cs="华文仿宋"/>
          <w:kern w:val="44"/>
          <w:sz w:val="36"/>
          <w:szCs w:val="36"/>
        </w:rPr>
      </w:pPr>
      <w:r>
        <w:rPr>
          <w:rFonts w:hint="eastAsia" w:ascii="黑体" w:hAnsi="黑体" w:eastAsia="黑体"/>
          <w:bCs/>
          <w:sz w:val="36"/>
          <w:szCs w:val="36"/>
        </w:rPr>
        <w:t>（公示本）</w:t>
      </w:r>
    </w:p>
    <w:p w14:paraId="161D8DA4">
      <w:pPr>
        <w:adjustRightInd w:val="0"/>
        <w:snapToGrid w:val="0"/>
        <w:spacing w:before="192" w:beforeLines="80"/>
        <w:jc w:val="center"/>
        <w:rPr>
          <w:rFonts w:ascii="华文仿宋" w:hAnsi="华文仿宋" w:eastAsia="华文仿宋" w:cs="华文仿宋"/>
          <w:kern w:val="44"/>
          <w:sz w:val="24"/>
        </w:rPr>
      </w:pPr>
      <w:r>
        <w:rPr>
          <w:rFonts w:hint="eastAsia" w:ascii="楷体_GB2312" w:eastAsia="楷体_GB2312"/>
          <w:bCs/>
          <w:sz w:val="28"/>
          <w:szCs w:val="28"/>
        </w:rPr>
        <w:t xml:space="preserve">          </w:t>
      </w:r>
    </w:p>
    <w:p w14:paraId="5A4F662B">
      <w:pPr>
        <w:jc w:val="center"/>
        <w:rPr>
          <w:rFonts w:eastAsia="仿宋"/>
          <w:sz w:val="24"/>
        </w:rPr>
      </w:pPr>
    </w:p>
    <w:p w14:paraId="08CD881A">
      <w:pPr>
        <w:ind w:firstLine="1040"/>
        <w:rPr>
          <w:rFonts w:eastAsia="仿宋"/>
          <w:sz w:val="44"/>
          <w:szCs w:val="44"/>
        </w:rPr>
      </w:pPr>
    </w:p>
    <w:p w14:paraId="6F37A926">
      <w:pPr>
        <w:ind w:firstLine="1040"/>
        <w:jc w:val="center"/>
        <w:rPr>
          <w:rFonts w:eastAsia="仿宋"/>
          <w:sz w:val="44"/>
          <w:szCs w:val="44"/>
        </w:rPr>
      </w:pPr>
      <w:r>
        <w:rPr>
          <w:rFonts w:hint="eastAsia" w:eastAsia="仿宋"/>
          <w:sz w:val="44"/>
          <w:szCs w:val="44"/>
        </w:rPr>
        <w:t xml:space="preserve">   </w:t>
      </w:r>
    </w:p>
    <w:p w14:paraId="759C473D">
      <w:pPr>
        <w:ind w:firstLine="1040"/>
        <w:rPr>
          <w:rFonts w:eastAsia="仿宋"/>
          <w:sz w:val="44"/>
          <w:szCs w:val="44"/>
        </w:rPr>
      </w:pPr>
    </w:p>
    <w:bookmarkEnd w:id="2"/>
    <w:tbl>
      <w:tblPr>
        <w:tblStyle w:val="33"/>
        <w:tblW w:w="0" w:type="auto"/>
        <w:jc w:val="center"/>
        <w:tblLayout w:type="autofit"/>
        <w:tblCellMar>
          <w:top w:w="0" w:type="dxa"/>
          <w:left w:w="108" w:type="dxa"/>
          <w:bottom w:w="0" w:type="dxa"/>
          <w:right w:w="108" w:type="dxa"/>
        </w:tblCellMar>
      </w:tblPr>
      <w:tblGrid>
        <w:gridCol w:w="1948"/>
        <w:gridCol w:w="1183"/>
        <w:gridCol w:w="5713"/>
      </w:tblGrid>
      <w:tr w14:paraId="477C9F99">
        <w:tblPrEx>
          <w:tblCellMar>
            <w:top w:w="0" w:type="dxa"/>
            <w:left w:w="108" w:type="dxa"/>
            <w:bottom w:w="0" w:type="dxa"/>
            <w:right w:w="108" w:type="dxa"/>
          </w:tblCellMar>
        </w:tblPrEx>
        <w:trPr>
          <w:trHeight w:val="851" w:hRule="atLeast"/>
          <w:jc w:val="center"/>
        </w:trPr>
        <w:tc>
          <w:tcPr>
            <w:tcW w:w="1948" w:type="dxa"/>
            <w:tcBorders>
              <w:tl2br w:val="nil"/>
              <w:tr2bl w:val="nil"/>
            </w:tcBorders>
            <w:vAlign w:val="center"/>
          </w:tcPr>
          <w:p w14:paraId="11E15424">
            <w:pPr>
              <w:adjustRightInd w:val="0"/>
              <w:snapToGrid w:val="0"/>
              <w:spacing w:line="288" w:lineRule="auto"/>
              <w:jc w:val="center"/>
              <w:rPr>
                <w:rFonts w:ascii="仿宋_GB2312" w:eastAsia="仿宋_GB2312"/>
                <w:sz w:val="36"/>
                <w:szCs w:val="36"/>
              </w:rPr>
            </w:pPr>
            <w:r>
              <w:rPr>
                <w:rFonts w:hint="eastAsia" w:ascii="仿宋_GB2312" w:eastAsia="仿宋_GB2312"/>
                <w:b/>
                <w:sz w:val="36"/>
                <w:szCs w:val="36"/>
              </w:rPr>
              <w:t>项目名称</w:t>
            </w:r>
            <w:r>
              <w:rPr>
                <w:rFonts w:hint="eastAsia" w:ascii="仿宋_GB2312" w:eastAsia="仿宋_GB2312"/>
                <w:sz w:val="36"/>
                <w:szCs w:val="36"/>
              </w:rPr>
              <w:t>：</w:t>
            </w:r>
          </w:p>
        </w:tc>
        <w:tc>
          <w:tcPr>
            <w:tcW w:w="6896" w:type="dxa"/>
            <w:gridSpan w:val="2"/>
            <w:tcBorders>
              <w:tl2br w:val="nil"/>
              <w:tr2bl w:val="nil"/>
            </w:tcBorders>
            <w:vAlign w:val="center"/>
          </w:tcPr>
          <w:p w14:paraId="0847E0DC">
            <w:pPr>
              <w:adjustRightInd w:val="0"/>
              <w:snapToGrid w:val="0"/>
              <w:spacing w:line="288" w:lineRule="auto"/>
              <w:jc w:val="center"/>
              <w:rPr>
                <w:rFonts w:ascii="仿宋_GB2312" w:eastAsia="仿宋_GB2312"/>
                <w:b/>
                <w:sz w:val="32"/>
                <w:szCs w:val="36"/>
                <w:u w:val="single"/>
              </w:rPr>
            </w:pPr>
            <w:r>
              <w:rPr>
                <w:rFonts w:eastAsia="仿宋_GB2312"/>
                <w:b/>
                <w:sz w:val="32"/>
                <w:szCs w:val="36"/>
                <w:u w:val="single"/>
              </w:rPr>
              <w:t>中国死海AAAA级景区配套</w:t>
            </w:r>
            <w:r>
              <w:rPr>
                <w:rFonts w:hint="eastAsia" w:ascii="仿宋_GB2312" w:eastAsia="仿宋_GB2312"/>
                <w:b/>
                <w:sz w:val="32"/>
                <w:szCs w:val="36"/>
                <w:u w:val="single"/>
              </w:rPr>
              <w:t>旅游基础设施建设</w:t>
            </w:r>
          </w:p>
          <w:p w14:paraId="2E1BE845">
            <w:pPr>
              <w:adjustRightInd w:val="0"/>
              <w:snapToGrid w:val="0"/>
              <w:spacing w:line="288" w:lineRule="auto"/>
              <w:jc w:val="center"/>
              <w:rPr>
                <w:rFonts w:ascii="仿宋_GB2312" w:eastAsia="仿宋_GB2312"/>
                <w:b/>
                <w:sz w:val="36"/>
                <w:szCs w:val="36"/>
              </w:rPr>
            </w:pPr>
            <w:r>
              <w:rPr>
                <w:rFonts w:hint="eastAsia" w:ascii="仿宋_GB2312" w:eastAsia="仿宋_GB2312"/>
                <w:b/>
                <w:sz w:val="32"/>
                <w:szCs w:val="36"/>
                <w:u w:val="single"/>
              </w:rPr>
              <w:t xml:space="preserve">项目（一期）  </w:t>
            </w:r>
          </w:p>
        </w:tc>
      </w:tr>
      <w:tr w14:paraId="597B5A32">
        <w:tblPrEx>
          <w:tblCellMar>
            <w:top w:w="0" w:type="dxa"/>
            <w:left w:w="108" w:type="dxa"/>
            <w:bottom w:w="0" w:type="dxa"/>
            <w:right w:w="108" w:type="dxa"/>
          </w:tblCellMar>
        </w:tblPrEx>
        <w:trPr>
          <w:trHeight w:val="851" w:hRule="atLeast"/>
          <w:jc w:val="center"/>
        </w:trPr>
        <w:tc>
          <w:tcPr>
            <w:tcW w:w="3131" w:type="dxa"/>
            <w:gridSpan w:val="2"/>
            <w:tcBorders>
              <w:tl2br w:val="nil"/>
              <w:tr2bl w:val="nil"/>
            </w:tcBorders>
            <w:vAlign w:val="center"/>
          </w:tcPr>
          <w:p w14:paraId="1736BB45">
            <w:pPr>
              <w:adjustRightInd w:val="0"/>
              <w:snapToGrid w:val="0"/>
              <w:spacing w:line="288" w:lineRule="auto"/>
              <w:jc w:val="distribute"/>
              <w:rPr>
                <w:rFonts w:ascii="仿宋_GB2312" w:eastAsia="仿宋_GB2312"/>
                <w:sz w:val="36"/>
                <w:szCs w:val="36"/>
              </w:rPr>
            </w:pPr>
            <w:r>
              <w:rPr>
                <w:rFonts w:hint="eastAsia" w:ascii="仿宋_GB2312" w:eastAsia="仿宋_GB2312"/>
                <w:b/>
                <w:sz w:val="36"/>
                <w:szCs w:val="36"/>
              </w:rPr>
              <w:t>建设单位（盖章）</w:t>
            </w:r>
            <w:r>
              <w:rPr>
                <w:rFonts w:hint="eastAsia" w:ascii="仿宋_GB2312" w:eastAsia="仿宋_GB2312"/>
                <w:sz w:val="36"/>
                <w:szCs w:val="36"/>
              </w:rPr>
              <w:t>：</w:t>
            </w:r>
          </w:p>
        </w:tc>
        <w:tc>
          <w:tcPr>
            <w:tcW w:w="5713" w:type="dxa"/>
            <w:tcBorders>
              <w:tl2br w:val="nil"/>
              <w:tr2bl w:val="nil"/>
            </w:tcBorders>
            <w:vAlign w:val="center"/>
          </w:tcPr>
          <w:p w14:paraId="587D0576">
            <w:pPr>
              <w:adjustRightInd w:val="0"/>
              <w:snapToGrid w:val="0"/>
              <w:spacing w:line="288" w:lineRule="auto"/>
              <w:rPr>
                <w:rFonts w:ascii="仿宋_GB2312" w:eastAsia="仿宋_GB2312"/>
                <w:b/>
                <w:sz w:val="36"/>
                <w:szCs w:val="36"/>
              </w:rPr>
            </w:pPr>
            <w:r>
              <w:rPr>
                <w:rFonts w:hint="eastAsia" w:ascii="仿宋_GB2312" w:eastAsia="仿宋_GB2312"/>
                <w:b/>
                <w:sz w:val="32"/>
                <w:szCs w:val="36"/>
                <w:u w:val="single"/>
              </w:rPr>
              <w:t xml:space="preserve">    大英县通源实业有限责任公司       </w:t>
            </w:r>
          </w:p>
        </w:tc>
      </w:tr>
    </w:tbl>
    <w:p w14:paraId="7390709E">
      <w:pPr>
        <w:adjustRightInd w:val="0"/>
        <w:snapToGrid w:val="0"/>
        <w:spacing w:line="288" w:lineRule="auto"/>
        <w:ind w:firstLine="1080" w:firstLineChars="300"/>
        <w:rPr>
          <w:rFonts w:ascii="仿宋_GB2312" w:eastAsia="仿宋_GB2312"/>
          <w:sz w:val="36"/>
          <w:szCs w:val="36"/>
        </w:rPr>
      </w:pPr>
      <w:r>
        <w:rPr>
          <w:rFonts w:hint="eastAsia" w:ascii="仿宋_GB2312" w:eastAsia="仿宋_GB2312"/>
          <w:sz w:val="36"/>
          <w:szCs w:val="36"/>
        </w:rPr>
        <w:t xml:space="preserve"> </w:t>
      </w:r>
    </w:p>
    <w:p w14:paraId="5F17727A">
      <w:pPr>
        <w:adjustRightInd w:val="0"/>
        <w:snapToGrid w:val="0"/>
        <w:spacing w:line="288" w:lineRule="auto"/>
        <w:ind w:firstLine="1040"/>
        <w:rPr>
          <w:rFonts w:ascii="仿宋_GB2312" w:eastAsia="仿宋_GB2312"/>
          <w:sz w:val="36"/>
          <w:szCs w:val="36"/>
          <w:u w:val="single"/>
        </w:rPr>
      </w:pPr>
    </w:p>
    <w:p w14:paraId="234D6055">
      <w:pPr>
        <w:ind w:firstLine="420"/>
      </w:pPr>
    </w:p>
    <w:p w14:paraId="5F6EB65F">
      <w:pPr>
        <w:adjustRightInd w:val="0"/>
        <w:snapToGrid w:val="0"/>
        <w:spacing w:line="288" w:lineRule="auto"/>
        <w:ind w:firstLine="1040"/>
        <w:rPr>
          <w:rFonts w:ascii="仿宋_GB2312" w:eastAsia="仿宋_GB2312"/>
          <w:sz w:val="36"/>
          <w:szCs w:val="36"/>
        </w:rPr>
      </w:pPr>
    </w:p>
    <w:p w14:paraId="42A3DC80">
      <w:pPr>
        <w:pStyle w:val="20"/>
      </w:pPr>
    </w:p>
    <w:p w14:paraId="0DA3D9B9">
      <w:pPr>
        <w:adjustRightInd w:val="0"/>
        <w:snapToGrid w:val="0"/>
        <w:spacing w:line="288" w:lineRule="auto"/>
        <w:ind w:firstLine="1040"/>
        <w:rPr>
          <w:rFonts w:ascii="仿宋_GB2312" w:eastAsia="仿宋_GB2312"/>
          <w:sz w:val="36"/>
          <w:szCs w:val="36"/>
        </w:rPr>
      </w:pPr>
    </w:p>
    <w:p w14:paraId="5E3DCB2C">
      <w:pPr>
        <w:pStyle w:val="20"/>
      </w:pPr>
    </w:p>
    <w:p w14:paraId="7B8036F0">
      <w:pPr>
        <w:pStyle w:val="21"/>
      </w:pPr>
    </w:p>
    <w:p w14:paraId="12B2A608">
      <w:pPr>
        <w:adjustRightInd w:val="0"/>
        <w:snapToGrid w:val="0"/>
        <w:spacing w:line="360" w:lineRule="auto"/>
        <w:jc w:val="center"/>
        <w:rPr>
          <w:rFonts w:eastAsia="楷体_GB2312"/>
          <w:b/>
          <w:sz w:val="32"/>
          <w:szCs w:val="32"/>
        </w:rPr>
      </w:pPr>
      <w:r>
        <w:rPr>
          <w:rFonts w:eastAsia="楷体_GB2312"/>
          <w:b/>
          <w:sz w:val="32"/>
          <w:szCs w:val="32"/>
        </w:rPr>
        <w:t>编制日期：202</w:t>
      </w:r>
      <w:r>
        <w:rPr>
          <w:rFonts w:hint="eastAsia" w:eastAsia="楷体_GB2312"/>
          <w:b/>
          <w:sz w:val="32"/>
          <w:szCs w:val="32"/>
        </w:rPr>
        <w:t>5</w:t>
      </w:r>
      <w:r>
        <w:rPr>
          <w:rFonts w:eastAsia="楷体_GB2312"/>
          <w:b/>
          <w:sz w:val="32"/>
          <w:szCs w:val="32"/>
        </w:rPr>
        <w:t>年</w:t>
      </w:r>
      <w:r>
        <w:rPr>
          <w:rFonts w:hint="eastAsia" w:eastAsia="楷体_GB2312"/>
          <w:b/>
          <w:sz w:val="32"/>
          <w:szCs w:val="32"/>
        </w:rPr>
        <w:t>4</w:t>
      </w:r>
      <w:r>
        <w:rPr>
          <w:rFonts w:eastAsia="楷体_GB2312"/>
          <w:b/>
          <w:sz w:val="32"/>
          <w:szCs w:val="32"/>
        </w:rPr>
        <w:t>月</w:t>
      </w:r>
    </w:p>
    <w:p w14:paraId="5E61581C">
      <w:pPr>
        <w:adjustRightInd w:val="0"/>
        <w:snapToGrid w:val="0"/>
        <w:spacing w:line="360" w:lineRule="auto"/>
        <w:jc w:val="center"/>
        <w:rPr>
          <w:rFonts w:ascii="楷体_GB2312" w:eastAsia="楷体_GB2312"/>
          <w:b/>
          <w:sz w:val="32"/>
          <w:szCs w:val="32"/>
        </w:rPr>
      </w:pPr>
      <w:r>
        <w:rPr>
          <w:rFonts w:hint="eastAsia" w:ascii="楷体_GB2312" w:eastAsia="楷体_GB2312"/>
          <w:b/>
          <w:sz w:val="32"/>
          <w:szCs w:val="32"/>
        </w:rPr>
        <w:t>中华人民共和国生态环境部制</w:t>
      </w:r>
    </w:p>
    <w:p w14:paraId="6A5F06D0">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NumType w:start="21"/>
          <w:cols w:space="720" w:num="1"/>
          <w:docGrid w:linePitch="312" w:charSpace="0"/>
        </w:sectPr>
      </w:pPr>
    </w:p>
    <w:sdt>
      <w:sdtPr>
        <w:rPr>
          <w:b w:val="0"/>
          <w:bCs w:val="0"/>
          <w:snapToGrid w:val="0"/>
          <w:kern w:val="2"/>
          <w:sz w:val="28"/>
          <w:szCs w:val="28"/>
          <w:lang w:val="zh-CN"/>
        </w:rPr>
        <w:id w:val="1790708041"/>
        <w:docPartObj>
          <w:docPartGallery w:val="Table of Contents"/>
          <w:docPartUnique/>
        </w:docPartObj>
      </w:sdtPr>
      <w:sdtEndPr>
        <w:rPr>
          <w:b w:val="0"/>
          <w:bCs w:val="0"/>
          <w:snapToGrid/>
          <w:kern w:val="2"/>
          <w:sz w:val="28"/>
          <w:szCs w:val="28"/>
          <w:lang w:val="zh-CN"/>
        </w:rPr>
      </w:sdtEndPr>
      <w:sdtContent>
        <w:p w14:paraId="2A92707C">
          <w:pPr>
            <w:pStyle w:val="109"/>
            <w:spacing w:line="360" w:lineRule="auto"/>
            <w:jc w:val="center"/>
            <w:rPr>
              <w:snapToGrid w:val="0"/>
              <w:sz w:val="36"/>
              <w:szCs w:val="28"/>
            </w:rPr>
          </w:pPr>
          <w:r>
            <w:rPr>
              <w:snapToGrid w:val="0"/>
              <w:sz w:val="36"/>
              <w:szCs w:val="28"/>
              <w:lang w:val="zh-CN"/>
            </w:rPr>
            <w:t>目</w:t>
          </w:r>
          <w:r>
            <w:rPr>
              <w:rFonts w:hint="eastAsia"/>
              <w:snapToGrid w:val="0"/>
              <w:sz w:val="36"/>
              <w:lang w:val="zh-CN"/>
            </w:rPr>
            <w:t xml:space="preserve">  </w:t>
          </w:r>
          <w:r>
            <w:rPr>
              <w:snapToGrid w:val="0"/>
              <w:sz w:val="36"/>
              <w:szCs w:val="28"/>
              <w:lang w:val="zh-CN"/>
            </w:rPr>
            <w:t>录</w:t>
          </w:r>
        </w:p>
        <w:p w14:paraId="29F15E81">
          <w:pPr>
            <w:pStyle w:val="26"/>
            <w:tabs>
              <w:tab w:val="right" w:leader="dot" w:pos="8834"/>
            </w:tabs>
            <w:spacing w:line="480" w:lineRule="auto"/>
            <w:rPr>
              <w:rFonts w:asciiTheme="minorHAnsi" w:hAnsiTheme="minorHAnsi" w:eastAsiaTheme="minorEastAsia" w:cstheme="minorBidi"/>
              <w:sz w:val="28"/>
              <w:szCs w:val="28"/>
            </w:rPr>
          </w:pPr>
          <w:r>
            <w:rPr>
              <w:sz w:val="28"/>
              <w:szCs w:val="28"/>
            </w:rPr>
            <w:fldChar w:fldCharType="begin"/>
          </w:r>
          <w:r>
            <w:rPr>
              <w:sz w:val="28"/>
              <w:szCs w:val="28"/>
            </w:rPr>
            <w:instrText xml:space="preserve"> TOC \o "1-3" \h \z \u </w:instrText>
          </w:r>
          <w:r>
            <w:rPr>
              <w:sz w:val="28"/>
              <w:szCs w:val="28"/>
            </w:rPr>
            <w:fldChar w:fldCharType="separate"/>
          </w:r>
          <w:r>
            <w:fldChar w:fldCharType="begin"/>
          </w:r>
          <w:r>
            <w:instrText xml:space="preserve"> HYPERLINK \l "_Toc150173880" </w:instrText>
          </w:r>
          <w:r>
            <w:fldChar w:fldCharType="separate"/>
          </w:r>
          <w:r>
            <w:rPr>
              <w:rStyle w:val="43"/>
              <w:rFonts w:hint="eastAsia"/>
              <w:color w:val="auto"/>
              <w:sz w:val="28"/>
              <w:szCs w:val="28"/>
            </w:rPr>
            <w:t>一、建设项目基本情况</w:t>
          </w:r>
          <w:r>
            <w:rPr>
              <w:sz w:val="28"/>
              <w:szCs w:val="28"/>
            </w:rPr>
            <w:tab/>
          </w:r>
          <w:r>
            <w:rPr>
              <w:sz w:val="28"/>
              <w:szCs w:val="28"/>
            </w:rPr>
            <w:fldChar w:fldCharType="begin"/>
          </w:r>
          <w:r>
            <w:rPr>
              <w:sz w:val="28"/>
              <w:szCs w:val="28"/>
            </w:rPr>
            <w:instrText xml:space="preserve"> PAGEREF _Toc150173880 \h </w:instrText>
          </w:r>
          <w:r>
            <w:rPr>
              <w:sz w:val="28"/>
              <w:szCs w:val="28"/>
            </w:rPr>
            <w:fldChar w:fldCharType="separate"/>
          </w:r>
          <w:r>
            <w:rPr>
              <w:sz w:val="28"/>
              <w:szCs w:val="28"/>
            </w:rPr>
            <w:t>2</w:t>
          </w:r>
          <w:r>
            <w:rPr>
              <w:sz w:val="28"/>
              <w:szCs w:val="28"/>
            </w:rPr>
            <w:fldChar w:fldCharType="end"/>
          </w:r>
          <w:r>
            <w:rPr>
              <w:sz w:val="28"/>
              <w:szCs w:val="28"/>
            </w:rPr>
            <w:fldChar w:fldCharType="end"/>
          </w:r>
        </w:p>
        <w:p w14:paraId="1AA162CB">
          <w:pPr>
            <w:pStyle w:val="26"/>
            <w:tabs>
              <w:tab w:val="right" w:leader="dot" w:pos="8834"/>
            </w:tabs>
            <w:spacing w:line="480" w:lineRule="auto"/>
            <w:rPr>
              <w:rFonts w:asciiTheme="minorHAnsi" w:hAnsiTheme="minorHAnsi" w:eastAsiaTheme="minorEastAsia" w:cstheme="minorBidi"/>
              <w:sz w:val="28"/>
              <w:szCs w:val="28"/>
            </w:rPr>
          </w:pPr>
          <w:r>
            <w:fldChar w:fldCharType="begin"/>
          </w:r>
          <w:r>
            <w:instrText xml:space="preserve"> HYPERLINK \l "_Toc150173882" </w:instrText>
          </w:r>
          <w:r>
            <w:fldChar w:fldCharType="separate"/>
          </w:r>
          <w:r>
            <w:rPr>
              <w:rStyle w:val="43"/>
              <w:rFonts w:hint="eastAsia"/>
              <w:color w:val="auto"/>
              <w:sz w:val="28"/>
              <w:szCs w:val="28"/>
            </w:rPr>
            <w:t>二、建设内容</w:t>
          </w:r>
          <w:r>
            <w:rPr>
              <w:sz w:val="28"/>
              <w:szCs w:val="28"/>
            </w:rPr>
            <w:tab/>
          </w:r>
          <w:r>
            <w:rPr>
              <w:sz w:val="28"/>
              <w:szCs w:val="28"/>
            </w:rPr>
            <w:fldChar w:fldCharType="begin"/>
          </w:r>
          <w:r>
            <w:rPr>
              <w:sz w:val="28"/>
              <w:szCs w:val="28"/>
            </w:rPr>
            <w:instrText xml:space="preserve"> PAGEREF _Toc150173882 \h </w:instrText>
          </w:r>
          <w:r>
            <w:rPr>
              <w:sz w:val="28"/>
              <w:szCs w:val="28"/>
            </w:rPr>
            <w:fldChar w:fldCharType="separate"/>
          </w:r>
          <w:r>
            <w:rPr>
              <w:sz w:val="28"/>
              <w:szCs w:val="28"/>
            </w:rPr>
            <w:t>18</w:t>
          </w:r>
          <w:r>
            <w:rPr>
              <w:sz w:val="28"/>
              <w:szCs w:val="28"/>
            </w:rPr>
            <w:fldChar w:fldCharType="end"/>
          </w:r>
          <w:r>
            <w:rPr>
              <w:sz w:val="28"/>
              <w:szCs w:val="28"/>
            </w:rPr>
            <w:fldChar w:fldCharType="end"/>
          </w:r>
        </w:p>
        <w:p w14:paraId="49DDE067">
          <w:pPr>
            <w:pStyle w:val="26"/>
            <w:tabs>
              <w:tab w:val="right" w:leader="dot" w:pos="8834"/>
            </w:tabs>
            <w:spacing w:line="480" w:lineRule="auto"/>
            <w:rPr>
              <w:rFonts w:asciiTheme="minorHAnsi" w:hAnsiTheme="minorHAnsi" w:eastAsiaTheme="minorEastAsia" w:cstheme="minorBidi"/>
              <w:sz w:val="28"/>
              <w:szCs w:val="28"/>
            </w:rPr>
          </w:pPr>
          <w:r>
            <w:fldChar w:fldCharType="begin"/>
          </w:r>
          <w:r>
            <w:instrText xml:space="preserve"> HYPERLINK \l "_Toc150173900" </w:instrText>
          </w:r>
          <w:r>
            <w:fldChar w:fldCharType="separate"/>
          </w:r>
          <w:r>
            <w:rPr>
              <w:rStyle w:val="43"/>
              <w:rFonts w:hint="eastAsia"/>
              <w:snapToGrid w:val="0"/>
              <w:color w:val="auto"/>
              <w:sz w:val="28"/>
              <w:szCs w:val="28"/>
            </w:rPr>
            <w:t>三、生态环境现状、保护目标及评价标准</w:t>
          </w:r>
          <w:r>
            <w:rPr>
              <w:sz w:val="28"/>
              <w:szCs w:val="28"/>
            </w:rPr>
            <w:tab/>
          </w:r>
          <w:r>
            <w:rPr>
              <w:sz w:val="28"/>
              <w:szCs w:val="28"/>
            </w:rPr>
            <w:fldChar w:fldCharType="begin"/>
          </w:r>
          <w:r>
            <w:rPr>
              <w:sz w:val="28"/>
              <w:szCs w:val="28"/>
            </w:rPr>
            <w:instrText xml:space="preserve"> PAGEREF _Toc150173900 \h </w:instrText>
          </w:r>
          <w:r>
            <w:rPr>
              <w:sz w:val="28"/>
              <w:szCs w:val="28"/>
            </w:rPr>
            <w:fldChar w:fldCharType="separate"/>
          </w:r>
          <w:r>
            <w:rPr>
              <w:sz w:val="28"/>
              <w:szCs w:val="28"/>
            </w:rPr>
            <w:t>50</w:t>
          </w:r>
          <w:r>
            <w:rPr>
              <w:sz w:val="28"/>
              <w:szCs w:val="28"/>
            </w:rPr>
            <w:fldChar w:fldCharType="end"/>
          </w:r>
          <w:r>
            <w:rPr>
              <w:sz w:val="28"/>
              <w:szCs w:val="28"/>
            </w:rPr>
            <w:fldChar w:fldCharType="end"/>
          </w:r>
        </w:p>
        <w:p w14:paraId="759FFE64">
          <w:pPr>
            <w:pStyle w:val="26"/>
            <w:tabs>
              <w:tab w:val="right" w:leader="dot" w:pos="8834"/>
            </w:tabs>
            <w:spacing w:line="480" w:lineRule="auto"/>
            <w:rPr>
              <w:rFonts w:asciiTheme="minorHAnsi" w:hAnsiTheme="minorHAnsi" w:eastAsiaTheme="minorEastAsia" w:cstheme="minorBidi"/>
              <w:sz w:val="28"/>
              <w:szCs w:val="28"/>
            </w:rPr>
          </w:pPr>
          <w:r>
            <w:fldChar w:fldCharType="begin"/>
          </w:r>
          <w:r>
            <w:instrText xml:space="preserve"> HYPERLINK \l "_Toc150173912" </w:instrText>
          </w:r>
          <w:r>
            <w:fldChar w:fldCharType="separate"/>
          </w:r>
          <w:r>
            <w:rPr>
              <w:rStyle w:val="43"/>
              <w:rFonts w:hint="eastAsia"/>
              <w:color w:val="auto"/>
              <w:sz w:val="28"/>
              <w:szCs w:val="28"/>
            </w:rPr>
            <w:t>四、生态环境影响分析</w:t>
          </w:r>
          <w:r>
            <w:rPr>
              <w:sz w:val="28"/>
              <w:szCs w:val="28"/>
            </w:rPr>
            <w:tab/>
          </w:r>
          <w:r>
            <w:rPr>
              <w:sz w:val="28"/>
              <w:szCs w:val="28"/>
            </w:rPr>
            <w:fldChar w:fldCharType="begin"/>
          </w:r>
          <w:r>
            <w:rPr>
              <w:sz w:val="28"/>
              <w:szCs w:val="28"/>
            </w:rPr>
            <w:instrText xml:space="preserve"> PAGEREF _Toc150173912 \h </w:instrText>
          </w:r>
          <w:r>
            <w:rPr>
              <w:sz w:val="28"/>
              <w:szCs w:val="28"/>
            </w:rPr>
            <w:fldChar w:fldCharType="separate"/>
          </w:r>
          <w:r>
            <w:rPr>
              <w:sz w:val="28"/>
              <w:szCs w:val="28"/>
            </w:rPr>
            <w:t>61</w:t>
          </w:r>
          <w:r>
            <w:rPr>
              <w:sz w:val="28"/>
              <w:szCs w:val="28"/>
            </w:rPr>
            <w:fldChar w:fldCharType="end"/>
          </w:r>
          <w:r>
            <w:rPr>
              <w:sz w:val="28"/>
              <w:szCs w:val="28"/>
            </w:rPr>
            <w:fldChar w:fldCharType="end"/>
          </w:r>
        </w:p>
        <w:p w14:paraId="3E5A92C3">
          <w:pPr>
            <w:pStyle w:val="26"/>
            <w:tabs>
              <w:tab w:val="right" w:leader="dot" w:pos="8834"/>
            </w:tabs>
            <w:spacing w:line="480" w:lineRule="auto"/>
            <w:rPr>
              <w:rFonts w:asciiTheme="minorHAnsi" w:hAnsiTheme="minorHAnsi" w:eastAsiaTheme="minorEastAsia" w:cstheme="minorBidi"/>
              <w:sz w:val="28"/>
              <w:szCs w:val="28"/>
            </w:rPr>
          </w:pPr>
          <w:r>
            <w:fldChar w:fldCharType="begin"/>
          </w:r>
          <w:r>
            <w:instrText xml:space="preserve"> HYPERLINK \l "_Toc150173914" </w:instrText>
          </w:r>
          <w:r>
            <w:fldChar w:fldCharType="separate"/>
          </w:r>
          <w:r>
            <w:rPr>
              <w:rStyle w:val="43"/>
              <w:rFonts w:hint="eastAsia"/>
              <w:snapToGrid w:val="0"/>
              <w:color w:val="auto"/>
              <w:sz w:val="28"/>
              <w:szCs w:val="28"/>
            </w:rPr>
            <w:t>五、主要生态环境保护措施</w:t>
          </w:r>
          <w:r>
            <w:rPr>
              <w:sz w:val="28"/>
              <w:szCs w:val="28"/>
            </w:rPr>
            <w:tab/>
          </w:r>
          <w:r>
            <w:rPr>
              <w:sz w:val="28"/>
              <w:szCs w:val="28"/>
            </w:rPr>
            <w:fldChar w:fldCharType="begin"/>
          </w:r>
          <w:r>
            <w:rPr>
              <w:sz w:val="28"/>
              <w:szCs w:val="28"/>
            </w:rPr>
            <w:instrText xml:space="preserve"> PAGEREF _Toc150173914 \h </w:instrText>
          </w:r>
          <w:r>
            <w:rPr>
              <w:sz w:val="28"/>
              <w:szCs w:val="28"/>
            </w:rPr>
            <w:fldChar w:fldCharType="separate"/>
          </w:r>
          <w:r>
            <w:rPr>
              <w:sz w:val="28"/>
              <w:szCs w:val="28"/>
            </w:rPr>
            <w:t>79</w:t>
          </w:r>
          <w:r>
            <w:rPr>
              <w:sz w:val="28"/>
              <w:szCs w:val="28"/>
            </w:rPr>
            <w:fldChar w:fldCharType="end"/>
          </w:r>
          <w:r>
            <w:rPr>
              <w:sz w:val="28"/>
              <w:szCs w:val="28"/>
            </w:rPr>
            <w:fldChar w:fldCharType="end"/>
          </w:r>
        </w:p>
        <w:p w14:paraId="61D0EBF8">
          <w:pPr>
            <w:pStyle w:val="26"/>
            <w:tabs>
              <w:tab w:val="right" w:leader="dot" w:pos="8834"/>
            </w:tabs>
            <w:spacing w:line="480" w:lineRule="auto"/>
            <w:rPr>
              <w:rFonts w:asciiTheme="minorHAnsi" w:hAnsiTheme="minorHAnsi" w:eastAsiaTheme="minorEastAsia" w:cstheme="minorBidi"/>
              <w:sz w:val="28"/>
              <w:szCs w:val="28"/>
            </w:rPr>
          </w:pPr>
          <w:r>
            <w:fldChar w:fldCharType="begin"/>
          </w:r>
          <w:r>
            <w:instrText xml:space="preserve"> HYPERLINK \l "_Toc150173919" </w:instrText>
          </w:r>
          <w:r>
            <w:fldChar w:fldCharType="separate"/>
          </w:r>
          <w:r>
            <w:rPr>
              <w:rStyle w:val="43"/>
              <w:rFonts w:hint="eastAsia"/>
              <w:snapToGrid w:val="0"/>
              <w:color w:val="auto"/>
              <w:sz w:val="28"/>
              <w:szCs w:val="28"/>
            </w:rPr>
            <w:t>六、生态环境保护措施监督检查清单</w:t>
          </w:r>
          <w:r>
            <w:rPr>
              <w:sz w:val="28"/>
              <w:szCs w:val="28"/>
            </w:rPr>
            <w:tab/>
          </w:r>
          <w:r>
            <w:rPr>
              <w:sz w:val="28"/>
              <w:szCs w:val="28"/>
            </w:rPr>
            <w:fldChar w:fldCharType="begin"/>
          </w:r>
          <w:r>
            <w:rPr>
              <w:sz w:val="28"/>
              <w:szCs w:val="28"/>
            </w:rPr>
            <w:instrText xml:space="preserve"> PAGEREF _Toc150173919 \h </w:instrText>
          </w:r>
          <w:r>
            <w:rPr>
              <w:sz w:val="28"/>
              <w:szCs w:val="28"/>
            </w:rPr>
            <w:fldChar w:fldCharType="separate"/>
          </w:r>
          <w:r>
            <w:rPr>
              <w:sz w:val="28"/>
              <w:szCs w:val="28"/>
            </w:rPr>
            <w:t>102</w:t>
          </w:r>
          <w:r>
            <w:rPr>
              <w:sz w:val="28"/>
              <w:szCs w:val="28"/>
            </w:rPr>
            <w:fldChar w:fldCharType="end"/>
          </w:r>
          <w:r>
            <w:rPr>
              <w:sz w:val="28"/>
              <w:szCs w:val="28"/>
            </w:rPr>
            <w:fldChar w:fldCharType="end"/>
          </w:r>
        </w:p>
        <w:p w14:paraId="5BB0732F">
          <w:pPr>
            <w:spacing w:line="480" w:lineRule="auto"/>
            <w:rPr>
              <w:sz w:val="28"/>
              <w:szCs w:val="28"/>
            </w:rPr>
          </w:pPr>
          <w:r>
            <w:rPr>
              <w:b/>
              <w:bCs/>
              <w:sz w:val="28"/>
              <w:szCs w:val="28"/>
              <w:lang w:val="zh-CN"/>
            </w:rPr>
            <w:fldChar w:fldCharType="end"/>
          </w:r>
          <w:r>
            <w:rPr>
              <w:b/>
              <w:bCs/>
              <w:sz w:val="28"/>
              <w:szCs w:val="28"/>
              <w:lang w:val="zh-CN"/>
            </w:rPr>
            <w:t>附</w:t>
          </w:r>
          <w:r>
            <w:rPr>
              <w:rFonts w:hint="eastAsia"/>
              <w:b/>
              <w:bCs/>
              <w:sz w:val="28"/>
              <w:szCs w:val="28"/>
              <w:lang w:val="zh-CN"/>
            </w:rPr>
            <w:t>表</w:t>
          </w:r>
          <w:r>
            <w:rPr>
              <w:b/>
              <w:bCs/>
              <w:sz w:val="28"/>
              <w:szCs w:val="28"/>
              <w:lang w:val="zh-CN"/>
            </w:rPr>
            <w:t>、附图、附件</w:t>
          </w:r>
        </w:p>
      </w:sdtContent>
    </w:sdt>
    <w:p w14:paraId="56F8088B">
      <w:pPr>
        <w:pStyle w:val="15"/>
        <w:rPr>
          <w:rFonts w:ascii="黑体" w:hAnsi="黑体" w:eastAsia="黑体"/>
          <w:kern w:val="44"/>
        </w:rPr>
      </w:pPr>
      <w:r>
        <w:br w:type="page"/>
      </w:r>
    </w:p>
    <w:p w14:paraId="203176C1">
      <w:pPr>
        <w:pStyle w:val="3"/>
        <w:numPr>
          <w:ilvl w:val="0"/>
          <w:numId w:val="0"/>
        </w:numPr>
        <w:jc w:val="center"/>
      </w:pPr>
      <w:bookmarkStart w:id="3" w:name="_Toc150173880"/>
      <w:r>
        <w:rPr>
          <w:rFonts w:hint="eastAsia"/>
        </w:rPr>
        <w:t>一、建设项目基本情况</w:t>
      </w:r>
      <w:bookmarkEnd w:id="3"/>
    </w:p>
    <w:tbl>
      <w:tblPr>
        <w:tblStyle w:val="33"/>
        <w:tblW w:w="9260"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34"/>
        <w:gridCol w:w="2792"/>
        <w:gridCol w:w="2373"/>
        <w:gridCol w:w="11"/>
        <w:gridCol w:w="2950"/>
      </w:tblGrid>
      <w:tr w14:paraId="21C744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134" w:type="dxa"/>
            <w:tcMar>
              <w:top w:w="16" w:type="dxa"/>
              <w:left w:w="16" w:type="dxa"/>
              <w:right w:w="16" w:type="dxa"/>
            </w:tcMar>
            <w:vAlign w:val="center"/>
          </w:tcPr>
          <w:p w14:paraId="7DECF4A8">
            <w:pPr>
              <w:adjustRightInd w:val="0"/>
              <w:snapToGrid w:val="0"/>
              <w:jc w:val="center"/>
              <w:rPr>
                <w:sz w:val="24"/>
                <w:szCs w:val="21"/>
              </w:rPr>
            </w:pPr>
            <w:r>
              <w:rPr>
                <w:sz w:val="24"/>
                <w:szCs w:val="21"/>
              </w:rPr>
              <w:t>建设项目名称</w:t>
            </w:r>
          </w:p>
        </w:tc>
        <w:tc>
          <w:tcPr>
            <w:tcW w:w="8126" w:type="dxa"/>
            <w:gridSpan w:val="4"/>
            <w:vAlign w:val="center"/>
          </w:tcPr>
          <w:p w14:paraId="2B2F5CB9">
            <w:pPr>
              <w:adjustRightInd w:val="0"/>
              <w:snapToGrid w:val="0"/>
              <w:jc w:val="center"/>
              <w:rPr>
                <w:sz w:val="24"/>
              </w:rPr>
            </w:pPr>
            <w:r>
              <w:rPr>
                <w:rFonts w:hint="eastAsia"/>
                <w:sz w:val="24"/>
              </w:rPr>
              <w:t>中国死海AAAA级景区配套旅游基础设施建设项目（一期）</w:t>
            </w:r>
          </w:p>
        </w:tc>
      </w:tr>
      <w:tr w14:paraId="234DC4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134" w:type="dxa"/>
            <w:tcMar>
              <w:top w:w="16" w:type="dxa"/>
              <w:left w:w="16" w:type="dxa"/>
              <w:right w:w="16" w:type="dxa"/>
            </w:tcMar>
            <w:vAlign w:val="center"/>
          </w:tcPr>
          <w:p w14:paraId="7BBDEC12">
            <w:pPr>
              <w:adjustRightInd w:val="0"/>
              <w:snapToGrid w:val="0"/>
              <w:jc w:val="center"/>
              <w:rPr>
                <w:sz w:val="24"/>
                <w:szCs w:val="21"/>
              </w:rPr>
            </w:pPr>
            <w:r>
              <w:rPr>
                <w:sz w:val="24"/>
                <w:szCs w:val="21"/>
              </w:rPr>
              <w:t>项目代码</w:t>
            </w:r>
          </w:p>
        </w:tc>
        <w:tc>
          <w:tcPr>
            <w:tcW w:w="8126" w:type="dxa"/>
            <w:gridSpan w:val="4"/>
            <w:vAlign w:val="center"/>
          </w:tcPr>
          <w:p w14:paraId="3D2075B7">
            <w:pPr>
              <w:adjustRightInd w:val="0"/>
              <w:snapToGrid w:val="0"/>
              <w:jc w:val="center"/>
              <w:rPr>
                <w:sz w:val="24"/>
              </w:rPr>
            </w:pPr>
            <w:r>
              <w:rPr>
                <w:rFonts w:hint="eastAsia"/>
                <w:sz w:val="24"/>
              </w:rPr>
              <w:t>2311-510923-04-01-767556</w:t>
            </w:r>
          </w:p>
        </w:tc>
      </w:tr>
      <w:tr w14:paraId="279137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134" w:type="dxa"/>
            <w:tcMar>
              <w:top w:w="16" w:type="dxa"/>
              <w:left w:w="16" w:type="dxa"/>
              <w:right w:w="16" w:type="dxa"/>
            </w:tcMar>
            <w:vAlign w:val="center"/>
          </w:tcPr>
          <w:p w14:paraId="71F81202">
            <w:pPr>
              <w:adjustRightInd w:val="0"/>
              <w:snapToGrid w:val="0"/>
              <w:jc w:val="center"/>
              <w:rPr>
                <w:sz w:val="24"/>
                <w:szCs w:val="21"/>
              </w:rPr>
            </w:pPr>
            <w:r>
              <w:rPr>
                <w:sz w:val="24"/>
                <w:szCs w:val="21"/>
              </w:rPr>
              <w:t>建设单位联系人</w:t>
            </w:r>
          </w:p>
        </w:tc>
        <w:tc>
          <w:tcPr>
            <w:tcW w:w="2792" w:type="dxa"/>
            <w:vAlign w:val="center"/>
          </w:tcPr>
          <w:p w14:paraId="12867EA7">
            <w:pPr>
              <w:adjustRightInd w:val="0"/>
              <w:snapToGrid w:val="0"/>
              <w:jc w:val="center"/>
              <w:rPr>
                <w:sz w:val="24"/>
              </w:rPr>
            </w:pPr>
            <w:r>
              <w:rPr>
                <w:rFonts w:hint="eastAsia"/>
                <w:sz w:val="24"/>
              </w:rPr>
              <w:t>王X</w:t>
            </w:r>
          </w:p>
        </w:tc>
        <w:tc>
          <w:tcPr>
            <w:tcW w:w="2384" w:type="dxa"/>
            <w:gridSpan w:val="2"/>
            <w:vAlign w:val="center"/>
          </w:tcPr>
          <w:p w14:paraId="35233532">
            <w:pPr>
              <w:adjustRightInd w:val="0"/>
              <w:snapToGrid w:val="0"/>
              <w:jc w:val="center"/>
              <w:rPr>
                <w:sz w:val="24"/>
              </w:rPr>
            </w:pPr>
            <w:r>
              <w:rPr>
                <w:sz w:val="24"/>
              </w:rPr>
              <w:t>联系方式</w:t>
            </w:r>
          </w:p>
        </w:tc>
        <w:tc>
          <w:tcPr>
            <w:tcW w:w="2950" w:type="dxa"/>
            <w:vAlign w:val="center"/>
          </w:tcPr>
          <w:p w14:paraId="55663F54">
            <w:pPr>
              <w:adjustRightInd w:val="0"/>
              <w:snapToGrid w:val="0"/>
              <w:jc w:val="center"/>
              <w:rPr>
                <w:sz w:val="24"/>
              </w:rPr>
            </w:pPr>
            <w:r>
              <w:rPr>
                <w:sz w:val="24"/>
              </w:rPr>
              <w:t>158</w:t>
            </w:r>
            <w:r>
              <w:rPr>
                <w:rFonts w:hint="eastAsia"/>
                <w:sz w:val="24"/>
              </w:rPr>
              <w:t>XXXX</w:t>
            </w:r>
            <w:r>
              <w:rPr>
                <w:sz w:val="24"/>
              </w:rPr>
              <w:t>1271</w:t>
            </w:r>
          </w:p>
        </w:tc>
      </w:tr>
      <w:tr w14:paraId="6F9E5B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134" w:type="dxa"/>
            <w:tcMar>
              <w:top w:w="16" w:type="dxa"/>
              <w:left w:w="16" w:type="dxa"/>
              <w:right w:w="16" w:type="dxa"/>
            </w:tcMar>
            <w:vAlign w:val="center"/>
          </w:tcPr>
          <w:p w14:paraId="2D37D53D">
            <w:pPr>
              <w:adjustRightInd w:val="0"/>
              <w:snapToGrid w:val="0"/>
              <w:jc w:val="center"/>
              <w:rPr>
                <w:sz w:val="24"/>
                <w:szCs w:val="21"/>
              </w:rPr>
            </w:pPr>
            <w:r>
              <w:rPr>
                <w:sz w:val="24"/>
                <w:szCs w:val="21"/>
              </w:rPr>
              <w:t>建设地点</w:t>
            </w:r>
          </w:p>
        </w:tc>
        <w:tc>
          <w:tcPr>
            <w:tcW w:w="8126" w:type="dxa"/>
            <w:gridSpan w:val="4"/>
            <w:vAlign w:val="center"/>
          </w:tcPr>
          <w:p w14:paraId="6AE3F585">
            <w:pPr>
              <w:adjustRightInd w:val="0"/>
              <w:snapToGrid w:val="0"/>
              <w:jc w:val="center"/>
              <w:rPr>
                <w:sz w:val="24"/>
              </w:rPr>
            </w:pPr>
            <w:r>
              <w:rPr>
                <w:rFonts w:hint="eastAsia"/>
                <w:sz w:val="24"/>
              </w:rPr>
              <w:t>四川省遂宁市大英县城区</w:t>
            </w:r>
          </w:p>
        </w:tc>
      </w:tr>
      <w:tr w14:paraId="3BFC6C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134" w:type="dxa"/>
            <w:tcMar>
              <w:top w:w="16" w:type="dxa"/>
              <w:left w:w="16" w:type="dxa"/>
              <w:right w:w="16" w:type="dxa"/>
            </w:tcMar>
            <w:vAlign w:val="center"/>
          </w:tcPr>
          <w:p w14:paraId="40EC195C">
            <w:pPr>
              <w:adjustRightInd w:val="0"/>
              <w:snapToGrid w:val="0"/>
              <w:jc w:val="center"/>
              <w:rPr>
                <w:sz w:val="24"/>
                <w:szCs w:val="21"/>
              </w:rPr>
            </w:pPr>
            <w:r>
              <w:rPr>
                <w:sz w:val="24"/>
                <w:szCs w:val="21"/>
              </w:rPr>
              <w:t>地理坐标</w:t>
            </w:r>
          </w:p>
        </w:tc>
        <w:tc>
          <w:tcPr>
            <w:tcW w:w="8126" w:type="dxa"/>
            <w:gridSpan w:val="4"/>
            <w:vAlign w:val="center"/>
          </w:tcPr>
          <w:p w14:paraId="09146736">
            <w:pPr>
              <w:adjustRightInd w:val="0"/>
              <w:snapToGrid w:val="0"/>
              <w:jc w:val="center"/>
              <w:rPr>
                <w:sz w:val="24"/>
              </w:rPr>
            </w:pPr>
            <w:r>
              <w:rPr>
                <w:rFonts w:hint="eastAsia"/>
                <w:sz w:val="24"/>
              </w:rPr>
              <w:t>城南</w:t>
            </w:r>
            <w:r>
              <w:rPr>
                <w:sz w:val="24"/>
              </w:rPr>
              <w:t>大道连接线</w:t>
            </w:r>
            <w:r>
              <w:rPr>
                <w:rFonts w:hint="eastAsia"/>
                <w:sz w:val="24"/>
              </w:rPr>
              <w:t>1段——</w:t>
            </w:r>
            <w:r>
              <w:rPr>
                <w:sz w:val="24"/>
              </w:rPr>
              <w:t>起点：东经10</w:t>
            </w:r>
            <w:r>
              <w:rPr>
                <w:rFonts w:hint="eastAsia"/>
                <w:sz w:val="24"/>
              </w:rPr>
              <w:t>5</w:t>
            </w:r>
            <w:r>
              <w:rPr>
                <w:sz w:val="24"/>
              </w:rPr>
              <w:t>°</w:t>
            </w:r>
            <w:r>
              <w:rPr>
                <w:rFonts w:hint="eastAsia"/>
                <w:sz w:val="24"/>
              </w:rPr>
              <w:t>12</w:t>
            </w:r>
            <w:r>
              <w:rPr>
                <w:sz w:val="24"/>
              </w:rPr>
              <w:t>'</w:t>
            </w:r>
            <w:r>
              <w:rPr>
                <w:rFonts w:hint="eastAsia"/>
                <w:sz w:val="24"/>
              </w:rPr>
              <w:t>59.043</w:t>
            </w:r>
            <w:r>
              <w:rPr>
                <w:sz w:val="24"/>
              </w:rPr>
              <w:t>"，北纬30°</w:t>
            </w:r>
            <w:r>
              <w:rPr>
                <w:rFonts w:hint="eastAsia"/>
                <w:sz w:val="24"/>
              </w:rPr>
              <w:t>36</w:t>
            </w:r>
            <w:r>
              <w:rPr>
                <w:sz w:val="24"/>
              </w:rPr>
              <w:t>'</w:t>
            </w:r>
            <w:r>
              <w:rPr>
                <w:rFonts w:hint="eastAsia"/>
                <w:sz w:val="24"/>
              </w:rPr>
              <w:t>29.105</w:t>
            </w:r>
            <w:r>
              <w:rPr>
                <w:sz w:val="24"/>
              </w:rPr>
              <w:t>"；</w:t>
            </w:r>
          </w:p>
          <w:p w14:paraId="62636C3B">
            <w:pPr>
              <w:adjustRightInd w:val="0"/>
              <w:snapToGrid w:val="0"/>
              <w:ind w:firstLine="2834" w:firstLineChars="1181"/>
              <w:jc w:val="center"/>
              <w:rPr>
                <w:sz w:val="24"/>
              </w:rPr>
            </w:pPr>
            <w:r>
              <w:rPr>
                <w:rFonts w:hint="eastAsia"/>
                <w:sz w:val="24"/>
              </w:rPr>
              <w:t>终点</w:t>
            </w:r>
            <w:r>
              <w:rPr>
                <w:sz w:val="24"/>
              </w:rPr>
              <w:t>：东经10</w:t>
            </w:r>
            <w:r>
              <w:rPr>
                <w:rFonts w:hint="eastAsia"/>
                <w:sz w:val="24"/>
              </w:rPr>
              <w:t>5</w:t>
            </w:r>
            <w:r>
              <w:rPr>
                <w:sz w:val="24"/>
              </w:rPr>
              <w:t>°</w:t>
            </w:r>
            <w:r>
              <w:rPr>
                <w:rFonts w:hint="eastAsia"/>
                <w:sz w:val="24"/>
              </w:rPr>
              <w:t>13</w:t>
            </w:r>
            <w:r>
              <w:rPr>
                <w:sz w:val="24"/>
              </w:rPr>
              <w:t>'</w:t>
            </w:r>
            <w:r>
              <w:rPr>
                <w:rFonts w:hint="eastAsia"/>
                <w:sz w:val="24"/>
              </w:rPr>
              <w:t>41.726</w:t>
            </w:r>
            <w:r>
              <w:rPr>
                <w:sz w:val="24"/>
              </w:rPr>
              <w:t>"，北纬30°</w:t>
            </w:r>
            <w:r>
              <w:rPr>
                <w:rFonts w:hint="eastAsia"/>
                <w:sz w:val="24"/>
              </w:rPr>
              <w:t>36</w:t>
            </w:r>
            <w:r>
              <w:rPr>
                <w:sz w:val="24"/>
              </w:rPr>
              <w:t>'</w:t>
            </w:r>
            <w:r>
              <w:rPr>
                <w:rFonts w:hint="eastAsia"/>
                <w:sz w:val="24"/>
              </w:rPr>
              <w:t>33.633</w:t>
            </w:r>
            <w:r>
              <w:rPr>
                <w:sz w:val="24"/>
              </w:rPr>
              <w:t>"；</w:t>
            </w:r>
          </w:p>
          <w:p w14:paraId="3B133266">
            <w:pPr>
              <w:adjustRightInd w:val="0"/>
              <w:snapToGrid w:val="0"/>
              <w:jc w:val="center"/>
              <w:rPr>
                <w:sz w:val="24"/>
              </w:rPr>
            </w:pPr>
            <w:r>
              <w:rPr>
                <w:rFonts w:hint="eastAsia"/>
                <w:sz w:val="24"/>
              </w:rPr>
              <w:t>太吉大道西延线1段——</w:t>
            </w:r>
            <w:r>
              <w:rPr>
                <w:sz w:val="24"/>
              </w:rPr>
              <w:t>起点：东经10</w:t>
            </w:r>
            <w:r>
              <w:rPr>
                <w:rFonts w:hint="eastAsia"/>
                <w:sz w:val="24"/>
              </w:rPr>
              <w:t>5</w:t>
            </w:r>
            <w:r>
              <w:rPr>
                <w:sz w:val="24"/>
              </w:rPr>
              <w:t>°</w:t>
            </w:r>
            <w:r>
              <w:rPr>
                <w:rFonts w:hint="eastAsia"/>
                <w:sz w:val="24"/>
              </w:rPr>
              <w:t>12</w:t>
            </w:r>
            <w:r>
              <w:rPr>
                <w:sz w:val="24"/>
              </w:rPr>
              <w:t>'</w:t>
            </w:r>
            <w:r>
              <w:rPr>
                <w:rFonts w:hint="eastAsia"/>
                <w:sz w:val="24"/>
              </w:rPr>
              <w:t>46.919</w:t>
            </w:r>
            <w:r>
              <w:rPr>
                <w:sz w:val="24"/>
              </w:rPr>
              <w:t>"，北纬30°</w:t>
            </w:r>
            <w:r>
              <w:rPr>
                <w:rFonts w:hint="eastAsia"/>
                <w:sz w:val="24"/>
              </w:rPr>
              <w:t>35</w:t>
            </w:r>
            <w:r>
              <w:rPr>
                <w:sz w:val="24"/>
              </w:rPr>
              <w:t>'</w:t>
            </w:r>
            <w:r>
              <w:rPr>
                <w:rFonts w:hint="eastAsia"/>
                <w:sz w:val="24"/>
              </w:rPr>
              <w:t>51.273</w:t>
            </w:r>
            <w:r>
              <w:rPr>
                <w:sz w:val="24"/>
              </w:rPr>
              <w:t>"；</w:t>
            </w:r>
          </w:p>
          <w:p w14:paraId="0A6BDEBF">
            <w:pPr>
              <w:adjustRightInd w:val="0"/>
              <w:snapToGrid w:val="0"/>
              <w:ind w:firstLine="2834" w:firstLineChars="1181"/>
              <w:jc w:val="center"/>
              <w:rPr>
                <w:sz w:val="24"/>
              </w:rPr>
            </w:pPr>
            <w:r>
              <w:rPr>
                <w:rFonts w:hint="eastAsia"/>
                <w:sz w:val="24"/>
              </w:rPr>
              <w:t>终点</w:t>
            </w:r>
            <w:r>
              <w:rPr>
                <w:sz w:val="24"/>
              </w:rPr>
              <w:t>：东经10</w:t>
            </w:r>
            <w:r>
              <w:rPr>
                <w:rFonts w:hint="eastAsia"/>
                <w:sz w:val="24"/>
              </w:rPr>
              <w:t>5</w:t>
            </w:r>
            <w:r>
              <w:rPr>
                <w:sz w:val="24"/>
              </w:rPr>
              <w:t>°</w:t>
            </w:r>
            <w:r>
              <w:rPr>
                <w:rFonts w:hint="eastAsia"/>
                <w:sz w:val="24"/>
              </w:rPr>
              <w:t>13</w:t>
            </w:r>
            <w:r>
              <w:rPr>
                <w:sz w:val="24"/>
              </w:rPr>
              <w:t>'</w:t>
            </w:r>
            <w:r>
              <w:rPr>
                <w:rFonts w:hint="eastAsia"/>
                <w:sz w:val="24"/>
              </w:rPr>
              <w:t>27.034</w:t>
            </w:r>
            <w:r>
              <w:rPr>
                <w:sz w:val="24"/>
              </w:rPr>
              <w:t>"，北纬30°</w:t>
            </w:r>
            <w:r>
              <w:rPr>
                <w:rFonts w:hint="eastAsia"/>
                <w:sz w:val="24"/>
              </w:rPr>
              <w:t>35</w:t>
            </w:r>
            <w:r>
              <w:rPr>
                <w:sz w:val="24"/>
              </w:rPr>
              <w:t>'</w:t>
            </w:r>
            <w:r>
              <w:rPr>
                <w:rFonts w:hint="eastAsia"/>
                <w:sz w:val="24"/>
              </w:rPr>
              <w:t>29.208</w:t>
            </w:r>
            <w:r>
              <w:rPr>
                <w:sz w:val="24"/>
              </w:rPr>
              <w:t>"；</w:t>
            </w:r>
          </w:p>
          <w:p w14:paraId="21F005FD">
            <w:pPr>
              <w:adjustRightInd w:val="0"/>
              <w:snapToGrid w:val="0"/>
              <w:jc w:val="center"/>
              <w:rPr>
                <w:sz w:val="24"/>
              </w:rPr>
            </w:pPr>
            <w:r>
              <w:rPr>
                <w:rFonts w:hint="eastAsia"/>
                <w:sz w:val="24"/>
              </w:rPr>
              <w:t>太吉大道西延线2段——</w:t>
            </w:r>
            <w:r>
              <w:rPr>
                <w:sz w:val="24"/>
              </w:rPr>
              <w:t>起点：东经10</w:t>
            </w:r>
            <w:r>
              <w:rPr>
                <w:rFonts w:hint="eastAsia"/>
                <w:sz w:val="24"/>
              </w:rPr>
              <w:t>5</w:t>
            </w:r>
            <w:r>
              <w:rPr>
                <w:sz w:val="24"/>
              </w:rPr>
              <w:t>°</w:t>
            </w:r>
            <w:r>
              <w:rPr>
                <w:rFonts w:hint="eastAsia"/>
                <w:sz w:val="24"/>
              </w:rPr>
              <w:t>12</w:t>
            </w:r>
            <w:r>
              <w:rPr>
                <w:sz w:val="24"/>
              </w:rPr>
              <w:t>'</w:t>
            </w:r>
            <w:r>
              <w:rPr>
                <w:rFonts w:hint="eastAsia"/>
                <w:sz w:val="24"/>
              </w:rPr>
              <w:t>52.792</w:t>
            </w:r>
            <w:r>
              <w:rPr>
                <w:sz w:val="24"/>
              </w:rPr>
              <w:t>""，北纬30°</w:t>
            </w:r>
            <w:r>
              <w:rPr>
                <w:rFonts w:hint="eastAsia"/>
                <w:sz w:val="24"/>
              </w:rPr>
              <w:t>36</w:t>
            </w:r>
            <w:r>
              <w:rPr>
                <w:sz w:val="24"/>
              </w:rPr>
              <w:t>'</w:t>
            </w:r>
            <w:r>
              <w:rPr>
                <w:rFonts w:hint="eastAsia"/>
                <w:sz w:val="24"/>
              </w:rPr>
              <w:t>05.064</w:t>
            </w:r>
            <w:r>
              <w:rPr>
                <w:sz w:val="24"/>
              </w:rPr>
              <w:t>"；</w:t>
            </w:r>
          </w:p>
          <w:p w14:paraId="59D9FEFE">
            <w:pPr>
              <w:adjustRightInd w:val="0"/>
              <w:snapToGrid w:val="0"/>
              <w:ind w:firstLine="2834" w:firstLineChars="1181"/>
              <w:jc w:val="center"/>
            </w:pPr>
            <w:r>
              <w:rPr>
                <w:rFonts w:hint="eastAsia"/>
                <w:sz w:val="24"/>
              </w:rPr>
              <w:t>终点</w:t>
            </w:r>
            <w:r>
              <w:rPr>
                <w:sz w:val="24"/>
              </w:rPr>
              <w:t>：东经10</w:t>
            </w:r>
            <w:r>
              <w:rPr>
                <w:rFonts w:hint="eastAsia"/>
                <w:sz w:val="24"/>
              </w:rPr>
              <w:t>5</w:t>
            </w:r>
            <w:r>
              <w:rPr>
                <w:sz w:val="24"/>
              </w:rPr>
              <w:t>°</w:t>
            </w:r>
            <w:r>
              <w:rPr>
                <w:rFonts w:hint="eastAsia"/>
                <w:sz w:val="24"/>
              </w:rPr>
              <w:t>12</w:t>
            </w:r>
            <w:r>
              <w:rPr>
                <w:sz w:val="24"/>
              </w:rPr>
              <w:t>'</w:t>
            </w:r>
            <w:r>
              <w:rPr>
                <w:rFonts w:hint="eastAsia"/>
                <w:sz w:val="24"/>
              </w:rPr>
              <w:t>46.919</w:t>
            </w:r>
            <w:r>
              <w:rPr>
                <w:sz w:val="24"/>
              </w:rPr>
              <w:t>"，北纬30°</w:t>
            </w:r>
            <w:r>
              <w:rPr>
                <w:rFonts w:hint="eastAsia"/>
                <w:sz w:val="24"/>
              </w:rPr>
              <w:t>35</w:t>
            </w:r>
            <w:r>
              <w:rPr>
                <w:sz w:val="24"/>
              </w:rPr>
              <w:t>'</w:t>
            </w:r>
            <w:r>
              <w:rPr>
                <w:rFonts w:hint="eastAsia"/>
                <w:sz w:val="24"/>
              </w:rPr>
              <w:t>51.273</w:t>
            </w:r>
            <w:r>
              <w:rPr>
                <w:sz w:val="24"/>
              </w:rPr>
              <w:t>"</w:t>
            </w:r>
            <w:r>
              <w:rPr>
                <w:rFonts w:hint="eastAsia"/>
                <w:sz w:val="24"/>
              </w:rPr>
              <w:t>。</w:t>
            </w:r>
          </w:p>
        </w:tc>
      </w:tr>
      <w:tr w14:paraId="0F56FF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134" w:type="dxa"/>
            <w:tcMar>
              <w:top w:w="16" w:type="dxa"/>
              <w:left w:w="16" w:type="dxa"/>
              <w:right w:w="16" w:type="dxa"/>
            </w:tcMar>
            <w:vAlign w:val="center"/>
          </w:tcPr>
          <w:p w14:paraId="7868C7CE">
            <w:pPr>
              <w:adjustRightInd w:val="0"/>
              <w:snapToGrid w:val="0"/>
              <w:jc w:val="center"/>
              <w:rPr>
                <w:sz w:val="24"/>
                <w:szCs w:val="21"/>
              </w:rPr>
            </w:pPr>
            <w:r>
              <w:rPr>
                <w:sz w:val="24"/>
                <w:szCs w:val="21"/>
              </w:rPr>
              <w:t>建设项目</w:t>
            </w:r>
          </w:p>
          <w:p w14:paraId="2B15E71F">
            <w:pPr>
              <w:adjustRightInd w:val="0"/>
              <w:snapToGrid w:val="0"/>
              <w:jc w:val="center"/>
              <w:rPr>
                <w:sz w:val="24"/>
                <w:szCs w:val="21"/>
              </w:rPr>
            </w:pPr>
            <w:r>
              <w:rPr>
                <w:sz w:val="24"/>
                <w:szCs w:val="21"/>
              </w:rPr>
              <w:t>行业类别</w:t>
            </w:r>
          </w:p>
        </w:tc>
        <w:tc>
          <w:tcPr>
            <w:tcW w:w="2792" w:type="dxa"/>
            <w:vAlign w:val="center"/>
          </w:tcPr>
          <w:p w14:paraId="14F41143">
            <w:pPr>
              <w:adjustRightInd w:val="0"/>
              <w:snapToGrid w:val="0"/>
              <w:jc w:val="left"/>
              <w:rPr>
                <w:b/>
                <w:sz w:val="22"/>
              </w:rPr>
            </w:pPr>
            <w:r>
              <w:rPr>
                <w:rFonts w:hint="eastAsia"/>
                <w:sz w:val="22"/>
              </w:rPr>
              <w:t>五十二、交通运输业、管道运输业 城市道路（不含维护；不含支路、人行天桥、人行地道）——</w:t>
            </w:r>
            <w:r>
              <w:rPr>
                <w:rFonts w:hint="eastAsia"/>
                <w:b/>
                <w:sz w:val="22"/>
              </w:rPr>
              <w:t>新建快速路、主干路；</w:t>
            </w:r>
          </w:p>
          <w:p w14:paraId="12DB8D22">
            <w:pPr>
              <w:adjustRightInd w:val="0"/>
              <w:snapToGrid w:val="0"/>
              <w:jc w:val="left"/>
              <w:rPr>
                <w:sz w:val="24"/>
              </w:rPr>
            </w:pPr>
            <w:r>
              <w:rPr>
                <w:rFonts w:hint="eastAsia"/>
                <w:b/>
                <w:sz w:val="22"/>
              </w:rPr>
              <w:t>城市桥梁、隧道</w:t>
            </w:r>
          </w:p>
        </w:tc>
        <w:tc>
          <w:tcPr>
            <w:tcW w:w="2373" w:type="dxa"/>
            <w:vAlign w:val="center"/>
          </w:tcPr>
          <w:p w14:paraId="1913A818">
            <w:pPr>
              <w:adjustRightInd w:val="0"/>
              <w:snapToGrid w:val="0"/>
              <w:jc w:val="center"/>
              <w:rPr>
                <w:sz w:val="24"/>
              </w:rPr>
            </w:pPr>
            <w:r>
              <w:rPr>
                <w:sz w:val="24"/>
              </w:rPr>
              <w:t>用地（用海）面积（m</w:t>
            </w:r>
            <w:r>
              <w:rPr>
                <w:sz w:val="24"/>
                <w:vertAlign w:val="superscript"/>
              </w:rPr>
              <w:t>2</w:t>
            </w:r>
            <w:r>
              <w:rPr>
                <w:sz w:val="24"/>
              </w:rPr>
              <w:t>）/长度（km）</w:t>
            </w:r>
          </w:p>
        </w:tc>
        <w:tc>
          <w:tcPr>
            <w:tcW w:w="2961" w:type="dxa"/>
            <w:gridSpan w:val="2"/>
            <w:vAlign w:val="center"/>
          </w:tcPr>
          <w:p w14:paraId="42339764">
            <w:pPr>
              <w:adjustRightInd w:val="0"/>
              <w:snapToGrid w:val="0"/>
              <w:jc w:val="center"/>
              <w:rPr>
                <w:sz w:val="24"/>
              </w:rPr>
            </w:pPr>
            <w:r>
              <w:rPr>
                <w:sz w:val="24"/>
                <w:szCs w:val="28"/>
              </w:rPr>
              <w:t>永久占地</w:t>
            </w:r>
            <w:r>
              <w:rPr>
                <w:rFonts w:hint="eastAsia"/>
                <w:sz w:val="24"/>
                <w:szCs w:val="28"/>
              </w:rPr>
              <w:t>11.27hm</w:t>
            </w:r>
            <w:r>
              <w:rPr>
                <w:rFonts w:hint="eastAsia"/>
                <w:sz w:val="24"/>
                <w:szCs w:val="28"/>
                <w:vertAlign w:val="superscript"/>
              </w:rPr>
              <w:t>2</w:t>
            </w:r>
            <w:r>
              <w:rPr>
                <w:rFonts w:hint="eastAsia"/>
                <w:sz w:val="24"/>
                <w:szCs w:val="28"/>
              </w:rPr>
              <w:t>/线路长度3.002km</w:t>
            </w:r>
          </w:p>
        </w:tc>
      </w:tr>
      <w:tr w14:paraId="2C7870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134" w:type="dxa"/>
            <w:tcMar>
              <w:top w:w="16" w:type="dxa"/>
              <w:left w:w="16" w:type="dxa"/>
              <w:right w:w="16" w:type="dxa"/>
            </w:tcMar>
            <w:vAlign w:val="center"/>
          </w:tcPr>
          <w:p w14:paraId="1914FBF5">
            <w:pPr>
              <w:adjustRightInd w:val="0"/>
              <w:snapToGrid w:val="0"/>
              <w:jc w:val="center"/>
              <w:rPr>
                <w:sz w:val="24"/>
                <w:szCs w:val="21"/>
              </w:rPr>
            </w:pPr>
            <w:r>
              <w:rPr>
                <w:sz w:val="24"/>
                <w:szCs w:val="21"/>
              </w:rPr>
              <w:t>建设性质</w:t>
            </w:r>
          </w:p>
        </w:tc>
        <w:tc>
          <w:tcPr>
            <w:tcW w:w="2792" w:type="dxa"/>
            <w:vAlign w:val="center"/>
          </w:tcPr>
          <w:p w14:paraId="3E906156">
            <w:pPr>
              <w:adjustRightInd w:val="0"/>
              <w:snapToGrid w:val="0"/>
              <w:jc w:val="left"/>
              <w:rPr>
                <w:sz w:val="24"/>
              </w:rPr>
            </w:pPr>
            <w:r>
              <w:rPr>
                <w:sz w:val="24"/>
              </w:rPr>
              <w:sym w:font="Wingdings 2" w:char="0052"/>
            </w:r>
            <w:r>
              <w:rPr>
                <w:sz w:val="24"/>
              </w:rPr>
              <w:t>新建（迁建）</w:t>
            </w:r>
          </w:p>
          <w:p w14:paraId="224F1E3E">
            <w:pPr>
              <w:adjustRightInd w:val="0"/>
              <w:snapToGrid w:val="0"/>
              <w:jc w:val="left"/>
              <w:rPr>
                <w:sz w:val="24"/>
              </w:rPr>
            </w:pPr>
            <w:r>
              <w:rPr>
                <w:sz w:val="24"/>
              </w:rPr>
              <w:t>□改建</w:t>
            </w:r>
          </w:p>
          <w:p w14:paraId="58869DD5">
            <w:pPr>
              <w:adjustRightInd w:val="0"/>
              <w:snapToGrid w:val="0"/>
              <w:jc w:val="left"/>
              <w:rPr>
                <w:sz w:val="24"/>
              </w:rPr>
            </w:pPr>
            <w:r>
              <w:rPr>
                <w:sz w:val="24"/>
              </w:rPr>
              <w:t>□扩建</w:t>
            </w:r>
          </w:p>
          <w:p w14:paraId="220160C8">
            <w:pPr>
              <w:adjustRightInd w:val="0"/>
              <w:snapToGrid w:val="0"/>
              <w:jc w:val="left"/>
              <w:rPr>
                <w:sz w:val="24"/>
              </w:rPr>
            </w:pPr>
            <w:r>
              <w:rPr>
                <w:sz w:val="24"/>
              </w:rPr>
              <w:t>□技术改造</w:t>
            </w:r>
          </w:p>
        </w:tc>
        <w:tc>
          <w:tcPr>
            <w:tcW w:w="2373" w:type="dxa"/>
            <w:vAlign w:val="center"/>
          </w:tcPr>
          <w:p w14:paraId="75CA946E">
            <w:pPr>
              <w:adjustRightInd w:val="0"/>
              <w:snapToGrid w:val="0"/>
              <w:jc w:val="center"/>
              <w:rPr>
                <w:sz w:val="24"/>
              </w:rPr>
            </w:pPr>
            <w:r>
              <w:rPr>
                <w:sz w:val="24"/>
              </w:rPr>
              <w:t>建设项目</w:t>
            </w:r>
          </w:p>
          <w:p w14:paraId="7C11A249">
            <w:pPr>
              <w:adjustRightInd w:val="0"/>
              <w:snapToGrid w:val="0"/>
              <w:jc w:val="center"/>
              <w:rPr>
                <w:sz w:val="24"/>
              </w:rPr>
            </w:pPr>
            <w:r>
              <w:rPr>
                <w:sz w:val="24"/>
              </w:rPr>
              <w:t>申报情形</w:t>
            </w:r>
          </w:p>
        </w:tc>
        <w:tc>
          <w:tcPr>
            <w:tcW w:w="2961" w:type="dxa"/>
            <w:gridSpan w:val="2"/>
            <w:vAlign w:val="center"/>
          </w:tcPr>
          <w:p w14:paraId="5A425D0C">
            <w:pPr>
              <w:adjustRightInd w:val="0"/>
              <w:snapToGrid w:val="0"/>
              <w:jc w:val="left"/>
              <w:rPr>
                <w:sz w:val="24"/>
              </w:rPr>
            </w:pPr>
            <w:r>
              <w:rPr>
                <w:sz w:val="24"/>
              </w:rPr>
              <w:sym w:font="Wingdings 2" w:char="0052"/>
            </w:r>
            <w:r>
              <w:rPr>
                <w:sz w:val="24"/>
              </w:rPr>
              <w:t>首次申报项目</w:t>
            </w:r>
          </w:p>
          <w:p w14:paraId="29E59C02">
            <w:pPr>
              <w:adjustRightInd w:val="0"/>
              <w:snapToGrid w:val="0"/>
              <w:jc w:val="left"/>
              <w:rPr>
                <w:sz w:val="24"/>
              </w:rPr>
            </w:pPr>
            <w:r>
              <w:rPr>
                <w:sz w:val="24"/>
              </w:rPr>
              <w:t>□不予批准后再次申报项目</w:t>
            </w:r>
          </w:p>
          <w:p w14:paraId="0CA1B812">
            <w:pPr>
              <w:adjustRightInd w:val="0"/>
              <w:snapToGrid w:val="0"/>
              <w:jc w:val="left"/>
              <w:rPr>
                <w:sz w:val="24"/>
              </w:rPr>
            </w:pPr>
            <w:r>
              <w:rPr>
                <w:sz w:val="24"/>
              </w:rPr>
              <w:t>□超五年重新审核项目</w:t>
            </w:r>
          </w:p>
          <w:p w14:paraId="7D56C71B">
            <w:pPr>
              <w:adjustRightInd w:val="0"/>
              <w:snapToGrid w:val="0"/>
              <w:rPr>
                <w:sz w:val="24"/>
              </w:rPr>
            </w:pPr>
            <w:r>
              <w:rPr>
                <w:sz w:val="24"/>
              </w:rPr>
              <w:t>□重大变动重新报批项目</w:t>
            </w:r>
          </w:p>
        </w:tc>
      </w:tr>
      <w:tr w14:paraId="00DE1E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134" w:type="dxa"/>
            <w:tcMar>
              <w:top w:w="16" w:type="dxa"/>
              <w:left w:w="16" w:type="dxa"/>
              <w:right w:w="16" w:type="dxa"/>
            </w:tcMar>
            <w:vAlign w:val="center"/>
          </w:tcPr>
          <w:p w14:paraId="42F20111">
            <w:pPr>
              <w:adjustRightInd w:val="0"/>
              <w:snapToGrid w:val="0"/>
              <w:jc w:val="center"/>
              <w:rPr>
                <w:sz w:val="24"/>
                <w:szCs w:val="21"/>
              </w:rPr>
            </w:pPr>
            <w:r>
              <w:rPr>
                <w:sz w:val="24"/>
                <w:szCs w:val="21"/>
              </w:rPr>
              <w:t>项目审批（核准/备案）部门</w:t>
            </w:r>
          </w:p>
        </w:tc>
        <w:tc>
          <w:tcPr>
            <w:tcW w:w="2792" w:type="dxa"/>
            <w:vAlign w:val="center"/>
          </w:tcPr>
          <w:p w14:paraId="2845B69C">
            <w:pPr>
              <w:adjustRightInd w:val="0"/>
              <w:snapToGrid w:val="0"/>
              <w:jc w:val="center"/>
              <w:rPr>
                <w:sz w:val="24"/>
              </w:rPr>
            </w:pPr>
            <w:r>
              <w:rPr>
                <w:rFonts w:hint="eastAsia"/>
                <w:sz w:val="24"/>
              </w:rPr>
              <w:t>大英县发展和改革局</w:t>
            </w:r>
          </w:p>
        </w:tc>
        <w:tc>
          <w:tcPr>
            <w:tcW w:w="2373" w:type="dxa"/>
            <w:vAlign w:val="center"/>
          </w:tcPr>
          <w:p w14:paraId="40116029">
            <w:pPr>
              <w:adjustRightInd w:val="0"/>
              <w:snapToGrid w:val="0"/>
              <w:jc w:val="center"/>
              <w:rPr>
                <w:sz w:val="24"/>
              </w:rPr>
            </w:pPr>
            <w:r>
              <w:rPr>
                <w:sz w:val="24"/>
              </w:rPr>
              <w:t>项目审批（核准/备案）文号（选填）</w:t>
            </w:r>
          </w:p>
        </w:tc>
        <w:tc>
          <w:tcPr>
            <w:tcW w:w="2961" w:type="dxa"/>
            <w:gridSpan w:val="2"/>
            <w:vAlign w:val="center"/>
          </w:tcPr>
          <w:p w14:paraId="31F56F59">
            <w:pPr>
              <w:adjustRightInd w:val="0"/>
              <w:snapToGrid w:val="0"/>
              <w:jc w:val="left"/>
              <w:rPr>
                <w:sz w:val="24"/>
              </w:rPr>
            </w:pPr>
            <w:r>
              <w:rPr>
                <w:rFonts w:hint="eastAsia"/>
                <w:sz w:val="24"/>
              </w:rPr>
              <w:t>大发改许可〔2023〕341号</w:t>
            </w:r>
          </w:p>
          <w:p w14:paraId="1BA3251C">
            <w:pPr>
              <w:adjustRightInd w:val="0"/>
              <w:snapToGrid w:val="0"/>
              <w:jc w:val="left"/>
              <w:rPr>
                <w:sz w:val="24"/>
              </w:rPr>
            </w:pPr>
            <w:r>
              <w:rPr>
                <w:sz w:val="24"/>
              </w:rPr>
              <w:t>大建许可〔2024〕7号</w:t>
            </w:r>
            <w:r>
              <w:rPr>
                <w:rFonts w:hint="eastAsia"/>
                <w:sz w:val="24"/>
              </w:rPr>
              <w:t>；</w:t>
            </w:r>
          </w:p>
        </w:tc>
      </w:tr>
      <w:tr w14:paraId="4BEC2F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134" w:type="dxa"/>
            <w:tcMar>
              <w:top w:w="16" w:type="dxa"/>
              <w:left w:w="16" w:type="dxa"/>
              <w:right w:w="16" w:type="dxa"/>
            </w:tcMar>
            <w:vAlign w:val="center"/>
          </w:tcPr>
          <w:p w14:paraId="1A739297">
            <w:pPr>
              <w:adjustRightInd w:val="0"/>
              <w:snapToGrid w:val="0"/>
              <w:jc w:val="center"/>
              <w:rPr>
                <w:sz w:val="24"/>
                <w:szCs w:val="21"/>
              </w:rPr>
            </w:pPr>
            <w:r>
              <w:rPr>
                <w:sz w:val="24"/>
                <w:szCs w:val="21"/>
              </w:rPr>
              <w:t>总投资</w:t>
            </w:r>
          </w:p>
          <w:p w14:paraId="405199A4">
            <w:pPr>
              <w:adjustRightInd w:val="0"/>
              <w:snapToGrid w:val="0"/>
              <w:jc w:val="center"/>
              <w:rPr>
                <w:sz w:val="24"/>
                <w:szCs w:val="21"/>
              </w:rPr>
            </w:pPr>
            <w:r>
              <w:rPr>
                <w:sz w:val="24"/>
                <w:szCs w:val="21"/>
              </w:rPr>
              <w:t>（万元）</w:t>
            </w:r>
          </w:p>
        </w:tc>
        <w:tc>
          <w:tcPr>
            <w:tcW w:w="2792" w:type="dxa"/>
            <w:vAlign w:val="center"/>
          </w:tcPr>
          <w:p w14:paraId="359A103B">
            <w:pPr>
              <w:adjustRightInd w:val="0"/>
              <w:snapToGrid w:val="0"/>
              <w:jc w:val="center"/>
              <w:rPr>
                <w:sz w:val="24"/>
              </w:rPr>
            </w:pPr>
            <w:r>
              <w:rPr>
                <w:rFonts w:hint="eastAsia"/>
                <w:sz w:val="24"/>
              </w:rPr>
              <w:t>23950.62</w:t>
            </w:r>
          </w:p>
        </w:tc>
        <w:tc>
          <w:tcPr>
            <w:tcW w:w="2373" w:type="dxa"/>
            <w:tcMar>
              <w:top w:w="16" w:type="dxa"/>
              <w:left w:w="16" w:type="dxa"/>
              <w:right w:w="16" w:type="dxa"/>
            </w:tcMar>
            <w:vAlign w:val="center"/>
          </w:tcPr>
          <w:p w14:paraId="62697266">
            <w:pPr>
              <w:adjustRightInd w:val="0"/>
              <w:snapToGrid w:val="0"/>
              <w:jc w:val="center"/>
              <w:rPr>
                <w:sz w:val="24"/>
              </w:rPr>
            </w:pPr>
            <w:r>
              <w:rPr>
                <w:sz w:val="24"/>
              </w:rPr>
              <w:t>环保投资（万元）</w:t>
            </w:r>
          </w:p>
        </w:tc>
        <w:tc>
          <w:tcPr>
            <w:tcW w:w="2961" w:type="dxa"/>
            <w:gridSpan w:val="2"/>
            <w:vAlign w:val="center"/>
          </w:tcPr>
          <w:p w14:paraId="44A4A988">
            <w:pPr>
              <w:adjustRightInd w:val="0"/>
              <w:snapToGrid w:val="0"/>
              <w:jc w:val="center"/>
              <w:rPr>
                <w:sz w:val="24"/>
              </w:rPr>
            </w:pPr>
            <w:r>
              <w:rPr>
                <w:rFonts w:hint="eastAsia"/>
                <w:sz w:val="24"/>
              </w:rPr>
              <w:t>337</w:t>
            </w:r>
          </w:p>
        </w:tc>
      </w:tr>
      <w:tr w14:paraId="62AD63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134" w:type="dxa"/>
            <w:tcMar>
              <w:top w:w="16" w:type="dxa"/>
              <w:left w:w="16" w:type="dxa"/>
              <w:right w:w="16" w:type="dxa"/>
            </w:tcMar>
            <w:vAlign w:val="center"/>
          </w:tcPr>
          <w:p w14:paraId="669B86C2">
            <w:pPr>
              <w:adjustRightInd w:val="0"/>
              <w:snapToGrid w:val="0"/>
              <w:jc w:val="center"/>
              <w:rPr>
                <w:sz w:val="24"/>
                <w:szCs w:val="21"/>
              </w:rPr>
            </w:pPr>
            <w:r>
              <w:rPr>
                <w:sz w:val="24"/>
                <w:szCs w:val="21"/>
              </w:rPr>
              <w:t>环保投资占比（%）</w:t>
            </w:r>
          </w:p>
        </w:tc>
        <w:tc>
          <w:tcPr>
            <w:tcW w:w="2792" w:type="dxa"/>
            <w:vAlign w:val="center"/>
          </w:tcPr>
          <w:p w14:paraId="0A677368">
            <w:pPr>
              <w:adjustRightInd w:val="0"/>
              <w:snapToGrid w:val="0"/>
              <w:jc w:val="center"/>
              <w:rPr>
                <w:sz w:val="24"/>
              </w:rPr>
            </w:pPr>
            <w:r>
              <w:rPr>
                <w:rFonts w:hint="eastAsia"/>
                <w:sz w:val="24"/>
              </w:rPr>
              <w:t>1.407</w:t>
            </w:r>
            <w:r>
              <w:rPr>
                <w:sz w:val="24"/>
              </w:rPr>
              <w:t>%</w:t>
            </w:r>
          </w:p>
        </w:tc>
        <w:tc>
          <w:tcPr>
            <w:tcW w:w="2373" w:type="dxa"/>
            <w:tcMar>
              <w:top w:w="16" w:type="dxa"/>
              <w:left w:w="16" w:type="dxa"/>
              <w:right w:w="16" w:type="dxa"/>
            </w:tcMar>
            <w:vAlign w:val="center"/>
          </w:tcPr>
          <w:p w14:paraId="5334B28E">
            <w:pPr>
              <w:adjustRightInd w:val="0"/>
              <w:snapToGrid w:val="0"/>
              <w:jc w:val="center"/>
              <w:rPr>
                <w:sz w:val="24"/>
              </w:rPr>
            </w:pPr>
            <w:r>
              <w:rPr>
                <w:sz w:val="24"/>
              </w:rPr>
              <w:t>施工工期</w:t>
            </w:r>
          </w:p>
        </w:tc>
        <w:tc>
          <w:tcPr>
            <w:tcW w:w="2961" w:type="dxa"/>
            <w:gridSpan w:val="2"/>
            <w:vAlign w:val="center"/>
          </w:tcPr>
          <w:p w14:paraId="2B4CD3F2">
            <w:pPr>
              <w:jc w:val="center"/>
              <w:rPr>
                <w:sz w:val="24"/>
              </w:rPr>
            </w:pPr>
            <w:r>
              <w:rPr>
                <w:rFonts w:hint="eastAsia"/>
                <w:sz w:val="24"/>
              </w:rPr>
              <w:t>24个月</w:t>
            </w:r>
          </w:p>
        </w:tc>
      </w:tr>
      <w:tr w14:paraId="54D64A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134" w:type="dxa"/>
            <w:tcMar>
              <w:top w:w="16" w:type="dxa"/>
              <w:left w:w="16" w:type="dxa"/>
              <w:right w:w="16" w:type="dxa"/>
            </w:tcMar>
            <w:vAlign w:val="center"/>
          </w:tcPr>
          <w:p w14:paraId="636B3F29">
            <w:pPr>
              <w:adjustRightInd w:val="0"/>
              <w:snapToGrid w:val="0"/>
              <w:jc w:val="center"/>
              <w:rPr>
                <w:sz w:val="24"/>
                <w:szCs w:val="21"/>
              </w:rPr>
            </w:pPr>
            <w:r>
              <w:rPr>
                <w:sz w:val="24"/>
                <w:szCs w:val="21"/>
              </w:rPr>
              <w:t>是否开工建设</w:t>
            </w:r>
          </w:p>
        </w:tc>
        <w:tc>
          <w:tcPr>
            <w:tcW w:w="8126" w:type="dxa"/>
            <w:gridSpan w:val="4"/>
            <w:vAlign w:val="center"/>
          </w:tcPr>
          <w:p w14:paraId="4EEDF425">
            <w:pPr>
              <w:adjustRightInd w:val="0"/>
              <w:snapToGrid w:val="0"/>
              <w:ind w:firstLine="240" w:firstLineChars="100"/>
              <w:jc w:val="left"/>
              <w:rPr>
                <w:sz w:val="24"/>
                <w:u w:val="single"/>
              </w:rPr>
            </w:pPr>
            <w:r>
              <w:rPr>
                <w:sz w:val="24"/>
              </w:rPr>
              <w:sym w:font="Wingdings 2" w:char="0052"/>
            </w:r>
            <w:r>
              <w:rPr>
                <w:sz w:val="24"/>
              </w:rPr>
              <w:t>否</w:t>
            </w:r>
            <w:r>
              <w:rPr>
                <w:rFonts w:hint="eastAsia"/>
                <w:sz w:val="24"/>
              </w:rPr>
              <w:t xml:space="preserve"> </w:t>
            </w:r>
          </w:p>
          <w:p w14:paraId="48688137">
            <w:pPr>
              <w:ind w:firstLine="240" w:firstLineChars="100"/>
              <w:rPr>
                <w:sz w:val="24"/>
              </w:rPr>
            </w:pPr>
            <w:r>
              <w:rPr>
                <w:sz w:val="24"/>
              </w:rPr>
              <w:sym w:font="Wingdings 2" w:char="00A3"/>
            </w:r>
            <w:r>
              <w:rPr>
                <w:sz w:val="24"/>
              </w:rPr>
              <w:t>是：</w:t>
            </w:r>
            <w:r>
              <w:rPr>
                <w:rFonts w:hint="eastAsia"/>
                <w:sz w:val="24"/>
                <w:u w:val="single"/>
              </w:rPr>
              <w:t xml:space="preserve">                        </w:t>
            </w:r>
          </w:p>
        </w:tc>
      </w:tr>
      <w:tr w14:paraId="6E8C66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134" w:type="dxa"/>
            <w:tcMar>
              <w:top w:w="16" w:type="dxa"/>
              <w:left w:w="16" w:type="dxa"/>
              <w:right w:w="16" w:type="dxa"/>
            </w:tcMar>
            <w:vAlign w:val="center"/>
          </w:tcPr>
          <w:p w14:paraId="501A4B58">
            <w:pPr>
              <w:autoSpaceDE w:val="0"/>
              <w:autoSpaceDN w:val="0"/>
              <w:adjustRightInd w:val="0"/>
              <w:snapToGrid w:val="0"/>
              <w:jc w:val="center"/>
              <w:rPr>
                <w:kern w:val="0"/>
                <w:sz w:val="24"/>
                <w:szCs w:val="21"/>
              </w:rPr>
            </w:pPr>
            <w:r>
              <w:rPr>
                <w:kern w:val="0"/>
                <w:sz w:val="24"/>
                <w:szCs w:val="21"/>
              </w:rPr>
              <w:t>专项评价设置情况</w:t>
            </w:r>
          </w:p>
        </w:tc>
        <w:tc>
          <w:tcPr>
            <w:tcW w:w="8126" w:type="dxa"/>
            <w:gridSpan w:val="4"/>
            <w:tcMar>
              <w:top w:w="16" w:type="dxa"/>
              <w:left w:w="16" w:type="dxa"/>
              <w:right w:w="16" w:type="dxa"/>
            </w:tcMar>
            <w:vAlign w:val="center"/>
          </w:tcPr>
          <w:p w14:paraId="2FDFEE4C">
            <w:pPr>
              <w:autoSpaceDE w:val="0"/>
              <w:autoSpaceDN w:val="0"/>
              <w:adjustRightInd w:val="0"/>
              <w:snapToGrid w:val="0"/>
              <w:spacing w:line="360" w:lineRule="auto"/>
              <w:ind w:firstLine="480" w:firstLineChars="200"/>
              <w:jc w:val="left"/>
              <w:rPr>
                <w:rFonts w:eastAsia="黑体"/>
                <w:kern w:val="0"/>
                <w:szCs w:val="21"/>
              </w:rPr>
            </w:pPr>
            <w:r>
              <w:rPr>
                <w:rFonts w:hint="eastAsia" w:ascii="宋体" w:cs="宋体"/>
                <w:kern w:val="0"/>
                <w:sz w:val="24"/>
              </w:rPr>
              <w:t>根据《建设项目环境影响评价报告表编制技术指南》（生态影响类）（试行），专项评价设置原则及本项目设置情况如下：</w:t>
            </w:r>
          </w:p>
          <w:p w14:paraId="4625F263">
            <w:pPr>
              <w:autoSpaceDE w:val="0"/>
              <w:autoSpaceDN w:val="0"/>
              <w:adjustRightInd w:val="0"/>
              <w:snapToGrid w:val="0"/>
              <w:jc w:val="center"/>
              <w:rPr>
                <w:rFonts w:eastAsia="黑体"/>
                <w:kern w:val="0"/>
                <w:szCs w:val="21"/>
              </w:rPr>
            </w:pPr>
            <w:r>
              <w:rPr>
                <w:rFonts w:eastAsia="黑体"/>
                <w:kern w:val="0"/>
                <w:szCs w:val="21"/>
              </w:rPr>
              <w:t>表1-1  专项评价设置原则对照情况表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8"/>
              <w:gridCol w:w="5108"/>
              <w:gridCol w:w="1701"/>
            </w:tblGrid>
            <w:tr w14:paraId="4697F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dxa"/>
                  <w:shd w:val="clear" w:color="auto" w:fill="auto"/>
                  <w:vAlign w:val="center"/>
                </w:tcPr>
                <w:p w14:paraId="70D08EEA">
                  <w:pPr>
                    <w:autoSpaceDE w:val="0"/>
                    <w:autoSpaceDN w:val="0"/>
                    <w:adjustRightInd w:val="0"/>
                    <w:snapToGrid w:val="0"/>
                    <w:jc w:val="center"/>
                    <w:rPr>
                      <w:rFonts w:ascii="宋体" w:hAnsi="宋体" w:cs="宋体"/>
                      <w:b/>
                      <w:kern w:val="0"/>
                      <w:szCs w:val="21"/>
                    </w:rPr>
                  </w:pPr>
                  <w:r>
                    <w:rPr>
                      <w:rFonts w:ascii="宋体" w:hAnsi="宋体" w:cs="宋体"/>
                      <w:b/>
                      <w:kern w:val="0"/>
                      <w:szCs w:val="21"/>
                    </w:rPr>
                    <w:t>专项评价类别</w:t>
                  </w:r>
                </w:p>
              </w:tc>
              <w:tc>
                <w:tcPr>
                  <w:tcW w:w="5108" w:type="dxa"/>
                  <w:shd w:val="clear" w:color="auto" w:fill="auto"/>
                  <w:vAlign w:val="center"/>
                </w:tcPr>
                <w:p w14:paraId="1EDAA8F0">
                  <w:pPr>
                    <w:autoSpaceDE w:val="0"/>
                    <w:autoSpaceDN w:val="0"/>
                    <w:adjustRightInd w:val="0"/>
                    <w:snapToGrid w:val="0"/>
                    <w:jc w:val="center"/>
                    <w:rPr>
                      <w:rFonts w:ascii="宋体" w:hAnsi="宋体" w:cs="宋体"/>
                      <w:b/>
                      <w:kern w:val="0"/>
                      <w:szCs w:val="21"/>
                    </w:rPr>
                  </w:pPr>
                  <w:r>
                    <w:rPr>
                      <w:rFonts w:ascii="宋体" w:hAnsi="宋体" w:cs="宋体"/>
                      <w:b/>
                      <w:kern w:val="0"/>
                      <w:szCs w:val="21"/>
                    </w:rPr>
                    <w:t>涉及项目类别</w:t>
                  </w:r>
                </w:p>
              </w:tc>
              <w:tc>
                <w:tcPr>
                  <w:tcW w:w="1701" w:type="dxa"/>
                  <w:shd w:val="clear" w:color="auto" w:fill="auto"/>
                  <w:vAlign w:val="center"/>
                </w:tcPr>
                <w:p w14:paraId="6E9D7710">
                  <w:pPr>
                    <w:autoSpaceDE w:val="0"/>
                    <w:autoSpaceDN w:val="0"/>
                    <w:adjustRightInd w:val="0"/>
                    <w:snapToGrid w:val="0"/>
                    <w:jc w:val="center"/>
                    <w:rPr>
                      <w:rFonts w:ascii="宋体" w:hAnsi="宋体" w:cs="宋体"/>
                      <w:b/>
                      <w:kern w:val="0"/>
                      <w:szCs w:val="21"/>
                    </w:rPr>
                  </w:pPr>
                  <w:r>
                    <w:rPr>
                      <w:rFonts w:hint="eastAsia" w:ascii="宋体" w:hAnsi="宋体" w:cs="宋体"/>
                      <w:b/>
                      <w:kern w:val="0"/>
                      <w:szCs w:val="21"/>
                    </w:rPr>
                    <w:t>本项目</w:t>
                  </w:r>
                  <w:r>
                    <w:rPr>
                      <w:rFonts w:ascii="宋体" w:hAnsi="宋体" w:cs="宋体"/>
                      <w:b/>
                      <w:kern w:val="0"/>
                      <w:szCs w:val="21"/>
                    </w:rPr>
                    <w:t>情况</w:t>
                  </w:r>
                </w:p>
              </w:tc>
            </w:tr>
            <w:tr w14:paraId="62290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dxa"/>
                  <w:shd w:val="clear" w:color="auto" w:fill="auto"/>
                  <w:vAlign w:val="center"/>
                </w:tcPr>
                <w:p w14:paraId="73191F4C">
                  <w:pPr>
                    <w:autoSpaceDE w:val="0"/>
                    <w:autoSpaceDN w:val="0"/>
                    <w:adjustRightInd w:val="0"/>
                    <w:snapToGrid w:val="0"/>
                    <w:jc w:val="center"/>
                    <w:rPr>
                      <w:rFonts w:ascii="宋体" w:hAnsi="宋体" w:cs="宋体"/>
                      <w:kern w:val="0"/>
                      <w:szCs w:val="21"/>
                    </w:rPr>
                  </w:pPr>
                  <w:r>
                    <w:rPr>
                      <w:rFonts w:ascii="宋体" w:hAnsi="宋体" w:cs="宋体"/>
                      <w:kern w:val="0"/>
                      <w:szCs w:val="21"/>
                    </w:rPr>
                    <w:t>地表水</w:t>
                  </w:r>
                </w:p>
              </w:tc>
              <w:tc>
                <w:tcPr>
                  <w:tcW w:w="5108" w:type="dxa"/>
                  <w:shd w:val="clear" w:color="auto" w:fill="auto"/>
                  <w:vAlign w:val="center"/>
                </w:tcPr>
                <w:p w14:paraId="6B8DDAEE">
                  <w:pPr>
                    <w:autoSpaceDE w:val="0"/>
                    <w:autoSpaceDN w:val="0"/>
                    <w:adjustRightInd w:val="0"/>
                    <w:snapToGrid w:val="0"/>
                    <w:rPr>
                      <w:rFonts w:ascii="宋体" w:hAnsi="宋体" w:cs="宋体"/>
                      <w:kern w:val="0"/>
                      <w:szCs w:val="21"/>
                    </w:rPr>
                  </w:pPr>
                  <w:r>
                    <w:rPr>
                      <w:rFonts w:hint="eastAsia" w:ascii="宋体" w:hAnsi="宋体" w:cs="宋体"/>
                      <w:kern w:val="0"/>
                      <w:szCs w:val="21"/>
                    </w:rPr>
                    <w:t>水力发电：引水式发电、涉及调峰发电的项目；</w:t>
                  </w:r>
                </w:p>
                <w:p w14:paraId="39025EE3">
                  <w:pPr>
                    <w:autoSpaceDE w:val="0"/>
                    <w:autoSpaceDN w:val="0"/>
                    <w:adjustRightInd w:val="0"/>
                    <w:snapToGrid w:val="0"/>
                    <w:rPr>
                      <w:rFonts w:ascii="宋体" w:hAnsi="宋体" w:cs="宋体"/>
                      <w:kern w:val="0"/>
                      <w:szCs w:val="21"/>
                    </w:rPr>
                  </w:pPr>
                  <w:r>
                    <w:rPr>
                      <w:rFonts w:hint="eastAsia" w:ascii="宋体" w:hAnsi="宋体" w:cs="宋体"/>
                      <w:kern w:val="0"/>
                      <w:szCs w:val="21"/>
                    </w:rPr>
                    <w:t>人工湖、人工湿地：全部；水库：全部；</w:t>
                  </w:r>
                </w:p>
                <w:p w14:paraId="6064F000">
                  <w:pPr>
                    <w:autoSpaceDE w:val="0"/>
                    <w:autoSpaceDN w:val="0"/>
                    <w:adjustRightInd w:val="0"/>
                    <w:snapToGrid w:val="0"/>
                    <w:rPr>
                      <w:rFonts w:ascii="宋体" w:hAnsi="宋体" w:cs="宋体"/>
                      <w:kern w:val="0"/>
                      <w:szCs w:val="21"/>
                    </w:rPr>
                  </w:pPr>
                  <w:r>
                    <w:rPr>
                      <w:rFonts w:hint="eastAsia" w:ascii="宋体" w:hAnsi="宋体" w:cs="宋体"/>
                      <w:kern w:val="0"/>
                      <w:szCs w:val="21"/>
                    </w:rPr>
                    <w:t>引水工程：全部（配套的管线工程等除外）；</w:t>
                  </w:r>
                </w:p>
                <w:p w14:paraId="449A24BC">
                  <w:pPr>
                    <w:autoSpaceDE w:val="0"/>
                    <w:autoSpaceDN w:val="0"/>
                    <w:adjustRightInd w:val="0"/>
                    <w:snapToGrid w:val="0"/>
                    <w:rPr>
                      <w:rFonts w:ascii="宋体" w:hAnsi="宋体" w:cs="宋体"/>
                      <w:kern w:val="0"/>
                      <w:szCs w:val="21"/>
                    </w:rPr>
                  </w:pPr>
                  <w:r>
                    <w:rPr>
                      <w:rFonts w:hint="eastAsia" w:ascii="宋体" w:hAnsi="宋体" w:cs="宋体"/>
                      <w:kern w:val="0"/>
                      <w:szCs w:val="21"/>
                    </w:rPr>
                    <w:t>防洪除涝工程：包含水库的项目；</w:t>
                  </w:r>
                </w:p>
                <w:p w14:paraId="43C23450">
                  <w:pPr>
                    <w:autoSpaceDE w:val="0"/>
                    <w:autoSpaceDN w:val="0"/>
                    <w:adjustRightInd w:val="0"/>
                    <w:snapToGrid w:val="0"/>
                    <w:rPr>
                      <w:rFonts w:ascii="宋体" w:hAnsi="宋体" w:cs="宋体"/>
                      <w:kern w:val="0"/>
                      <w:szCs w:val="21"/>
                    </w:rPr>
                  </w:pPr>
                  <w:r>
                    <w:rPr>
                      <w:rFonts w:hint="eastAsia" w:ascii="宋体" w:hAnsi="宋体" w:cs="宋体"/>
                      <w:kern w:val="0"/>
                      <w:szCs w:val="21"/>
                    </w:rPr>
                    <w:t>河湖整治：涉及清淤且底泥存在重金属污染的项目</w:t>
                  </w:r>
                </w:p>
              </w:tc>
              <w:tc>
                <w:tcPr>
                  <w:tcW w:w="1701" w:type="dxa"/>
                  <w:shd w:val="clear" w:color="auto" w:fill="auto"/>
                  <w:vAlign w:val="center"/>
                </w:tcPr>
                <w:p w14:paraId="5933511F">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本项目</w:t>
                  </w:r>
                  <w:r>
                    <w:rPr>
                      <w:rFonts w:ascii="宋体" w:hAnsi="宋体" w:cs="宋体"/>
                      <w:kern w:val="0"/>
                      <w:szCs w:val="21"/>
                    </w:rPr>
                    <w:t>不涉及</w:t>
                  </w:r>
                </w:p>
              </w:tc>
            </w:tr>
            <w:tr w14:paraId="13106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1108" w:type="dxa"/>
                  <w:shd w:val="clear" w:color="auto" w:fill="auto"/>
                  <w:vAlign w:val="center"/>
                </w:tcPr>
                <w:p w14:paraId="239016C6">
                  <w:pPr>
                    <w:autoSpaceDE w:val="0"/>
                    <w:autoSpaceDN w:val="0"/>
                    <w:adjustRightInd w:val="0"/>
                    <w:snapToGrid w:val="0"/>
                    <w:jc w:val="center"/>
                    <w:rPr>
                      <w:rFonts w:ascii="宋体" w:hAnsi="宋体" w:cs="宋体"/>
                      <w:kern w:val="0"/>
                      <w:szCs w:val="21"/>
                    </w:rPr>
                  </w:pPr>
                  <w:r>
                    <w:rPr>
                      <w:rFonts w:ascii="宋体" w:hAnsi="宋体" w:cs="宋体"/>
                      <w:kern w:val="0"/>
                      <w:szCs w:val="21"/>
                    </w:rPr>
                    <w:t>地下水</w:t>
                  </w:r>
                </w:p>
              </w:tc>
              <w:tc>
                <w:tcPr>
                  <w:tcW w:w="5108" w:type="dxa"/>
                  <w:shd w:val="clear" w:color="auto" w:fill="auto"/>
                  <w:vAlign w:val="center"/>
                </w:tcPr>
                <w:p w14:paraId="590513A0">
                  <w:pPr>
                    <w:autoSpaceDE w:val="0"/>
                    <w:autoSpaceDN w:val="0"/>
                    <w:adjustRightInd w:val="0"/>
                    <w:snapToGrid w:val="0"/>
                    <w:rPr>
                      <w:rFonts w:ascii="宋体" w:hAnsi="宋体" w:cs="宋体"/>
                      <w:kern w:val="0"/>
                      <w:szCs w:val="21"/>
                    </w:rPr>
                  </w:pPr>
                  <w:r>
                    <w:rPr>
                      <w:rFonts w:hint="eastAsia" w:ascii="宋体" w:hAnsi="宋体" w:cs="宋体"/>
                      <w:kern w:val="0"/>
                      <w:szCs w:val="21"/>
                    </w:rPr>
                    <w:t>陆地石油和天然气开采：全部；</w:t>
                  </w:r>
                </w:p>
                <w:p w14:paraId="359C491F">
                  <w:pPr>
                    <w:autoSpaceDE w:val="0"/>
                    <w:autoSpaceDN w:val="0"/>
                    <w:adjustRightInd w:val="0"/>
                    <w:snapToGrid w:val="0"/>
                    <w:rPr>
                      <w:rFonts w:ascii="宋体" w:hAnsi="宋体" w:cs="宋体"/>
                      <w:kern w:val="0"/>
                      <w:szCs w:val="21"/>
                    </w:rPr>
                  </w:pPr>
                  <w:r>
                    <w:rPr>
                      <w:rFonts w:hint="eastAsia" w:ascii="宋体" w:hAnsi="宋体" w:cs="宋体"/>
                      <w:kern w:val="0"/>
                      <w:szCs w:val="21"/>
                    </w:rPr>
                    <w:t>地下水（含矿泉水）开采：全部；</w:t>
                  </w:r>
                </w:p>
                <w:p w14:paraId="6167DD44">
                  <w:pPr>
                    <w:autoSpaceDE w:val="0"/>
                    <w:autoSpaceDN w:val="0"/>
                    <w:adjustRightInd w:val="0"/>
                    <w:snapToGrid w:val="0"/>
                    <w:rPr>
                      <w:rFonts w:ascii="宋体" w:hAnsi="宋体" w:cs="宋体"/>
                      <w:kern w:val="0"/>
                      <w:szCs w:val="21"/>
                    </w:rPr>
                  </w:pPr>
                  <w:r>
                    <w:rPr>
                      <w:rFonts w:hint="eastAsia" w:ascii="宋体" w:hAnsi="宋体" w:cs="宋体"/>
                      <w:kern w:val="0"/>
                      <w:szCs w:val="21"/>
                    </w:rPr>
                    <w:t>水利、水电、交通等：含穿越可溶岩地层隧道的项目</w:t>
                  </w:r>
                </w:p>
              </w:tc>
              <w:tc>
                <w:tcPr>
                  <w:tcW w:w="1701" w:type="dxa"/>
                  <w:shd w:val="clear" w:color="auto" w:fill="auto"/>
                  <w:vAlign w:val="center"/>
                </w:tcPr>
                <w:p w14:paraId="743BED24">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本项目不涉及</w:t>
                  </w:r>
                </w:p>
              </w:tc>
            </w:tr>
            <w:tr w14:paraId="1BA18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dxa"/>
                  <w:shd w:val="clear" w:color="auto" w:fill="auto"/>
                  <w:vAlign w:val="center"/>
                </w:tcPr>
                <w:p w14:paraId="49CAAD07">
                  <w:pPr>
                    <w:autoSpaceDE w:val="0"/>
                    <w:autoSpaceDN w:val="0"/>
                    <w:adjustRightInd w:val="0"/>
                    <w:snapToGrid w:val="0"/>
                    <w:jc w:val="center"/>
                    <w:rPr>
                      <w:rFonts w:ascii="宋体" w:hAnsi="宋体" w:cs="宋体"/>
                      <w:kern w:val="0"/>
                      <w:szCs w:val="21"/>
                    </w:rPr>
                  </w:pPr>
                  <w:r>
                    <w:rPr>
                      <w:rFonts w:ascii="宋体" w:hAnsi="宋体" w:cs="宋体"/>
                      <w:kern w:val="0"/>
                      <w:szCs w:val="21"/>
                    </w:rPr>
                    <w:t>生态</w:t>
                  </w:r>
                </w:p>
              </w:tc>
              <w:tc>
                <w:tcPr>
                  <w:tcW w:w="5108" w:type="dxa"/>
                  <w:shd w:val="clear" w:color="auto" w:fill="auto"/>
                  <w:vAlign w:val="center"/>
                </w:tcPr>
                <w:p w14:paraId="0D5DFB88">
                  <w:pPr>
                    <w:autoSpaceDE w:val="0"/>
                    <w:autoSpaceDN w:val="0"/>
                    <w:adjustRightInd w:val="0"/>
                    <w:snapToGrid w:val="0"/>
                    <w:rPr>
                      <w:rFonts w:ascii="宋体" w:hAnsi="宋体" w:cs="宋体"/>
                      <w:kern w:val="0"/>
                      <w:szCs w:val="21"/>
                    </w:rPr>
                  </w:pPr>
                  <w:r>
                    <w:rPr>
                      <w:rFonts w:hint="eastAsia" w:ascii="宋体" w:hAnsi="宋体" w:cs="宋体"/>
                      <w:kern w:val="0"/>
                      <w:szCs w:val="21"/>
                    </w:rPr>
                    <w:t>涉及环境敏感区（不包括饮用水水源保护区，以居住、医疗卫生、文化教育、科研、行政办公为主要功能的区域，以及文物保护单位）的项目</w:t>
                  </w:r>
                </w:p>
              </w:tc>
              <w:tc>
                <w:tcPr>
                  <w:tcW w:w="1701" w:type="dxa"/>
                  <w:shd w:val="clear" w:color="auto" w:fill="auto"/>
                  <w:vAlign w:val="center"/>
                </w:tcPr>
                <w:p w14:paraId="73BC090F">
                  <w:pPr>
                    <w:autoSpaceDE w:val="0"/>
                    <w:autoSpaceDN w:val="0"/>
                    <w:adjustRightInd w:val="0"/>
                    <w:snapToGrid w:val="0"/>
                    <w:jc w:val="center"/>
                    <w:rPr>
                      <w:rFonts w:ascii="宋体" w:hAnsi="宋体" w:cs="宋体"/>
                      <w:kern w:val="0"/>
                      <w:szCs w:val="21"/>
                    </w:rPr>
                  </w:pPr>
                  <w:r>
                    <w:rPr>
                      <w:rFonts w:hint="eastAsia" w:ascii="宋体" w:hAnsi="宋体" w:cs="宋体"/>
                      <w:kern w:val="0"/>
                      <w:szCs w:val="21"/>
                    </w:rPr>
                    <w:t>本项目不涉及</w:t>
                  </w:r>
                </w:p>
              </w:tc>
            </w:tr>
            <w:tr w14:paraId="129F4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dxa"/>
                  <w:shd w:val="clear" w:color="auto" w:fill="auto"/>
                  <w:vAlign w:val="center"/>
                </w:tcPr>
                <w:p w14:paraId="324121E0">
                  <w:pPr>
                    <w:autoSpaceDE w:val="0"/>
                    <w:autoSpaceDN w:val="0"/>
                    <w:adjustRightInd w:val="0"/>
                    <w:snapToGrid w:val="0"/>
                    <w:jc w:val="center"/>
                    <w:rPr>
                      <w:rFonts w:ascii="宋体" w:hAnsi="宋体" w:cs="宋体"/>
                      <w:kern w:val="0"/>
                      <w:szCs w:val="21"/>
                    </w:rPr>
                  </w:pPr>
                  <w:r>
                    <w:rPr>
                      <w:rFonts w:ascii="宋体" w:hAnsi="宋体" w:cs="宋体"/>
                      <w:kern w:val="0"/>
                      <w:szCs w:val="21"/>
                    </w:rPr>
                    <w:t>大气</w:t>
                  </w:r>
                </w:p>
              </w:tc>
              <w:tc>
                <w:tcPr>
                  <w:tcW w:w="5108" w:type="dxa"/>
                  <w:shd w:val="clear" w:color="auto" w:fill="auto"/>
                  <w:vAlign w:val="center"/>
                </w:tcPr>
                <w:p w14:paraId="29D9B34C">
                  <w:pPr>
                    <w:autoSpaceDE w:val="0"/>
                    <w:autoSpaceDN w:val="0"/>
                    <w:adjustRightInd w:val="0"/>
                    <w:snapToGrid w:val="0"/>
                    <w:rPr>
                      <w:rFonts w:ascii="宋体" w:hAnsi="宋体" w:cs="宋体"/>
                      <w:kern w:val="0"/>
                      <w:szCs w:val="21"/>
                    </w:rPr>
                  </w:pPr>
                  <w:r>
                    <w:rPr>
                      <w:rFonts w:hint="eastAsia" w:ascii="宋体" w:hAnsi="宋体" w:cs="宋体"/>
                      <w:kern w:val="0"/>
                      <w:szCs w:val="21"/>
                    </w:rPr>
                    <w:t>油气、液体化工码头：全部；</w:t>
                  </w:r>
                </w:p>
                <w:p w14:paraId="2F2C3EFF">
                  <w:pPr>
                    <w:autoSpaceDE w:val="0"/>
                    <w:autoSpaceDN w:val="0"/>
                    <w:adjustRightInd w:val="0"/>
                    <w:snapToGrid w:val="0"/>
                    <w:rPr>
                      <w:rFonts w:ascii="宋体" w:hAnsi="宋体" w:cs="宋体"/>
                      <w:kern w:val="0"/>
                      <w:szCs w:val="21"/>
                    </w:rPr>
                  </w:pPr>
                  <w:r>
                    <w:rPr>
                      <w:rFonts w:hint="eastAsia" w:ascii="宋体" w:hAnsi="宋体" w:cs="宋体"/>
                      <w:kern w:val="0"/>
                      <w:szCs w:val="21"/>
                    </w:rPr>
                    <w:t>干散货（含煤炭、矿石）、件杂、多用途、通用码头：涉及粉尘、挥发性有机物排放的项目</w:t>
                  </w:r>
                </w:p>
              </w:tc>
              <w:tc>
                <w:tcPr>
                  <w:tcW w:w="1701" w:type="dxa"/>
                  <w:shd w:val="clear" w:color="auto" w:fill="auto"/>
                  <w:vAlign w:val="center"/>
                </w:tcPr>
                <w:p w14:paraId="11F0AD5F">
                  <w:pPr>
                    <w:autoSpaceDE w:val="0"/>
                    <w:autoSpaceDN w:val="0"/>
                    <w:adjustRightInd w:val="0"/>
                    <w:snapToGrid w:val="0"/>
                    <w:jc w:val="center"/>
                    <w:rPr>
                      <w:rFonts w:ascii="宋体" w:hAnsi="宋体" w:cs="宋体"/>
                      <w:kern w:val="0"/>
                      <w:szCs w:val="21"/>
                    </w:rPr>
                  </w:pPr>
                  <w:r>
                    <w:rPr>
                      <w:rFonts w:ascii="宋体" w:hAnsi="宋体" w:cs="宋体"/>
                      <w:kern w:val="0"/>
                      <w:szCs w:val="21"/>
                    </w:rPr>
                    <w:t>本项目不涉及</w:t>
                  </w:r>
                </w:p>
              </w:tc>
            </w:tr>
            <w:tr w14:paraId="3775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dxa"/>
                  <w:shd w:val="clear" w:color="auto" w:fill="auto"/>
                  <w:vAlign w:val="center"/>
                </w:tcPr>
                <w:p w14:paraId="1DEC48B5">
                  <w:pPr>
                    <w:autoSpaceDE w:val="0"/>
                    <w:autoSpaceDN w:val="0"/>
                    <w:adjustRightInd w:val="0"/>
                    <w:snapToGrid w:val="0"/>
                    <w:jc w:val="center"/>
                    <w:rPr>
                      <w:rFonts w:ascii="宋体" w:hAnsi="宋体" w:cs="宋体"/>
                      <w:kern w:val="0"/>
                      <w:szCs w:val="21"/>
                    </w:rPr>
                  </w:pPr>
                  <w:r>
                    <w:rPr>
                      <w:rFonts w:ascii="宋体" w:hAnsi="宋体" w:cs="宋体"/>
                      <w:kern w:val="0"/>
                      <w:szCs w:val="21"/>
                    </w:rPr>
                    <w:t>噪声</w:t>
                  </w:r>
                </w:p>
              </w:tc>
              <w:tc>
                <w:tcPr>
                  <w:tcW w:w="5108" w:type="dxa"/>
                  <w:shd w:val="clear" w:color="auto" w:fill="auto"/>
                  <w:vAlign w:val="center"/>
                </w:tcPr>
                <w:p w14:paraId="33D9A23E">
                  <w:pPr>
                    <w:autoSpaceDE w:val="0"/>
                    <w:autoSpaceDN w:val="0"/>
                    <w:adjustRightInd w:val="0"/>
                    <w:snapToGrid w:val="0"/>
                    <w:rPr>
                      <w:rFonts w:ascii="宋体" w:hAnsi="宋体" w:cs="宋体"/>
                      <w:kern w:val="0"/>
                      <w:szCs w:val="21"/>
                    </w:rPr>
                  </w:pPr>
                  <w:r>
                    <w:rPr>
                      <w:rFonts w:hint="eastAsia" w:ascii="宋体" w:hAnsi="宋体" w:cs="宋体"/>
                      <w:kern w:val="0"/>
                      <w:szCs w:val="21"/>
                    </w:rPr>
                    <w:t>公路、铁路、机场等交通运输业涉及环境敏感区（以居住、医疗卫生、文化教育、科研、行政办公为主要功能的区域）的项目；</w:t>
                  </w:r>
                </w:p>
                <w:p w14:paraId="3BCC8A0B">
                  <w:pPr>
                    <w:autoSpaceDE w:val="0"/>
                    <w:autoSpaceDN w:val="0"/>
                    <w:adjustRightInd w:val="0"/>
                    <w:snapToGrid w:val="0"/>
                    <w:rPr>
                      <w:rFonts w:ascii="宋体" w:hAnsi="宋体" w:cs="宋体"/>
                      <w:kern w:val="0"/>
                      <w:szCs w:val="21"/>
                    </w:rPr>
                  </w:pPr>
                  <w:r>
                    <w:rPr>
                      <w:rFonts w:hint="eastAsia" w:ascii="宋体" w:hAnsi="宋体" w:cs="宋体"/>
                      <w:kern w:val="0"/>
                      <w:szCs w:val="21"/>
                    </w:rPr>
                    <w:t>城市道路（不含维护，不含支路、人行天桥、人行地道）：全部</w:t>
                  </w:r>
                </w:p>
              </w:tc>
              <w:tc>
                <w:tcPr>
                  <w:tcW w:w="1701" w:type="dxa"/>
                  <w:shd w:val="clear" w:color="auto" w:fill="auto"/>
                  <w:vAlign w:val="center"/>
                </w:tcPr>
                <w:p w14:paraId="0ABC4ACC">
                  <w:pPr>
                    <w:autoSpaceDE w:val="0"/>
                    <w:autoSpaceDN w:val="0"/>
                    <w:adjustRightInd w:val="0"/>
                    <w:snapToGrid w:val="0"/>
                    <w:rPr>
                      <w:rFonts w:ascii="宋体" w:hAnsi="宋体" w:cs="宋体"/>
                      <w:kern w:val="0"/>
                      <w:szCs w:val="21"/>
                    </w:rPr>
                  </w:pPr>
                  <w:r>
                    <w:rPr>
                      <w:rFonts w:hint="eastAsia" w:ascii="宋体" w:hAnsi="宋体" w:cs="宋体"/>
                      <w:kern w:val="0"/>
                      <w:szCs w:val="21"/>
                    </w:rPr>
                    <w:t>本项目为城市道路项目，应设置噪声影响专项评价。</w:t>
                  </w:r>
                </w:p>
              </w:tc>
            </w:tr>
            <w:tr w14:paraId="3ACE4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dxa"/>
                  <w:shd w:val="clear" w:color="auto" w:fill="auto"/>
                  <w:vAlign w:val="center"/>
                </w:tcPr>
                <w:p w14:paraId="26FC5AF0">
                  <w:pPr>
                    <w:autoSpaceDE w:val="0"/>
                    <w:autoSpaceDN w:val="0"/>
                    <w:adjustRightInd w:val="0"/>
                    <w:snapToGrid w:val="0"/>
                    <w:jc w:val="center"/>
                    <w:rPr>
                      <w:rFonts w:ascii="宋体" w:hAnsi="宋体" w:cs="宋体"/>
                      <w:kern w:val="0"/>
                      <w:szCs w:val="21"/>
                    </w:rPr>
                  </w:pPr>
                  <w:r>
                    <w:rPr>
                      <w:rFonts w:ascii="宋体" w:hAnsi="宋体" w:cs="宋体"/>
                      <w:kern w:val="0"/>
                      <w:szCs w:val="21"/>
                    </w:rPr>
                    <w:t>环境风险</w:t>
                  </w:r>
                </w:p>
              </w:tc>
              <w:tc>
                <w:tcPr>
                  <w:tcW w:w="5108" w:type="dxa"/>
                  <w:shd w:val="clear" w:color="auto" w:fill="auto"/>
                  <w:vAlign w:val="center"/>
                </w:tcPr>
                <w:p w14:paraId="11740FE3">
                  <w:pPr>
                    <w:autoSpaceDE w:val="0"/>
                    <w:autoSpaceDN w:val="0"/>
                    <w:adjustRightInd w:val="0"/>
                    <w:snapToGrid w:val="0"/>
                    <w:rPr>
                      <w:rFonts w:ascii="宋体" w:hAnsi="宋体" w:cs="宋体"/>
                      <w:kern w:val="0"/>
                      <w:szCs w:val="21"/>
                    </w:rPr>
                  </w:pPr>
                  <w:r>
                    <w:rPr>
                      <w:rFonts w:hint="eastAsia" w:ascii="宋体" w:hAnsi="宋体" w:cs="宋体"/>
                      <w:kern w:val="0"/>
                      <w:szCs w:val="21"/>
                    </w:rPr>
                    <w:t>石油和天然气开采：全部；油气、液体化工码头：全部；原油、成品油、天然气管线（不含城镇天然气管线、企业厂区内管线），危险化学品输送管线（不含企业厂区内管线）：全部</w:t>
                  </w:r>
                </w:p>
              </w:tc>
              <w:tc>
                <w:tcPr>
                  <w:tcW w:w="1701" w:type="dxa"/>
                  <w:shd w:val="clear" w:color="auto" w:fill="auto"/>
                  <w:vAlign w:val="center"/>
                </w:tcPr>
                <w:p w14:paraId="5B5D9AA7">
                  <w:pPr>
                    <w:autoSpaceDE w:val="0"/>
                    <w:autoSpaceDN w:val="0"/>
                    <w:adjustRightInd w:val="0"/>
                    <w:snapToGrid w:val="0"/>
                    <w:jc w:val="center"/>
                    <w:rPr>
                      <w:rFonts w:ascii="宋体" w:hAnsi="宋体" w:cs="宋体"/>
                      <w:kern w:val="0"/>
                      <w:szCs w:val="21"/>
                    </w:rPr>
                  </w:pPr>
                  <w:r>
                    <w:rPr>
                      <w:rFonts w:ascii="宋体" w:hAnsi="宋体" w:cs="宋体"/>
                      <w:kern w:val="0"/>
                      <w:szCs w:val="21"/>
                    </w:rPr>
                    <w:t>本项目不属于上述项目</w:t>
                  </w:r>
                </w:p>
              </w:tc>
            </w:tr>
          </w:tbl>
          <w:p w14:paraId="164E9604">
            <w:pPr>
              <w:autoSpaceDE w:val="0"/>
              <w:autoSpaceDN w:val="0"/>
              <w:adjustRightInd w:val="0"/>
              <w:snapToGrid w:val="0"/>
              <w:rPr>
                <w:rFonts w:ascii="黑体" w:hAnsi="黑体" w:eastAsia="黑体" w:cs="宋体"/>
                <w:kern w:val="0"/>
                <w:sz w:val="18"/>
                <w:szCs w:val="18"/>
              </w:rPr>
            </w:pPr>
            <w:r>
              <w:rPr>
                <w:rFonts w:hint="eastAsia" w:ascii="黑体" w:hAnsi="黑体" w:eastAsia="黑体" w:cs="宋体"/>
                <w:kern w:val="0"/>
                <w:sz w:val="18"/>
                <w:szCs w:val="18"/>
              </w:rPr>
              <w:t>注：“涉及环境敏感区”是指建设项目位于、穿（跨）越（无害化通过的除外）环境敏感区，或环境影响范围涵盖环境敏感区。环境敏感区是指《建设项目环境影响评价分类管理名录》中针对该类项目所列的敏感区。</w:t>
            </w:r>
          </w:p>
          <w:p w14:paraId="220E936D">
            <w:pPr>
              <w:autoSpaceDE w:val="0"/>
              <w:autoSpaceDN w:val="0"/>
              <w:adjustRightInd w:val="0"/>
              <w:snapToGrid w:val="0"/>
              <w:spacing w:line="360" w:lineRule="auto"/>
              <w:ind w:firstLine="480" w:firstLineChars="200"/>
              <w:rPr>
                <w:kern w:val="0"/>
                <w:sz w:val="24"/>
              </w:rPr>
            </w:pPr>
            <w:r>
              <w:rPr>
                <w:rFonts w:hint="eastAsia"/>
                <w:kern w:val="0"/>
                <w:sz w:val="24"/>
              </w:rPr>
              <w:t>根据专项评价设置原则表，本项目属于城市道路（不含维护，不含支路、人行天桥、人行地道），</w:t>
            </w:r>
            <w:r>
              <w:rPr>
                <w:rFonts w:hint="eastAsia"/>
                <w:b/>
                <w:kern w:val="0"/>
                <w:sz w:val="24"/>
              </w:rPr>
              <w:t>需按要求设置噪声专项评价。</w:t>
            </w:r>
          </w:p>
        </w:tc>
      </w:tr>
      <w:tr w14:paraId="354C85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134" w:type="dxa"/>
            <w:tcMar>
              <w:top w:w="16" w:type="dxa"/>
              <w:left w:w="16" w:type="dxa"/>
              <w:right w:w="16" w:type="dxa"/>
            </w:tcMar>
            <w:vAlign w:val="center"/>
          </w:tcPr>
          <w:p w14:paraId="2D9A882A">
            <w:pPr>
              <w:autoSpaceDE w:val="0"/>
              <w:autoSpaceDN w:val="0"/>
              <w:adjustRightInd w:val="0"/>
              <w:snapToGrid w:val="0"/>
              <w:jc w:val="center"/>
              <w:rPr>
                <w:kern w:val="0"/>
                <w:sz w:val="24"/>
                <w:szCs w:val="21"/>
              </w:rPr>
            </w:pPr>
            <w:r>
              <w:rPr>
                <w:sz w:val="24"/>
                <w:szCs w:val="21"/>
              </w:rPr>
              <w:t>规划情况</w:t>
            </w:r>
          </w:p>
        </w:tc>
        <w:tc>
          <w:tcPr>
            <w:tcW w:w="8126" w:type="dxa"/>
            <w:gridSpan w:val="4"/>
            <w:tcMar>
              <w:top w:w="16" w:type="dxa"/>
              <w:left w:w="16" w:type="dxa"/>
              <w:right w:w="16" w:type="dxa"/>
            </w:tcMar>
            <w:vAlign w:val="center"/>
          </w:tcPr>
          <w:p w14:paraId="70114660">
            <w:pPr>
              <w:adjustRightInd w:val="0"/>
              <w:snapToGrid w:val="0"/>
              <w:spacing w:line="360" w:lineRule="auto"/>
              <w:jc w:val="left"/>
              <w:rPr>
                <w:sz w:val="24"/>
              </w:rPr>
            </w:pPr>
            <w:r>
              <w:rPr>
                <w:rFonts w:hint="eastAsia"/>
                <w:sz w:val="24"/>
              </w:rPr>
              <w:t>规划名称：《大英县国土空间总体规划》（2021-2035）</w:t>
            </w:r>
          </w:p>
          <w:p w14:paraId="3ED73664">
            <w:pPr>
              <w:adjustRightInd w:val="0"/>
              <w:snapToGrid w:val="0"/>
              <w:spacing w:line="360" w:lineRule="auto"/>
              <w:jc w:val="left"/>
              <w:rPr>
                <w:sz w:val="24"/>
              </w:rPr>
            </w:pPr>
            <w:r>
              <w:rPr>
                <w:rFonts w:hint="eastAsia"/>
                <w:sz w:val="24"/>
              </w:rPr>
              <w:t>审批机关：四川省人民政府；</w:t>
            </w:r>
          </w:p>
          <w:p w14:paraId="20967B93">
            <w:pPr>
              <w:adjustRightInd w:val="0"/>
              <w:snapToGrid w:val="0"/>
              <w:spacing w:line="360" w:lineRule="auto"/>
              <w:jc w:val="left"/>
              <w:rPr>
                <w:sz w:val="24"/>
              </w:rPr>
            </w:pPr>
            <w:r>
              <w:rPr>
                <w:rFonts w:hint="eastAsia"/>
                <w:sz w:val="24"/>
              </w:rPr>
              <w:t>审批文号：川府函〔2024〕141号；</w:t>
            </w:r>
          </w:p>
          <w:p w14:paraId="19E1C8B6">
            <w:pPr>
              <w:adjustRightInd w:val="0"/>
              <w:snapToGrid w:val="0"/>
              <w:spacing w:line="360" w:lineRule="auto"/>
              <w:jc w:val="left"/>
              <w:rPr>
                <w:sz w:val="24"/>
              </w:rPr>
            </w:pPr>
            <w:r>
              <w:rPr>
                <w:rFonts w:hint="eastAsia"/>
                <w:sz w:val="24"/>
              </w:rPr>
              <w:t>审批时间：2024年05月29日。</w:t>
            </w:r>
          </w:p>
        </w:tc>
      </w:tr>
      <w:tr w14:paraId="46173A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134" w:type="dxa"/>
            <w:tcMar>
              <w:top w:w="16" w:type="dxa"/>
              <w:left w:w="16" w:type="dxa"/>
              <w:right w:w="16" w:type="dxa"/>
            </w:tcMar>
            <w:vAlign w:val="center"/>
          </w:tcPr>
          <w:p w14:paraId="4F1EE154">
            <w:pPr>
              <w:autoSpaceDE w:val="0"/>
              <w:autoSpaceDN w:val="0"/>
              <w:adjustRightInd w:val="0"/>
              <w:snapToGrid w:val="0"/>
              <w:jc w:val="center"/>
              <w:rPr>
                <w:sz w:val="24"/>
                <w:szCs w:val="21"/>
              </w:rPr>
            </w:pPr>
            <w:r>
              <w:rPr>
                <w:sz w:val="24"/>
                <w:szCs w:val="21"/>
              </w:rPr>
              <w:t>规划环境影响</w:t>
            </w:r>
          </w:p>
          <w:p w14:paraId="61225742">
            <w:pPr>
              <w:autoSpaceDE w:val="0"/>
              <w:autoSpaceDN w:val="0"/>
              <w:adjustRightInd w:val="0"/>
              <w:snapToGrid w:val="0"/>
              <w:jc w:val="center"/>
              <w:rPr>
                <w:kern w:val="0"/>
                <w:sz w:val="24"/>
                <w:szCs w:val="21"/>
              </w:rPr>
            </w:pPr>
            <w:r>
              <w:rPr>
                <w:sz w:val="24"/>
                <w:szCs w:val="21"/>
              </w:rPr>
              <w:t>评价情况</w:t>
            </w:r>
          </w:p>
        </w:tc>
        <w:tc>
          <w:tcPr>
            <w:tcW w:w="8126" w:type="dxa"/>
            <w:gridSpan w:val="4"/>
            <w:tcMar>
              <w:top w:w="16" w:type="dxa"/>
              <w:left w:w="16" w:type="dxa"/>
              <w:right w:w="16" w:type="dxa"/>
            </w:tcMar>
            <w:vAlign w:val="center"/>
          </w:tcPr>
          <w:p w14:paraId="450EB6BA">
            <w:pPr>
              <w:adjustRightInd w:val="0"/>
              <w:snapToGrid w:val="0"/>
              <w:spacing w:line="360" w:lineRule="auto"/>
              <w:jc w:val="center"/>
              <w:rPr>
                <w:kern w:val="0"/>
                <w:sz w:val="24"/>
              </w:rPr>
            </w:pPr>
            <w:r>
              <w:rPr>
                <w:rFonts w:hint="eastAsia"/>
                <w:sz w:val="24"/>
              </w:rPr>
              <w:t>/</w:t>
            </w:r>
          </w:p>
        </w:tc>
      </w:tr>
      <w:tr w14:paraId="4B5114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50" w:hRule="atLeast"/>
        </w:trPr>
        <w:tc>
          <w:tcPr>
            <w:tcW w:w="1134" w:type="dxa"/>
            <w:tcMar>
              <w:top w:w="16" w:type="dxa"/>
              <w:left w:w="16" w:type="dxa"/>
              <w:right w:w="16" w:type="dxa"/>
            </w:tcMar>
            <w:vAlign w:val="center"/>
          </w:tcPr>
          <w:p w14:paraId="4508C85B">
            <w:pPr>
              <w:autoSpaceDE w:val="0"/>
              <w:autoSpaceDN w:val="0"/>
              <w:adjustRightInd w:val="0"/>
              <w:snapToGrid w:val="0"/>
              <w:jc w:val="center"/>
              <w:rPr>
                <w:kern w:val="0"/>
                <w:szCs w:val="21"/>
              </w:rPr>
            </w:pPr>
            <w:r>
              <w:rPr>
                <w:kern w:val="0"/>
                <w:sz w:val="24"/>
                <w:szCs w:val="21"/>
              </w:rPr>
              <w:t>规划及</w:t>
            </w:r>
            <w:r>
              <w:rPr>
                <w:sz w:val="24"/>
                <w:szCs w:val="21"/>
              </w:rPr>
              <w:t>规划环境影响评价</w:t>
            </w:r>
            <w:r>
              <w:rPr>
                <w:kern w:val="0"/>
                <w:sz w:val="24"/>
                <w:szCs w:val="21"/>
              </w:rPr>
              <w:t>符合性分析</w:t>
            </w:r>
          </w:p>
        </w:tc>
        <w:tc>
          <w:tcPr>
            <w:tcW w:w="8126" w:type="dxa"/>
            <w:gridSpan w:val="4"/>
            <w:tcMar>
              <w:top w:w="16" w:type="dxa"/>
              <w:left w:w="16" w:type="dxa"/>
              <w:right w:w="16" w:type="dxa"/>
            </w:tcMar>
            <w:vAlign w:val="center"/>
          </w:tcPr>
          <w:p w14:paraId="57DC2BCB">
            <w:pPr>
              <w:spacing w:line="360" w:lineRule="auto"/>
              <w:ind w:firstLine="482" w:firstLineChars="200"/>
              <w:rPr>
                <w:b/>
                <w:bCs/>
                <w:kern w:val="0"/>
                <w:sz w:val="24"/>
              </w:rPr>
            </w:pPr>
            <w:r>
              <w:rPr>
                <w:rFonts w:hint="eastAsia"/>
                <w:b/>
                <w:bCs/>
                <w:kern w:val="0"/>
                <w:sz w:val="24"/>
              </w:rPr>
              <w:t>1、与《</w:t>
            </w:r>
            <w:r>
              <w:rPr>
                <w:rFonts w:hint="eastAsia"/>
                <w:b/>
                <w:sz w:val="24"/>
              </w:rPr>
              <w:t>大英县国土空间总体规划（2021-2035）</w:t>
            </w:r>
            <w:r>
              <w:rPr>
                <w:rFonts w:hint="eastAsia"/>
                <w:b/>
                <w:bCs/>
                <w:kern w:val="0"/>
                <w:sz w:val="24"/>
              </w:rPr>
              <w:t>》符合性分析</w:t>
            </w:r>
          </w:p>
          <w:p w14:paraId="560FBFB8">
            <w:pPr>
              <w:spacing w:line="360" w:lineRule="auto"/>
              <w:ind w:firstLine="482" w:firstLineChars="200"/>
              <w:rPr>
                <w:b/>
                <w:kern w:val="0"/>
                <w:sz w:val="24"/>
              </w:rPr>
            </w:pPr>
            <w:r>
              <w:rPr>
                <w:rFonts w:hint="eastAsia"/>
                <w:b/>
                <w:kern w:val="0"/>
                <w:sz w:val="24"/>
              </w:rPr>
              <w:t>二、战略与目标</w:t>
            </w:r>
          </w:p>
          <w:p w14:paraId="2BE91329">
            <w:pPr>
              <w:spacing w:line="360" w:lineRule="auto"/>
              <w:ind w:firstLine="482" w:firstLineChars="200"/>
              <w:rPr>
                <w:kern w:val="0"/>
                <w:sz w:val="24"/>
              </w:rPr>
            </w:pPr>
            <w:r>
              <w:rPr>
                <w:rFonts w:hint="eastAsia"/>
                <w:b/>
                <w:kern w:val="0"/>
                <w:sz w:val="24"/>
              </w:rPr>
              <w:t>3、空间战略——</w:t>
            </w:r>
            <w:r>
              <w:rPr>
                <w:rFonts w:hint="eastAsia"/>
                <w:kern w:val="0"/>
                <w:sz w:val="24"/>
              </w:rPr>
              <w:t>县域空间战略：藏粮于技，推进丘陵地区农田宜机化改造；韧性安全，推进骨干水源及水利基础设施建设；</w:t>
            </w:r>
            <w:r>
              <w:rPr>
                <w:rFonts w:hint="eastAsia"/>
                <w:b/>
                <w:kern w:val="0"/>
                <w:sz w:val="24"/>
              </w:rPr>
              <w:t>振兴乡村，推进一二三产融合及和美乡村建设；</w:t>
            </w:r>
            <w:r>
              <w:rPr>
                <w:rFonts w:hint="eastAsia"/>
                <w:kern w:val="0"/>
                <w:sz w:val="24"/>
              </w:rPr>
              <w:t>节点崛起，</w:t>
            </w:r>
            <w:r>
              <w:rPr>
                <w:rFonts w:hint="eastAsia"/>
                <w:b/>
                <w:kern w:val="0"/>
                <w:sz w:val="24"/>
              </w:rPr>
              <w:t>推进以县城为载体的新型城镇化建设</w:t>
            </w:r>
            <w:r>
              <w:rPr>
                <w:rFonts w:hint="eastAsia"/>
                <w:kern w:val="0"/>
                <w:sz w:val="24"/>
              </w:rPr>
              <w:t>。中心城区空间战略：节能优先，降低油气化工产业能源消耗；产城融合，用地功能适度混合；品质优县，</w:t>
            </w:r>
            <w:r>
              <w:rPr>
                <w:rFonts w:hint="eastAsia"/>
                <w:b/>
                <w:kern w:val="0"/>
                <w:sz w:val="24"/>
              </w:rPr>
              <w:t>推进宜居美丽新城建设。</w:t>
            </w:r>
          </w:p>
          <w:p w14:paraId="62289E66">
            <w:pPr>
              <w:spacing w:line="360" w:lineRule="auto"/>
              <w:ind w:firstLine="482" w:firstLineChars="200"/>
              <w:rPr>
                <w:b/>
                <w:kern w:val="0"/>
                <w:sz w:val="24"/>
              </w:rPr>
            </w:pPr>
            <w:r>
              <w:rPr>
                <w:rFonts w:hint="eastAsia"/>
                <w:b/>
                <w:kern w:val="0"/>
                <w:sz w:val="24"/>
              </w:rPr>
              <w:t>三、中心城区规划</w:t>
            </w:r>
          </w:p>
          <w:p w14:paraId="7FCF1874">
            <w:pPr>
              <w:spacing w:line="360" w:lineRule="auto"/>
              <w:ind w:firstLine="480" w:firstLineChars="200"/>
              <w:rPr>
                <w:kern w:val="0"/>
                <w:sz w:val="24"/>
              </w:rPr>
            </w:pPr>
            <w:r>
              <w:rPr>
                <w:rFonts w:hint="eastAsia"/>
                <w:kern w:val="0"/>
                <w:sz w:val="24"/>
              </w:rPr>
              <w:t>1、空间结构</w:t>
            </w:r>
          </w:p>
          <w:p w14:paraId="0F48125E">
            <w:pPr>
              <w:spacing w:line="360" w:lineRule="auto"/>
              <w:ind w:firstLine="480" w:firstLineChars="200"/>
              <w:rPr>
                <w:kern w:val="0"/>
                <w:sz w:val="24"/>
              </w:rPr>
            </w:pPr>
            <w:r>
              <w:rPr>
                <w:rFonts w:hint="eastAsia"/>
                <w:kern w:val="0"/>
                <w:sz w:val="24"/>
              </w:rPr>
              <w:t>规划形成“一带三轴，两心五组团”的空间结构。</w:t>
            </w:r>
          </w:p>
          <w:p w14:paraId="50574AB2">
            <w:pPr>
              <w:spacing w:line="360" w:lineRule="auto"/>
              <w:ind w:firstLine="480" w:firstLineChars="200"/>
              <w:rPr>
                <w:kern w:val="0"/>
                <w:sz w:val="24"/>
              </w:rPr>
            </w:pPr>
            <w:r>
              <w:rPr>
                <w:rFonts w:hint="eastAsia"/>
                <w:kern w:val="0"/>
                <w:sz w:val="24"/>
              </w:rPr>
              <w:t>一带：郪江生态景观带。</w:t>
            </w:r>
          </w:p>
          <w:p w14:paraId="6781140A">
            <w:pPr>
              <w:spacing w:line="360" w:lineRule="auto"/>
              <w:ind w:firstLine="480" w:firstLineChars="200"/>
              <w:rPr>
                <w:kern w:val="0"/>
                <w:sz w:val="24"/>
              </w:rPr>
            </w:pPr>
            <w:r>
              <w:rPr>
                <w:rFonts w:hint="eastAsia"/>
                <w:kern w:val="0"/>
                <w:sz w:val="24"/>
              </w:rPr>
              <w:t>三轴：花园干道-采和大道发展轴；环城路-盛马大道发展轴以及蓬莱路-校园路发展轴。</w:t>
            </w:r>
          </w:p>
          <w:p w14:paraId="30C8A74E">
            <w:pPr>
              <w:spacing w:line="360" w:lineRule="auto"/>
              <w:ind w:firstLine="480" w:firstLineChars="200"/>
              <w:rPr>
                <w:kern w:val="0"/>
                <w:sz w:val="24"/>
              </w:rPr>
            </w:pPr>
            <w:r>
              <w:rPr>
                <w:rFonts w:hint="eastAsia"/>
                <w:kern w:val="0"/>
                <w:sz w:val="24"/>
              </w:rPr>
              <w:t>两心：即位于老城区和新城区内的两个城市服务中心，集商贸服务、行政办公、教育医疗、文体休闲等功能。</w:t>
            </w:r>
          </w:p>
          <w:p w14:paraId="20286551">
            <w:pPr>
              <w:spacing w:line="360" w:lineRule="auto"/>
              <w:ind w:firstLine="480" w:firstLineChars="200"/>
              <w:rPr>
                <w:kern w:val="0"/>
                <w:sz w:val="24"/>
              </w:rPr>
            </w:pPr>
            <w:r>
              <w:rPr>
                <w:rFonts w:hint="eastAsia"/>
                <w:kern w:val="0"/>
                <w:sz w:val="24"/>
              </w:rPr>
              <w:t>五组团：根据功能不同，划分为五大功能组团。综合功能组团：全县行政文化中心，以居住为主，以办公、商业、养生和休闲功能为主的城市综合功能组团，是城市的生活核心区；</w:t>
            </w:r>
            <w:r>
              <w:rPr>
                <w:rFonts w:hint="eastAsia"/>
                <w:b/>
                <w:kern w:val="0"/>
                <w:sz w:val="24"/>
                <w:u w:val="single"/>
              </w:rPr>
              <w:t>文旅组团：以大英中国死海、丝路奇幻城、浪漫地中海为核心，沿郪江上游，以休闲度假、影视娱乐等文化旅游功能为主，以会展商贸产业为辅的文旅综合功能组团；</w:t>
            </w:r>
            <w:r>
              <w:rPr>
                <w:rFonts w:hint="eastAsia"/>
                <w:kern w:val="0"/>
                <w:sz w:val="24"/>
              </w:rPr>
              <w:t>工业组团：以大英经开区为核心，并含489.08公顷的红旗化工园区，以能源化工、装备制造两大主导产业为主，以现代商贸物流、数字经济产业为辅的工业综合功能组团；教育组团：以四川文轩职业学院大英校区为核心的文旅教育组团，集基础教育、职业教育、创意产业为一体的功能组团；生活组团：位于青龙坡片区，以居住生活、商业服务等为主要功能的生活性组团。</w:t>
            </w:r>
          </w:p>
          <w:p w14:paraId="57DD787C">
            <w:pPr>
              <w:spacing w:line="360" w:lineRule="auto"/>
              <w:ind w:firstLine="480" w:firstLineChars="200"/>
              <w:rPr>
                <w:kern w:val="0"/>
                <w:sz w:val="24"/>
              </w:rPr>
            </w:pPr>
            <w:r>
              <w:rPr>
                <w:rFonts w:hint="eastAsia"/>
                <w:kern w:val="0"/>
                <w:sz w:val="24"/>
              </w:rPr>
              <w:t>本项目建设主要位于中心城区规划“文旅组团”内，项目的建设将有力推动大英中心城区框架体系、支撑产业发展和城市建设。因此，本项目建设是十分必要的。</w:t>
            </w:r>
          </w:p>
          <w:p w14:paraId="71C01B44">
            <w:pPr>
              <w:spacing w:line="360" w:lineRule="auto"/>
              <w:ind w:firstLine="480" w:firstLineChars="200"/>
              <w:rPr>
                <w:kern w:val="0"/>
                <w:sz w:val="24"/>
              </w:rPr>
            </w:pPr>
            <w:r>
              <w:rPr>
                <w:rFonts w:hint="eastAsia"/>
                <w:kern w:val="0"/>
                <w:sz w:val="24"/>
              </w:rPr>
              <w:t>根据大英县中心城区规划图，本项目属于规划配套建设的城市主干道、次干道，符合大英县国土空间总体规划。本项目将同时配套建设桥涵工程、给排水、照明、电力等附属配套工程，建成后对完善项目区域交通运输条件，完善区域基础设施发挥较大的作用。</w:t>
            </w:r>
          </w:p>
          <w:p w14:paraId="0BCD5E96">
            <w:pPr>
              <w:pStyle w:val="20"/>
              <w:spacing w:after="0" w:line="360" w:lineRule="auto"/>
              <w:ind w:left="0" w:leftChars="0" w:firstLine="482" w:firstLineChars="200"/>
              <w:rPr>
                <w:b/>
                <w:kern w:val="0"/>
                <w:sz w:val="24"/>
              </w:rPr>
            </w:pPr>
            <w:r>
              <w:rPr>
                <w:rFonts w:hint="eastAsia"/>
                <w:b/>
                <w:kern w:val="0"/>
                <w:sz w:val="24"/>
              </w:rPr>
              <w:t>因此，项目建设符合大英县国土空间总体规划。</w:t>
            </w:r>
          </w:p>
          <w:p w14:paraId="5AD90AED">
            <w:pPr>
              <w:spacing w:line="360" w:lineRule="auto"/>
              <w:ind w:firstLine="482" w:firstLineChars="200"/>
              <w:rPr>
                <w:b/>
                <w:bCs/>
                <w:kern w:val="0"/>
                <w:sz w:val="24"/>
              </w:rPr>
            </w:pPr>
            <w:r>
              <w:rPr>
                <w:rFonts w:hint="eastAsia"/>
                <w:b/>
                <w:bCs/>
                <w:kern w:val="0"/>
                <w:sz w:val="24"/>
              </w:rPr>
              <w:t>2、用地规划符合性分析</w:t>
            </w:r>
          </w:p>
          <w:p w14:paraId="2E9B3E9C">
            <w:pPr>
              <w:spacing w:line="360" w:lineRule="auto"/>
              <w:ind w:firstLine="480" w:firstLineChars="200"/>
              <w:rPr>
                <w:kern w:val="0"/>
                <w:sz w:val="24"/>
              </w:rPr>
            </w:pPr>
            <w:r>
              <w:rPr>
                <w:rFonts w:hint="eastAsia"/>
                <w:kern w:val="0"/>
                <w:sz w:val="24"/>
              </w:rPr>
              <w:t>本项目由大英县行政审批和数据局出具《建设用地规划许可证》（附件5），明确本项目位于遂宁市大英县盐井街道太吉片区，</w:t>
            </w:r>
            <w:r>
              <w:rPr>
                <w:sz w:val="24"/>
              </w:rPr>
              <w:t>本项目总占地面积</w:t>
            </w:r>
            <w:r>
              <w:rPr>
                <w:rFonts w:hint="eastAsia"/>
                <w:sz w:val="24"/>
              </w:rPr>
              <w:t>11.27h</w:t>
            </w:r>
            <w:r>
              <w:rPr>
                <w:sz w:val="24"/>
              </w:rPr>
              <w:t>m²，</w:t>
            </w:r>
            <w:r>
              <w:rPr>
                <w:rFonts w:hint="eastAsia"/>
                <w:sz w:val="24"/>
              </w:rPr>
              <w:t>永久占地约10.27hm</w:t>
            </w:r>
            <w:r>
              <w:rPr>
                <w:rFonts w:hint="eastAsia"/>
                <w:sz w:val="24"/>
                <w:vertAlign w:val="superscript"/>
              </w:rPr>
              <w:t>2</w:t>
            </w:r>
            <w:r>
              <w:rPr>
                <w:rFonts w:hint="eastAsia"/>
                <w:sz w:val="24"/>
              </w:rPr>
              <w:t>，临时占地约为1hm</w:t>
            </w:r>
            <w:r>
              <w:rPr>
                <w:rFonts w:hint="eastAsia"/>
                <w:sz w:val="24"/>
                <w:vertAlign w:val="superscript"/>
              </w:rPr>
              <w:t>2</w:t>
            </w:r>
            <w:r>
              <w:rPr>
                <w:rFonts w:hint="eastAsia"/>
                <w:sz w:val="24"/>
              </w:rPr>
              <w:t>。</w:t>
            </w:r>
          </w:p>
          <w:p w14:paraId="3749BA7B">
            <w:pPr>
              <w:spacing w:line="360" w:lineRule="auto"/>
              <w:ind w:firstLine="480" w:firstLineChars="200"/>
              <w:rPr>
                <w:kern w:val="0"/>
                <w:sz w:val="24"/>
              </w:rPr>
            </w:pPr>
            <w:r>
              <w:rPr>
                <w:rFonts w:hint="eastAsia"/>
                <w:kern w:val="0"/>
                <w:sz w:val="24"/>
              </w:rPr>
              <w:t>经主管部门核定，项目建设用地未超出城市开发边界范围，目前项目征占用地手续正在相关部门进行办理。此外，项目已出具《建设用地规划许可证》，明确本项目规划用地性质为S1（城镇村道路用地性质）。</w:t>
            </w:r>
          </w:p>
          <w:p w14:paraId="579AE46C">
            <w:pPr>
              <w:spacing w:line="360" w:lineRule="auto"/>
              <w:ind w:firstLine="480" w:firstLineChars="200"/>
              <w:rPr>
                <w:kern w:val="0"/>
                <w:sz w:val="24"/>
              </w:rPr>
            </w:pPr>
            <w:r>
              <w:rPr>
                <w:rFonts w:hint="eastAsia"/>
                <w:kern w:val="0"/>
                <w:sz w:val="24"/>
              </w:rPr>
              <w:t>项目位于市郊农村区域，现状土地主要为林地、耕地（红线范围不涉及基本农田）、水域及荒地等，拟建道路沿线周边现存耕地、林地和农村散户居民点，属于有条件建设区。由于本项目所在文旅组团为城市发展规划片区，现已逐步开始建设。</w:t>
            </w:r>
          </w:p>
          <w:p w14:paraId="3543CF14">
            <w:pPr>
              <w:spacing w:line="360" w:lineRule="auto"/>
              <w:ind w:firstLine="480" w:firstLineChars="200"/>
              <w:rPr>
                <w:kern w:val="0"/>
                <w:sz w:val="24"/>
              </w:rPr>
            </w:pPr>
            <w:r>
              <w:rPr>
                <w:rFonts w:hint="eastAsia"/>
                <w:kern w:val="0"/>
                <w:sz w:val="24"/>
              </w:rPr>
              <w:t>项目沿线所在区域周围主要规划为公园绿地、科研办公、居住用地等，本项目的建设为片区基础工程建设，与片区发展规划相符，用地合法。</w:t>
            </w:r>
          </w:p>
        </w:tc>
      </w:tr>
      <w:tr w14:paraId="055189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134" w:type="dxa"/>
            <w:tcMar>
              <w:top w:w="16" w:type="dxa"/>
              <w:left w:w="16" w:type="dxa"/>
              <w:right w:w="16" w:type="dxa"/>
            </w:tcMar>
            <w:vAlign w:val="center"/>
          </w:tcPr>
          <w:p w14:paraId="6D554BE9">
            <w:pPr>
              <w:autoSpaceDE w:val="0"/>
              <w:autoSpaceDN w:val="0"/>
              <w:adjustRightInd w:val="0"/>
              <w:snapToGrid w:val="0"/>
              <w:jc w:val="center"/>
              <w:rPr>
                <w:kern w:val="0"/>
                <w:szCs w:val="21"/>
              </w:rPr>
            </w:pPr>
            <w:bookmarkStart w:id="4" w:name="_Hlk56690880"/>
            <w:r>
              <w:rPr>
                <w:kern w:val="0"/>
                <w:sz w:val="24"/>
                <w:szCs w:val="21"/>
              </w:rPr>
              <w:t>其他符合性分析</w:t>
            </w:r>
            <w:bookmarkEnd w:id="4"/>
          </w:p>
        </w:tc>
        <w:tc>
          <w:tcPr>
            <w:tcW w:w="8126" w:type="dxa"/>
            <w:gridSpan w:val="4"/>
            <w:tcMar>
              <w:top w:w="16" w:type="dxa"/>
              <w:left w:w="16" w:type="dxa"/>
              <w:right w:w="16" w:type="dxa"/>
            </w:tcMar>
            <w:vAlign w:val="center"/>
          </w:tcPr>
          <w:p w14:paraId="2796D14E">
            <w:pPr>
              <w:pStyle w:val="69"/>
              <w:ind w:firstLine="482"/>
              <w:rPr>
                <w:b/>
              </w:rPr>
            </w:pPr>
            <w:r>
              <w:rPr>
                <w:rFonts w:hint="eastAsia"/>
                <w:b/>
              </w:rPr>
              <w:t>1、产业政策符合性分析</w:t>
            </w:r>
          </w:p>
          <w:p w14:paraId="4C8F5AFD">
            <w:pPr>
              <w:adjustRightInd w:val="0"/>
              <w:snapToGrid w:val="0"/>
              <w:spacing w:line="360" w:lineRule="auto"/>
              <w:ind w:firstLine="480" w:firstLineChars="200"/>
              <w:rPr>
                <w:sz w:val="24"/>
              </w:rPr>
            </w:pPr>
            <w:r>
              <w:rPr>
                <w:rFonts w:hint="eastAsia"/>
                <w:sz w:val="24"/>
              </w:rPr>
              <w:t>本项目拟建设的道路属于城市基础设施建设项目，符合《产业结构调整指导目录（2019年）》中的第一类</w:t>
            </w:r>
            <w:r>
              <w:rPr>
                <w:rFonts w:hint="eastAsia"/>
                <w:b/>
                <w:sz w:val="24"/>
              </w:rPr>
              <w:t>“鼓励类”</w:t>
            </w:r>
            <w:r>
              <w:rPr>
                <w:rFonts w:hint="eastAsia"/>
                <w:sz w:val="24"/>
              </w:rPr>
              <w:t>的第二十二条“城市基础设施”中的第4款“城市道路及智能交通体系建设”的要求；不属于国土资源部、国家发展和改革委员会“关于发布实施《限制用地项目目录（2012年本）》和《禁止用地项目目录（2012年本）》的通知（国土资发〔2012〕98号）”中规定的限制用地和禁止用地项目。</w:t>
            </w:r>
          </w:p>
          <w:p w14:paraId="5031709C">
            <w:pPr>
              <w:adjustRightInd w:val="0"/>
              <w:snapToGrid w:val="0"/>
              <w:spacing w:line="360" w:lineRule="auto"/>
              <w:ind w:firstLine="480" w:firstLineChars="200"/>
              <w:rPr>
                <w:b/>
                <w:sz w:val="24"/>
              </w:rPr>
            </w:pPr>
            <w:r>
              <w:rPr>
                <w:rFonts w:hint="eastAsia"/>
                <w:sz w:val="24"/>
              </w:rPr>
              <w:t>大英县发展和改革局于2023年11月13日出具了《关于中国死海AAAA级景区配套旅游基础设施建设项目（一期）项目可行性研究报告的批复》（大发改许可〔2023〕341号）（详见附件2），同意本项目前期工作的开展。</w:t>
            </w:r>
            <w:r>
              <w:rPr>
                <w:rFonts w:hint="eastAsia"/>
                <w:b/>
                <w:sz w:val="24"/>
              </w:rPr>
              <w:t>因此，本项目符合产业政策要求。</w:t>
            </w:r>
          </w:p>
          <w:p w14:paraId="32FC8858">
            <w:pPr>
              <w:pStyle w:val="69"/>
              <w:ind w:firstLine="482"/>
              <w:rPr>
                <w:b/>
              </w:rPr>
            </w:pPr>
            <w:r>
              <w:rPr>
                <w:rFonts w:hint="eastAsia"/>
                <w:b/>
              </w:rPr>
              <w:t>2、项目选线合理性分析</w:t>
            </w:r>
          </w:p>
          <w:p w14:paraId="7141619C">
            <w:pPr>
              <w:adjustRightInd w:val="0"/>
              <w:snapToGrid w:val="0"/>
              <w:spacing w:line="360" w:lineRule="auto"/>
              <w:ind w:firstLine="480" w:firstLineChars="200"/>
              <w:rPr>
                <w:sz w:val="24"/>
              </w:rPr>
            </w:pPr>
            <w:r>
              <w:rPr>
                <w:rFonts w:hint="eastAsia"/>
                <w:sz w:val="24"/>
              </w:rPr>
              <w:t>本项目位于大英县中心城区建设范围内，为《大英县国土空间总体规划（2021-2035）》中“中心城区土地使用规划”的一部分。根据建设单位提供的设计资料及可行性研究报告，本项目严格按照规划进行选线，线路走向明确，无比选方案。</w:t>
            </w:r>
          </w:p>
          <w:p w14:paraId="69DB1214">
            <w:pPr>
              <w:adjustRightInd w:val="0"/>
              <w:snapToGrid w:val="0"/>
              <w:spacing w:line="360" w:lineRule="auto"/>
              <w:ind w:firstLine="480" w:firstLineChars="200"/>
              <w:rPr>
                <w:sz w:val="24"/>
              </w:rPr>
            </w:pPr>
            <w:r>
              <w:rPr>
                <w:rFonts w:hint="eastAsia"/>
                <w:sz w:val="24"/>
              </w:rPr>
              <w:t>项目位于市郊农村区域，现状</w:t>
            </w:r>
            <w:r>
              <w:rPr>
                <w:rFonts w:hint="eastAsia"/>
                <w:kern w:val="0"/>
                <w:sz w:val="24"/>
              </w:rPr>
              <w:t>土地</w:t>
            </w:r>
            <w:r>
              <w:rPr>
                <w:rFonts w:hint="eastAsia"/>
                <w:sz w:val="24"/>
              </w:rPr>
              <w:t>主要为林地、耕地（</w:t>
            </w:r>
            <w:r>
              <w:rPr>
                <w:rFonts w:hint="eastAsia"/>
                <w:kern w:val="0"/>
                <w:sz w:val="24"/>
              </w:rPr>
              <w:t>红线范围不涉及基本农田</w:t>
            </w:r>
            <w:r>
              <w:rPr>
                <w:rFonts w:hint="eastAsia"/>
                <w:sz w:val="24"/>
              </w:rPr>
              <w:t>）、水域及荒地等，</w:t>
            </w:r>
            <w:r>
              <w:rPr>
                <w:rFonts w:hint="eastAsia"/>
                <w:kern w:val="0"/>
                <w:sz w:val="24"/>
              </w:rPr>
              <w:t>拟建道路沿线周边现存农田、林地和农村散户居民点，</w:t>
            </w:r>
            <w:r>
              <w:rPr>
                <w:rFonts w:hint="eastAsia"/>
                <w:sz w:val="24"/>
              </w:rPr>
              <w:t>本项目拆迁工作由政府有关部门完成。道路两侧根据规划为居住用地、商业设施用地、公园绿地用地等。</w:t>
            </w:r>
          </w:p>
          <w:p w14:paraId="51271B8A">
            <w:pPr>
              <w:adjustRightInd w:val="0"/>
              <w:snapToGrid w:val="0"/>
              <w:spacing w:line="360" w:lineRule="auto"/>
              <w:ind w:firstLine="480" w:firstLineChars="200"/>
              <w:rPr>
                <w:sz w:val="24"/>
              </w:rPr>
            </w:pPr>
            <w:r>
              <w:rPr>
                <w:rFonts w:hint="eastAsia"/>
                <w:sz w:val="24"/>
              </w:rPr>
              <w:t>临时用地在施工结束后，将拆除临时施工建筑设施，建筑垃圾统一清运，清理平整后，进行绿化等迹地恢复建设。项目200m范围内无文物古迹和重点保护建筑物，也无古树名木、濒危珍稀动植物、自然保护区、饮用水源保护区和风景名胜区等，项目建设无明显环境制约因素，与区域环境基本相容。</w:t>
            </w:r>
          </w:p>
          <w:p w14:paraId="37913ACF">
            <w:pPr>
              <w:adjustRightInd w:val="0"/>
              <w:snapToGrid w:val="0"/>
              <w:spacing w:line="360" w:lineRule="auto"/>
              <w:ind w:firstLine="482" w:firstLineChars="200"/>
              <w:rPr>
                <w:b/>
                <w:sz w:val="24"/>
              </w:rPr>
            </w:pPr>
            <w:r>
              <w:rPr>
                <w:rFonts w:hint="eastAsia"/>
                <w:b/>
                <w:sz w:val="24"/>
              </w:rPr>
              <w:t>综上所述，本项目严格按照规划进行选线，符合大英县城市道路规划，选线合理。</w:t>
            </w:r>
          </w:p>
          <w:p w14:paraId="4E7B855C">
            <w:pPr>
              <w:pStyle w:val="69"/>
              <w:ind w:firstLine="482"/>
              <w:rPr>
                <w:b/>
              </w:rPr>
            </w:pPr>
            <w:r>
              <w:rPr>
                <w:rFonts w:hint="eastAsia"/>
                <w:b/>
              </w:rPr>
              <w:t>3、与大气污染物等相关文件符合性分析</w:t>
            </w:r>
          </w:p>
          <w:p w14:paraId="0FB3E7A3">
            <w:pPr>
              <w:pStyle w:val="77"/>
              <w:jc w:val="center"/>
              <w:rPr>
                <w:rFonts w:ascii="Times New Roman" w:hAnsi="Times New Roman" w:eastAsia="黑体" w:cs="Times New Roman"/>
                <w:color w:val="auto"/>
                <w:sz w:val="21"/>
                <w:szCs w:val="21"/>
              </w:rPr>
            </w:pPr>
            <w:r>
              <w:rPr>
                <w:rFonts w:ascii="Times New Roman" w:hAnsi="Times New Roman" w:eastAsia="黑体" w:cs="Times New Roman"/>
                <w:color w:val="auto"/>
                <w:sz w:val="21"/>
                <w:szCs w:val="21"/>
              </w:rPr>
              <w:t>表</w:t>
            </w:r>
            <w:r>
              <w:rPr>
                <w:rFonts w:ascii="Times New Roman" w:hAnsi="Times New Roman" w:eastAsia="黑体" w:cs="Times New Roman"/>
                <w:bCs/>
                <w:color w:val="auto"/>
                <w:sz w:val="21"/>
                <w:szCs w:val="21"/>
              </w:rPr>
              <w:t xml:space="preserve">1-2  </w:t>
            </w:r>
            <w:r>
              <w:rPr>
                <w:rFonts w:ascii="Times New Roman" w:hAnsi="Times New Roman" w:eastAsia="黑体" w:cs="Times New Roman"/>
                <w:color w:val="auto"/>
                <w:sz w:val="21"/>
                <w:szCs w:val="21"/>
              </w:rPr>
              <w:t>与大气污染防治相关符合性分析</w:t>
            </w:r>
          </w:p>
          <w:tbl>
            <w:tblPr>
              <w:tblStyle w:val="34"/>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4536"/>
              <w:gridCol w:w="1418"/>
              <w:gridCol w:w="865"/>
            </w:tblGrid>
            <w:tr w14:paraId="3B85F0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260" w:type="dxa"/>
                  <w:vAlign w:val="center"/>
                </w:tcPr>
                <w:p w14:paraId="3AC804BF">
                  <w:pPr>
                    <w:pStyle w:val="69"/>
                    <w:spacing w:line="240" w:lineRule="auto"/>
                    <w:ind w:firstLine="0" w:firstLineChars="0"/>
                    <w:jc w:val="center"/>
                    <w:rPr>
                      <w:b/>
                      <w:sz w:val="21"/>
                      <w:szCs w:val="18"/>
                    </w:rPr>
                  </w:pPr>
                  <w:r>
                    <w:rPr>
                      <w:rFonts w:hint="eastAsia"/>
                      <w:b/>
                      <w:sz w:val="21"/>
                      <w:szCs w:val="18"/>
                    </w:rPr>
                    <w:t>文件名称</w:t>
                  </w:r>
                </w:p>
              </w:tc>
              <w:tc>
                <w:tcPr>
                  <w:tcW w:w="4536" w:type="dxa"/>
                  <w:vAlign w:val="center"/>
                </w:tcPr>
                <w:p w14:paraId="1D139D56">
                  <w:pPr>
                    <w:pStyle w:val="69"/>
                    <w:spacing w:line="240" w:lineRule="auto"/>
                    <w:ind w:firstLine="0" w:firstLineChars="0"/>
                    <w:jc w:val="center"/>
                    <w:rPr>
                      <w:b/>
                      <w:sz w:val="21"/>
                      <w:szCs w:val="18"/>
                    </w:rPr>
                  </w:pPr>
                  <w:r>
                    <w:rPr>
                      <w:rFonts w:hint="eastAsia"/>
                      <w:b/>
                      <w:sz w:val="21"/>
                      <w:szCs w:val="18"/>
                    </w:rPr>
                    <w:t>相关要求</w:t>
                  </w:r>
                </w:p>
              </w:tc>
              <w:tc>
                <w:tcPr>
                  <w:tcW w:w="1418" w:type="dxa"/>
                  <w:vAlign w:val="center"/>
                </w:tcPr>
                <w:p w14:paraId="291A8C4B">
                  <w:pPr>
                    <w:pStyle w:val="69"/>
                    <w:spacing w:line="240" w:lineRule="auto"/>
                    <w:ind w:firstLine="0" w:firstLineChars="0"/>
                    <w:jc w:val="center"/>
                    <w:rPr>
                      <w:b/>
                      <w:sz w:val="21"/>
                      <w:szCs w:val="18"/>
                    </w:rPr>
                  </w:pPr>
                  <w:r>
                    <w:rPr>
                      <w:rFonts w:hint="eastAsia"/>
                      <w:b/>
                      <w:sz w:val="21"/>
                      <w:szCs w:val="18"/>
                    </w:rPr>
                    <w:t>本项目情况</w:t>
                  </w:r>
                </w:p>
              </w:tc>
              <w:tc>
                <w:tcPr>
                  <w:tcW w:w="865" w:type="dxa"/>
                  <w:vAlign w:val="center"/>
                </w:tcPr>
                <w:p w14:paraId="02B6FD2B">
                  <w:pPr>
                    <w:pStyle w:val="69"/>
                    <w:spacing w:line="240" w:lineRule="auto"/>
                    <w:ind w:left="-105" w:leftChars="-50" w:right="-105" w:rightChars="-50" w:firstLine="0" w:firstLineChars="0"/>
                    <w:jc w:val="center"/>
                    <w:rPr>
                      <w:b/>
                      <w:sz w:val="21"/>
                      <w:szCs w:val="18"/>
                    </w:rPr>
                  </w:pPr>
                  <w:r>
                    <w:rPr>
                      <w:rFonts w:hint="eastAsia"/>
                      <w:b/>
                      <w:sz w:val="21"/>
                      <w:szCs w:val="18"/>
                    </w:rPr>
                    <w:t>符合性</w:t>
                  </w:r>
                </w:p>
              </w:tc>
            </w:tr>
            <w:tr w14:paraId="72F57A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260" w:type="dxa"/>
                  <w:vAlign w:val="center"/>
                </w:tcPr>
                <w:p w14:paraId="727494BD">
                  <w:pPr>
                    <w:jc w:val="center"/>
                    <w:rPr>
                      <w:kern w:val="0"/>
                      <w:sz w:val="18"/>
                      <w:szCs w:val="18"/>
                    </w:rPr>
                  </w:pPr>
                  <w:r>
                    <w:rPr>
                      <w:rFonts w:hint="eastAsia"/>
                      <w:kern w:val="0"/>
                      <w:sz w:val="18"/>
                      <w:szCs w:val="18"/>
                    </w:rPr>
                    <w:t>《空气质量持续改善行动计划》</w:t>
                  </w:r>
                </w:p>
              </w:tc>
              <w:tc>
                <w:tcPr>
                  <w:tcW w:w="4536" w:type="dxa"/>
                  <w:vAlign w:val="center"/>
                </w:tcPr>
                <w:p w14:paraId="74627F5C">
                  <w:pPr>
                    <w:pStyle w:val="69"/>
                    <w:spacing w:line="240" w:lineRule="auto"/>
                    <w:ind w:firstLine="0" w:firstLineChars="0"/>
                    <w:jc w:val="left"/>
                    <w:rPr>
                      <w:sz w:val="18"/>
                      <w:szCs w:val="18"/>
                    </w:rPr>
                  </w:pPr>
                  <w:r>
                    <w:rPr>
                      <w:rFonts w:hint="eastAsia"/>
                      <w:sz w:val="18"/>
                      <w:szCs w:val="18"/>
                    </w:rPr>
                    <w:t>五、强化面源污染治理，提升精细化管理水平</w:t>
                  </w:r>
                </w:p>
                <w:p w14:paraId="48392E26">
                  <w:pPr>
                    <w:pStyle w:val="69"/>
                    <w:spacing w:line="240" w:lineRule="auto"/>
                    <w:ind w:firstLine="0" w:firstLineChars="0"/>
                    <w:jc w:val="left"/>
                    <w:rPr>
                      <w:kern w:val="0"/>
                      <w:sz w:val="18"/>
                      <w:szCs w:val="18"/>
                    </w:rPr>
                  </w:pPr>
                  <w:r>
                    <w:rPr>
                      <w:rFonts w:hint="eastAsia"/>
                      <w:sz w:val="18"/>
                      <w:szCs w:val="18"/>
                    </w:rPr>
                    <w:t>（十八）深化扬尘污染综合治理。鼓励经济发达地区5000平方米及以上建筑工地安装视频监控并接入当地监管平台；重点区域道路、水务等长距离线性工程实行分段施工。将防治扬尘污染费用纳入工程造价。到2025年，装配式建筑占新建建筑面积比例达30%；地级及以上城市建成区道路机械化清扫率达80%左右，县城达70%左右。对城市公共裸地进行排查建档并采取防尘措施。城市大型煤炭、矿石等干散货码头物料堆场基本完成抑尘设施建设和物料输送系统封闭改造。</w:t>
                  </w:r>
                </w:p>
              </w:tc>
              <w:tc>
                <w:tcPr>
                  <w:tcW w:w="1418" w:type="dxa"/>
                  <w:vAlign w:val="center"/>
                </w:tcPr>
                <w:p w14:paraId="21F8DB27">
                  <w:pPr>
                    <w:ind w:left="-107" w:leftChars="-51" w:right="-107" w:rightChars="-51"/>
                    <w:jc w:val="center"/>
                    <w:rPr>
                      <w:kern w:val="0"/>
                      <w:sz w:val="18"/>
                      <w:szCs w:val="18"/>
                    </w:rPr>
                  </w:pPr>
                  <w:r>
                    <w:rPr>
                      <w:kern w:val="0"/>
                      <w:sz w:val="18"/>
                      <w:szCs w:val="18"/>
                    </w:rPr>
                    <w:t>本项目施工期通过强化施工管理、配备洒水车辆、雾炮机、</w:t>
                  </w:r>
                  <w:r>
                    <w:rPr>
                      <w:rFonts w:hint="eastAsia"/>
                      <w:kern w:val="0"/>
                      <w:sz w:val="18"/>
                      <w:szCs w:val="18"/>
                    </w:rPr>
                    <w:t>设置硬质</w:t>
                  </w:r>
                  <w:r>
                    <w:rPr>
                      <w:kern w:val="0"/>
                      <w:sz w:val="18"/>
                      <w:szCs w:val="18"/>
                    </w:rPr>
                    <w:t>施工</w:t>
                  </w:r>
                  <w:r>
                    <w:rPr>
                      <w:rFonts w:hint="eastAsia"/>
                      <w:kern w:val="0"/>
                      <w:sz w:val="18"/>
                      <w:szCs w:val="18"/>
                    </w:rPr>
                    <w:t>围挡、</w:t>
                  </w:r>
                  <w:r>
                    <w:rPr>
                      <w:kern w:val="0"/>
                      <w:sz w:val="18"/>
                      <w:szCs w:val="18"/>
                    </w:rPr>
                    <w:t>喷淋装置等措施，强化扬尘治理。此外，通过施工工期例行监测，严格监控保证治理措施长期有效达标。</w:t>
                  </w:r>
                </w:p>
              </w:tc>
              <w:tc>
                <w:tcPr>
                  <w:tcW w:w="865" w:type="dxa"/>
                  <w:vAlign w:val="center"/>
                </w:tcPr>
                <w:p w14:paraId="75049012">
                  <w:pPr>
                    <w:pStyle w:val="69"/>
                    <w:spacing w:line="240" w:lineRule="auto"/>
                    <w:ind w:left="-105" w:leftChars="-50" w:right="-105" w:rightChars="-50" w:firstLine="0" w:firstLineChars="0"/>
                    <w:jc w:val="center"/>
                    <w:rPr>
                      <w:b/>
                      <w:sz w:val="21"/>
                      <w:szCs w:val="18"/>
                    </w:rPr>
                  </w:pPr>
                  <w:r>
                    <w:rPr>
                      <w:rFonts w:hint="eastAsia"/>
                      <w:b/>
                      <w:sz w:val="21"/>
                      <w:szCs w:val="18"/>
                    </w:rPr>
                    <w:t>符合</w:t>
                  </w:r>
                </w:p>
              </w:tc>
            </w:tr>
            <w:tr w14:paraId="18C18A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0" w:type="dxa"/>
                  <w:vAlign w:val="center"/>
                </w:tcPr>
                <w:p w14:paraId="266B7C64">
                  <w:pPr>
                    <w:pStyle w:val="69"/>
                    <w:spacing w:line="240" w:lineRule="auto"/>
                    <w:ind w:left="-105" w:leftChars="-50" w:right="-105" w:rightChars="-50" w:firstLine="0" w:firstLineChars="0"/>
                    <w:jc w:val="center"/>
                    <w:rPr>
                      <w:sz w:val="18"/>
                      <w:szCs w:val="18"/>
                    </w:rPr>
                  </w:pPr>
                  <w:r>
                    <w:rPr>
                      <w:rFonts w:hint="eastAsia"/>
                      <w:sz w:val="18"/>
                      <w:szCs w:val="18"/>
                    </w:rPr>
                    <w:t>《四川省人民政府关于印发四川省打赢蓝天保卫战等九个实施方案的通知》（川府发〔2023〕4号）</w:t>
                  </w:r>
                </w:p>
              </w:tc>
              <w:tc>
                <w:tcPr>
                  <w:tcW w:w="4536" w:type="dxa"/>
                </w:tcPr>
                <w:p w14:paraId="29A952EA">
                  <w:pPr>
                    <w:pStyle w:val="69"/>
                    <w:spacing w:line="240" w:lineRule="auto"/>
                    <w:ind w:firstLine="0" w:firstLineChars="0"/>
                    <w:jc w:val="left"/>
                    <w:rPr>
                      <w:sz w:val="18"/>
                      <w:szCs w:val="18"/>
                    </w:rPr>
                  </w:pPr>
                  <w:r>
                    <w:rPr>
                      <w:rFonts w:hint="eastAsia"/>
                      <w:sz w:val="18"/>
                      <w:szCs w:val="18"/>
                    </w:rPr>
                    <w:t>（四）加强扬尘管控，提高城市环境管理水平。</w:t>
                  </w:r>
                </w:p>
                <w:p w14:paraId="067954FB">
                  <w:pPr>
                    <w:pStyle w:val="69"/>
                    <w:spacing w:line="240" w:lineRule="auto"/>
                    <w:ind w:firstLine="360"/>
                    <w:jc w:val="left"/>
                    <w:rPr>
                      <w:sz w:val="18"/>
                      <w:szCs w:val="18"/>
                    </w:rPr>
                  </w:pPr>
                  <w:r>
                    <w:rPr>
                      <w:rFonts w:hint="eastAsia"/>
                      <w:sz w:val="18"/>
                      <w:szCs w:val="18"/>
                    </w:rPr>
                    <w:t>严格施工扬尘监管。大力推进装配式建筑，推广节能降耗的建筑新技术和新工艺，提高绿色施工水平。加强城市施工工地扬尘管控，建立扬尘控制责任制度。各地建立施工工地管理清单并定期进行更新。研究制定建筑施工扬尘防治技术导则。严格落实“六必须、六不准”管控要求，对违法违规的工地，依法停工整改。将扬尘管理工作不到位的不良信息纳入建筑市场信用管理体系，情节严重的，列入建筑市场主体“黑名单”。督促建设单位依法将防治扬尘污染费用列入工程造价。建立扬尘在线监测体系，加强现场检查力度。严禁露天焚烧建筑垃圾，排放有毒烟尘和气体。加强预拌混凝土和预拌砂浆搅拌站扬尘防治，严格执行《预拌混凝土绿色生产及技术管理规程》，研究制定预拌混凝土和预拌砂浆搅拌站绿色环保标准，严禁在禁区内现场搅拌混凝土、砂浆或设置移动式搅拌站，推进全市绿色搅拌站建设。</w:t>
                  </w:r>
                </w:p>
                <w:p w14:paraId="393E0376">
                  <w:pPr>
                    <w:pStyle w:val="69"/>
                    <w:spacing w:line="240" w:lineRule="auto"/>
                    <w:ind w:firstLine="360"/>
                    <w:jc w:val="left"/>
                    <w:rPr>
                      <w:sz w:val="18"/>
                      <w:szCs w:val="18"/>
                    </w:rPr>
                  </w:pPr>
                  <w:r>
                    <w:rPr>
                      <w:rFonts w:hint="eastAsia"/>
                      <w:sz w:val="18"/>
                      <w:szCs w:val="18"/>
                    </w:rPr>
                    <w:t>强化道路施工管控。县级以上城市道路施工应采取逐段施工方式，尽力减少道路施工扬尘。对未硬化道路入口、未硬化停车场和道路两侧裸土，采用绿化硬化相结合的方式，实施绿化带“提档降土”改造工程和裸土覆盖工程，减少裸土面积，防止泥土洒落。</w:t>
                  </w:r>
                </w:p>
                <w:p w14:paraId="1C940491">
                  <w:pPr>
                    <w:pStyle w:val="69"/>
                    <w:spacing w:line="240" w:lineRule="auto"/>
                    <w:ind w:firstLine="360"/>
                    <w:jc w:val="left"/>
                    <w:rPr>
                      <w:sz w:val="18"/>
                      <w:szCs w:val="18"/>
                    </w:rPr>
                  </w:pPr>
                  <w:r>
                    <w:rPr>
                      <w:rFonts w:hint="eastAsia"/>
                      <w:sz w:val="18"/>
                      <w:szCs w:val="18"/>
                    </w:rPr>
                    <w:t>严格城区道路扬尘治理。建立完善的渣土运输管理制度，严格审批发放建筑垃圾运输许可证，对运输渣土的车辆进行登记注册，实行一车一证，确保使用达标车辆规范运输。严格渣土、环卫垃圾运输车辆全密闭管理，严格查处抛洒滴漏、带泥行驶、道路乱开乱挖以及擅自清运工程渣土等行为。加强脏车入城和在城市道路上行驶管理。建立道路设点检查、联合夜查等常规检查及应急处置机制，开展专项执法。加强城市道路机械化清扫。加大财政投入，科学增配机械化作业设备，合理配备大中小型机械化清扫车辆，提高机械化作业覆盖面。规范清扫保洁作业程序，综合使用冲、刷、吸、扫等作业方式提高道路清扫保洁质量。加强快车道、慢车道、人行道、绿化带、花坛等地段保洁工作，扩大清扫保洁作业覆盖面。到2020年，主城区道路机械化清扫率达到70%以上，县城达到60%以上。</w:t>
                  </w:r>
                </w:p>
                <w:p w14:paraId="28235949">
                  <w:pPr>
                    <w:pStyle w:val="69"/>
                    <w:spacing w:line="240" w:lineRule="auto"/>
                    <w:ind w:firstLine="360" w:firstLineChars="0"/>
                    <w:jc w:val="left"/>
                    <w:rPr>
                      <w:sz w:val="18"/>
                      <w:szCs w:val="18"/>
                    </w:rPr>
                  </w:pPr>
                  <w:r>
                    <w:rPr>
                      <w:rFonts w:hint="eastAsia"/>
                      <w:sz w:val="18"/>
                      <w:szCs w:val="18"/>
                    </w:rPr>
                    <w:t>强化堆场扬尘管控。工业企业堆场实施规范化全封闭管理。易产生扬尘的物料堆场 采用封闭式库仓，不具备封闭式库仓改造条件的，应设置不低于料堆高度的严密围挡，并采取覆盖措施有效控制扬尘污染；堆场内进行搅拌、粉碎、筛分等作业时应喷水抑尘，遇重污染天气时禁止进行产生扬尘的作业。物料装卸配备喷淋等防尘设施，转运物料尽量采取封闭式皮带输送。厂区主要运输通道实施硬化并定期冲洗或湿式清扫，堆场进出口设置车辆冲洗设施，运输车辆实施密闭或全覆盖，及时收集清理堆场外道路上散落的物料。建设工业企业堆场数据库，并组织安装工业堆场视频监控设施，实现工业企业堆场扬尘动态管理。加强砂石厂扬尘管控。</w:t>
                  </w:r>
                </w:p>
              </w:tc>
              <w:tc>
                <w:tcPr>
                  <w:tcW w:w="1418" w:type="dxa"/>
                  <w:vAlign w:val="center"/>
                </w:tcPr>
                <w:p w14:paraId="1C73D87D">
                  <w:pPr>
                    <w:pStyle w:val="69"/>
                    <w:spacing w:line="240" w:lineRule="auto"/>
                    <w:ind w:left="-105" w:leftChars="-50" w:right="-105" w:rightChars="-50" w:firstLine="0" w:firstLineChars="0"/>
                    <w:jc w:val="center"/>
                    <w:rPr>
                      <w:sz w:val="18"/>
                      <w:szCs w:val="18"/>
                    </w:rPr>
                  </w:pPr>
                  <w:r>
                    <w:rPr>
                      <w:rFonts w:hint="eastAsia"/>
                      <w:sz w:val="18"/>
                      <w:szCs w:val="18"/>
                    </w:rPr>
                    <w:t>本项目施工期施工场地严格实施”六个百分百”管理，控制施工扬尘。</w:t>
                  </w:r>
                </w:p>
                <w:p w14:paraId="4B175EC7">
                  <w:pPr>
                    <w:pStyle w:val="69"/>
                    <w:spacing w:line="240" w:lineRule="auto"/>
                    <w:ind w:left="-105" w:leftChars="-50" w:right="-105" w:rightChars="-50" w:firstLine="0" w:firstLineChars="0"/>
                    <w:jc w:val="center"/>
                    <w:rPr>
                      <w:b/>
                      <w:sz w:val="18"/>
                      <w:szCs w:val="18"/>
                    </w:rPr>
                  </w:pPr>
                  <w:r>
                    <w:rPr>
                      <w:rFonts w:hint="eastAsia"/>
                      <w:sz w:val="18"/>
                      <w:szCs w:val="18"/>
                    </w:rPr>
                    <w:t>本项目要求建立完善的渣土运输管理制度，确保使用达标车辆规范运输。</w:t>
                  </w:r>
                </w:p>
              </w:tc>
              <w:tc>
                <w:tcPr>
                  <w:tcW w:w="865" w:type="dxa"/>
                  <w:vAlign w:val="center"/>
                </w:tcPr>
                <w:p w14:paraId="55F195AE">
                  <w:pPr>
                    <w:pStyle w:val="69"/>
                    <w:spacing w:line="240" w:lineRule="auto"/>
                    <w:ind w:left="-105" w:leftChars="-50" w:right="-105" w:rightChars="-50" w:firstLine="0" w:firstLineChars="0"/>
                    <w:jc w:val="center"/>
                    <w:rPr>
                      <w:sz w:val="18"/>
                      <w:szCs w:val="18"/>
                    </w:rPr>
                  </w:pPr>
                  <w:r>
                    <w:rPr>
                      <w:rFonts w:hint="eastAsia"/>
                      <w:sz w:val="18"/>
                      <w:szCs w:val="18"/>
                    </w:rPr>
                    <w:t>符合</w:t>
                  </w:r>
                </w:p>
              </w:tc>
            </w:tr>
            <w:tr w14:paraId="347537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0" w:type="dxa"/>
                  <w:vAlign w:val="center"/>
                </w:tcPr>
                <w:p w14:paraId="7676AEBF">
                  <w:pPr>
                    <w:pStyle w:val="69"/>
                    <w:spacing w:line="240" w:lineRule="auto"/>
                    <w:ind w:left="-105" w:leftChars="-50" w:right="-105" w:rightChars="-50" w:firstLine="0" w:firstLineChars="0"/>
                    <w:jc w:val="center"/>
                    <w:rPr>
                      <w:b/>
                      <w:sz w:val="18"/>
                      <w:szCs w:val="18"/>
                    </w:rPr>
                  </w:pPr>
                  <w:r>
                    <w:rPr>
                      <w:rFonts w:hint="eastAsia"/>
                      <w:sz w:val="18"/>
                      <w:szCs w:val="18"/>
                    </w:rPr>
                    <w:t>《关于划定禁止施工现场搅拌混凝土、砂浆、设置移动式搅拌站区域的通告》</w:t>
                  </w:r>
                </w:p>
              </w:tc>
              <w:tc>
                <w:tcPr>
                  <w:tcW w:w="4536" w:type="dxa"/>
                </w:tcPr>
                <w:p w14:paraId="7CFDEAC0">
                  <w:pPr>
                    <w:pStyle w:val="69"/>
                    <w:spacing w:line="240" w:lineRule="auto"/>
                    <w:ind w:firstLine="360"/>
                    <w:jc w:val="left"/>
                    <w:rPr>
                      <w:sz w:val="18"/>
                      <w:szCs w:val="18"/>
                    </w:rPr>
                  </w:pPr>
                  <w:r>
                    <w:rPr>
                      <w:rFonts w:hint="eastAsia"/>
                      <w:sz w:val="18"/>
                      <w:szCs w:val="18"/>
                    </w:rPr>
                    <w:t>第三十三条 施工单位应当采取下列措施控制施工过程中的扬尘污染：（一）在施工现场出入口设置喷淋、冲洗等防尘降尘设施，对驶离车辆实施冲洗，避免车身、车轮带泥上路行驶；（二）采取入库存放或者其他有效覆盖措施，妥善存放粉灰质建筑材料；（三）在施工作业停止后，对裸置场地和临时堆放的建筑垃圾，采用密闭式防尘网进行遮盖或者实施绿化覆盖；（四）配置专职人员，负责施工现场和出入口的环境卫生维护工作；（五）法律、法规、规章规定的其他扬尘污染防治措施。</w:t>
                  </w:r>
                </w:p>
                <w:p w14:paraId="5AB0CEFB">
                  <w:pPr>
                    <w:pStyle w:val="69"/>
                    <w:spacing w:line="240" w:lineRule="auto"/>
                    <w:ind w:firstLine="360"/>
                    <w:jc w:val="left"/>
                    <w:rPr>
                      <w:sz w:val="18"/>
                      <w:szCs w:val="18"/>
                    </w:rPr>
                  </w:pPr>
                  <w:r>
                    <w:rPr>
                      <w:rFonts w:hint="eastAsia"/>
                      <w:sz w:val="18"/>
                      <w:szCs w:val="18"/>
                    </w:rPr>
                    <w:t>第三十四条 禁止在施工现场内从事下列行为：（一）临空抛撒建筑垃圾等废弃物；（二）在规定的限制区域内现场搅拌混凝土或者砂浆；（三）使用袋装水泥；（四）无符合规定装置熔融沥青；（五）焚烧油毡、油漆、建筑垃圾、生活垃圾等物质；（六）违反规定使用燃煤等非清洁能源；（七）法律、法规、规章禁止的其他污染大气环境的行为。</w:t>
                  </w:r>
                </w:p>
                <w:p w14:paraId="69078464">
                  <w:pPr>
                    <w:pStyle w:val="69"/>
                    <w:spacing w:line="240" w:lineRule="auto"/>
                    <w:ind w:firstLine="360"/>
                    <w:jc w:val="left"/>
                    <w:rPr>
                      <w:b/>
                      <w:sz w:val="18"/>
                      <w:szCs w:val="18"/>
                    </w:rPr>
                  </w:pPr>
                  <w:r>
                    <w:rPr>
                      <w:rFonts w:hint="eastAsia"/>
                      <w:sz w:val="18"/>
                      <w:szCs w:val="18"/>
                    </w:rPr>
                    <w:t>第三十五条 遇重污染天气时，建设单位和施工单位应当按照市和区（市）县人民政府制定的重污染天气应急预案，及时落实各级预警下施工现场应当采取的应急措施。</w:t>
                  </w:r>
                </w:p>
              </w:tc>
              <w:tc>
                <w:tcPr>
                  <w:tcW w:w="1418" w:type="dxa"/>
                  <w:vAlign w:val="center"/>
                </w:tcPr>
                <w:p w14:paraId="2C2FE004">
                  <w:pPr>
                    <w:pStyle w:val="69"/>
                    <w:spacing w:line="240" w:lineRule="auto"/>
                    <w:ind w:left="-105" w:leftChars="-50" w:right="-105" w:rightChars="-50" w:firstLine="0" w:firstLineChars="0"/>
                    <w:jc w:val="center"/>
                    <w:rPr>
                      <w:sz w:val="18"/>
                      <w:szCs w:val="18"/>
                    </w:rPr>
                  </w:pPr>
                  <w:r>
                    <w:rPr>
                      <w:rFonts w:hint="eastAsia"/>
                      <w:sz w:val="18"/>
                      <w:szCs w:val="18"/>
                    </w:rPr>
                    <w:t>本项目施工期施工场地严格实施”六个百分百”管理，控制施工扬尘。本项目要求建立完善的渣土运输管理制度，确保使用达标车辆规范运输。</w:t>
                  </w:r>
                </w:p>
                <w:p w14:paraId="2BEC63C7">
                  <w:pPr>
                    <w:pStyle w:val="69"/>
                    <w:spacing w:line="240" w:lineRule="auto"/>
                    <w:ind w:left="-105" w:leftChars="-50" w:right="-105" w:rightChars="-50" w:firstLine="0" w:firstLineChars="0"/>
                    <w:jc w:val="center"/>
                    <w:rPr>
                      <w:sz w:val="18"/>
                      <w:szCs w:val="18"/>
                    </w:rPr>
                  </w:pPr>
                  <w:r>
                    <w:rPr>
                      <w:rFonts w:hint="eastAsia"/>
                      <w:sz w:val="18"/>
                      <w:szCs w:val="18"/>
                    </w:rPr>
                    <w:t>本项目严格落实《遂宁市重污染天气应急预案（2024年修订）》的有关要求，制定的重污染天气应急预案，及时落实各级预警下施工现场应当采取的应急措施。</w:t>
                  </w:r>
                </w:p>
              </w:tc>
              <w:tc>
                <w:tcPr>
                  <w:tcW w:w="865" w:type="dxa"/>
                  <w:vAlign w:val="center"/>
                </w:tcPr>
                <w:p w14:paraId="29FD682D">
                  <w:pPr>
                    <w:pStyle w:val="69"/>
                    <w:spacing w:line="240" w:lineRule="auto"/>
                    <w:ind w:firstLine="0" w:firstLineChars="0"/>
                    <w:jc w:val="center"/>
                    <w:rPr>
                      <w:sz w:val="18"/>
                      <w:szCs w:val="18"/>
                    </w:rPr>
                  </w:pPr>
                  <w:r>
                    <w:rPr>
                      <w:rFonts w:hint="eastAsia"/>
                      <w:sz w:val="18"/>
                      <w:szCs w:val="18"/>
                    </w:rPr>
                    <w:t>符合</w:t>
                  </w:r>
                </w:p>
              </w:tc>
            </w:tr>
            <w:tr w14:paraId="3D707E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0" w:type="dxa"/>
                  <w:vAlign w:val="center"/>
                </w:tcPr>
                <w:p w14:paraId="6BC20BA9">
                  <w:pPr>
                    <w:pStyle w:val="69"/>
                    <w:spacing w:line="240" w:lineRule="auto"/>
                    <w:ind w:left="-105" w:leftChars="-50" w:right="-105" w:rightChars="-50" w:firstLine="0" w:firstLineChars="0"/>
                    <w:jc w:val="center"/>
                    <w:rPr>
                      <w:sz w:val="18"/>
                      <w:szCs w:val="18"/>
                    </w:rPr>
                  </w:pPr>
                  <w:r>
                    <w:rPr>
                      <w:rFonts w:hint="eastAsia"/>
                      <w:sz w:val="18"/>
                      <w:szCs w:val="18"/>
                    </w:rPr>
                    <w:t>《遂宁市重污染天气应急预案（2024年修订）的通知》</w:t>
                  </w:r>
                </w:p>
              </w:tc>
              <w:tc>
                <w:tcPr>
                  <w:tcW w:w="4536" w:type="dxa"/>
                </w:tcPr>
                <w:p w14:paraId="13771FF7">
                  <w:pPr>
                    <w:pStyle w:val="69"/>
                    <w:spacing w:line="240" w:lineRule="auto"/>
                    <w:ind w:firstLine="360"/>
                    <w:jc w:val="left"/>
                    <w:rPr>
                      <w:sz w:val="18"/>
                      <w:szCs w:val="18"/>
                    </w:rPr>
                  </w:pPr>
                  <w:r>
                    <w:rPr>
                      <w:rFonts w:hint="eastAsia"/>
                      <w:sz w:val="18"/>
                      <w:szCs w:val="18"/>
                    </w:rPr>
                    <w:t>预警分级：按照重污染天气的发展趋势和严重程度，本市重污染天气预警划分为三个等级，由低到高依次为：</w:t>
                  </w:r>
                  <w:r>
                    <w:rPr>
                      <w:rFonts w:hint="eastAsia"/>
                      <w:b/>
                      <w:i/>
                      <w:sz w:val="18"/>
                      <w:szCs w:val="18"/>
                    </w:rPr>
                    <w:t>黄色预警、橙色预警、红色预警。</w:t>
                  </w:r>
                </w:p>
                <w:p w14:paraId="721FBAF9">
                  <w:pPr>
                    <w:pStyle w:val="69"/>
                    <w:spacing w:line="240" w:lineRule="auto"/>
                    <w:ind w:firstLine="361"/>
                    <w:jc w:val="left"/>
                    <w:rPr>
                      <w:sz w:val="18"/>
                      <w:szCs w:val="18"/>
                    </w:rPr>
                  </w:pPr>
                  <w:r>
                    <w:rPr>
                      <w:rFonts w:hint="eastAsia"/>
                      <w:b/>
                      <w:sz w:val="18"/>
                      <w:szCs w:val="18"/>
                    </w:rPr>
                    <w:t>黄色预警：</w:t>
                  </w:r>
                  <w:r>
                    <w:rPr>
                      <w:rFonts w:hint="eastAsia"/>
                      <w:sz w:val="18"/>
                      <w:szCs w:val="18"/>
                    </w:rPr>
                    <w:t>预测AQI日均值&gt;200（或PM</w:t>
                  </w:r>
                  <w:r>
                    <w:rPr>
                      <w:rFonts w:hint="eastAsia"/>
                      <w:sz w:val="18"/>
                      <w:szCs w:val="18"/>
                      <w:vertAlign w:val="subscript"/>
                    </w:rPr>
                    <w:t>2.5</w:t>
                  </w:r>
                  <w:r>
                    <w:rPr>
                      <w:rFonts w:hint="eastAsia"/>
                      <w:sz w:val="18"/>
                      <w:szCs w:val="18"/>
                    </w:rPr>
                    <w:t>浓度&gt;115微克每立方米）持续2天（48小时）及以上，且未达到高级别预警条件。</w:t>
                  </w:r>
                </w:p>
                <w:p w14:paraId="0ECBD400">
                  <w:pPr>
                    <w:pStyle w:val="69"/>
                    <w:spacing w:line="240" w:lineRule="auto"/>
                    <w:ind w:firstLine="360"/>
                    <w:jc w:val="left"/>
                    <w:rPr>
                      <w:sz w:val="18"/>
                      <w:szCs w:val="18"/>
                    </w:rPr>
                  </w:pPr>
                  <w:r>
                    <w:rPr>
                      <w:rFonts w:hint="eastAsia"/>
                      <w:sz w:val="18"/>
                      <w:szCs w:val="18"/>
                    </w:rPr>
                    <w:t>预测AQI日均值&gt;200持续3天（72小时）及以上，或</w:t>
                  </w:r>
                  <w:r>
                    <w:rPr>
                      <w:rFonts w:hint="eastAsia"/>
                      <w:b/>
                      <w:sz w:val="18"/>
                      <w:szCs w:val="18"/>
                    </w:rPr>
                    <w:t>橙色预警：</w:t>
                  </w:r>
                  <w:r>
                    <w:rPr>
                      <w:rFonts w:hint="eastAsia"/>
                      <w:sz w:val="18"/>
                      <w:szCs w:val="18"/>
                    </w:rPr>
                    <w:t>预测PM2.5浓度&gt;115微克每立方米持续3天（72小时）及以上且PM</w:t>
                  </w:r>
                  <w:r>
                    <w:rPr>
                      <w:rFonts w:hint="eastAsia"/>
                      <w:sz w:val="18"/>
                      <w:szCs w:val="18"/>
                      <w:vertAlign w:val="subscript"/>
                    </w:rPr>
                    <w:t>2.5</w:t>
                  </w:r>
                  <w:r>
                    <w:rPr>
                      <w:rFonts w:hint="eastAsia"/>
                      <w:sz w:val="18"/>
                      <w:szCs w:val="18"/>
                    </w:rPr>
                    <w:t>浓度&gt;150微克每立方米持续1天（24小时）及以上，且未达到高级别预警条件。</w:t>
                  </w:r>
                </w:p>
                <w:p w14:paraId="44BB0DA2">
                  <w:pPr>
                    <w:pStyle w:val="69"/>
                    <w:spacing w:line="240" w:lineRule="auto"/>
                    <w:ind w:firstLine="361"/>
                    <w:jc w:val="left"/>
                    <w:rPr>
                      <w:sz w:val="18"/>
                      <w:szCs w:val="18"/>
                    </w:rPr>
                  </w:pPr>
                  <w:r>
                    <w:rPr>
                      <w:rFonts w:hint="eastAsia"/>
                      <w:b/>
                      <w:sz w:val="18"/>
                      <w:szCs w:val="18"/>
                    </w:rPr>
                    <w:t>红色预警：</w:t>
                  </w:r>
                  <w:r>
                    <w:rPr>
                      <w:rFonts w:hint="eastAsia"/>
                      <w:sz w:val="18"/>
                      <w:szCs w:val="18"/>
                    </w:rPr>
                    <w:t>预测AQI日均值&gt;200持续4天（96小时）及以上，且预测AQI日均值&gt;300持续2天（48小时）及以上；或预测AQI日均值达到500。</w:t>
                  </w:r>
                </w:p>
                <w:p w14:paraId="79E50B83">
                  <w:pPr>
                    <w:pStyle w:val="69"/>
                    <w:spacing w:line="240" w:lineRule="auto"/>
                    <w:ind w:firstLine="360"/>
                    <w:jc w:val="left"/>
                    <w:rPr>
                      <w:sz w:val="18"/>
                      <w:szCs w:val="18"/>
                    </w:rPr>
                  </w:pPr>
                  <w:r>
                    <w:rPr>
                      <w:rFonts w:hint="eastAsia"/>
                      <w:sz w:val="18"/>
                      <w:szCs w:val="18"/>
                    </w:rPr>
                    <w:t>应急响应措施：</w:t>
                  </w:r>
                </w:p>
                <w:p w14:paraId="5C4EBC79">
                  <w:pPr>
                    <w:pStyle w:val="69"/>
                    <w:spacing w:line="240" w:lineRule="auto"/>
                    <w:ind w:firstLine="360"/>
                    <w:jc w:val="left"/>
                    <w:rPr>
                      <w:sz w:val="18"/>
                      <w:szCs w:val="18"/>
                    </w:rPr>
                  </w:pPr>
                  <w:r>
                    <w:rPr>
                      <w:rFonts w:hint="eastAsia"/>
                      <w:sz w:val="18"/>
                      <w:szCs w:val="18"/>
                    </w:rPr>
                    <w:t>根据空气重污染预警级别，采取相应的健康防护引导、倡议性和强制性减排措施。</w:t>
                  </w:r>
                </w:p>
                <w:p w14:paraId="22C31763">
                  <w:pPr>
                    <w:pStyle w:val="69"/>
                    <w:spacing w:line="240" w:lineRule="auto"/>
                    <w:ind w:firstLine="360"/>
                    <w:jc w:val="left"/>
                    <w:rPr>
                      <w:sz w:val="18"/>
                      <w:szCs w:val="18"/>
                    </w:rPr>
                  </w:pPr>
                  <w:r>
                    <w:rPr>
                      <w:rFonts w:hint="eastAsia"/>
                      <w:sz w:val="18"/>
                      <w:szCs w:val="18"/>
                    </w:rPr>
                    <w:t>★★★ 三级响应（黄色预警）与本项目相关的污染减排措施要求。</w:t>
                  </w:r>
                </w:p>
                <w:p w14:paraId="12326B23">
                  <w:pPr>
                    <w:pStyle w:val="69"/>
                    <w:spacing w:line="240" w:lineRule="auto"/>
                    <w:ind w:firstLine="360"/>
                    <w:jc w:val="left"/>
                    <w:rPr>
                      <w:sz w:val="18"/>
                      <w:szCs w:val="18"/>
                    </w:rPr>
                  </w:pPr>
                  <w:r>
                    <w:rPr>
                      <w:rFonts w:hint="eastAsia"/>
                      <w:sz w:val="18"/>
                      <w:szCs w:val="18"/>
                    </w:rPr>
                    <w:t>★倡议性污染减排措施</w:t>
                  </w:r>
                </w:p>
                <w:p w14:paraId="5E3735C5">
                  <w:pPr>
                    <w:pStyle w:val="69"/>
                    <w:spacing w:line="240" w:lineRule="auto"/>
                    <w:ind w:firstLine="360"/>
                    <w:jc w:val="left"/>
                    <w:rPr>
                      <w:sz w:val="18"/>
                      <w:szCs w:val="18"/>
                    </w:rPr>
                  </w:pPr>
                  <w:r>
                    <w:rPr>
                      <w:rFonts w:hint="eastAsia"/>
                      <w:sz w:val="18"/>
                      <w:szCs w:val="18"/>
                    </w:rPr>
                    <w:t>①加大施工工地、裸露堆土、物料堆放等的扬尘控制力度。</w:t>
                  </w:r>
                </w:p>
                <w:p w14:paraId="653FDD3C">
                  <w:pPr>
                    <w:pStyle w:val="69"/>
                    <w:spacing w:line="240" w:lineRule="auto"/>
                    <w:ind w:firstLine="360"/>
                    <w:jc w:val="left"/>
                    <w:rPr>
                      <w:sz w:val="18"/>
                      <w:szCs w:val="18"/>
                    </w:rPr>
                  </w:pPr>
                  <w:r>
                    <w:rPr>
                      <w:rFonts w:hint="eastAsia"/>
                      <w:sz w:val="18"/>
                      <w:szCs w:val="18"/>
                    </w:rPr>
                    <w:t>②减少涂料、油漆、溶剂等含挥发性有机物的原材料及产品使用。</w:t>
                  </w:r>
                </w:p>
                <w:p w14:paraId="27F2952E">
                  <w:pPr>
                    <w:pStyle w:val="69"/>
                    <w:spacing w:line="240" w:lineRule="auto"/>
                    <w:ind w:firstLine="360"/>
                    <w:jc w:val="left"/>
                    <w:rPr>
                      <w:sz w:val="18"/>
                      <w:szCs w:val="18"/>
                    </w:rPr>
                  </w:pPr>
                  <w:r>
                    <w:rPr>
                      <w:rFonts w:hint="eastAsia"/>
                      <w:sz w:val="18"/>
                      <w:szCs w:val="18"/>
                    </w:rPr>
                    <w:t>★强制性减排措施</w:t>
                  </w:r>
                </w:p>
                <w:p w14:paraId="625F3AC5">
                  <w:pPr>
                    <w:pStyle w:val="69"/>
                    <w:spacing w:line="240" w:lineRule="auto"/>
                    <w:ind w:firstLine="360"/>
                    <w:jc w:val="left"/>
                    <w:rPr>
                      <w:sz w:val="18"/>
                      <w:szCs w:val="18"/>
                    </w:rPr>
                  </w:pPr>
                  <w:r>
                    <w:rPr>
                      <w:rFonts w:hint="eastAsia"/>
                      <w:sz w:val="18"/>
                      <w:szCs w:val="18"/>
                    </w:rPr>
                    <w:t>①中心城区、郊区新城建成区：易产生扬尘的建材禁止露天敞开堆放和加工；产生挥发性有机物的房屋建设、房屋修缮、大型商业建筑装修、外立面改造、道路画线、道路沥青铺设以及汽车维修（绿色钣喷维修企业除外）、广告等行业的喷涂、粉刷作业停工；除市政府批准的重点工程及应急抢险工程外，其他施工工地土石方作业（包括开挖、回填、场内倒运）、建筑拆除、建筑工程配套道路和管沟开挖停止作业；施工现场国Ⅱ及以下的非道路移动机械停用（新能源和紧急检修作业机械除外）。</w:t>
                  </w:r>
                </w:p>
                <w:p w14:paraId="15574949">
                  <w:pPr>
                    <w:pStyle w:val="69"/>
                    <w:spacing w:line="240" w:lineRule="auto"/>
                    <w:ind w:firstLine="360"/>
                    <w:jc w:val="left"/>
                    <w:rPr>
                      <w:sz w:val="18"/>
                      <w:szCs w:val="18"/>
                    </w:rPr>
                  </w:pPr>
                  <w:r>
                    <w:rPr>
                      <w:rFonts w:hint="eastAsia"/>
                      <w:sz w:val="18"/>
                      <w:szCs w:val="18"/>
                    </w:rPr>
                    <w:t>②中心城区、郊区新城建成区：建筑垃圾（含工程渣土）运输车辆（市政府批准的重点工程及应急抢险工程施工配套车辆除外）以及运输煤炭、砂石、袋装水泥等易产生扬尘的运输车辆全天24小时禁止通行。</w:t>
                  </w:r>
                </w:p>
                <w:p w14:paraId="4844596C">
                  <w:pPr>
                    <w:pStyle w:val="69"/>
                    <w:spacing w:line="240" w:lineRule="auto"/>
                    <w:ind w:firstLine="360"/>
                    <w:jc w:val="left"/>
                    <w:rPr>
                      <w:sz w:val="18"/>
                      <w:szCs w:val="18"/>
                    </w:rPr>
                  </w:pPr>
                  <w:r>
                    <w:rPr>
                      <w:rFonts w:hint="eastAsia"/>
                      <w:sz w:val="18"/>
                      <w:szCs w:val="18"/>
                    </w:rPr>
                    <w:t>★★★ 二级响应（橙色预警）与本项目相关的污染减排措施要求</w:t>
                  </w:r>
                </w:p>
                <w:p w14:paraId="3D8EA9B1">
                  <w:pPr>
                    <w:pStyle w:val="69"/>
                    <w:spacing w:line="240" w:lineRule="auto"/>
                    <w:ind w:firstLine="360"/>
                    <w:jc w:val="left"/>
                    <w:rPr>
                      <w:sz w:val="18"/>
                      <w:szCs w:val="18"/>
                    </w:rPr>
                  </w:pPr>
                  <w:r>
                    <w:rPr>
                      <w:rFonts w:hint="eastAsia"/>
                      <w:sz w:val="18"/>
                      <w:szCs w:val="18"/>
                    </w:rPr>
                    <w:t>★★倡议性污染减排措施</w:t>
                  </w:r>
                </w:p>
                <w:p w14:paraId="3DB5EEB3">
                  <w:pPr>
                    <w:pStyle w:val="69"/>
                    <w:spacing w:line="240" w:lineRule="auto"/>
                    <w:ind w:firstLine="360"/>
                    <w:jc w:val="left"/>
                    <w:rPr>
                      <w:sz w:val="18"/>
                      <w:szCs w:val="18"/>
                    </w:rPr>
                  </w:pPr>
                  <w:r>
                    <w:rPr>
                      <w:rFonts w:hint="eastAsia"/>
                      <w:sz w:val="18"/>
                      <w:szCs w:val="18"/>
                    </w:rPr>
                    <w:t>①加大施工工地、裸露堆土、物料堆放等的扬尘控制力度。</w:t>
                  </w:r>
                </w:p>
                <w:p w14:paraId="202E4A42">
                  <w:pPr>
                    <w:pStyle w:val="69"/>
                    <w:spacing w:line="240" w:lineRule="auto"/>
                    <w:ind w:firstLine="360"/>
                    <w:jc w:val="left"/>
                    <w:rPr>
                      <w:sz w:val="18"/>
                      <w:szCs w:val="18"/>
                    </w:rPr>
                  </w:pPr>
                  <w:r>
                    <w:rPr>
                      <w:rFonts w:hint="eastAsia"/>
                      <w:sz w:val="18"/>
                      <w:szCs w:val="18"/>
                    </w:rPr>
                    <w:t>②减少涂料、油漆、溶剂等含挥发性有机物的原材料及产品使用。</w:t>
                  </w:r>
                </w:p>
                <w:p w14:paraId="27D045F9">
                  <w:pPr>
                    <w:pStyle w:val="69"/>
                    <w:spacing w:line="240" w:lineRule="auto"/>
                    <w:ind w:firstLine="360"/>
                    <w:jc w:val="left"/>
                    <w:rPr>
                      <w:sz w:val="18"/>
                      <w:szCs w:val="18"/>
                    </w:rPr>
                  </w:pPr>
                  <w:r>
                    <w:rPr>
                      <w:rFonts w:hint="eastAsia"/>
                      <w:sz w:val="18"/>
                      <w:szCs w:val="18"/>
                    </w:rPr>
                    <w:t>★★强制性减排措施</w:t>
                  </w:r>
                </w:p>
                <w:p w14:paraId="658EE7A1">
                  <w:pPr>
                    <w:pStyle w:val="69"/>
                    <w:spacing w:line="240" w:lineRule="auto"/>
                    <w:ind w:firstLine="360"/>
                    <w:jc w:val="left"/>
                    <w:rPr>
                      <w:sz w:val="18"/>
                      <w:szCs w:val="18"/>
                    </w:rPr>
                  </w:pPr>
                  <w:r>
                    <w:rPr>
                      <w:rFonts w:hint="eastAsia"/>
                      <w:sz w:val="18"/>
                      <w:szCs w:val="18"/>
                    </w:rPr>
                    <w:t>①全市范围内：易产生扬尘的建材禁止露天敞开堆放和加工；产生挥发性有机物的房屋建设、房屋修缮、大型商业建筑装修、外立面改造、道路画线、道路沥青铺设以及汽车维修（绿色钣喷维修企业除外）、广告等行业的喷涂、粉刷作业停工；除市政府批准的重点工程及应急抢险工程外，其他施工工地土石方作业（包括开挖、回填、场内倒运）、建筑拆除、建筑工程配套道路和管沟开挖停止作业；施工现场国Ⅱ及以下的非道路移动机械停用（新能源和紧急检修作业机械除外）。</w:t>
                  </w:r>
                </w:p>
                <w:p w14:paraId="7199F58A">
                  <w:pPr>
                    <w:pStyle w:val="69"/>
                    <w:spacing w:line="240" w:lineRule="auto"/>
                    <w:ind w:firstLine="360"/>
                    <w:jc w:val="left"/>
                    <w:rPr>
                      <w:sz w:val="18"/>
                      <w:szCs w:val="18"/>
                    </w:rPr>
                  </w:pPr>
                  <w:r>
                    <w:rPr>
                      <w:rFonts w:hint="eastAsia"/>
                      <w:sz w:val="18"/>
                      <w:szCs w:val="18"/>
                    </w:rPr>
                    <w:t>②中心城区、郊区新城建成区：建筑垃圾（含工程渣土）运输车辆（市政府批准的重点工程及应急抢险工程施工配套车辆除外）以及运输煤炭、砂石、袋装水泥等易产生扬尘的运输车辆全天24小时禁止通行。</w:t>
                  </w:r>
                </w:p>
                <w:p w14:paraId="63B9242B">
                  <w:pPr>
                    <w:pStyle w:val="69"/>
                    <w:spacing w:line="240" w:lineRule="auto"/>
                    <w:ind w:firstLine="360"/>
                    <w:jc w:val="left"/>
                    <w:rPr>
                      <w:sz w:val="18"/>
                      <w:szCs w:val="18"/>
                    </w:rPr>
                  </w:pPr>
                  <w:r>
                    <w:rPr>
                      <w:rFonts w:hint="eastAsia"/>
                      <w:sz w:val="18"/>
                      <w:szCs w:val="18"/>
                    </w:rPr>
                    <w:t>③悬挂大型汽车号牌（黄色）且核定载质量5吨（不含）以上的货运车全天24小时禁止驶入区域。</w:t>
                  </w:r>
                </w:p>
                <w:p w14:paraId="0D481A42">
                  <w:pPr>
                    <w:pStyle w:val="69"/>
                    <w:spacing w:line="240" w:lineRule="auto"/>
                    <w:ind w:firstLine="360"/>
                    <w:jc w:val="left"/>
                    <w:rPr>
                      <w:sz w:val="18"/>
                      <w:szCs w:val="18"/>
                    </w:rPr>
                  </w:pPr>
                  <w:r>
                    <w:rPr>
                      <w:rFonts w:hint="eastAsia"/>
                      <w:sz w:val="18"/>
                      <w:szCs w:val="18"/>
                    </w:rPr>
                    <w:t>★★★ 一级响应（红色预警）与本项目相关的污染减排措施要求</w:t>
                  </w:r>
                </w:p>
                <w:p w14:paraId="277A4FFB">
                  <w:pPr>
                    <w:pStyle w:val="69"/>
                    <w:spacing w:line="240" w:lineRule="auto"/>
                    <w:ind w:firstLine="360"/>
                    <w:jc w:val="left"/>
                    <w:rPr>
                      <w:sz w:val="18"/>
                      <w:szCs w:val="18"/>
                    </w:rPr>
                  </w:pPr>
                  <w:r>
                    <w:rPr>
                      <w:rFonts w:hint="eastAsia"/>
                      <w:sz w:val="18"/>
                      <w:szCs w:val="18"/>
                    </w:rPr>
                    <w:t>★★倡议性污染减排措施</w:t>
                  </w:r>
                </w:p>
                <w:p w14:paraId="490F1EA2">
                  <w:pPr>
                    <w:pStyle w:val="69"/>
                    <w:spacing w:line="240" w:lineRule="auto"/>
                    <w:ind w:firstLine="360"/>
                    <w:jc w:val="left"/>
                    <w:rPr>
                      <w:sz w:val="18"/>
                      <w:szCs w:val="18"/>
                    </w:rPr>
                  </w:pPr>
                  <w:r>
                    <w:rPr>
                      <w:rFonts w:hint="eastAsia"/>
                      <w:sz w:val="18"/>
                      <w:szCs w:val="18"/>
                    </w:rPr>
                    <w:t>①加大施工工地、裸露堆土、物料堆放等的扬尘控制力度。</w:t>
                  </w:r>
                </w:p>
                <w:p w14:paraId="5E249D6A">
                  <w:pPr>
                    <w:pStyle w:val="69"/>
                    <w:spacing w:line="240" w:lineRule="auto"/>
                    <w:ind w:firstLine="360"/>
                    <w:jc w:val="left"/>
                    <w:rPr>
                      <w:sz w:val="18"/>
                      <w:szCs w:val="18"/>
                    </w:rPr>
                  </w:pPr>
                  <w:r>
                    <w:rPr>
                      <w:rFonts w:hint="eastAsia"/>
                      <w:sz w:val="18"/>
                      <w:szCs w:val="18"/>
                    </w:rPr>
                    <w:t>②减少涂料、油漆、溶剂等含挥发性有机物的原材料及产品使用。</w:t>
                  </w:r>
                </w:p>
                <w:p w14:paraId="005EB14B">
                  <w:pPr>
                    <w:pStyle w:val="69"/>
                    <w:spacing w:line="240" w:lineRule="auto"/>
                    <w:ind w:firstLine="360"/>
                    <w:jc w:val="left"/>
                    <w:rPr>
                      <w:sz w:val="18"/>
                      <w:szCs w:val="18"/>
                    </w:rPr>
                  </w:pPr>
                  <w:r>
                    <w:rPr>
                      <w:rFonts w:hint="eastAsia"/>
                      <w:sz w:val="18"/>
                      <w:szCs w:val="18"/>
                    </w:rPr>
                    <w:t>★★强制性减排措施</w:t>
                  </w:r>
                </w:p>
                <w:p w14:paraId="18E1008D">
                  <w:pPr>
                    <w:pStyle w:val="69"/>
                    <w:spacing w:line="240" w:lineRule="auto"/>
                    <w:ind w:firstLine="360"/>
                    <w:jc w:val="left"/>
                    <w:rPr>
                      <w:sz w:val="18"/>
                      <w:szCs w:val="18"/>
                    </w:rPr>
                  </w:pPr>
                  <w:r>
                    <w:rPr>
                      <w:rFonts w:hint="eastAsia"/>
                      <w:sz w:val="18"/>
                      <w:szCs w:val="18"/>
                    </w:rPr>
                    <w:t>①全市所有矿山、石材厂、石板厂停止露天作业，砂石厂（场）、水泥粉磨站停止生产运行，场地内每天3次以上清扫冲洗作业；没有苫盖条件的堆场，每天至少喷淋6次。</w:t>
                  </w:r>
                </w:p>
                <w:p w14:paraId="74498070">
                  <w:pPr>
                    <w:pStyle w:val="69"/>
                    <w:spacing w:line="240" w:lineRule="auto"/>
                    <w:ind w:firstLine="360"/>
                    <w:jc w:val="left"/>
                    <w:rPr>
                      <w:sz w:val="18"/>
                      <w:szCs w:val="18"/>
                    </w:rPr>
                  </w:pPr>
                  <w:r>
                    <w:rPr>
                      <w:rFonts w:hint="eastAsia"/>
                      <w:sz w:val="18"/>
                      <w:szCs w:val="18"/>
                    </w:rPr>
                    <w:t>②全市范围内：易产生扬尘的建材禁止露天敞开堆放和加工；产生挥发性有机物的房屋建设、房屋修缮、大型商业建筑装修、外立面改造、道路画线、道路沥青铺设以及汽车维修（绿色钣喷维修企业除外）、广告等行业的喷涂、粉刷作业停工；除市政府批准的重点工程及应急抢险工程外，其他施工工地土石方作业（包括开挖、回填、场内倒运）、建筑拆除、建筑工程配套道路和管沟开挖停止作业；施工现场国Ⅱ及以下的非道路移动机械停用（新能源和紧急检修作业机械除外）。</w:t>
                  </w:r>
                </w:p>
                <w:p w14:paraId="69556116">
                  <w:pPr>
                    <w:pStyle w:val="69"/>
                    <w:spacing w:line="240" w:lineRule="auto"/>
                    <w:ind w:firstLine="360"/>
                    <w:jc w:val="left"/>
                    <w:rPr>
                      <w:sz w:val="18"/>
                      <w:szCs w:val="18"/>
                    </w:rPr>
                  </w:pPr>
                  <w:r>
                    <w:rPr>
                      <w:rFonts w:hint="eastAsia"/>
                      <w:sz w:val="18"/>
                      <w:szCs w:val="18"/>
                    </w:rPr>
                    <w:t>③中心城区、郊区新城建成区：建筑垃圾（含工程渣土）运输车辆（市政府批准的重点工程及应急抢险工程施工配套车辆除外）以及运输煤炭、砂石、袋装水泥等易产生扬尘的运输车辆全天24小时禁止通行。</w:t>
                  </w:r>
                </w:p>
                <w:p w14:paraId="53D03E8B">
                  <w:pPr>
                    <w:pStyle w:val="69"/>
                    <w:spacing w:line="240" w:lineRule="auto"/>
                    <w:ind w:firstLine="360"/>
                    <w:jc w:val="left"/>
                    <w:rPr>
                      <w:sz w:val="18"/>
                      <w:szCs w:val="18"/>
                    </w:rPr>
                  </w:pPr>
                  <w:r>
                    <w:rPr>
                      <w:rFonts w:hint="eastAsia"/>
                      <w:sz w:val="18"/>
                      <w:szCs w:val="18"/>
                    </w:rPr>
                    <w:t>④悬挂大型汽车号牌（黄色）且核定载质量5吨（不含）以上的货运车全天24小时禁止驶入城区。</w:t>
                  </w:r>
                </w:p>
              </w:tc>
              <w:tc>
                <w:tcPr>
                  <w:tcW w:w="1418" w:type="dxa"/>
                  <w:vAlign w:val="center"/>
                </w:tcPr>
                <w:p w14:paraId="2CC5DA0C">
                  <w:pPr>
                    <w:pStyle w:val="69"/>
                    <w:spacing w:line="240" w:lineRule="auto"/>
                    <w:ind w:left="-105" w:leftChars="-50" w:right="-105" w:rightChars="-50" w:firstLine="0" w:firstLineChars="0"/>
                    <w:jc w:val="center"/>
                    <w:rPr>
                      <w:sz w:val="18"/>
                      <w:szCs w:val="18"/>
                    </w:rPr>
                  </w:pPr>
                  <w:r>
                    <w:rPr>
                      <w:rFonts w:hint="eastAsia"/>
                      <w:sz w:val="18"/>
                      <w:szCs w:val="18"/>
                    </w:rPr>
                    <w:t>本项目在施工前应制定的重污染天气应急预案，并且施工现场应采取并及时落实各级预警下的应急措施。</w:t>
                  </w:r>
                </w:p>
              </w:tc>
              <w:tc>
                <w:tcPr>
                  <w:tcW w:w="865" w:type="dxa"/>
                  <w:vAlign w:val="center"/>
                </w:tcPr>
                <w:p w14:paraId="09600797">
                  <w:pPr>
                    <w:pStyle w:val="69"/>
                    <w:spacing w:line="240" w:lineRule="auto"/>
                    <w:ind w:firstLine="0" w:firstLineChars="0"/>
                    <w:jc w:val="center"/>
                    <w:rPr>
                      <w:sz w:val="18"/>
                      <w:szCs w:val="18"/>
                    </w:rPr>
                  </w:pPr>
                  <w:r>
                    <w:rPr>
                      <w:rFonts w:hint="eastAsia"/>
                      <w:sz w:val="18"/>
                      <w:szCs w:val="18"/>
                    </w:rPr>
                    <w:t>符合</w:t>
                  </w:r>
                </w:p>
              </w:tc>
            </w:tr>
            <w:tr w14:paraId="439006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0" w:type="dxa"/>
                  <w:vAlign w:val="center"/>
                </w:tcPr>
                <w:p w14:paraId="4061BED5">
                  <w:pPr>
                    <w:pStyle w:val="69"/>
                    <w:spacing w:line="240" w:lineRule="auto"/>
                    <w:ind w:left="-105" w:leftChars="-50" w:right="-105" w:rightChars="-50" w:firstLine="0" w:firstLineChars="0"/>
                    <w:jc w:val="center"/>
                    <w:rPr>
                      <w:sz w:val="18"/>
                      <w:szCs w:val="18"/>
                    </w:rPr>
                  </w:pPr>
                  <w:r>
                    <w:rPr>
                      <w:rFonts w:hint="eastAsia"/>
                      <w:sz w:val="18"/>
                      <w:szCs w:val="18"/>
                    </w:rPr>
                    <w:t>《2024年房屋市政工程施工扬尘污染防治工作方案》</w:t>
                  </w:r>
                </w:p>
              </w:tc>
              <w:tc>
                <w:tcPr>
                  <w:tcW w:w="4536" w:type="dxa"/>
                </w:tcPr>
                <w:p w14:paraId="458EEF5A">
                  <w:pPr>
                    <w:pStyle w:val="69"/>
                    <w:spacing w:line="240" w:lineRule="auto"/>
                    <w:ind w:firstLine="0" w:firstLineChars="0"/>
                    <w:jc w:val="left"/>
                    <w:rPr>
                      <w:sz w:val="18"/>
                      <w:szCs w:val="18"/>
                    </w:rPr>
                  </w:pPr>
                  <w:r>
                    <w:rPr>
                      <w:rFonts w:hint="eastAsia"/>
                      <w:sz w:val="18"/>
                      <w:szCs w:val="18"/>
                    </w:rPr>
                    <w:t>强化扬尘防治措施落实。</w:t>
                  </w:r>
                </w:p>
                <w:p w14:paraId="566BE150">
                  <w:pPr>
                    <w:pStyle w:val="69"/>
                    <w:spacing w:line="240" w:lineRule="auto"/>
                    <w:ind w:firstLine="0" w:firstLineChars="0"/>
                    <w:jc w:val="left"/>
                    <w:rPr>
                      <w:sz w:val="18"/>
                      <w:szCs w:val="18"/>
                    </w:rPr>
                  </w:pPr>
                  <w:r>
                    <w:rPr>
                      <w:rFonts w:hint="eastAsia"/>
                      <w:sz w:val="18"/>
                      <w:szCs w:val="18"/>
                    </w:rPr>
                    <w:t>施工现场应设置连续封闭式硬质围挡，线性市政工程可结合实际设置，做到坚固、稳定、整洁、美观、环保。施工现场出入口、主要施工道路、材料加工区、 办公区、生活区地面等应进行硬化处理，并定期清扫，保持路面不起尘。施工现场裸土及产尘物料应做好覆盖等防尘措施。土石方、机械剔凿、建筑垃圾清理等作业过程中，严格按照湿法作业要求，采取洒水、喷淋、封闭、遮盖等抑尘降尘措施。严格出入车辆清洗制度，规范车辆冲洗、净车出场。渣土建筑垃圾运输车必须密闭运输，保证装载无外漏、无遗撒、无高尖。严格规范使用预拌混凝土和预拌砂浆，主城区禁限范围内禁止现场搅拌。</w:t>
                  </w:r>
                </w:p>
              </w:tc>
              <w:tc>
                <w:tcPr>
                  <w:tcW w:w="1418" w:type="dxa"/>
                  <w:vAlign w:val="center"/>
                </w:tcPr>
                <w:p w14:paraId="33F8DA0C">
                  <w:pPr>
                    <w:pStyle w:val="69"/>
                    <w:spacing w:line="240" w:lineRule="auto"/>
                    <w:ind w:left="-105" w:leftChars="-50" w:right="-105" w:rightChars="-50" w:firstLine="0" w:firstLineChars="0"/>
                    <w:jc w:val="center"/>
                    <w:rPr>
                      <w:b/>
                      <w:sz w:val="18"/>
                      <w:szCs w:val="18"/>
                    </w:rPr>
                  </w:pPr>
                  <w:r>
                    <w:rPr>
                      <w:rFonts w:hint="eastAsia"/>
                      <w:sz w:val="18"/>
                      <w:szCs w:val="18"/>
                    </w:rPr>
                    <w:t>本项目在施工全过程中，施工场地严格实施”六个百分百”管理，严格控制施工扬尘。此外，本项目还应按要求建立完善的渣土运输管理制度，确保使用达标车辆规范运输。</w:t>
                  </w:r>
                </w:p>
              </w:tc>
              <w:tc>
                <w:tcPr>
                  <w:tcW w:w="865" w:type="dxa"/>
                  <w:vAlign w:val="center"/>
                </w:tcPr>
                <w:p w14:paraId="1243A02A">
                  <w:pPr>
                    <w:pStyle w:val="69"/>
                    <w:spacing w:line="240" w:lineRule="auto"/>
                    <w:ind w:firstLine="0" w:firstLineChars="0"/>
                    <w:jc w:val="center"/>
                    <w:rPr>
                      <w:b/>
                      <w:sz w:val="18"/>
                      <w:szCs w:val="18"/>
                    </w:rPr>
                  </w:pPr>
                  <w:r>
                    <w:rPr>
                      <w:rFonts w:hint="eastAsia"/>
                      <w:sz w:val="18"/>
                      <w:szCs w:val="18"/>
                    </w:rPr>
                    <w:t>符合</w:t>
                  </w:r>
                </w:p>
              </w:tc>
            </w:tr>
          </w:tbl>
          <w:p w14:paraId="27B4F8C5">
            <w:pPr>
              <w:adjustRightInd w:val="0"/>
              <w:snapToGrid w:val="0"/>
              <w:spacing w:line="360" w:lineRule="auto"/>
              <w:ind w:firstLine="482" w:firstLineChars="200"/>
              <w:rPr>
                <w:b/>
                <w:sz w:val="24"/>
              </w:rPr>
            </w:pPr>
            <w:r>
              <w:rPr>
                <w:rFonts w:hint="eastAsia"/>
                <w:b/>
                <w:sz w:val="24"/>
              </w:rPr>
              <w:t>综上所述，项目建设与《空气质量持续改善行动计划》、《四川省打赢蓝天保卫战等九个实施方案的通知》（川府发[2019]4号）、《遂宁市重污染天气应急预案（2024年修订）》《关于划定禁止施工现场搅拌混凝土、砂浆、设置移动式搅拌站区域的通告》等文件中相关大气污染防治要求相符。</w:t>
            </w:r>
          </w:p>
          <w:p w14:paraId="4C1F4E90">
            <w:pPr>
              <w:pStyle w:val="69"/>
              <w:ind w:firstLine="482"/>
              <w:rPr>
                <w:b/>
              </w:rPr>
            </w:pPr>
            <w:r>
              <w:rPr>
                <w:b/>
              </w:rPr>
              <w:t>4</w:t>
            </w:r>
            <w:r>
              <w:rPr>
                <w:rFonts w:hint="eastAsia"/>
                <w:b/>
              </w:rPr>
              <w:t>、与噪声污染防治等相关规划符合性分析</w:t>
            </w:r>
            <w:r>
              <w:rPr>
                <w:b/>
              </w:rPr>
              <w:t xml:space="preserve"> </w:t>
            </w:r>
          </w:p>
          <w:p w14:paraId="6F9821B1">
            <w:pPr>
              <w:pStyle w:val="77"/>
              <w:jc w:val="center"/>
              <w:rPr>
                <w:rFonts w:ascii="Times New Roman" w:hAnsi="Times New Roman" w:eastAsia="黑体" w:cs="Times New Roman"/>
                <w:color w:val="auto"/>
                <w:sz w:val="21"/>
                <w:szCs w:val="21"/>
              </w:rPr>
            </w:pPr>
            <w:r>
              <w:rPr>
                <w:rFonts w:ascii="Times New Roman" w:hAnsi="Times New Roman" w:eastAsia="黑体" w:cs="Times New Roman"/>
                <w:color w:val="auto"/>
                <w:sz w:val="21"/>
                <w:szCs w:val="21"/>
              </w:rPr>
              <w:t>表</w:t>
            </w:r>
            <w:r>
              <w:rPr>
                <w:rFonts w:ascii="Times New Roman" w:hAnsi="Times New Roman" w:eastAsia="黑体" w:cs="Times New Roman"/>
                <w:bCs/>
                <w:color w:val="auto"/>
                <w:sz w:val="21"/>
                <w:szCs w:val="21"/>
              </w:rPr>
              <w:t>1-</w:t>
            </w:r>
            <w:r>
              <w:rPr>
                <w:rFonts w:hint="eastAsia" w:ascii="Times New Roman" w:hAnsi="Times New Roman" w:eastAsia="黑体" w:cs="Times New Roman"/>
                <w:bCs/>
                <w:color w:val="auto"/>
                <w:sz w:val="21"/>
                <w:szCs w:val="21"/>
              </w:rPr>
              <w:t xml:space="preserve">3   </w:t>
            </w:r>
            <w:r>
              <w:rPr>
                <w:rFonts w:ascii="Times New Roman" w:hAnsi="Times New Roman" w:eastAsia="黑体" w:cs="Times New Roman"/>
                <w:bCs/>
                <w:color w:val="auto"/>
                <w:sz w:val="21"/>
                <w:szCs w:val="21"/>
              </w:rPr>
              <w:t xml:space="preserve"> </w:t>
            </w:r>
            <w:r>
              <w:rPr>
                <w:rFonts w:hint="eastAsia" w:ascii="Times New Roman" w:hAnsi="Times New Roman" w:eastAsia="黑体" w:cs="Times New Roman"/>
                <w:bCs/>
                <w:color w:val="auto"/>
                <w:sz w:val="21"/>
                <w:szCs w:val="21"/>
              </w:rPr>
              <w:t>与噪声污染防治法相关符合性分析</w:t>
            </w:r>
          </w:p>
          <w:tbl>
            <w:tblPr>
              <w:tblStyle w:val="34"/>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4536"/>
              <w:gridCol w:w="1559"/>
              <w:gridCol w:w="724"/>
            </w:tblGrid>
            <w:tr w14:paraId="60760C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260" w:type="dxa"/>
                  <w:vAlign w:val="center"/>
                </w:tcPr>
                <w:p w14:paraId="54097F95">
                  <w:pPr>
                    <w:pStyle w:val="69"/>
                    <w:spacing w:line="240" w:lineRule="auto"/>
                    <w:ind w:firstLine="0" w:firstLineChars="0"/>
                    <w:jc w:val="center"/>
                    <w:rPr>
                      <w:b/>
                      <w:sz w:val="21"/>
                      <w:szCs w:val="21"/>
                    </w:rPr>
                  </w:pPr>
                  <w:r>
                    <w:rPr>
                      <w:rFonts w:hint="eastAsia"/>
                      <w:b/>
                      <w:sz w:val="21"/>
                      <w:szCs w:val="21"/>
                    </w:rPr>
                    <w:t>文件名称</w:t>
                  </w:r>
                </w:p>
              </w:tc>
              <w:tc>
                <w:tcPr>
                  <w:tcW w:w="4536" w:type="dxa"/>
                  <w:vAlign w:val="center"/>
                </w:tcPr>
                <w:p w14:paraId="2C5408A8">
                  <w:pPr>
                    <w:pStyle w:val="69"/>
                    <w:spacing w:line="240" w:lineRule="auto"/>
                    <w:ind w:firstLine="0" w:firstLineChars="0"/>
                    <w:jc w:val="center"/>
                    <w:rPr>
                      <w:b/>
                      <w:sz w:val="21"/>
                      <w:szCs w:val="21"/>
                    </w:rPr>
                  </w:pPr>
                  <w:r>
                    <w:rPr>
                      <w:rFonts w:hint="eastAsia"/>
                      <w:b/>
                      <w:sz w:val="21"/>
                      <w:szCs w:val="21"/>
                    </w:rPr>
                    <w:t>相关要求</w:t>
                  </w:r>
                </w:p>
              </w:tc>
              <w:tc>
                <w:tcPr>
                  <w:tcW w:w="1559" w:type="dxa"/>
                  <w:vAlign w:val="center"/>
                </w:tcPr>
                <w:p w14:paraId="39211F3F">
                  <w:pPr>
                    <w:pStyle w:val="69"/>
                    <w:spacing w:line="240" w:lineRule="auto"/>
                    <w:ind w:firstLine="0" w:firstLineChars="0"/>
                    <w:jc w:val="center"/>
                    <w:rPr>
                      <w:b/>
                      <w:sz w:val="21"/>
                      <w:szCs w:val="21"/>
                    </w:rPr>
                  </w:pPr>
                  <w:r>
                    <w:rPr>
                      <w:rFonts w:hint="eastAsia"/>
                      <w:b/>
                      <w:sz w:val="21"/>
                      <w:szCs w:val="21"/>
                    </w:rPr>
                    <w:t>本项目情况</w:t>
                  </w:r>
                </w:p>
              </w:tc>
              <w:tc>
                <w:tcPr>
                  <w:tcW w:w="724" w:type="dxa"/>
                  <w:vAlign w:val="center"/>
                </w:tcPr>
                <w:p w14:paraId="16BECBC0">
                  <w:pPr>
                    <w:pStyle w:val="69"/>
                    <w:spacing w:line="240" w:lineRule="auto"/>
                    <w:ind w:left="-105" w:leftChars="-50" w:right="-105" w:rightChars="-50" w:firstLine="0" w:firstLineChars="0"/>
                    <w:jc w:val="center"/>
                    <w:rPr>
                      <w:b/>
                      <w:sz w:val="21"/>
                      <w:szCs w:val="21"/>
                    </w:rPr>
                  </w:pPr>
                  <w:r>
                    <w:rPr>
                      <w:rFonts w:hint="eastAsia"/>
                      <w:b/>
                      <w:sz w:val="21"/>
                      <w:szCs w:val="21"/>
                    </w:rPr>
                    <w:t>符合性</w:t>
                  </w:r>
                </w:p>
              </w:tc>
            </w:tr>
            <w:tr w14:paraId="3E0D1D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260" w:type="dxa"/>
                  <w:vAlign w:val="center"/>
                </w:tcPr>
                <w:p w14:paraId="5D0C61B5">
                  <w:pPr>
                    <w:pStyle w:val="69"/>
                    <w:spacing w:line="240" w:lineRule="auto"/>
                    <w:ind w:right="-107" w:rightChars="-51" w:firstLine="0" w:firstLineChars="0"/>
                    <w:jc w:val="left"/>
                    <w:rPr>
                      <w:sz w:val="18"/>
                      <w:szCs w:val="18"/>
                    </w:rPr>
                  </w:pPr>
                  <w:r>
                    <w:rPr>
                      <w:rFonts w:hint="eastAsia"/>
                      <w:sz w:val="18"/>
                      <w:szCs w:val="18"/>
                    </w:rPr>
                    <w:t>《中华人民共和国噪声污染防治法》中华人民共和国主席令》（第一〇四号）</w:t>
                  </w:r>
                </w:p>
              </w:tc>
              <w:tc>
                <w:tcPr>
                  <w:tcW w:w="4536" w:type="dxa"/>
                  <w:vAlign w:val="center"/>
                </w:tcPr>
                <w:p w14:paraId="6F6AD3BC">
                  <w:pPr>
                    <w:pStyle w:val="69"/>
                    <w:spacing w:line="240" w:lineRule="auto"/>
                    <w:ind w:firstLine="0" w:firstLineChars="0"/>
                    <w:jc w:val="left"/>
                    <w:rPr>
                      <w:b/>
                      <w:sz w:val="18"/>
                      <w:szCs w:val="18"/>
                    </w:rPr>
                  </w:pPr>
                  <w:r>
                    <w:rPr>
                      <w:rFonts w:hint="eastAsia"/>
                      <w:b/>
                      <w:sz w:val="18"/>
                      <w:szCs w:val="18"/>
                    </w:rPr>
                    <w:t xml:space="preserve">第五章 建筑施工噪声污染防治 </w:t>
                  </w:r>
                </w:p>
                <w:p w14:paraId="7FE3410D">
                  <w:pPr>
                    <w:pStyle w:val="69"/>
                    <w:spacing w:line="240" w:lineRule="auto"/>
                    <w:ind w:firstLine="0" w:firstLineChars="0"/>
                    <w:jc w:val="left"/>
                    <w:rPr>
                      <w:sz w:val="18"/>
                      <w:szCs w:val="18"/>
                    </w:rPr>
                  </w:pPr>
                  <w:r>
                    <w:rPr>
                      <w:rFonts w:hint="eastAsia"/>
                      <w:sz w:val="18"/>
                      <w:szCs w:val="18"/>
                    </w:rPr>
                    <w:t>第四十条 建设单位应当按照规定将噪声污染防治费用列入工程造价，在施工合同中明确施工单位的噪声污染防治责任。</w:t>
                  </w:r>
                </w:p>
                <w:p w14:paraId="2BF374E6">
                  <w:pPr>
                    <w:pStyle w:val="69"/>
                    <w:spacing w:line="240" w:lineRule="auto"/>
                    <w:ind w:firstLine="0" w:firstLineChars="0"/>
                    <w:jc w:val="left"/>
                    <w:rPr>
                      <w:sz w:val="18"/>
                      <w:szCs w:val="18"/>
                    </w:rPr>
                  </w:pPr>
                  <w:r>
                    <w:rPr>
                      <w:rFonts w:hint="eastAsia"/>
                      <w:sz w:val="18"/>
                      <w:szCs w:val="18"/>
                    </w:rPr>
                    <w:t>施工单位应当按照规定制定噪声污染防治实施方案，采取有效措施，减少振动、降低噪声。建设单位应当监督施工单位落实噪声污染防治实施方案。</w:t>
                  </w:r>
                </w:p>
                <w:p w14:paraId="52C73BBA">
                  <w:pPr>
                    <w:pStyle w:val="69"/>
                    <w:spacing w:line="240" w:lineRule="auto"/>
                    <w:ind w:firstLine="0" w:firstLineChars="0"/>
                    <w:jc w:val="left"/>
                    <w:rPr>
                      <w:sz w:val="18"/>
                      <w:szCs w:val="18"/>
                    </w:rPr>
                  </w:pPr>
                  <w:r>
                    <w:rPr>
                      <w:rFonts w:hint="eastAsia"/>
                      <w:sz w:val="18"/>
                      <w:szCs w:val="18"/>
                    </w:rPr>
                    <w:t>第四十一条 在噪声敏感建筑物集中区域施工作业，应当优先使用低噪声施工工艺和设备。</w:t>
                  </w:r>
                </w:p>
                <w:p w14:paraId="31228557">
                  <w:pPr>
                    <w:pStyle w:val="69"/>
                    <w:spacing w:line="240" w:lineRule="auto"/>
                    <w:ind w:firstLine="0" w:firstLineChars="0"/>
                    <w:jc w:val="left"/>
                    <w:rPr>
                      <w:sz w:val="18"/>
                      <w:szCs w:val="18"/>
                    </w:rPr>
                  </w:pPr>
                  <w:r>
                    <w:rPr>
                      <w:rFonts w:hint="eastAsia"/>
                      <w:sz w:val="18"/>
                      <w:szCs w:val="18"/>
                    </w:rPr>
                    <w:t>第四十二条 在噪声敏感建筑物集中区域施工作业，建设单位应当按照国家规定，设置噪声自动监测系统，与监督管理部门联网，保存原始监测记录，对监测数据的真实性和准确性负责。</w:t>
                  </w:r>
                </w:p>
                <w:p w14:paraId="6C0D42A5">
                  <w:pPr>
                    <w:pStyle w:val="69"/>
                    <w:spacing w:line="240" w:lineRule="auto"/>
                    <w:ind w:firstLine="0" w:firstLineChars="0"/>
                    <w:jc w:val="left"/>
                    <w:rPr>
                      <w:sz w:val="18"/>
                      <w:szCs w:val="18"/>
                    </w:rPr>
                  </w:pPr>
                  <w:r>
                    <w:rPr>
                      <w:rFonts w:hint="eastAsia"/>
                      <w:sz w:val="18"/>
                      <w:szCs w:val="18"/>
                    </w:rPr>
                    <w:t>第四十三条 在噪声敏感建筑物集中区域，禁止夜间进行产生噪声的建筑施工作业，但抢修、抢险施工作业，因生产工艺要求或其他特殊需要必须连续施工作业除外。</w:t>
                  </w:r>
                </w:p>
                <w:p w14:paraId="412CAFE2">
                  <w:pPr>
                    <w:pStyle w:val="69"/>
                    <w:spacing w:line="240" w:lineRule="auto"/>
                    <w:ind w:firstLine="0" w:firstLineChars="0"/>
                    <w:jc w:val="left"/>
                    <w:rPr>
                      <w:sz w:val="18"/>
                      <w:szCs w:val="18"/>
                    </w:rPr>
                  </w:pPr>
                  <w:r>
                    <w:rPr>
                      <w:rFonts w:hint="eastAsia"/>
                      <w:sz w:val="18"/>
                      <w:szCs w:val="18"/>
                    </w:rPr>
                    <w:t>因特殊需要必须连续施工作业的，应当取得地方人民政府住房和城乡建设、生态环境主管部门或者地方人民政府指定的部门的证明，并在施工现场显著位置公示或者以其他方式公告附近居民。</w:t>
                  </w:r>
                </w:p>
                <w:p w14:paraId="60A8FB26">
                  <w:pPr>
                    <w:pStyle w:val="69"/>
                    <w:spacing w:line="240" w:lineRule="auto"/>
                    <w:ind w:firstLine="0" w:firstLineChars="0"/>
                    <w:jc w:val="left"/>
                    <w:rPr>
                      <w:sz w:val="18"/>
                      <w:szCs w:val="18"/>
                    </w:rPr>
                  </w:pPr>
                  <w:r>
                    <w:rPr>
                      <w:rFonts w:hint="eastAsia"/>
                      <w:sz w:val="18"/>
                      <w:szCs w:val="18"/>
                    </w:rPr>
                    <w:t>第四十六条 制定交通基础设施工程技术规范，应当明确噪声污染防治要求。</w:t>
                  </w:r>
                </w:p>
                <w:p w14:paraId="21940CB3">
                  <w:pPr>
                    <w:pStyle w:val="69"/>
                    <w:spacing w:line="240" w:lineRule="auto"/>
                    <w:ind w:firstLine="0" w:firstLineChars="0"/>
                    <w:jc w:val="left"/>
                    <w:rPr>
                      <w:b/>
                      <w:sz w:val="18"/>
                      <w:szCs w:val="18"/>
                    </w:rPr>
                  </w:pPr>
                  <w:r>
                    <w:rPr>
                      <w:rFonts w:hint="eastAsia"/>
                      <w:sz w:val="18"/>
                      <w:szCs w:val="18"/>
                    </w:rPr>
                    <w:t>新建、改建、扩建经过噪声敏感建筑物集中区域的高速公路、城市高架、铁路和城市轨道交通线路等的，建设单位应当在可能造成噪声污染的重点路段设置声屏障或者采取其他减少振动、降低噪声的措施，符合有关交通基础设施工程技术规范以及标准要求。</w:t>
                  </w:r>
                </w:p>
              </w:tc>
              <w:tc>
                <w:tcPr>
                  <w:tcW w:w="1559" w:type="dxa"/>
                  <w:vMerge w:val="restart"/>
                  <w:vAlign w:val="center"/>
                </w:tcPr>
                <w:p w14:paraId="464CF4E4">
                  <w:pPr>
                    <w:pStyle w:val="69"/>
                    <w:spacing w:line="240" w:lineRule="auto"/>
                    <w:ind w:left="-106" w:leftChars="-51" w:right="-105" w:rightChars="-50" w:hanging="1" w:hangingChars="1"/>
                    <w:jc w:val="center"/>
                    <w:rPr>
                      <w:b/>
                      <w:sz w:val="21"/>
                      <w:szCs w:val="21"/>
                    </w:rPr>
                  </w:pPr>
                  <w:r>
                    <w:rPr>
                      <w:rFonts w:hint="eastAsia"/>
                      <w:sz w:val="18"/>
                      <w:szCs w:val="18"/>
                    </w:rPr>
                    <w:t>本施工期采取措施后施工场界噪声能够满足排放标准；施工过程中采取的机械设备均符合国家要求；项目周边现状无居民集中居住区等噪声敏感区；施工过程严格管控上路行驶施工车辆，保证其符合机动车辆噪声排放标准；</w:t>
                  </w:r>
                </w:p>
              </w:tc>
              <w:tc>
                <w:tcPr>
                  <w:tcW w:w="724" w:type="dxa"/>
                  <w:vAlign w:val="center"/>
                </w:tcPr>
                <w:p w14:paraId="6D935548">
                  <w:pPr>
                    <w:pStyle w:val="69"/>
                    <w:spacing w:line="240" w:lineRule="auto"/>
                    <w:ind w:left="-105" w:leftChars="-50" w:right="-105" w:rightChars="-50" w:firstLine="0" w:firstLineChars="0"/>
                    <w:jc w:val="center"/>
                    <w:rPr>
                      <w:b/>
                      <w:sz w:val="21"/>
                      <w:szCs w:val="21"/>
                    </w:rPr>
                  </w:pPr>
                  <w:r>
                    <w:rPr>
                      <w:rFonts w:hint="eastAsia"/>
                      <w:b/>
                      <w:sz w:val="21"/>
                      <w:szCs w:val="21"/>
                    </w:rPr>
                    <w:t>符合</w:t>
                  </w:r>
                </w:p>
              </w:tc>
            </w:tr>
            <w:tr w14:paraId="49581A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260" w:type="dxa"/>
                  <w:vAlign w:val="center"/>
                </w:tcPr>
                <w:p w14:paraId="55D993B0">
                  <w:pPr>
                    <w:pStyle w:val="69"/>
                    <w:spacing w:line="240" w:lineRule="auto"/>
                    <w:ind w:left="-105" w:leftChars="-50" w:right="-105" w:rightChars="-50" w:firstLine="0" w:firstLineChars="0"/>
                    <w:jc w:val="center"/>
                    <w:rPr>
                      <w:sz w:val="18"/>
                      <w:szCs w:val="18"/>
                    </w:rPr>
                  </w:pPr>
                  <w:r>
                    <w:rPr>
                      <w:rFonts w:hint="eastAsia"/>
                      <w:sz w:val="18"/>
                      <w:szCs w:val="18"/>
                    </w:rPr>
                    <w:t>《中华人民共和国环境噪声污染防治条例》（国务院令第40号）</w:t>
                  </w:r>
                </w:p>
              </w:tc>
              <w:tc>
                <w:tcPr>
                  <w:tcW w:w="4536" w:type="dxa"/>
                </w:tcPr>
                <w:p w14:paraId="5CE60933">
                  <w:pPr>
                    <w:pStyle w:val="69"/>
                    <w:spacing w:line="240" w:lineRule="auto"/>
                    <w:ind w:firstLine="0" w:firstLineChars="0"/>
                    <w:jc w:val="left"/>
                    <w:rPr>
                      <w:b/>
                      <w:sz w:val="18"/>
                      <w:szCs w:val="18"/>
                    </w:rPr>
                  </w:pPr>
                  <w:r>
                    <w:rPr>
                      <w:rFonts w:hint="eastAsia"/>
                      <w:b/>
                      <w:sz w:val="18"/>
                      <w:szCs w:val="18"/>
                    </w:rPr>
                    <w:t>第四章 建筑施工噪声污染防治</w:t>
                  </w:r>
                </w:p>
                <w:p w14:paraId="2C2A8D5B">
                  <w:pPr>
                    <w:pStyle w:val="69"/>
                    <w:spacing w:line="240" w:lineRule="auto"/>
                    <w:ind w:firstLine="0" w:firstLineChars="0"/>
                    <w:jc w:val="left"/>
                    <w:rPr>
                      <w:sz w:val="18"/>
                      <w:szCs w:val="18"/>
                    </w:rPr>
                  </w:pPr>
                  <w:r>
                    <w:rPr>
                      <w:rFonts w:hint="eastAsia"/>
                      <w:sz w:val="18"/>
                      <w:szCs w:val="18"/>
                    </w:rPr>
                    <w:t>第二十一条 建筑施工单位向周围生活环境排放噪声，应当符合国家规定的环境噪声施工场界排放标准。</w:t>
                  </w:r>
                </w:p>
                <w:p w14:paraId="427BCB7F">
                  <w:pPr>
                    <w:pStyle w:val="69"/>
                    <w:spacing w:line="240" w:lineRule="auto"/>
                    <w:ind w:firstLine="0" w:firstLineChars="0"/>
                    <w:jc w:val="left"/>
                    <w:rPr>
                      <w:sz w:val="18"/>
                      <w:szCs w:val="18"/>
                    </w:rPr>
                  </w:pPr>
                  <w:r>
                    <w:rPr>
                      <w:rFonts w:hint="eastAsia"/>
                      <w:sz w:val="18"/>
                      <w:szCs w:val="18"/>
                    </w:rPr>
                    <w:t>第二十二条 凡在建筑施工中使用机械、设备，其排放噪声可能超过国家规定的环境噪声施工场界排放标准的，应当在工程开工十五日前向当地人民政府环境保护部门提出申报，说明工程项目名称、建筑者名称、建筑施工场所及施工期限、可能排放到建筑施工场界的环境噪声强度和所采用的噪声污染防治措施等。</w:t>
                  </w:r>
                </w:p>
                <w:p w14:paraId="2FD6AF9C">
                  <w:pPr>
                    <w:pStyle w:val="69"/>
                    <w:spacing w:line="240" w:lineRule="auto"/>
                    <w:ind w:firstLine="0" w:firstLineChars="0"/>
                    <w:jc w:val="left"/>
                    <w:rPr>
                      <w:sz w:val="18"/>
                      <w:szCs w:val="18"/>
                    </w:rPr>
                  </w:pPr>
                  <w:r>
                    <w:rPr>
                      <w:rFonts w:hint="eastAsia"/>
                      <w:sz w:val="18"/>
                      <w:szCs w:val="18"/>
                    </w:rPr>
                    <w:t>第二十四条 禁止夜间在居民区、文教区、疗养区进行产生噪声污染、影响居民休息的建筑施工作业，但抢修、抢险作业除外。</w:t>
                  </w:r>
                </w:p>
                <w:p w14:paraId="5089701E">
                  <w:pPr>
                    <w:pStyle w:val="69"/>
                    <w:spacing w:line="240" w:lineRule="auto"/>
                    <w:ind w:firstLine="0" w:firstLineChars="0"/>
                    <w:jc w:val="left"/>
                    <w:rPr>
                      <w:b/>
                      <w:sz w:val="18"/>
                      <w:szCs w:val="18"/>
                    </w:rPr>
                  </w:pPr>
                  <w:r>
                    <w:rPr>
                      <w:rFonts w:hint="eastAsia"/>
                      <w:b/>
                      <w:sz w:val="18"/>
                      <w:szCs w:val="18"/>
                    </w:rPr>
                    <w:t>第五章 交通噪声污染防治</w:t>
                  </w:r>
                </w:p>
                <w:p w14:paraId="47B70C0D">
                  <w:pPr>
                    <w:pStyle w:val="69"/>
                    <w:spacing w:line="240" w:lineRule="auto"/>
                    <w:ind w:firstLine="0" w:firstLineChars="0"/>
                    <w:jc w:val="left"/>
                    <w:rPr>
                      <w:sz w:val="18"/>
                      <w:szCs w:val="18"/>
                    </w:rPr>
                  </w:pPr>
                  <w:r>
                    <w:rPr>
                      <w:rFonts w:hint="eastAsia"/>
                      <w:sz w:val="18"/>
                      <w:szCs w:val="18"/>
                    </w:rPr>
                    <w:t>第二十六条 行驶的机动车辆，应当装有消声器和符合规定的喇叭，并保持技术性能良好，整车噪声不得超过机动车辆噪声排放标准。不符合机动车辆噪声排放标准的，不得发给行车执照。消防车、救护车、工程抢险车、警备车等特种车辆安装、使用警报器，必须符合公安部门的规定。在执行非紧急任务的时候或者在禁止车辆使用警报器的地段，不得使用警报器。</w:t>
                  </w:r>
                </w:p>
              </w:tc>
              <w:tc>
                <w:tcPr>
                  <w:tcW w:w="1559" w:type="dxa"/>
                  <w:vMerge w:val="continue"/>
                  <w:vAlign w:val="center"/>
                </w:tcPr>
                <w:p w14:paraId="0F91A744">
                  <w:pPr>
                    <w:pStyle w:val="69"/>
                    <w:spacing w:line="240" w:lineRule="auto"/>
                    <w:ind w:left="-105" w:leftChars="-50" w:right="-105" w:rightChars="-50" w:firstLine="0" w:firstLineChars="0"/>
                    <w:jc w:val="center"/>
                    <w:rPr>
                      <w:b/>
                      <w:sz w:val="18"/>
                      <w:szCs w:val="18"/>
                    </w:rPr>
                  </w:pPr>
                </w:p>
              </w:tc>
              <w:tc>
                <w:tcPr>
                  <w:tcW w:w="724" w:type="dxa"/>
                  <w:vAlign w:val="center"/>
                </w:tcPr>
                <w:p w14:paraId="21284DAB">
                  <w:pPr>
                    <w:pStyle w:val="69"/>
                    <w:spacing w:line="240" w:lineRule="auto"/>
                    <w:ind w:left="-105" w:leftChars="-50" w:right="-105" w:rightChars="-50" w:firstLine="0" w:firstLineChars="0"/>
                    <w:jc w:val="center"/>
                    <w:rPr>
                      <w:sz w:val="18"/>
                      <w:szCs w:val="18"/>
                    </w:rPr>
                  </w:pPr>
                  <w:r>
                    <w:rPr>
                      <w:rFonts w:hint="eastAsia"/>
                      <w:sz w:val="18"/>
                      <w:szCs w:val="18"/>
                    </w:rPr>
                    <w:t>符合</w:t>
                  </w:r>
                </w:p>
              </w:tc>
            </w:tr>
            <w:tr w14:paraId="09562B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0" w:type="dxa"/>
                  <w:vAlign w:val="center"/>
                </w:tcPr>
                <w:p w14:paraId="2B0B04FB">
                  <w:pPr>
                    <w:pStyle w:val="69"/>
                    <w:spacing w:line="240" w:lineRule="auto"/>
                    <w:ind w:left="-105" w:leftChars="-50" w:right="-105" w:rightChars="-50" w:firstLine="0" w:firstLineChars="0"/>
                    <w:jc w:val="center"/>
                    <w:rPr>
                      <w:sz w:val="18"/>
                      <w:szCs w:val="18"/>
                    </w:rPr>
                  </w:pPr>
                  <w:r>
                    <w:rPr>
                      <w:rFonts w:hint="eastAsia"/>
                      <w:sz w:val="18"/>
                      <w:szCs w:val="18"/>
                    </w:rPr>
                    <w:t>《“十四五”噪声污染防治行动计划》，生态环境部办公厅2023年1月5日印发</w:t>
                  </w:r>
                </w:p>
              </w:tc>
              <w:tc>
                <w:tcPr>
                  <w:tcW w:w="4536" w:type="dxa"/>
                </w:tcPr>
                <w:p w14:paraId="7CC8BE6E">
                  <w:pPr>
                    <w:pStyle w:val="69"/>
                    <w:spacing w:line="240" w:lineRule="auto"/>
                    <w:ind w:firstLine="0" w:firstLineChars="0"/>
                    <w:jc w:val="left"/>
                    <w:rPr>
                      <w:b/>
                      <w:sz w:val="18"/>
                      <w:szCs w:val="18"/>
                    </w:rPr>
                  </w:pPr>
                  <w:r>
                    <w:rPr>
                      <w:rFonts w:hint="eastAsia"/>
                      <w:b/>
                      <w:sz w:val="18"/>
                      <w:szCs w:val="18"/>
                    </w:rPr>
                    <w:t>三、严格噪声源头管理，控制污染新增</w:t>
                  </w:r>
                </w:p>
                <w:p w14:paraId="6B683FF6">
                  <w:pPr>
                    <w:pStyle w:val="69"/>
                    <w:spacing w:line="240" w:lineRule="auto"/>
                    <w:ind w:firstLine="0" w:firstLineChars="0"/>
                    <w:jc w:val="left"/>
                    <w:rPr>
                      <w:sz w:val="18"/>
                      <w:szCs w:val="18"/>
                    </w:rPr>
                  </w:pPr>
                  <w:r>
                    <w:rPr>
                      <w:rFonts w:hint="eastAsia"/>
                      <w:sz w:val="18"/>
                      <w:szCs w:val="18"/>
                    </w:rPr>
                    <w:t>交通基础设施选线选址要求。研究制定《关于深化绿色公路建设的意见》，将噪声污染防治要求作为绿色公路、美丽公路和公路建设高质量发展的重要内容，科学选线布线，尽量避开噪声敏感建筑物集中区域。</w:t>
                  </w:r>
                </w:p>
                <w:p w14:paraId="443F839C">
                  <w:pPr>
                    <w:pStyle w:val="69"/>
                    <w:spacing w:line="240" w:lineRule="auto"/>
                    <w:ind w:firstLine="0" w:firstLineChars="0"/>
                    <w:jc w:val="left"/>
                    <w:rPr>
                      <w:sz w:val="18"/>
                      <w:szCs w:val="18"/>
                    </w:rPr>
                  </w:pPr>
                  <w:r>
                    <w:rPr>
                      <w:rFonts w:hint="eastAsia"/>
                      <w:sz w:val="18"/>
                      <w:szCs w:val="18"/>
                    </w:rPr>
                    <w:t>优化噪声敏感建筑物建设布局。在交通干线两侧、工业企业周边等地方建设噪声敏感建筑物，应间隔一定距离，提出相应规划设计要求。</w:t>
                  </w:r>
                </w:p>
                <w:p w14:paraId="5AF142F9">
                  <w:pPr>
                    <w:pStyle w:val="69"/>
                    <w:spacing w:line="240" w:lineRule="auto"/>
                    <w:ind w:firstLine="0" w:firstLineChars="0"/>
                    <w:jc w:val="left"/>
                    <w:rPr>
                      <w:b/>
                      <w:sz w:val="18"/>
                      <w:szCs w:val="18"/>
                    </w:rPr>
                  </w:pPr>
                  <w:r>
                    <w:rPr>
                      <w:rFonts w:hint="eastAsia"/>
                      <w:b/>
                      <w:sz w:val="18"/>
                      <w:szCs w:val="18"/>
                    </w:rPr>
                    <w:t>五、强化建筑施工噪声污染防治，严格夜间施工管理</w:t>
                  </w:r>
                </w:p>
                <w:p w14:paraId="4D8E4CC0">
                  <w:pPr>
                    <w:pStyle w:val="69"/>
                    <w:spacing w:line="240" w:lineRule="auto"/>
                    <w:ind w:firstLine="0" w:firstLineChars="0"/>
                    <w:jc w:val="left"/>
                    <w:rPr>
                      <w:sz w:val="18"/>
                      <w:szCs w:val="18"/>
                    </w:rPr>
                  </w:pPr>
                  <w:r>
                    <w:rPr>
                      <w:rFonts w:hint="eastAsia"/>
                      <w:sz w:val="18"/>
                      <w:szCs w:val="18"/>
                    </w:rPr>
                    <w:t>推广低噪声施工设备。施工单位编制并落实噪声污染防治工作方案，采取有效隔声降噪设备、设施或施工工艺。</w:t>
                  </w:r>
                </w:p>
                <w:p w14:paraId="122F5974">
                  <w:pPr>
                    <w:pStyle w:val="69"/>
                    <w:spacing w:line="240" w:lineRule="auto"/>
                    <w:ind w:firstLine="0" w:firstLineChars="0"/>
                    <w:jc w:val="left"/>
                    <w:rPr>
                      <w:sz w:val="18"/>
                      <w:szCs w:val="18"/>
                    </w:rPr>
                  </w:pPr>
                  <w:r>
                    <w:rPr>
                      <w:rFonts w:hint="eastAsia"/>
                      <w:sz w:val="18"/>
                      <w:szCs w:val="18"/>
                    </w:rPr>
                    <w:t>加严噪声敏感建筑物集中区域施工要求。噪声敏感建筑物集中区域的施工场地应优先使用低噪声施工工艺和设备，采取减振降噪措施，加强进出场地运输车辆管理；建设单位应根据国家规定设置噪声自动监测系统，与监督管理部门联网。推动地方完善噪声敏感建筑物集中区域夜间施工证明的申报、审核、时限以及施工管理等要求，严格规范夜间施工证明发放。夜间施工单位应依法进行公示公告。</w:t>
                  </w:r>
                </w:p>
                <w:p w14:paraId="4E30E3BC">
                  <w:pPr>
                    <w:pStyle w:val="69"/>
                    <w:spacing w:line="240" w:lineRule="auto"/>
                    <w:ind w:firstLine="0" w:firstLineChars="0"/>
                    <w:jc w:val="left"/>
                    <w:rPr>
                      <w:b/>
                      <w:sz w:val="18"/>
                      <w:szCs w:val="18"/>
                    </w:rPr>
                  </w:pPr>
                  <w:r>
                    <w:rPr>
                      <w:rFonts w:hint="eastAsia"/>
                      <w:b/>
                      <w:sz w:val="18"/>
                      <w:szCs w:val="18"/>
                    </w:rPr>
                    <w:t>六、加大交通运输噪声污染防治，推动各领域分步治理</w:t>
                  </w:r>
                </w:p>
                <w:p w14:paraId="1834FDEF">
                  <w:pPr>
                    <w:pStyle w:val="69"/>
                    <w:spacing w:line="240" w:lineRule="auto"/>
                    <w:ind w:firstLine="0" w:firstLineChars="0"/>
                    <w:jc w:val="left"/>
                    <w:rPr>
                      <w:sz w:val="18"/>
                      <w:szCs w:val="18"/>
                    </w:rPr>
                  </w:pPr>
                  <w:r>
                    <w:rPr>
                      <w:rFonts w:hint="eastAsia"/>
                      <w:sz w:val="18"/>
                      <w:szCs w:val="18"/>
                    </w:rPr>
                    <w:t>严格机动车监管。综合考虑交通出行、声环境保护等需要，科学划定禁止机动车行驶和使用喇叭等声响装</w:t>
                  </w:r>
                </w:p>
              </w:tc>
              <w:tc>
                <w:tcPr>
                  <w:tcW w:w="1559" w:type="dxa"/>
                  <w:vAlign w:val="center"/>
                </w:tcPr>
                <w:p w14:paraId="01314BAF">
                  <w:pPr>
                    <w:pStyle w:val="69"/>
                    <w:spacing w:line="240" w:lineRule="auto"/>
                    <w:ind w:left="-105" w:leftChars="-50" w:right="-105" w:rightChars="-50" w:firstLine="0" w:firstLineChars="0"/>
                    <w:jc w:val="left"/>
                    <w:rPr>
                      <w:sz w:val="18"/>
                      <w:szCs w:val="18"/>
                    </w:rPr>
                  </w:pPr>
                  <w:r>
                    <w:rPr>
                      <w:rFonts w:hint="eastAsia"/>
                      <w:sz w:val="18"/>
                      <w:szCs w:val="18"/>
                    </w:rPr>
                    <w:t>本项目位于大英县遂宁中心城区，为《四川大英县国土空间总体规划》中路网规划中的一段。</w:t>
                  </w:r>
                </w:p>
                <w:p w14:paraId="4F4FE275">
                  <w:pPr>
                    <w:pStyle w:val="69"/>
                    <w:spacing w:line="240" w:lineRule="auto"/>
                    <w:ind w:left="-105" w:leftChars="-50" w:right="-105" w:rightChars="-50" w:firstLine="0" w:firstLineChars="0"/>
                    <w:jc w:val="left"/>
                    <w:rPr>
                      <w:b/>
                      <w:sz w:val="18"/>
                      <w:szCs w:val="18"/>
                    </w:rPr>
                  </w:pPr>
                  <w:r>
                    <w:rPr>
                      <w:rFonts w:hint="eastAsia"/>
                      <w:sz w:val="18"/>
                      <w:szCs w:val="18"/>
                    </w:rPr>
                    <w:t>根据建设单位提供初步设计资料及可行性研究报告，本项目严格按照规划进行选线，线路走向明确，无比选方案。项目周边现状无集中噪声敏感区；本报告要求项目施工期间严格落实噪声防治相关措施，做到文明施工；项目道路设置有规范的标志、标线。环评要求项目运行期加强道路及桥梁的养护、设立限速与禁止鸣笛标识。</w:t>
                  </w:r>
                </w:p>
              </w:tc>
              <w:tc>
                <w:tcPr>
                  <w:tcW w:w="724" w:type="dxa"/>
                  <w:vAlign w:val="center"/>
                </w:tcPr>
                <w:p w14:paraId="2610CE74">
                  <w:pPr>
                    <w:pStyle w:val="69"/>
                    <w:spacing w:line="240" w:lineRule="auto"/>
                    <w:ind w:left="-105" w:leftChars="-50" w:right="-105" w:rightChars="-50" w:firstLine="0" w:firstLineChars="0"/>
                    <w:jc w:val="center"/>
                    <w:rPr>
                      <w:sz w:val="18"/>
                      <w:szCs w:val="18"/>
                    </w:rPr>
                  </w:pPr>
                  <w:r>
                    <w:rPr>
                      <w:rFonts w:hint="eastAsia"/>
                      <w:sz w:val="18"/>
                      <w:szCs w:val="18"/>
                    </w:rPr>
                    <w:t>符合</w:t>
                  </w:r>
                </w:p>
              </w:tc>
            </w:tr>
          </w:tbl>
          <w:p w14:paraId="2383A47F">
            <w:pPr>
              <w:adjustRightInd w:val="0"/>
              <w:snapToGrid w:val="0"/>
              <w:spacing w:line="360" w:lineRule="auto"/>
              <w:ind w:firstLine="482" w:firstLineChars="200"/>
              <w:jc w:val="left"/>
              <w:rPr>
                <w:b/>
                <w:sz w:val="24"/>
              </w:rPr>
            </w:pPr>
            <w:r>
              <w:rPr>
                <w:rFonts w:hint="eastAsia"/>
                <w:b/>
                <w:sz w:val="24"/>
              </w:rPr>
              <w:t>综上所述，项目建设与《中华人民共和国噪声污染防治法》《中华人民共和国环境噪声污染防治条例》《“十四五”噪声污染防治行动计划》要求相符。</w:t>
            </w:r>
          </w:p>
          <w:p w14:paraId="4FB112AD">
            <w:pPr>
              <w:pStyle w:val="69"/>
              <w:ind w:firstLine="482"/>
              <w:rPr>
                <w:b/>
              </w:rPr>
            </w:pPr>
            <w:r>
              <w:rPr>
                <w:rFonts w:hint="eastAsia"/>
                <w:b/>
              </w:rPr>
              <w:t>5、生态环境分区管控符合性分析</w:t>
            </w:r>
          </w:p>
          <w:p w14:paraId="25CF4CC6">
            <w:pPr>
              <w:adjustRightInd w:val="0"/>
              <w:snapToGrid w:val="0"/>
              <w:spacing w:line="360" w:lineRule="auto"/>
              <w:ind w:firstLine="480" w:firstLineChars="200"/>
            </w:pPr>
            <w:r>
              <w:rPr>
                <w:rFonts w:hint="eastAsia"/>
                <w:sz w:val="24"/>
              </w:rPr>
              <w:t>根据遂宁市生态环境局</w:t>
            </w:r>
            <w:r>
              <w:rPr>
                <w:sz w:val="24"/>
              </w:rPr>
              <w:t>于202</w:t>
            </w:r>
            <w:r>
              <w:rPr>
                <w:rFonts w:hint="eastAsia"/>
                <w:sz w:val="24"/>
              </w:rPr>
              <w:t>4</w:t>
            </w:r>
            <w:r>
              <w:rPr>
                <w:sz w:val="24"/>
              </w:rPr>
              <w:t>年</w:t>
            </w:r>
            <w:r>
              <w:rPr>
                <w:rFonts w:hint="eastAsia"/>
                <w:sz w:val="24"/>
              </w:rPr>
              <w:t>12</w:t>
            </w:r>
            <w:r>
              <w:rPr>
                <w:sz w:val="24"/>
              </w:rPr>
              <w:t>月</w:t>
            </w:r>
            <w:r>
              <w:rPr>
                <w:rFonts w:hint="eastAsia"/>
                <w:sz w:val="24"/>
              </w:rPr>
              <w:t>3</w:t>
            </w:r>
            <w:r>
              <w:rPr>
                <w:sz w:val="24"/>
              </w:rPr>
              <w:t>日发布《</w:t>
            </w:r>
            <w:r>
              <w:rPr>
                <w:rFonts w:hint="eastAsia"/>
                <w:sz w:val="24"/>
              </w:rPr>
              <w:t>遂宁市生态环境分区管控动态更新成果（2024年版）</w:t>
            </w:r>
            <w:r>
              <w:rPr>
                <w:sz w:val="24"/>
              </w:rPr>
              <w:t>》</w:t>
            </w:r>
            <w:r>
              <w:rPr>
                <w:rFonts w:hint="eastAsia"/>
                <w:sz w:val="24"/>
              </w:rPr>
              <w:t>，对生态环境分区管控成果中的生态保护红线、环境质量底线和资源利用上线以及生态环境管控单元和生态环境准入清单进行更新。</w:t>
            </w:r>
          </w:p>
          <w:p w14:paraId="429BDA7D">
            <w:pPr>
              <w:spacing w:line="360" w:lineRule="auto"/>
              <w:ind w:firstLine="480" w:firstLineChars="200"/>
              <w:rPr>
                <w:sz w:val="24"/>
              </w:rPr>
            </w:pPr>
            <w:r>
              <w:rPr>
                <w:sz w:val="24"/>
              </w:rPr>
              <w:t>我单位利</w:t>
            </w:r>
            <w:r>
              <w:rPr>
                <w:rFonts w:ascii="宋体" w:hAnsi="宋体"/>
                <w:sz w:val="24"/>
              </w:rPr>
              <w:t>用四川省“</w:t>
            </w:r>
            <w:r>
              <w:rPr>
                <w:rFonts w:hint="eastAsia" w:ascii="宋体" w:hAnsi="宋体"/>
                <w:sz w:val="24"/>
              </w:rPr>
              <w:t>生态</w:t>
            </w:r>
            <w:r>
              <w:rPr>
                <w:rFonts w:ascii="宋体" w:hAnsi="宋体"/>
                <w:sz w:val="24"/>
              </w:rPr>
              <w:t>环境分区管控”数据分析及查询</w:t>
            </w:r>
            <w:r>
              <w:rPr>
                <w:sz w:val="24"/>
              </w:rPr>
              <w:t>系统</w:t>
            </w:r>
            <w:r>
              <w:rPr>
                <w:rFonts w:hint="eastAsia"/>
                <w:sz w:val="24"/>
              </w:rPr>
              <w:t>（</w:t>
            </w:r>
            <w:r>
              <w:rPr>
                <w:sz w:val="24"/>
                <w:u w:val="single"/>
              </w:rPr>
              <w:t>https://www.sczwfw.gov.cn/tftb/jmopenpub/jmopen_files/webapp/html5/sxydctfx/index.html?areaCode=510000000000</w:t>
            </w:r>
            <w:r>
              <w:rPr>
                <w:rFonts w:hint="eastAsia"/>
                <w:sz w:val="24"/>
              </w:rPr>
              <w:t>）</w:t>
            </w:r>
            <w:r>
              <w:rPr>
                <w:sz w:val="24"/>
              </w:rPr>
              <w:t>，比对</w:t>
            </w:r>
            <w:r>
              <w:rPr>
                <w:rFonts w:hint="eastAsia"/>
                <w:sz w:val="24"/>
              </w:rPr>
              <w:t>遂宁市</w:t>
            </w:r>
            <w:r>
              <w:rPr>
                <w:sz w:val="24"/>
              </w:rPr>
              <w:t>环境综合管控单元</w:t>
            </w:r>
            <w:r>
              <w:rPr>
                <w:rFonts w:hint="eastAsia"/>
                <w:sz w:val="24"/>
              </w:rPr>
              <w:t>分区成果</w:t>
            </w:r>
            <w:r>
              <w:rPr>
                <w:sz w:val="24"/>
              </w:rPr>
              <w:t>，</w:t>
            </w:r>
            <w:r>
              <w:rPr>
                <w:rFonts w:hint="eastAsia"/>
                <w:sz w:val="24"/>
              </w:rPr>
              <w:t>本项目</w:t>
            </w:r>
            <w:r>
              <w:rPr>
                <w:sz w:val="24"/>
              </w:rPr>
              <w:t>主体工程、临时工程位于</w:t>
            </w:r>
            <w:r>
              <w:rPr>
                <w:rFonts w:hint="eastAsia"/>
                <w:sz w:val="24"/>
              </w:rPr>
              <w:t>遂宁市</w:t>
            </w:r>
            <w:r>
              <w:rPr>
                <w:b/>
                <w:sz w:val="24"/>
              </w:rPr>
              <w:t>大英县</w:t>
            </w:r>
            <w:r>
              <w:rPr>
                <w:rFonts w:hint="eastAsia"/>
                <w:b/>
                <w:sz w:val="24"/>
              </w:rPr>
              <w:t>环境综合管控单元——城镇重点管控单元、要素重点管控单元——</w:t>
            </w:r>
            <w:r>
              <w:rPr>
                <w:sz w:val="24"/>
              </w:rPr>
              <w:t>（</w:t>
            </w:r>
            <w:r>
              <w:rPr>
                <w:rFonts w:hint="eastAsia"/>
                <w:sz w:val="24"/>
              </w:rPr>
              <w:t>大英县城镇空间</w:t>
            </w:r>
            <w:r>
              <w:rPr>
                <w:sz w:val="24"/>
              </w:rPr>
              <w:t>，ZH51092320001；</w:t>
            </w:r>
            <w:r>
              <w:rPr>
                <w:rFonts w:hint="eastAsia"/>
                <w:sz w:val="24"/>
              </w:rPr>
              <w:t>大英县要素重点管控单元，ZH51092320005</w:t>
            </w:r>
            <w:r>
              <w:rPr>
                <w:sz w:val="24"/>
              </w:rPr>
              <w:t>），</w:t>
            </w:r>
            <w:r>
              <w:rPr>
                <w:rFonts w:hint="eastAsia"/>
                <w:sz w:val="24"/>
              </w:rPr>
              <w:t>不涉及环境管控优先保护单元。</w:t>
            </w:r>
          </w:p>
          <w:p w14:paraId="6C30CB72">
            <w:pPr>
              <w:adjustRightInd w:val="0"/>
              <w:snapToGrid w:val="0"/>
              <w:spacing w:line="360" w:lineRule="auto"/>
              <w:jc w:val="center"/>
              <w:rPr>
                <w:sz w:val="24"/>
              </w:rPr>
            </w:pPr>
            <w:r>
              <w:drawing>
                <wp:inline distT="0" distB="0" distL="0" distR="0">
                  <wp:extent cx="5135880" cy="3582035"/>
                  <wp:effectExtent l="0" t="0" r="762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5136078" cy="3582177"/>
                          </a:xfrm>
                          <a:prstGeom prst="rect">
                            <a:avLst/>
                          </a:prstGeom>
                        </pic:spPr>
                      </pic:pic>
                    </a:graphicData>
                  </a:graphic>
                </wp:inline>
              </w:drawing>
            </w:r>
          </w:p>
          <w:p w14:paraId="2C4C4997">
            <w:pPr>
              <w:pStyle w:val="2"/>
              <w:jc w:val="center"/>
            </w:pPr>
            <w:r>
              <w:rPr>
                <w:rFonts w:eastAsia="黑体"/>
                <w:bCs/>
                <w:szCs w:val="21"/>
              </w:rPr>
              <w:t>图1-</w:t>
            </w:r>
            <w:r>
              <w:rPr>
                <w:rFonts w:hint="eastAsia" w:eastAsia="黑体"/>
                <w:bCs/>
                <w:szCs w:val="21"/>
              </w:rPr>
              <w:t xml:space="preserve">1.1  </w:t>
            </w:r>
            <w:r>
              <w:rPr>
                <w:rFonts w:eastAsia="黑体"/>
                <w:bCs/>
                <w:szCs w:val="21"/>
              </w:rPr>
              <w:t xml:space="preserve"> </w:t>
            </w:r>
            <w:r>
              <w:rPr>
                <w:rFonts w:hint="eastAsia" w:eastAsia="黑体"/>
                <w:bCs/>
                <w:szCs w:val="21"/>
              </w:rPr>
              <w:t>分区管控查询截图</w:t>
            </w:r>
          </w:p>
          <w:p w14:paraId="1B5C547C">
            <w:pPr>
              <w:adjustRightInd w:val="0"/>
              <w:snapToGrid w:val="0"/>
              <w:spacing w:line="360" w:lineRule="auto"/>
              <w:jc w:val="center"/>
              <w:rPr>
                <w:sz w:val="24"/>
              </w:rPr>
            </w:pPr>
            <w:r>
              <w:drawing>
                <wp:inline distT="0" distB="0" distL="0" distR="0">
                  <wp:extent cx="5024120" cy="3684905"/>
                  <wp:effectExtent l="0" t="0" r="508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
                          <a:stretch>
                            <a:fillRect/>
                          </a:stretch>
                        </pic:blipFill>
                        <pic:spPr>
                          <a:xfrm>
                            <a:off x="0" y="0"/>
                            <a:ext cx="5024437" cy="3685169"/>
                          </a:xfrm>
                          <a:prstGeom prst="rect">
                            <a:avLst/>
                          </a:prstGeom>
                        </pic:spPr>
                      </pic:pic>
                    </a:graphicData>
                  </a:graphic>
                </wp:inline>
              </w:drawing>
            </w:r>
          </w:p>
          <w:p w14:paraId="2AFB76FB">
            <w:pPr>
              <w:pStyle w:val="2"/>
              <w:spacing w:line="360" w:lineRule="auto"/>
              <w:jc w:val="center"/>
            </w:pPr>
            <w:r>
              <w:rPr>
                <w:rFonts w:eastAsia="黑体"/>
                <w:bCs/>
                <w:szCs w:val="21"/>
              </w:rPr>
              <w:t>图1-</w:t>
            </w:r>
            <w:r>
              <w:rPr>
                <w:rFonts w:hint="eastAsia" w:eastAsia="黑体"/>
                <w:bCs/>
                <w:szCs w:val="21"/>
              </w:rPr>
              <w:t xml:space="preserve">1.2  </w:t>
            </w:r>
            <w:r>
              <w:rPr>
                <w:rFonts w:eastAsia="黑体"/>
                <w:bCs/>
                <w:szCs w:val="21"/>
              </w:rPr>
              <w:t xml:space="preserve"> </w:t>
            </w:r>
            <w:r>
              <w:rPr>
                <w:rFonts w:hint="eastAsia" w:eastAsia="黑体"/>
                <w:bCs/>
                <w:szCs w:val="21"/>
              </w:rPr>
              <w:t>分区管控查询截图</w:t>
            </w:r>
          </w:p>
          <w:p w14:paraId="5EA8CDCB">
            <w:pPr>
              <w:adjustRightInd w:val="0"/>
              <w:snapToGrid w:val="0"/>
              <w:spacing w:line="360" w:lineRule="auto"/>
              <w:ind w:firstLine="480" w:firstLineChars="200"/>
              <w:rPr>
                <w:sz w:val="24"/>
              </w:rPr>
            </w:pPr>
            <w:r>
              <w:rPr>
                <w:rFonts w:hint="eastAsia"/>
                <w:sz w:val="24"/>
              </w:rPr>
              <w:t>与管控单元相对位置图见下：</w:t>
            </w:r>
          </w:p>
          <w:p w14:paraId="0E4B0988">
            <w:pPr>
              <w:pStyle w:val="20"/>
              <w:spacing w:after="0" w:line="240" w:lineRule="auto"/>
              <w:ind w:left="0" w:leftChars="0"/>
              <w:jc w:val="center"/>
            </w:pPr>
            <w:r>
              <w:rPr>
                <w:bCs/>
                <w:sz w:val="24"/>
              </w:rPr>
              <mc:AlternateContent>
                <mc:Choice Requires="wps">
                  <w:drawing>
                    <wp:anchor distT="0" distB="0" distL="114300" distR="114300" simplePos="0" relativeHeight="251659264" behindDoc="0" locked="0" layoutInCell="1" allowOverlap="1">
                      <wp:simplePos x="0" y="0"/>
                      <wp:positionH relativeFrom="column">
                        <wp:posOffset>208280</wp:posOffset>
                      </wp:positionH>
                      <wp:positionV relativeFrom="paragraph">
                        <wp:posOffset>497205</wp:posOffset>
                      </wp:positionV>
                      <wp:extent cx="884555" cy="266065"/>
                      <wp:effectExtent l="0" t="0" r="0" b="635"/>
                      <wp:wrapNone/>
                      <wp:docPr id="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84555" cy="266065"/>
                              </a:xfrm>
                              <a:prstGeom prst="rect">
                                <a:avLst/>
                              </a:prstGeom>
                              <a:solidFill>
                                <a:srgbClr val="FFFFFF"/>
                              </a:solidFill>
                              <a:ln w="9525">
                                <a:noFill/>
                                <a:miter lim="800000"/>
                              </a:ln>
                            </wps:spPr>
                            <wps:txbx>
                              <w:txbxContent>
                                <w:p w14:paraId="618AAF7E">
                                  <w:pPr>
                                    <w:jc w:val="center"/>
                                    <w:rPr>
                                      <w:rFonts w:ascii="黑体" w:hAnsi="黑体" w:eastAsia="黑体"/>
                                      <w:sz w:val="20"/>
                                    </w:rPr>
                                  </w:pPr>
                                  <w:r>
                                    <w:rPr>
                                      <w:rFonts w:hint="eastAsia" w:ascii="黑体" w:hAnsi="黑体" w:eastAsia="黑体"/>
                                      <w:sz w:val="20"/>
                                    </w:rPr>
                                    <w:t>本项目位置</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6.4pt;margin-top:39.15pt;height:20.95pt;width:69.65pt;z-index:251659264;mso-width-relative:page;mso-height-relative:page;" fillcolor="#FFFFFF" filled="t" stroked="f" coordsize="21600,21600" o:gfxdata="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ivTwENcAAAAJAQAADwAAAAAAAAABACAAAAAiAAAAZHJzL2Rvd25y&#10;ZXYueG1sUEsBAhQAFAAAAAgAh07iQKtCCpg4AgAAUgQAAA4AAAAAAAAAAQAgAAAAJgEAAGRycy9l&#10;Mm9Eb2MueG1sUEsFBgAAAAAGAAYAWQEAANAFAAAAAA==&#10;">
                      <v:fill on="t" focussize="0,0"/>
                      <v:stroke on="f" miterlimit="8" joinstyle="miter"/>
                      <v:imagedata o:title=""/>
                      <o:lock v:ext="edit" aspectratio="f"/>
                      <v:textbox>
                        <w:txbxContent>
                          <w:p w14:paraId="618AAF7E">
                            <w:pPr>
                              <w:jc w:val="center"/>
                              <w:rPr>
                                <w:rFonts w:ascii="黑体" w:hAnsi="黑体" w:eastAsia="黑体"/>
                                <w:sz w:val="20"/>
                              </w:rPr>
                            </w:pPr>
                            <w:r>
                              <w:rPr>
                                <w:rFonts w:hint="eastAsia" w:ascii="黑体" w:hAnsi="黑体" w:eastAsia="黑体"/>
                                <w:sz w:val="20"/>
                              </w:rPr>
                              <w:t>本项目位置</w:t>
                            </w:r>
                          </w:p>
                        </w:txbxContent>
                      </v:textbox>
                    </v:shape>
                  </w:pict>
                </mc:Fallback>
              </mc:AlternateContent>
            </w:r>
            <w:r>
              <w:rPr>
                <w:bCs/>
                <w:sz w:val="24"/>
              </w:rPr>
              <mc:AlternateContent>
                <mc:Choice Requires="wps">
                  <w:drawing>
                    <wp:anchor distT="0" distB="0" distL="114300" distR="114300" simplePos="0" relativeHeight="251663360" behindDoc="0" locked="0" layoutInCell="1" allowOverlap="1">
                      <wp:simplePos x="0" y="0"/>
                      <wp:positionH relativeFrom="column">
                        <wp:posOffset>570865</wp:posOffset>
                      </wp:positionH>
                      <wp:positionV relativeFrom="paragraph">
                        <wp:posOffset>761365</wp:posOffset>
                      </wp:positionV>
                      <wp:extent cx="153035" cy="471170"/>
                      <wp:effectExtent l="0" t="0" r="75565" b="62230"/>
                      <wp:wrapNone/>
                      <wp:docPr id="19" name="直接连接符 19"/>
                      <wp:cNvGraphicFramePr/>
                      <a:graphic xmlns:a="http://schemas.openxmlformats.org/drawingml/2006/main">
                        <a:graphicData uri="http://schemas.microsoft.com/office/word/2010/wordprocessingShape">
                          <wps:wsp>
                            <wps:cNvCnPr/>
                            <wps:spPr>
                              <a:xfrm>
                                <a:off x="0" y="0"/>
                                <a:ext cx="153035" cy="471170"/>
                              </a:xfrm>
                              <a:prstGeom prst="line">
                                <a:avLst/>
                              </a:prstGeom>
                              <a:ln w="6350">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4.95pt;margin-top:59.95pt;height:37.1pt;width:12.05pt;z-index:251663360;mso-width-relative:page;mso-height-relative:page;" filled="f" stroked="t" coordsize="21600,21600" o:gfxdata="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8D3odYAAAAKAQAADwAAAAAAAAABACAAAAAiAAAAZHJz&#10;L2Rvd25yZXYueG1sUEsBAhQAFAAAAAgAh07iQNHh5fgGAgAA5AMAAA4AAAAAAAAAAQAgAAAAJQEA&#10;AGRycy9lMm9Eb2MueG1sUEsFBgAAAAAGAAYAWQEAAJ0FAAAAAA==&#10;">
                      <v:fill on="f" focussize="0,0"/>
                      <v:stroke weight="0.5pt" color="#000000 [3213]" miterlimit="8" joinstyle="miter" endarrow="block" endarrowwidth="wide"/>
                      <v:imagedata o:title=""/>
                      <o:lock v:ext="edit" aspectratio="f"/>
                    </v:line>
                  </w:pict>
                </mc:Fallback>
              </mc:AlternateContent>
            </w:r>
            <w:r>
              <w:rPr>
                <w:bCs/>
                <w:sz w:val="24"/>
              </w:rPr>
              <mc:AlternateContent>
                <mc:Choice Requires="wps">
                  <w:drawing>
                    <wp:anchor distT="0" distB="0" distL="114300" distR="114300" simplePos="0" relativeHeight="251660288" behindDoc="0" locked="0" layoutInCell="1" allowOverlap="1">
                      <wp:simplePos x="0" y="0"/>
                      <wp:positionH relativeFrom="column">
                        <wp:posOffset>662305</wp:posOffset>
                      </wp:positionH>
                      <wp:positionV relativeFrom="paragraph">
                        <wp:posOffset>761365</wp:posOffset>
                      </wp:positionV>
                      <wp:extent cx="285115" cy="200660"/>
                      <wp:effectExtent l="0" t="0" r="76835" b="66040"/>
                      <wp:wrapNone/>
                      <wp:docPr id="18" name="直接连接符 18"/>
                      <wp:cNvGraphicFramePr/>
                      <a:graphic xmlns:a="http://schemas.openxmlformats.org/drawingml/2006/main">
                        <a:graphicData uri="http://schemas.microsoft.com/office/word/2010/wordprocessingShape">
                          <wps:wsp>
                            <wps:cNvCnPr/>
                            <wps:spPr>
                              <a:xfrm>
                                <a:off x="0" y="0"/>
                                <a:ext cx="285115" cy="200660"/>
                              </a:xfrm>
                              <a:prstGeom prst="line">
                                <a:avLst/>
                              </a:prstGeom>
                              <a:ln w="6350">
                                <a:solidFill>
                                  <a:schemeClr val="tx1"/>
                                </a:solidFill>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2.15pt;margin-top:59.95pt;height:15.8pt;width:22.45pt;z-index:251660288;mso-width-relative:page;mso-height-relative:page;" filled="f" stroked="t" coordsize="21600,21600" o:gfxdata="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Y8IPTYAAAACwEAAA8AAAAAAAAAAQAgAAAAIgAAAGRycy9k&#10;b3ducmV2LnhtbFBLAQIUABQAAAAIAIdO4kDV4VlQAgIAAOQDAAAOAAAAAAAAAAEAIAAAACcBAABk&#10;cnMvZTJvRG9jLnhtbFBLBQYAAAAABgAGAFkBAACbBQAAAAA=&#10;">
                      <v:fill on="f" focussize="0,0"/>
                      <v:stroke weight="0.5pt" color="#000000 [3213]" miterlimit="8" joinstyle="miter" endarrow="block" endarrowwidth="wide"/>
                      <v:imagedata o:title=""/>
                      <o:lock v:ext="edit" aspectratio="f"/>
                    </v:line>
                  </w:pict>
                </mc:Fallback>
              </mc:AlternateContent>
            </w:r>
            <w:r>
              <w:rPr>
                <w:rFonts w:eastAsia="黑体"/>
                <w:szCs w:val="21"/>
              </w:rPr>
              <mc:AlternateContent>
                <mc:Choice Requires="wps">
                  <w:drawing>
                    <wp:anchor distT="0" distB="0" distL="114300" distR="114300" simplePos="0" relativeHeight="251662336" behindDoc="0" locked="0" layoutInCell="1" allowOverlap="1">
                      <wp:simplePos x="0" y="0"/>
                      <wp:positionH relativeFrom="column">
                        <wp:posOffset>825500</wp:posOffset>
                      </wp:positionH>
                      <wp:positionV relativeFrom="paragraph">
                        <wp:posOffset>918210</wp:posOffset>
                      </wp:positionV>
                      <wp:extent cx="358140" cy="120650"/>
                      <wp:effectExtent l="0" t="0" r="22860" b="12700"/>
                      <wp:wrapNone/>
                      <wp:docPr id="13" name="任意多边形 13"/>
                      <wp:cNvGraphicFramePr/>
                      <a:graphic xmlns:a="http://schemas.openxmlformats.org/drawingml/2006/main">
                        <a:graphicData uri="http://schemas.microsoft.com/office/word/2010/wordprocessingShape">
                          <wps:wsp>
                            <wps:cNvSpPr/>
                            <wps:spPr>
                              <a:xfrm>
                                <a:off x="0" y="0"/>
                                <a:ext cx="358140" cy="120650"/>
                              </a:xfrm>
                              <a:custGeom>
                                <a:avLst/>
                                <a:gdLst>
                                  <a:gd name="connsiteX0" fmla="*/ 0 w 358445"/>
                                  <a:gd name="connsiteY0" fmla="*/ 120724 h 120724"/>
                                  <a:gd name="connsiteX1" fmla="*/ 32919 w 358445"/>
                                  <a:gd name="connsiteY1" fmla="*/ 109752 h 120724"/>
                                  <a:gd name="connsiteX2" fmla="*/ 51207 w 358445"/>
                                  <a:gd name="connsiteY2" fmla="*/ 95121 h 120724"/>
                                  <a:gd name="connsiteX3" fmla="*/ 73152 w 358445"/>
                                  <a:gd name="connsiteY3" fmla="*/ 87806 h 120724"/>
                                  <a:gd name="connsiteX4" fmla="*/ 102413 w 358445"/>
                                  <a:gd name="connsiteY4" fmla="*/ 73176 h 120724"/>
                                  <a:gd name="connsiteX5" fmla="*/ 113386 w 358445"/>
                                  <a:gd name="connsiteY5" fmla="*/ 69518 h 120724"/>
                                  <a:gd name="connsiteX6" fmla="*/ 124359 w 358445"/>
                                  <a:gd name="connsiteY6" fmla="*/ 65860 h 120724"/>
                                  <a:gd name="connsiteX7" fmla="*/ 153620 w 358445"/>
                                  <a:gd name="connsiteY7" fmla="*/ 58545 h 120724"/>
                                  <a:gd name="connsiteX8" fmla="*/ 175565 w 358445"/>
                                  <a:gd name="connsiteY8" fmla="*/ 29284 h 120724"/>
                                  <a:gd name="connsiteX9" fmla="*/ 186538 w 358445"/>
                                  <a:gd name="connsiteY9" fmla="*/ 21969 h 120724"/>
                                  <a:gd name="connsiteX10" fmla="*/ 208484 w 358445"/>
                                  <a:gd name="connsiteY10" fmla="*/ 7339 h 120724"/>
                                  <a:gd name="connsiteX11" fmla="*/ 219456 w 358445"/>
                                  <a:gd name="connsiteY11" fmla="*/ 24 h 120724"/>
                                  <a:gd name="connsiteX12" fmla="*/ 248717 w 358445"/>
                                  <a:gd name="connsiteY12" fmla="*/ 7339 h 120724"/>
                                  <a:gd name="connsiteX13" fmla="*/ 259690 w 358445"/>
                                  <a:gd name="connsiteY13" fmla="*/ 14654 h 120724"/>
                                  <a:gd name="connsiteX14" fmla="*/ 292608 w 358445"/>
                                  <a:gd name="connsiteY14" fmla="*/ 32942 h 120724"/>
                                  <a:gd name="connsiteX15" fmla="*/ 299924 w 358445"/>
                                  <a:gd name="connsiteY15" fmla="*/ 40257 h 120724"/>
                                  <a:gd name="connsiteX16" fmla="*/ 318212 w 358445"/>
                                  <a:gd name="connsiteY16" fmla="*/ 43915 h 120724"/>
                                  <a:gd name="connsiteX17" fmla="*/ 340157 w 358445"/>
                                  <a:gd name="connsiteY17" fmla="*/ 51230 h 120724"/>
                                  <a:gd name="connsiteX18" fmla="*/ 351130 w 358445"/>
                                  <a:gd name="connsiteY18" fmla="*/ 54888 h 120724"/>
                                  <a:gd name="connsiteX19" fmla="*/ 358445 w 358445"/>
                                  <a:gd name="connsiteY19" fmla="*/ 54888 h 1207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58445" h="120724">
                                    <a:moveTo>
                                      <a:pt x="0" y="120724"/>
                                    </a:moveTo>
                                    <a:cubicBezTo>
                                      <a:pt x="10973" y="117067"/>
                                      <a:pt x="24741" y="117931"/>
                                      <a:pt x="32919" y="109752"/>
                                    </a:cubicBezTo>
                                    <a:cubicBezTo>
                                      <a:pt x="39000" y="103670"/>
                                      <a:pt x="42900" y="98813"/>
                                      <a:pt x="51207" y="95121"/>
                                    </a:cubicBezTo>
                                    <a:cubicBezTo>
                                      <a:pt x="58253" y="91989"/>
                                      <a:pt x="73152" y="87806"/>
                                      <a:pt x="73152" y="87806"/>
                                    </a:cubicBezTo>
                                    <a:cubicBezTo>
                                      <a:pt x="85921" y="75039"/>
                                      <a:pt x="77196" y="81582"/>
                                      <a:pt x="102413" y="73176"/>
                                    </a:cubicBezTo>
                                    <a:lnTo>
                                      <a:pt x="113386" y="69518"/>
                                    </a:lnTo>
                                    <a:cubicBezTo>
                                      <a:pt x="117044" y="68299"/>
                                      <a:pt x="120578" y="66616"/>
                                      <a:pt x="124359" y="65860"/>
                                    </a:cubicBezTo>
                                    <a:cubicBezTo>
                                      <a:pt x="146428" y="61447"/>
                                      <a:pt x="136749" y="64169"/>
                                      <a:pt x="153620" y="58545"/>
                                    </a:cubicBezTo>
                                    <a:cubicBezTo>
                                      <a:pt x="160302" y="48523"/>
                                      <a:pt x="165902" y="37015"/>
                                      <a:pt x="175565" y="29284"/>
                                    </a:cubicBezTo>
                                    <a:cubicBezTo>
                                      <a:pt x="178998" y="26538"/>
                                      <a:pt x="183161" y="24783"/>
                                      <a:pt x="186538" y="21969"/>
                                    </a:cubicBezTo>
                                    <a:cubicBezTo>
                                      <a:pt x="204804" y="6748"/>
                                      <a:pt x="189200" y="13766"/>
                                      <a:pt x="208484" y="7339"/>
                                    </a:cubicBezTo>
                                    <a:cubicBezTo>
                                      <a:pt x="212141" y="4901"/>
                                      <a:pt x="215094" y="569"/>
                                      <a:pt x="219456" y="24"/>
                                    </a:cubicBezTo>
                                    <a:cubicBezTo>
                                      <a:pt x="222797" y="-394"/>
                                      <a:pt x="243461" y="4711"/>
                                      <a:pt x="248717" y="7339"/>
                                    </a:cubicBezTo>
                                    <a:cubicBezTo>
                                      <a:pt x="252649" y="9305"/>
                                      <a:pt x="255758" y="12688"/>
                                      <a:pt x="259690" y="14654"/>
                                    </a:cubicBezTo>
                                    <a:cubicBezTo>
                                      <a:pt x="278089" y="23853"/>
                                      <a:pt x="269540" y="9878"/>
                                      <a:pt x="292608" y="32942"/>
                                    </a:cubicBezTo>
                                    <a:cubicBezTo>
                                      <a:pt x="295047" y="35380"/>
                                      <a:pt x="296754" y="38899"/>
                                      <a:pt x="299924" y="40257"/>
                                    </a:cubicBezTo>
                                    <a:cubicBezTo>
                                      <a:pt x="305638" y="42706"/>
                                      <a:pt x="312214" y="42279"/>
                                      <a:pt x="318212" y="43915"/>
                                    </a:cubicBezTo>
                                    <a:cubicBezTo>
                                      <a:pt x="325651" y="45944"/>
                                      <a:pt x="332842" y="48792"/>
                                      <a:pt x="340157" y="51230"/>
                                    </a:cubicBezTo>
                                    <a:cubicBezTo>
                                      <a:pt x="343815" y="52449"/>
                                      <a:pt x="347274" y="54888"/>
                                      <a:pt x="351130" y="54888"/>
                                    </a:cubicBezTo>
                                    <a:lnTo>
                                      <a:pt x="358445" y="54888"/>
                                    </a:lnTo>
                                  </a:path>
                                </a:pathLst>
                              </a:custGeom>
                              <a:ln w="9525">
                                <a:solidFill>
                                  <a:srgbClr val="00B0F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65pt;margin-top:72.3pt;height:9.5pt;width:28.2pt;z-index:251662336;v-text-anchor:middle;mso-width-relative:page;mso-height-relative:page;" filled="f" stroked="t" coordsize="358445,120724" o:gfxdata="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" path="m0,120724c10973,117067,24741,117931,32919,109752c39000,103670,42900,98813,51207,95121c58253,91989,73152,87806,73152,87806c85921,75039,77196,81582,102413,73176l113386,69518c117044,68299,120578,66616,124359,65860c146428,61447,136749,64169,153620,58545c160302,48523,165902,37015,175565,29284c178998,26538,183161,24783,186538,21969c204804,6748,189200,13766,208484,7339c212141,4901,215094,569,219456,24c222797,-394,243461,4711,248717,7339c252649,9305,255758,12688,259690,14654c278089,23853,269540,9878,292608,32942c295047,35380,296754,38899,299924,40257c305638,42706,312214,42279,318212,43915c325651,45944,332842,48792,340157,51230c343815,52449,347274,54888,351130,54888l358445,54888e">
                      <v:path o:connectlocs="0,120650;32890,109684;51163,95062;73089,87752;102325,73131;113289,69475;124253,65819;153489,58509;175415,29266;186379,21955;208306,7334;219269,23;248505,7334;259469,14645;292359,32921;299668,40232;317941,43888;339867,51198;350831,54854;358140,54854" o:connectangles="0,0,0,0,0,0,0,0,0,0,0,0,0,0,0,0,0,0,0,0"/>
                      <v:fill on="f" focussize="0,0"/>
                      <v:stroke color="#00B0F0 [3204]" miterlimit="8" joinstyle="miter"/>
                      <v:imagedata o:title=""/>
                      <o:lock v:ext="edit" aspectratio="f"/>
                    </v:shape>
                  </w:pict>
                </mc:Fallback>
              </mc:AlternateContent>
            </w:r>
            <w:r>
              <w:rPr>
                <w:rFonts w:eastAsia="黑体"/>
                <w:szCs w:val="21"/>
              </w:rPr>
              <mc:AlternateContent>
                <mc:Choice Requires="wps">
                  <w:drawing>
                    <wp:anchor distT="0" distB="0" distL="114300" distR="114300" simplePos="0" relativeHeight="251661312" behindDoc="0" locked="0" layoutInCell="1" allowOverlap="1">
                      <wp:simplePos x="0" y="0"/>
                      <wp:positionH relativeFrom="column">
                        <wp:posOffset>722630</wp:posOffset>
                      </wp:positionH>
                      <wp:positionV relativeFrom="paragraph">
                        <wp:posOffset>1198880</wp:posOffset>
                      </wp:positionV>
                      <wp:extent cx="309880" cy="328930"/>
                      <wp:effectExtent l="19050" t="0" r="13970" b="13970"/>
                      <wp:wrapNone/>
                      <wp:docPr id="12" name="任意多边形 12"/>
                      <wp:cNvGraphicFramePr/>
                      <a:graphic xmlns:a="http://schemas.openxmlformats.org/drawingml/2006/main">
                        <a:graphicData uri="http://schemas.microsoft.com/office/word/2010/wordprocessingShape">
                          <wps:wsp>
                            <wps:cNvSpPr/>
                            <wps:spPr>
                              <a:xfrm>
                                <a:off x="0" y="0"/>
                                <a:ext cx="309880" cy="328930"/>
                              </a:xfrm>
                              <a:custGeom>
                                <a:avLst/>
                                <a:gdLst>
                                  <a:gd name="connsiteX0" fmla="*/ 358445 w 358445"/>
                                  <a:gd name="connsiteY0" fmla="*/ 380390 h 380390"/>
                                  <a:gd name="connsiteX1" fmla="*/ 325526 w 358445"/>
                                  <a:gd name="connsiteY1" fmla="*/ 347472 h 380390"/>
                                  <a:gd name="connsiteX2" fmla="*/ 318211 w 358445"/>
                                  <a:gd name="connsiteY2" fmla="*/ 340156 h 380390"/>
                                  <a:gd name="connsiteX3" fmla="*/ 296265 w 358445"/>
                                  <a:gd name="connsiteY3" fmla="*/ 325526 h 380390"/>
                                  <a:gd name="connsiteX4" fmla="*/ 285293 w 358445"/>
                                  <a:gd name="connsiteY4" fmla="*/ 318211 h 380390"/>
                                  <a:gd name="connsiteX5" fmla="*/ 267005 w 358445"/>
                                  <a:gd name="connsiteY5" fmla="*/ 303580 h 380390"/>
                                  <a:gd name="connsiteX6" fmla="*/ 241401 w 358445"/>
                                  <a:gd name="connsiteY6" fmla="*/ 285292 h 380390"/>
                                  <a:gd name="connsiteX7" fmla="*/ 226771 w 358445"/>
                                  <a:gd name="connsiteY7" fmla="*/ 277977 h 380390"/>
                                  <a:gd name="connsiteX8" fmla="*/ 212141 w 358445"/>
                                  <a:gd name="connsiteY8" fmla="*/ 267004 h 380390"/>
                                  <a:gd name="connsiteX9" fmla="*/ 197510 w 358445"/>
                                  <a:gd name="connsiteY9" fmla="*/ 259689 h 380390"/>
                                  <a:gd name="connsiteX10" fmla="*/ 171907 w 358445"/>
                                  <a:gd name="connsiteY10" fmla="*/ 245059 h 380390"/>
                                  <a:gd name="connsiteX11" fmla="*/ 164592 w 358445"/>
                                  <a:gd name="connsiteY11" fmla="*/ 234086 h 380390"/>
                                  <a:gd name="connsiteX12" fmla="*/ 153619 w 358445"/>
                                  <a:gd name="connsiteY12" fmla="*/ 230428 h 380390"/>
                                  <a:gd name="connsiteX13" fmla="*/ 131673 w 358445"/>
                                  <a:gd name="connsiteY13" fmla="*/ 219456 h 380390"/>
                                  <a:gd name="connsiteX14" fmla="*/ 113385 w 358445"/>
                                  <a:gd name="connsiteY14" fmla="*/ 204825 h 380390"/>
                                  <a:gd name="connsiteX15" fmla="*/ 102413 w 358445"/>
                                  <a:gd name="connsiteY15" fmla="*/ 201168 h 380390"/>
                                  <a:gd name="connsiteX16" fmla="*/ 84125 w 358445"/>
                                  <a:gd name="connsiteY16" fmla="*/ 186537 h 380390"/>
                                  <a:gd name="connsiteX17" fmla="*/ 76809 w 358445"/>
                                  <a:gd name="connsiteY17" fmla="*/ 179222 h 380390"/>
                                  <a:gd name="connsiteX18" fmla="*/ 25603 w 358445"/>
                                  <a:gd name="connsiteY18" fmla="*/ 168249 h 380390"/>
                                  <a:gd name="connsiteX19" fmla="*/ 0 w 358445"/>
                                  <a:gd name="connsiteY19" fmla="*/ 164592 h 380390"/>
                                  <a:gd name="connsiteX20" fmla="*/ 3657 w 358445"/>
                                  <a:gd name="connsiteY20" fmla="*/ 153619 h 380390"/>
                                  <a:gd name="connsiteX21" fmla="*/ 10973 w 358445"/>
                                  <a:gd name="connsiteY21" fmla="*/ 138988 h 380390"/>
                                  <a:gd name="connsiteX22" fmla="*/ 14630 w 358445"/>
                                  <a:gd name="connsiteY22" fmla="*/ 124358 h 380390"/>
                                  <a:gd name="connsiteX23" fmla="*/ 21945 w 358445"/>
                                  <a:gd name="connsiteY23" fmla="*/ 102412 h 380390"/>
                                  <a:gd name="connsiteX24" fmla="*/ 29261 w 358445"/>
                                  <a:gd name="connsiteY24" fmla="*/ 95097 h 380390"/>
                                  <a:gd name="connsiteX25" fmla="*/ 32918 w 358445"/>
                                  <a:gd name="connsiteY25" fmla="*/ 80467 h 380390"/>
                                  <a:gd name="connsiteX26" fmla="*/ 47549 w 358445"/>
                                  <a:gd name="connsiteY26" fmla="*/ 58521 h 380390"/>
                                  <a:gd name="connsiteX27" fmla="*/ 62179 w 358445"/>
                                  <a:gd name="connsiteY27" fmla="*/ 40233 h 380390"/>
                                  <a:gd name="connsiteX28" fmla="*/ 69494 w 358445"/>
                                  <a:gd name="connsiteY28" fmla="*/ 0 h 380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358445" h="380390">
                                    <a:moveTo>
                                      <a:pt x="358445" y="380390"/>
                                    </a:moveTo>
                                    <a:cubicBezTo>
                                      <a:pt x="328350" y="344275"/>
                                      <a:pt x="352836" y="370230"/>
                                      <a:pt x="325526" y="347472"/>
                                    </a:cubicBezTo>
                                    <a:cubicBezTo>
                                      <a:pt x="322877" y="345264"/>
                                      <a:pt x="320970" y="342225"/>
                                      <a:pt x="318211" y="340156"/>
                                    </a:cubicBezTo>
                                    <a:cubicBezTo>
                                      <a:pt x="311178" y="334881"/>
                                      <a:pt x="303580" y="330403"/>
                                      <a:pt x="296265" y="325526"/>
                                    </a:cubicBezTo>
                                    <a:cubicBezTo>
                                      <a:pt x="292608" y="323088"/>
                                      <a:pt x="288401" y="321319"/>
                                      <a:pt x="285293" y="318211"/>
                                    </a:cubicBezTo>
                                    <a:cubicBezTo>
                                      <a:pt x="273062" y="305982"/>
                                      <a:pt x="283149" y="315111"/>
                                      <a:pt x="267005" y="303580"/>
                                    </a:cubicBezTo>
                                    <a:cubicBezTo>
                                      <a:pt x="259171" y="297984"/>
                                      <a:pt x="250008" y="290211"/>
                                      <a:pt x="241401" y="285292"/>
                                    </a:cubicBezTo>
                                    <a:cubicBezTo>
                                      <a:pt x="236667" y="282587"/>
                                      <a:pt x="231394" y="280867"/>
                                      <a:pt x="226771" y="277977"/>
                                    </a:cubicBezTo>
                                    <a:cubicBezTo>
                                      <a:pt x="221602" y="274746"/>
                                      <a:pt x="217310" y="270235"/>
                                      <a:pt x="212141" y="267004"/>
                                    </a:cubicBezTo>
                                    <a:cubicBezTo>
                                      <a:pt x="207517" y="264114"/>
                                      <a:pt x="202134" y="262579"/>
                                      <a:pt x="197510" y="259689"/>
                                    </a:cubicBezTo>
                                    <a:cubicBezTo>
                                      <a:pt x="172203" y="243872"/>
                                      <a:pt x="193465" y="252244"/>
                                      <a:pt x="171907" y="245059"/>
                                    </a:cubicBezTo>
                                    <a:cubicBezTo>
                                      <a:pt x="169469" y="241401"/>
                                      <a:pt x="168025" y="236832"/>
                                      <a:pt x="164592" y="234086"/>
                                    </a:cubicBezTo>
                                    <a:cubicBezTo>
                                      <a:pt x="161581" y="231677"/>
                                      <a:pt x="157068" y="232152"/>
                                      <a:pt x="153619" y="230428"/>
                                    </a:cubicBezTo>
                                    <a:cubicBezTo>
                                      <a:pt x="125265" y="216251"/>
                                      <a:pt x="159247" y="228646"/>
                                      <a:pt x="131673" y="219456"/>
                                    </a:cubicBezTo>
                                    <a:cubicBezTo>
                                      <a:pt x="124868" y="212650"/>
                                      <a:pt x="122615" y="209440"/>
                                      <a:pt x="113385" y="204825"/>
                                    </a:cubicBezTo>
                                    <a:cubicBezTo>
                                      <a:pt x="109937" y="203101"/>
                                      <a:pt x="106070" y="202387"/>
                                      <a:pt x="102413" y="201168"/>
                                    </a:cubicBezTo>
                                    <a:cubicBezTo>
                                      <a:pt x="84752" y="183507"/>
                                      <a:pt x="107190" y="204988"/>
                                      <a:pt x="84125" y="186537"/>
                                    </a:cubicBezTo>
                                    <a:cubicBezTo>
                                      <a:pt x="81432" y="184383"/>
                                      <a:pt x="79894" y="180764"/>
                                      <a:pt x="76809" y="179222"/>
                                    </a:cubicBezTo>
                                    <a:cubicBezTo>
                                      <a:pt x="59095" y="170365"/>
                                      <a:pt x="45234" y="170866"/>
                                      <a:pt x="25603" y="168249"/>
                                    </a:cubicBezTo>
                                    <a:lnTo>
                                      <a:pt x="0" y="164592"/>
                                    </a:lnTo>
                                    <a:cubicBezTo>
                                      <a:pt x="1219" y="160934"/>
                                      <a:pt x="2138" y="157163"/>
                                      <a:pt x="3657" y="153619"/>
                                    </a:cubicBezTo>
                                    <a:cubicBezTo>
                                      <a:pt x="5805" y="148607"/>
                                      <a:pt x="9058" y="144094"/>
                                      <a:pt x="10973" y="138988"/>
                                    </a:cubicBezTo>
                                    <a:cubicBezTo>
                                      <a:pt x="12738" y="134281"/>
                                      <a:pt x="13186" y="129173"/>
                                      <a:pt x="14630" y="124358"/>
                                    </a:cubicBezTo>
                                    <a:cubicBezTo>
                                      <a:pt x="16846" y="116972"/>
                                      <a:pt x="19507" y="109727"/>
                                      <a:pt x="21945" y="102412"/>
                                    </a:cubicBezTo>
                                    <a:cubicBezTo>
                                      <a:pt x="23035" y="99140"/>
                                      <a:pt x="26822" y="97535"/>
                                      <a:pt x="29261" y="95097"/>
                                    </a:cubicBezTo>
                                    <a:cubicBezTo>
                                      <a:pt x="30480" y="90220"/>
                                      <a:pt x="30670" y="84963"/>
                                      <a:pt x="32918" y="80467"/>
                                    </a:cubicBezTo>
                                    <a:cubicBezTo>
                                      <a:pt x="36850" y="72603"/>
                                      <a:pt x="47549" y="58521"/>
                                      <a:pt x="47549" y="58521"/>
                                    </a:cubicBezTo>
                                    <a:cubicBezTo>
                                      <a:pt x="60884" y="18509"/>
                                      <a:pt x="38548" y="78041"/>
                                      <a:pt x="62179" y="40233"/>
                                    </a:cubicBezTo>
                                    <a:cubicBezTo>
                                      <a:pt x="71422" y="25445"/>
                                      <a:pt x="69494" y="15768"/>
                                      <a:pt x="69494" y="0"/>
                                    </a:cubicBezTo>
                                  </a:path>
                                </a:pathLst>
                              </a:custGeom>
                              <a:ln w="12700">
                                <a:solidFill>
                                  <a:srgbClr val="00B0F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56.9pt;margin-top:94.4pt;height:25.9pt;width:24.4pt;z-index:251661312;v-text-anchor:middle;mso-width-relative:page;mso-height-relative:page;" filled="f" stroked="t" coordsize="358445,380390" o:gfxdata="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" path="m358445,380390c328350,344275,352836,370230,325526,347472c322877,345264,320970,342225,318211,340156c311178,334881,303580,330403,296265,325526c292608,323088,288401,321319,285293,318211c273062,305982,283149,315111,267005,303580c259171,297984,250008,290211,241401,285292c236667,282587,231394,280867,226771,277977c221602,274746,217310,270235,212141,267004c207517,264114,202134,262579,197510,259689c172203,243872,193465,252244,171907,245059c169469,241401,168025,236832,164592,234086c161581,231677,157068,232152,153619,230428c125265,216251,159247,228646,131673,219456c124868,212650,122615,209440,113385,204825c109937,203101,106070,202387,102413,201168c84752,183507,107190,204988,84125,186537c81432,184383,79894,180764,76809,179222c59095,170365,45234,170866,25603,168249l0,164592c1219,160934,2138,157163,3657,153619c5805,148607,9058,144094,10973,138988c12738,134281,13186,129173,14630,124358c16846,116972,19507,109727,21945,102412c23035,99140,26822,97535,29261,95097c30480,90220,30670,84963,32918,80467c36850,72603,47549,58521,47549,58521c60884,18509,38548,78041,62179,40233c71422,25445,69494,15768,69494,0e">
                      <v:path o:connectlocs="309880,328930;281421,300465;275097,294138;256124,281488;246639,275162;230829,262511;208694,246697;196046,240371;183398,230883;170749,224557;148615,211906;142291,202418;132805,199255;113832,189767;98022,177115;88537,173953;72727,161301;66402,154976;22134,145487;0,142325;3161,132837;9486,120185;12647,107534;18971,88557;25296,82232;28458,69581;41106,50604;53754,34790;60078,0" o:connectangles="0,0,0,0,0,0,0,0,0,0,0,0,0,0,0,0,0,0,0,0,0,0,0,0,0,0,0,0,0"/>
                      <v:fill on="f" focussize="0,0"/>
                      <v:stroke weight="1pt" color="#00B0F0 [3204]" miterlimit="8" joinstyle="miter"/>
                      <v:imagedata o:title=""/>
                      <o:lock v:ext="edit" aspectratio="f"/>
                    </v:shape>
                  </w:pict>
                </mc:Fallback>
              </mc:AlternateContent>
            </w:r>
            <w:r>
              <w:t xml:space="preserve"> </w:t>
            </w:r>
            <w:r>
              <w:drawing>
                <wp:inline distT="0" distB="0" distL="0" distR="0">
                  <wp:extent cx="4949825" cy="2545080"/>
                  <wp:effectExtent l="0" t="0" r="3175"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0"/>
                          <a:stretch>
                            <a:fillRect/>
                          </a:stretch>
                        </pic:blipFill>
                        <pic:spPr>
                          <a:xfrm>
                            <a:off x="0" y="0"/>
                            <a:ext cx="4952704" cy="2546859"/>
                          </a:xfrm>
                          <a:prstGeom prst="rect">
                            <a:avLst/>
                          </a:prstGeom>
                        </pic:spPr>
                      </pic:pic>
                    </a:graphicData>
                  </a:graphic>
                </wp:inline>
              </w:drawing>
            </w:r>
          </w:p>
          <w:p w14:paraId="125D823C">
            <w:pPr>
              <w:pStyle w:val="21"/>
              <w:adjustRightInd w:val="0"/>
              <w:snapToGrid w:val="0"/>
              <w:jc w:val="center"/>
              <w:rPr>
                <w:rFonts w:eastAsia="黑体"/>
                <w:szCs w:val="21"/>
              </w:rPr>
            </w:pPr>
            <w:r>
              <w:rPr>
                <w:rFonts w:eastAsia="黑体"/>
                <w:szCs w:val="21"/>
              </w:rPr>
              <w:t>图1-</w:t>
            </w:r>
            <w:r>
              <w:rPr>
                <w:rFonts w:hint="eastAsia" w:eastAsia="黑体"/>
                <w:szCs w:val="21"/>
              </w:rPr>
              <w:t xml:space="preserve">2 </w:t>
            </w:r>
            <w:r>
              <w:rPr>
                <w:rFonts w:eastAsia="黑体"/>
                <w:szCs w:val="21"/>
              </w:rPr>
              <w:t xml:space="preserve"> </w:t>
            </w:r>
            <w:r>
              <w:rPr>
                <w:rFonts w:hint="eastAsia" w:eastAsia="黑体"/>
                <w:szCs w:val="21"/>
              </w:rPr>
              <w:t xml:space="preserve"> 与管控单元相对位置关系图</w:t>
            </w:r>
          </w:p>
          <w:p w14:paraId="53AD59B9">
            <w:pPr>
              <w:pStyle w:val="69"/>
              <w:ind w:firstLine="480"/>
            </w:pPr>
            <w:r>
              <w:rPr>
                <w:rFonts w:hint="eastAsia"/>
              </w:rPr>
              <w:t>本项目为城市道路建设项目，共涉及8个生态环境管控单元。经对比符合性分析，本项目的建设符合四川省、遂宁市总体生态环境管控要求。</w:t>
            </w:r>
          </w:p>
          <w:p w14:paraId="2DA59DC9">
            <w:pPr>
              <w:pStyle w:val="69"/>
              <w:ind w:firstLine="480"/>
            </w:pPr>
            <w:r>
              <w:rPr>
                <w:rFonts w:hint="eastAsia"/>
              </w:rPr>
              <w:t>项目实施建设与《遂宁市人民政府关于落实生态保护红线、环境质量底线、资源利用上线和生态环境准入清单实施生态环境分区管控的通知》（遂府函〔2021〕74号）及《四川省生态环境厅办公室关于印发〈产业园区规划环评“三线一单”符合性分析技术要点（试行）〉和〈项目环评“三线一单”符合性分析技术要点（试行）〉的通知》（川环办函〔2021〕469号）符合。</w:t>
            </w:r>
          </w:p>
          <w:p w14:paraId="24B8FEAB">
            <w:pPr>
              <w:pStyle w:val="69"/>
              <w:ind w:firstLine="480"/>
            </w:pPr>
            <w:r>
              <w:rPr>
                <w:rFonts w:hint="eastAsia"/>
              </w:rPr>
              <w:t>具体符合性分析如下：</w:t>
            </w:r>
          </w:p>
          <w:p w14:paraId="37E4EE2F">
            <w:pPr>
              <w:pStyle w:val="69"/>
              <w:ind w:firstLine="422"/>
              <w:rPr>
                <w:b/>
                <w:sz w:val="21"/>
                <w:szCs w:val="21"/>
              </w:rPr>
            </w:pPr>
          </w:p>
        </w:tc>
      </w:tr>
    </w:tbl>
    <w:p w14:paraId="48E781B9">
      <w:pPr>
        <w:spacing w:line="360" w:lineRule="auto"/>
        <w:rPr>
          <w:rFonts w:eastAsia="黑体"/>
          <w:sz w:val="30"/>
        </w:rPr>
      </w:pPr>
    </w:p>
    <w:p w14:paraId="3C316E43">
      <w:pPr>
        <w:spacing w:line="360" w:lineRule="auto"/>
        <w:rPr>
          <w:rFonts w:eastAsia="黑体"/>
          <w:sz w:val="30"/>
        </w:rPr>
        <w:sectPr>
          <w:footerReference r:id="rId5" w:type="default"/>
          <w:pgSz w:w="11906" w:h="16838"/>
          <w:pgMar w:top="1701" w:right="1531" w:bottom="1701" w:left="1531" w:header="851" w:footer="1077" w:gutter="0"/>
          <w:pgNumType w:start="1"/>
          <w:cols w:space="720" w:num="1"/>
          <w:docGrid w:linePitch="312" w:charSpace="0"/>
        </w:sectPr>
      </w:pPr>
    </w:p>
    <w:tbl>
      <w:tblPr>
        <w:tblStyle w:val="33"/>
        <w:tblW w:w="5181" w:type="pct"/>
        <w:tblInd w:w="-26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12"/>
        <w:gridCol w:w="13244"/>
      </w:tblGrid>
      <w:tr w14:paraId="4EB6F0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5" w:type="pct"/>
            <w:tcMar>
              <w:top w:w="16" w:type="dxa"/>
              <w:left w:w="16" w:type="dxa"/>
              <w:right w:w="16" w:type="dxa"/>
            </w:tcMar>
            <w:vAlign w:val="center"/>
          </w:tcPr>
          <w:p w14:paraId="362B6A3B">
            <w:pPr>
              <w:autoSpaceDE w:val="0"/>
              <w:autoSpaceDN w:val="0"/>
              <w:adjustRightInd w:val="0"/>
              <w:snapToGrid w:val="0"/>
              <w:jc w:val="center"/>
              <w:rPr>
                <w:kern w:val="0"/>
                <w:sz w:val="24"/>
              </w:rPr>
            </w:pPr>
          </w:p>
        </w:tc>
        <w:tc>
          <w:tcPr>
            <w:tcW w:w="4744" w:type="pct"/>
            <w:tcMar>
              <w:top w:w="16" w:type="dxa"/>
              <w:left w:w="16" w:type="dxa"/>
              <w:right w:w="16" w:type="dxa"/>
            </w:tcMar>
            <w:vAlign w:val="center"/>
          </w:tcPr>
          <w:p w14:paraId="61FE34A6">
            <w:pPr>
              <w:autoSpaceDE w:val="0"/>
              <w:autoSpaceDN w:val="0"/>
              <w:adjustRightInd w:val="0"/>
              <w:snapToGrid w:val="0"/>
              <w:jc w:val="center"/>
              <w:rPr>
                <w:b/>
                <w:bCs/>
                <w:kern w:val="0"/>
                <w:szCs w:val="21"/>
              </w:rPr>
            </w:pPr>
            <w:r>
              <w:rPr>
                <w:rFonts w:hint="eastAsia"/>
                <w:b/>
                <w:bCs/>
                <w:kern w:val="0"/>
                <w:szCs w:val="21"/>
              </w:rPr>
              <w:t>表1-4     生态环境准入清单</w:t>
            </w:r>
          </w:p>
          <w:tbl>
            <w:tblPr>
              <w:tblStyle w:val="33"/>
              <w:tblW w:w="49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7" w:type="dxa"/>
                <w:bottom w:w="0" w:type="dxa"/>
                <w:right w:w="17" w:type="dxa"/>
              </w:tblCellMar>
            </w:tblPr>
            <w:tblGrid>
              <w:gridCol w:w="720"/>
              <w:gridCol w:w="236"/>
              <w:gridCol w:w="790"/>
              <w:gridCol w:w="9242"/>
              <w:gridCol w:w="1390"/>
              <w:gridCol w:w="637"/>
            </w:tblGrid>
            <w:tr w14:paraId="6BE2D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tblHeader/>
                <w:jc w:val="center"/>
              </w:trPr>
              <w:tc>
                <w:tcPr>
                  <w:tcW w:w="956" w:type="dxa"/>
                  <w:gridSpan w:val="2"/>
                  <w:vAlign w:val="center"/>
                </w:tcPr>
                <w:p w14:paraId="3EB5B9C5">
                  <w:pPr>
                    <w:adjustRightInd w:val="0"/>
                    <w:snapToGrid w:val="0"/>
                    <w:jc w:val="center"/>
                    <w:rPr>
                      <w:b/>
                      <w:sz w:val="18"/>
                      <w:szCs w:val="18"/>
                    </w:rPr>
                  </w:pPr>
                  <w:r>
                    <w:rPr>
                      <w:b/>
                      <w:sz w:val="18"/>
                      <w:szCs w:val="18"/>
                    </w:rPr>
                    <w:t>环境管控单元名称</w:t>
                  </w:r>
                </w:p>
              </w:tc>
              <w:tc>
                <w:tcPr>
                  <w:tcW w:w="790" w:type="dxa"/>
                  <w:vAlign w:val="center"/>
                </w:tcPr>
                <w:p w14:paraId="11EB76D9">
                  <w:pPr>
                    <w:adjustRightInd w:val="0"/>
                    <w:snapToGrid w:val="0"/>
                    <w:jc w:val="center"/>
                    <w:rPr>
                      <w:b/>
                      <w:sz w:val="18"/>
                      <w:szCs w:val="18"/>
                    </w:rPr>
                  </w:pPr>
                  <w:r>
                    <w:rPr>
                      <w:b/>
                      <w:sz w:val="18"/>
                      <w:szCs w:val="18"/>
                    </w:rPr>
                    <w:t>管控类别</w:t>
                  </w:r>
                </w:p>
              </w:tc>
              <w:tc>
                <w:tcPr>
                  <w:tcW w:w="9242" w:type="dxa"/>
                  <w:vAlign w:val="center"/>
                </w:tcPr>
                <w:p w14:paraId="587C41E3">
                  <w:pPr>
                    <w:adjustRightInd w:val="0"/>
                    <w:snapToGrid w:val="0"/>
                    <w:jc w:val="center"/>
                    <w:rPr>
                      <w:b/>
                      <w:sz w:val="18"/>
                      <w:szCs w:val="18"/>
                    </w:rPr>
                  </w:pPr>
                  <w:r>
                    <w:rPr>
                      <w:b/>
                      <w:sz w:val="18"/>
                      <w:szCs w:val="18"/>
                    </w:rPr>
                    <w:t>单元特性管控要求</w:t>
                  </w:r>
                </w:p>
              </w:tc>
              <w:tc>
                <w:tcPr>
                  <w:tcW w:w="1390" w:type="dxa"/>
                  <w:vAlign w:val="center"/>
                </w:tcPr>
                <w:p w14:paraId="6505136A">
                  <w:pPr>
                    <w:adjustRightInd w:val="0"/>
                    <w:snapToGrid w:val="0"/>
                    <w:jc w:val="center"/>
                    <w:rPr>
                      <w:b/>
                      <w:sz w:val="18"/>
                      <w:szCs w:val="18"/>
                    </w:rPr>
                  </w:pPr>
                  <w:r>
                    <w:rPr>
                      <w:b/>
                      <w:sz w:val="18"/>
                      <w:szCs w:val="18"/>
                    </w:rPr>
                    <w:t>本项目情况</w:t>
                  </w:r>
                </w:p>
              </w:tc>
              <w:tc>
                <w:tcPr>
                  <w:tcW w:w="637" w:type="dxa"/>
                  <w:vAlign w:val="center"/>
                </w:tcPr>
                <w:p w14:paraId="7CC045CE">
                  <w:pPr>
                    <w:adjustRightInd w:val="0"/>
                    <w:snapToGrid w:val="0"/>
                    <w:jc w:val="center"/>
                    <w:rPr>
                      <w:b/>
                      <w:sz w:val="18"/>
                      <w:szCs w:val="18"/>
                    </w:rPr>
                  </w:pPr>
                  <w:r>
                    <w:rPr>
                      <w:b/>
                      <w:sz w:val="18"/>
                      <w:szCs w:val="18"/>
                    </w:rPr>
                    <w:t>符合性</w:t>
                  </w:r>
                </w:p>
              </w:tc>
            </w:tr>
            <w:tr w14:paraId="7F9C2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restart"/>
                  <w:vAlign w:val="center"/>
                </w:tcPr>
                <w:p w14:paraId="6FAD2D07">
                  <w:pPr>
                    <w:adjustRightInd w:val="0"/>
                    <w:snapToGrid w:val="0"/>
                    <w:jc w:val="center"/>
                    <w:rPr>
                      <w:bCs/>
                      <w:sz w:val="18"/>
                      <w:szCs w:val="18"/>
                    </w:rPr>
                  </w:pPr>
                  <w:r>
                    <w:rPr>
                      <w:rFonts w:hint="eastAsia"/>
                      <w:bCs/>
                      <w:sz w:val="18"/>
                      <w:szCs w:val="18"/>
                    </w:rPr>
                    <w:t>遂宁市</w:t>
                  </w:r>
                  <w:r>
                    <w:rPr>
                      <w:bCs/>
                      <w:sz w:val="18"/>
                      <w:szCs w:val="18"/>
                    </w:rPr>
                    <w:t>普适性清单</w:t>
                  </w:r>
                </w:p>
              </w:tc>
              <w:tc>
                <w:tcPr>
                  <w:tcW w:w="236" w:type="dxa"/>
                  <w:vMerge w:val="restart"/>
                  <w:vAlign w:val="center"/>
                </w:tcPr>
                <w:p w14:paraId="6E8AF9BF">
                  <w:pPr>
                    <w:adjustRightInd w:val="0"/>
                    <w:snapToGrid w:val="0"/>
                    <w:jc w:val="left"/>
                    <w:rPr>
                      <w:bCs/>
                      <w:sz w:val="18"/>
                      <w:szCs w:val="18"/>
                    </w:rPr>
                  </w:pPr>
                  <w:r>
                    <w:rPr>
                      <w:bCs/>
                      <w:sz w:val="18"/>
                      <w:szCs w:val="18"/>
                    </w:rPr>
                    <w:t>普适性清单</w:t>
                  </w:r>
                </w:p>
              </w:tc>
              <w:tc>
                <w:tcPr>
                  <w:tcW w:w="790" w:type="dxa"/>
                  <w:vAlign w:val="center"/>
                </w:tcPr>
                <w:p w14:paraId="4347D9BF">
                  <w:pPr>
                    <w:adjustRightInd w:val="0"/>
                    <w:snapToGrid w:val="0"/>
                    <w:jc w:val="center"/>
                    <w:rPr>
                      <w:bCs/>
                      <w:sz w:val="18"/>
                      <w:szCs w:val="18"/>
                    </w:rPr>
                  </w:pPr>
                  <w:r>
                    <w:rPr>
                      <w:rStyle w:val="114"/>
                      <w:bCs/>
                      <w:sz w:val="18"/>
                      <w:szCs w:val="18"/>
                    </w:rPr>
                    <w:t>空间布局约束</w:t>
                  </w:r>
                </w:p>
              </w:tc>
              <w:tc>
                <w:tcPr>
                  <w:tcW w:w="9242" w:type="dxa"/>
                  <w:vAlign w:val="center"/>
                </w:tcPr>
                <w:p w14:paraId="5EC7933E">
                  <w:pPr>
                    <w:pStyle w:val="113"/>
                    <w:spacing w:line="240" w:lineRule="auto"/>
                    <w:ind w:firstLine="0" w:firstLineChars="0"/>
                    <w:rPr>
                      <w:rFonts w:eastAsia="宋体"/>
                      <w:kern w:val="0"/>
                      <w:sz w:val="18"/>
                      <w:szCs w:val="18"/>
                    </w:rPr>
                  </w:pPr>
                  <w:r>
                    <w:rPr>
                      <w:rFonts w:eastAsia="宋体"/>
                      <w:kern w:val="0"/>
                      <w:sz w:val="18"/>
                      <w:szCs w:val="18"/>
                    </w:rPr>
                    <w:t>禁止开发建设活动的要求</w:t>
                  </w:r>
                </w:p>
                <w:p w14:paraId="28DDD238">
                  <w:pPr>
                    <w:pStyle w:val="113"/>
                    <w:spacing w:line="240" w:lineRule="auto"/>
                    <w:ind w:firstLine="0" w:firstLineChars="0"/>
                    <w:rPr>
                      <w:rFonts w:eastAsia="宋体"/>
                      <w:kern w:val="0"/>
                      <w:sz w:val="18"/>
                      <w:szCs w:val="18"/>
                    </w:rPr>
                  </w:pPr>
                  <w:r>
                    <w:rPr>
                      <w:rFonts w:eastAsia="宋体"/>
                      <w:kern w:val="0"/>
                      <w:sz w:val="18"/>
                      <w:szCs w:val="18"/>
                    </w:rPr>
                    <w:t>1.生态保护红线：生态保护红线内自然保护地核心保护区外，禁止开发性、生产性建设活动，在符合法律法规的前提下，仅允许《关于加强生态保护红线管理的通知（试行）》（自然资发</w:t>
                  </w:r>
                  <w:r>
                    <w:rPr>
                      <w:rFonts w:hint="eastAsia" w:eastAsia="宋体"/>
                      <w:kern w:val="0"/>
                      <w:sz w:val="18"/>
                      <w:szCs w:val="18"/>
                    </w:rPr>
                    <w:t>〔2022〕142号</w:t>
                  </w:r>
                  <w:r>
                    <w:rPr>
                      <w:rFonts w:eastAsia="宋体"/>
                      <w:kern w:val="0"/>
                      <w:sz w:val="18"/>
                      <w:szCs w:val="18"/>
                    </w:rPr>
                    <w:t>）中规定的十类对生态功能不造成破坏的有限人为活动。生态保护红线内自然保护区、风景名胜区、饮用水水源保护区等区域，依照法律法规执行。</w:t>
                  </w:r>
                </w:p>
                <w:p w14:paraId="4D27C97A">
                  <w:pPr>
                    <w:pStyle w:val="113"/>
                    <w:spacing w:line="240" w:lineRule="auto"/>
                    <w:ind w:firstLine="0" w:firstLineChars="0"/>
                    <w:rPr>
                      <w:rFonts w:eastAsia="宋体"/>
                      <w:kern w:val="0"/>
                      <w:sz w:val="18"/>
                      <w:szCs w:val="18"/>
                    </w:rPr>
                  </w:pPr>
                  <w:r>
                    <w:rPr>
                      <w:rFonts w:eastAsia="宋体"/>
                      <w:kern w:val="0"/>
                      <w:sz w:val="18"/>
                      <w:szCs w:val="18"/>
                    </w:rPr>
                    <w:t>2.自然保护区：（1）禁止在自然保护区的缓冲区开展旅游和生产经营活动。（2）严禁开设与自然保护区保护方向不一致的参观、旅游项目。（3）禁止在自然保护区内进行砍伐、放牧、狩猎、捕捞、采药、开垦、烧荒、开矿、采石、挖沙等活动（法律、行政法规另有规定除外）。（4）在自然保护区的核心区和缓冲区内，禁止建设任何生产设施。在自然保护区的实验区内，不得建设污染环境、破坏资源或者景观的生产设施；建设其他项目，其污染物排放不得超过国家和地方规定的污染物排放标准。（5）自然保护区的内部未分区的，依照条例有关核心区和缓冲区的规定管理。</w:t>
                  </w:r>
                </w:p>
                <w:p w14:paraId="06629A3E">
                  <w:pPr>
                    <w:pStyle w:val="113"/>
                    <w:spacing w:line="240" w:lineRule="auto"/>
                    <w:ind w:firstLine="0" w:firstLineChars="0"/>
                    <w:rPr>
                      <w:rFonts w:eastAsia="宋体"/>
                      <w:kern w:val="0"/>
                      <w:sz w:val="18"/>
                      <w:szCs w:val="18"/>
                    </w:rPr>
                  </w:pPr>
                  <w:r>
                    <w:rPr>
                      <w:rFonts w:eastAsia="宋体"/>
                      <w:kern w:val="0"/>
                      <w:sz w:val="18"/>
                      <w:szCs w:val="18"/>
                    </w:rPr>
                    <w:t>3.风景名胜区：严格执行《风景名胜区条例（2016修订）</w:t>
                  </w:r>
                  <w:r>
                    <w:rPr>
                      <w:rFonts w:hint="eastAsia" w:eastAsia="宋体"/>
                      <w:kern w:val="0"/>
                      <w:sz w:val="18"/>
                      <w:szCs w:val="18"/>
                    </w:rPr>
                    <w:t>》《</w:t>
                  </w:r>
                  <w:r>
                    <w:rPr>
                      <w:rFonts w:eastAsia="宋体"/>
                      <w:kern w:val="0"/>
                      <w:sz w:val="18"/>
                      <w:szCs w:val="18"/>
                    </w:rPr>
                    <w:t>四川省风景名胜区建设管理办法（2011年修订）</w:t>
                  </w:r>
                  <w:r>
                    <w:rPr>
                      <w:rFonts w:hint="eastAsia" w:eastAsia="宋体"/>
                      <w:kern w:val="0"/>
                      <w:sz w:val="18"/>
                      <w:szCs w:val="18"/>
                    </w:rPr>
                    <w:t>》《</w:t>
                  </w:r>
                  <w:r>
                    <w:rPr>
                      <w:rFonts w:eastAsia="宋体"/>
                      <w:kern w:val="0"/>
                      <w:sz w:val="18"/>
                      <w:szCs w:val="18"/>
                    </w:rPr>
                    <w:t>四川省风景名胜区条例》等相关要求，主要要求如下：（1）禁止开山、采石、开矿、开荒、修坟立碑等破坏景观、植被和地形地貌的活动。</w:t>
                  </w:r>
                  <w:r>
                    <w:rPr>
                      <w:rFonts w:hint="eastAsia" w:eastAsia="宋体"/>
                      <w:kern w:val="0"/>
                      <w:sz w:val="18"/>
                      <w:szCs w:val="18"/>
                    </w:rPr>
                    <w:t>（</w:t>
                  </w:r>
                  <w:r>
                    <w:rPr>
                      <w:rFonts w:eastAsia="宋体"/>
                      <w:kern w:val="0"/>
                      <w:sz w:val="18"/>
                      <w:szCs w:val="18"/>
                    </w:rPr>
                    <w:t>2</w:t>
                  </w:r>
                  <w:r>
                    <w:rPr>
                      <w:rFonts w:hint="eastAsia" w:eastAsia="宋体"/>
                      <w:kern w:val="0"/>
                      <w:sz w:val="18"/>
                      <w:szCs w:val="18"/>
                    </w:rPr>
                    <w:t>）</w:t>
                  </w:r>
                  <w:r>
                    <w:rPr>
                      <w:rFonts w:eastAsia="宋体"/>
                      <w:kern w:val="0"/>
                      <w:sz w:val="18"/>
                      <w:szCs w:val="18"/>
                    </w:rPr>
                    <w:t>禁止修建储存爆炸性、易燃性、放射性、毒害性、腐蚀性物品的设施。</w:t>
                  </w:r>
                  <w:r>
                    <w:rPr>
                      <w:rFonts w:hint="eastAsia" w:eastAsia="宋体"/>
                      <w:kern w:val="0"/>
                      <w:sz w:val="18"/>
                      <w:szCs w:val="18"/>
                    </w:rPr>
                    <w:t>（</w:t>
                  </w:r>
                  <w:r>
                    <w:rPr>
                      <w:rFonts w:eastAsia="宋体"/>
                      <w:kern w:val="0"/>
                      <w:sz w:val="18"/>
                      <w:szCs w:val="18"/>
                    </w:rPr>
                    <w:t>3</w:t>
                  </w:r>
                  <w:r>
                    <w:rPr>
                      <w:rFonts w:hint="eastAsia" w:eastAsia="宋体"/>
                      <w:kern w:val="0"/>
                      <w:sz w:val="18"/>
                      <w:szCs w:val="18"/>
                    </w:rPr>
                    <w:t>）</w:t>
                  </w:r>
                  <w:r>
                    <w:rPr>
                      <w:rFonts w:eastAsia="宋体"/>
                      <w:kern w:val="0"/>
                      <w:sz w:val="18"/>
                      <w:szCs w:val="18"/>
                    </w:rPr>
                    <w:t>禁止在景物或者设施上刻划、涂污。</w:t>
                  </w:r>
                  <w:r>
                    <w:rPr>
                      <w:rFonts w:hint="eastAsia" w:eastAsia="宋体"/>
                      <w:kern w:val="0"/>
                      <w:sz w:val="18"/>
                      <w:szCs w:val="18"/>
                    </w:rPr>
                    <w:t>（</w:t>
                  </w:r>
                  <w:r>
                    <w:rPr>
                      <w:rFonts w:eastAsia="宋体"/>
                      <w:kern w:val="0"/>
                      <w:sz w:val="18"/>
                      <w:szCs w:val="18"/>
                    </w:rPr>
                    <w:t>4</w:t>
                  </w:r>
                  <w:r>
                    <w:rPr>
                      <w:rFonts w:hint="eastAsia" w:eastAsia="宋体"/>
                      <w:kern w:val="0"/>
                      <w:sz w:val="18"/>
                      <w:szCs w:val="18"/>
                    </w:rPr>
                    <w:t>）</w:t>
                  </w:r>
                  <w:r>
                    <w:rPr>
                      <w:rFonts w:eastAsia="宋体"/>
                      <w:kern w:val="0"/>
                      <w:sz w:val="18"/>
                      <w:szCs w:val="18"/>
                    </w:rPr>
                    <w:t>禁止乱扔垃圾。</w:t>
                  </w:r>
                  <w:r>
                    <w:rPr>
                      <w:rFonts w:hint="eastAsia" w:eastAsia="宋体"/>
                      <w:kern w:val="0"/>
                      <w:sz w:val="18"/>
                      <w:szCs w:val="18"/>
                    </w:rPr>
                    <w:t>（</w:t>
                  </w:r>
                  <w:r>
                    <w:rPr>
                      <w:rFonts w:eastAsia="宋体"/>
                      <w:kern w:val="0"/>
                      <w:sz w:val="18"/>
                      <w:szCs w:val="18"/>
                    </w:rPr>
                    <w:t>5</w:t>
                  </w:r>
                  <w:r>
                    <w:rPr>
                      <w:rFonts w:hint="eastAsia" w:eastAsia="宋体"/>
                      <w:kern w:val="0"/>
                      <w:sz w:val="18"/>
                      <w:szCs w:val="18"/>
                    </w:rPr>
                    <w:t>）</w:t>
                  </w:r>
                  <w:r>
                    <w:rPr>
                      <w:rFonts w:eastAsia="宋体"/>
                      <w:kern w:val="0"/>
                      <w:sz w:val="18"/>
                      <w:szCs w:val="18"/>
                    </w:rPr>
                    <w:t>禁止违反风景名胜区规划，在风景名胜区内设立各类开发区和在核心景区内建设宾馆、招待所、培训中心、疗养院以及与风景名胜资源保护无关的其他建筑物。（6）在风景名胜区及其外围保护地带内，不得设立开发区、度假区，不得建设破坏景观、污染环境的工矿企业和其他项目、设施。（7）在游人集中的游览区和自然环境保留地内，不得建设旅馆、招待所、休疗养机构、生活区以及其他影响观瞻或污染环境的工程设施；已经建设的，应当按照风景名胜区规划，逐步迁出。（8）禁止任何单位和个人在风景名胜区内从事开山采石、围湖造田、开荒等改变地貌和破坏环境、景观的活动。</w:t>
                  </w:r>
                </w:p>
                <w:p w14:paraId="1B1E83B7">
                  <w:pPr>
                    <w:pStyle w:val="113"/>
                    <w:spacing w:line="240" w:lineRule="auto"/>
                    <w:ind w:firstLine="0" w:firstLineChars="0"/>
                    <w:rPr>
                      <w:rFonts w:eastAsia="宋体"/>
                      <w:kern w:val="0"/>
                      <w:sz w:val="18"/>
                      <w:szCs w:val="18"/>
                    </w:rPr>
                  </w:pPr>
                  <w:r>
                    <w:rPr>
                      <w:rFonts w:eastAsia="宋体"/>
                      <w:kern w:val="0"/>
                      <w:sz w:val="18"/>
                      <w:szCs w:val="18"/>
                    </w:rPr>
                    <w:t>4.世界自然遗产地：禁止在世界遗产保护范围内实施以下行为：建设污染环境、破坏生态和造成水土流失的设施；在世界遗产核心保护区、保护区范围内进行开山、采石、垦荒、开矿、取土等破坏地表、地貌的活动；在世界遗产核心保护区、保护区范围内修建储存爆炸性、易燃性、放射性、毒害性、腐蚀性等物品设施；在世界遗产核心保护区、保护区设立各类开发区、度假区；在世界遗产核心保护区建设宾馆、招待所、疗养院及各类培训中心等建筑物、构筑物和其他设施；在世界遗产保护区、缓冲区未经省人民政府世界遗产行政主管部门审核进行建设；其他损害或者破坏世界遗产真实性和完整性的行为。</w:t>
                  </w:r>
                </w:p>
                <w:p w14:paraId="2A97DD0D">
                  <w:pPr>
                    <w:pStyle w:val="113"/>
                    <w:spacing w:line="240" w:lineRule="auto"/>
                    <w:ind w:firstLine="0" w:firstLineChars="0"/>
                    <w:rPr>
                      <w:rFonts w:eastAsia="宋体"/>
                      <w:kern w:val="0"/>
                      <w:sz w:val="18"/>
                      <w:szCs w:val="18"/>
                    </w:rPr>
                  </w:pPr>
                  <w:r>
                    <w:rPr>
                      <w:rFonts w:eastAsia="宋体"/>
                      <w:kern w:val="0"/>
                      <w:sz w:val="18"/>
                      <w:szCs w:val="18"/>
                    </w:rPr>
                    <w:t>5.饮用水水源保护区：（1）在地下水饮用水水源保护区内，禁止设置排污口。（2）地下水饮用水水源一级保护区内：禁止新建、改建、扩建与供水设施和保护水源无关的建设项目；已建成的与供水设施和保护水源无关的建设项目，由县级以上人民政府责令拆除或者关闭。（3）地下水饮用水水源二级保护区内：禁止新建、改建、扩建排放污染物的建设项目；已建成的排放污染物的建设项目，由县级以上人民政府责令拆除或者关闭。（4）地下水饮用水水源准保护区内：禁止新建、扩建对水体污染严重的建设项目；改建建设项目，不得增加排污量；</w:t>
                  </w:r>
                </w:p>
                <w:p w14:paraId="270B349C">
                  <w:pPr>
                    <w:pStyle w:val="113"/>
                    <w:spacing w:line="240" w:lineRule="auto"/>
                    <w:ind w:firstLine="0" w:firstLineChars="0"/>
                    <w:rPr>
                      <w:rFonts w:eastAsia="宋体"/>
                      <w:kern w:val="0"/>
                      <w:sz w:val="18"/>
                      <w:szCs w:val="18"/>
                    </w:rPr>
                  </w:pPr>
                  <w:r>
                    <w:rPr>
                      <w:rFonts w:eastAsia="宋体"/>
                      <w:kern w:val="0"/>
                      <w:sz w:val="18"/>
                      <w:szCs w:val="18"/>
                    </w:rPr>
                    <w:t>6.水产种质资源保护区：禁止在水产种质资源保护区内从事围河（湖）造田、造地工程。禁止在水产种质资源保护区内新建排污口。在水产种质资源保护区附近新建、改建、扩建排污口，应当保证保护区水体不受污染。四川省境内水产种质资源保护区实行全年禁渔。禁止在水产种质资源保护区内从事捕捞、垂钓、挖砂采石以及其他可能对保护区内生物资源和生态环境造成损害的活动。</w:t>
                  </w:r>
                </w:p>
                <w:p w14:paraId="214BDC92">
                  <w:pPr>
                    <w:pStyle w:val="113"/>
                    <w:spacing w:line="240" w:lineRule="auto"/>
                    <w:ind w:firstLine="0" w:firstLineChars="0"/>
                    <w:rPr>
                      <w:rFonts w:eastAsia="宋体"/>
                      <w:kern w:val="0"/>
                      <w:sz w:val="18"/>
                      <w:szCs w:val="18"/>
                    </w:rPr>
                  </w:pPr>
                  <w:r>
                    <w:rPr>
                      <w:rFonts w:eastAsia="宋体"/>
                      <w:kern w:val="0"/>
                      <w:sz w:val="18"/>
                      <w:szCs w:val="18"/>
                    </w:rPr>
                    <w:t>7.永久基本农田：（1）永久基本农田，实行严格保护，除法律规定的重点建设项目选址确实无法避让外，其他任何建设不得占用。（2）禁止在基本农田保护区建窑、建房、建坟、挖砂、采石、采矿、取土、堆放固体废弃物或者进行其他破坏基本农田的活动。禁止占用基本农田发展林果业和挖塘养鱼。</w:t>
                  </w:r>
                </w:p>
                <w:p w14:paraId="48504C40">
                  <w:pPr>
                    <w:pStyle w:val="113"/>
                    <w:spacing w:line="240" w:lineRule="auto"/>
                    <w:ind w:firstLine="0" w:firstLineChars="0"/>
                    <w:rPr>
                      <w:rFonts w:eastAsia="宋体"/>
                      <w:kern w:val="0"/>
                      <w:sz w:val="18"/>
                      <w:szCs w:val="18"/>
                    </w:rPr>
                  </w:pPr>
                  <w:r>
                    <w:rPr>
                      <w:rFonts w:eastAsia="宋体"/>
                      <w:kern w:val="0"/>
                      <w:sz w:val="18"/>
                      <w:szCs w:val="18"/>
                    </w:rPr>
                    <w:t>8.水源涵养重要区：（1）禁止导致水体污染的产业发展。（2）禁止各种损害生态系统水源涵养功能的经济社会活动和生产方式，如无序采矿、毁林开荒、湿地和草地开垦、过度放牧等。（3）禁止高水资源消耗产业在水源涵养生态功能区布局。</w:t>
                  </w:r>
                </w:p>
                <w:p w14:paraId="3B82A2FF">
                  <w:pPr>
                    <w:pStyle w:val="113"/>
                    <w:spacing w:line="240" w:lineRule="auto"/>
                    <w:ind w:firstLine="0" w:firstLineChars="0"/>
                    <w:rPr>
                      <w:rFonts w:eastAsia="宋体"/>
                      <w:kern w:val="0"/>
                      <w:sz w:val="18"/>
                      <w:szCs w:val="18"/>
                    </w:rPr>
                  </w:pPr>
                  <w:r>
                    <w:rPr>
                      <w:rFonts w:eastAsia="宋体"/>
                      <w:kern w:val="0"/>
                      <w:sz w:val="18"/>
                      <w:szCs w:val="18"/>
                    </w:rPr>
                    <w:t>9.禁止在生态保护红线区域、永久基本农田集中区域和其他需要特别保护的区域内选址建设尾矿库、冶炼渣库磷石膏库。</w:t>
                  </w:r>
                </w:p>
                <w:p w14:paraId="64B1F534">
                  <w:pPr>
                    <w:pStyle w:val="113"/>
                    <w:spacing w:line="240" w:lineRule="auto"/>
                    <w:ind w:firstLine="0" w:firstLineChars="0"/>
                    <w:rPr>
                      <w:rFonts w:eastAsia="宋体"/>
                      <w:kern w:val="0"/>
                      <w:sz w:val="18"/>
                      <w:szCs w:val="18"/>
                    </w:rPr>
                  </w:pPr>
                  <w:r>
                    <w:rPr>
                      <w:rFonts w:eastAsia="宋体"/>
                      <w:kern w:val="0"/>
                      <w:sz w:val="18"/>
                      <w:szCs w:val="18"/>
                    </w:rPr>
                    <w:t>限制开发建设活动的要求</w:t>
                  </w:r>
                </w:p>
                <w:p w14:paraId="1BA94899">
                  <w:pPr>
                    <w:pStyle w:val="113"/>
                    <w:spacing w:line="240" w:lineRule="auto"/>
                    <w:ind w:firstLine="0" w:firstLineChars="0"/>
                    <w:rPr>
                      <w:rFonts w:eastAsia="宋体"/>
                      <w:kern w:val="0"/>
                      <w:sz w:val="18"/>
                      <w:szCs w:val="18"/>
                    </w:rPr>
                  </w:pPr>
                  <w:r>
                    <w:rPr>
                      <w:rFonts w:eastAsia="宋体"/>
                      <w:kern w:val="0"/>
                      <w:sz w:val="18"/>
                      <w:szCs w:val="18"/>
                    </w:rPr>
                    <w:t>1.自然保护区：（1）因科学研究的需要，必须进入核心区从事科学研究观测、调查活动的，应当事先向自然保护区管理机构提交申请和活动计划，并经省级以上人民政府有关自然保护区行政主管部门批准；其中，进入国家级自然保护区核心区的，必须经国务院有关自然保护区行政主管部门批准。（2）因教学科研的目的，需要进入自然保护区的缓冲区从事非破坏性的科学研究、教学实习和标本采集活动的，应当事先向自然保护区管理机构提交申请和活动计划，经自然保护区管理机构批准。（3）在自然保护区的实验区内开展参观、旅游活动的，由自然保护区管理机构编制方案，方案应当符合自然保护区管理目标。（4）在自然保护区的实验区内建设其他项目，其污染物排放不得超过国家和地方规定的污染物排放标准。</w:t>
                  </w:r>
                </w:p>
                <w:p w14:paraId="4267D304">
                  <w:pPr>
                    <w:pStyle w:val="113"/>
                    <w:spacing w:line="240" w:lineRule="auto"/>
                    <w:ind w:firstLine="0" w:firstLineChars="0"/>
                    <w:rPr>
                      <w:rFonts w:eastAsia="宋体"/>
                      <w:kern w:val="0"/>
                      <w:sz w:val="18"/>
                      <w:szCs w:val="18"/>
                    </w:rPr>
                  </w:pPr>
                  <w:r>
                    <w:rPr>
                      <w:rFonts w:eastAsia="宋体"/>
                      <w:kern w:val="0"/>
                      <w:sz w:val="18"/>
                      <w:szCs w:val="18"/>
                    </w:rPr>
                    <w:t>2.湿地公园：（1）在湿地范围内从事旅游、种植、畜牧、水产养殖、航运等利用活动，应当避免改变湿地的自然状况，并采取措施减轻对湿地生态功能的不利影响。（2）地方各级人民政府应当严格控制河流源头和蓄滞洪区、水土流失严重区等区域的湿地开发利用活动，减轻对湿地及其生物多样性的不利影响。（3）地方各级人民政府对省级重要湿地和一般湿地利用活动进行分类指导，鼓励单位和个人开展符合湿地保护要求的生态旅游、生态农业、生态教育、自然体验等活动，适度控制种植养殖等湿地利用规模。（4）国家级湿地自然公园按照一般控制区管理。（5）国家级湿地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14:paraId="23E45AB5">
                  <w:pPr>
                    <w:pStyle w:val="113"/>
                    <w:spacing w:line="240" w:lineRule="auto"/>
                    <w:ind w:firstLine="0" w:firstLineChars="0"/>
                    <w:rPr>
                      <w:rFonts w:eastAsia="宋体"/>
                      <w:kern w:val="0"/>
                      <w:sz w:val="18"/>
                      <w:szCs w:val="18"/>
                    </w:rPr>
                  </w:pPr>
                  <w:r>
                    <w:rPr>
                      <w:rFonts w:eastAsia="宋体"/>
                      <w:kern w:val="0"/>
                      <w:sz w:val="18"/>
                      <w:szCs w:val="18"/>
                    </w:rPr>
                    <w:t>3.永久基本农田：（1）一般建设项目不得占用永久基本农田；重大建设项目选址确实难以避让永久基本农田的，在可行性研究阶段，省级自然资源主管部门负责组织对占用的必要性、合理性和补划方案的可行性进行严格论证，报自然资源部用地预审；农用地转用和土地征收依法报批。（2）单独选址的能源，交通、水利等基础设施项目，因选址特殊无法避让基本农田的，在用地预审和报批前，必须对选址方案、基本农田规划调整及补划方案等进行充分论证和听证，报国务院批准。经批准占用基本农田的，必须及时补划，征地补偿按法定的最高标准执行，耕地开垦费按当地最高标准缴纳。（3）已经划定的永久基本农田特别是城市周边永久基本农田不得随意占用和调整。重大建设项目、生态建设、灾毁等经国务院批准占用或依法认定减少永久基本农田的，按照中央4号文件要求，在原县域范围内补划永久基本农田。坚持“保护优先、布局优化、优进劣出、提升质量”的工作原则，坚持“制定方案、调查摸底、核实举证、论证审核、复核质检”的工作程序，按照永久基本农田划定有关要求，补划数量和质量相当的永久基本农田。</w:t>
                  </w:r>
                </w:p>
                <w:p w14:paraId="379CCB94">
                  <w:pPr>
                    <w:pStyle w:val="113"/>
                    <w:spacing w:line="240" w:lineRule="auto"/>
                    <w:ind w:firstLine="0" w:firstLineChars="0"/>
                    <w:rPr>
                      <w:rFonts w:eastAsia="宋体"/>
                      <w:kern w:val="0"/>
                      <w:sz w:val="18"/>
                      <w:szCs w:val="18"/>
                    </w:rPr>
                  </w:pPr>
                  <w:r>
                    <w:rPr>
                      <w:rFonts w:eastAsia="宋体"/>
                      <w:kern w:val="0"/>
                      <w:sz w:val="18"/>
                      <w:szCs w:val="18"/>
                    </w:rPr>
                    <w:t>4.水源涵养重要区：（1）坚持自然恢复为主，严格限制在水源涵养区大规模人工造林；（2）严格控制载畜量，实行以草定蓄。</w:t>
                  </w:r>
                </w:p>
                <w:p w14:paraId="0886D27C">
                  <w:pPr>
                    <w:pStyle w:val="113"/>
                    <w:spacing w:line="240" w:lineRule="auto"/>
                    <w:ind w:firstLine="0" w:firstLineChars="0"/>
                    <w:rPr>
                      <w:rFonts w:eastAsia="宋体"/>
                      <w:kern w:val="0"/>
                      <w:sz w:val="18"/>
                      <w:szCs w:val="18"/>
                    </w:rPr>
                  </w:pPr>
                  <w:r>
                    <w:rPr>
                      <w:rFonts w:eastAsia="宋体"/>
                      <w:kern w:val="0"/>
                      <w:sz w:val="18"/>
                      <w:szCs w:val="18"/>
                    </w:rPr>
                    <w:t>5.严格限制在长江流域生态保护红线、自然保护地、水生生物重要栖息地水域实施航道整治工程；确需整治的，应当经科学论证，并依法办理相关手续。</w:t>
                  </w:r>
                </w:p>
                <w:p w14:paraId="4671AC4F">
                  <w:pPr>
                    <w:pStyle w:val="113"/>
                    <w:spacing w:line="240" w:lineRule="auto"/>
                    <w:ind w:firstLine="0" w:firstLineChars="0"/>
                    <w:rPr>
                      <w:rFonts w:eastAsia="宋体"/>
                      <w:kern w:val="0"/>
                      <w:sz w:val="18"/>
                      <w:szCs w:val="18"/>
                    </w:rPr>
                  </w:pPr>
                  <w:r>
                    <w:rPr>
                      <w:rFonts w:eastAsia="宋体"/>
                      <w:kern w:val="0"/>
                      <w:sz w:val="18"/>
                      <w:szCs w:val="18"/>
                    </w:rPr>
                    <w:t>不符合空间布局要求活动的退出要求</w:t>
                  </w:r>
                </w:p>
                <w:p w14:paraId="33B075AF">
                  <w:pPr>
                    <w:pStyle w:val="113"/>
                    <w:spacing w:line="240" w:lineRule="auto"/>
                    <w:ind w:firstLine="0" w:firstLineChars="0"/>
                    <w:rPr>
                      <w:rFonts w:eastAsia="宋体"/>
                      <w:kern w:val="0"/>
                      <w:sz w:val="18"/>
                      <w:szCs w:val="18"/>
                    </w:rPr>
                  </w:pPr>
                  <w:r>
                    <w:rPr>
                      <w:rFonts w:eastAsia="宋体"/>
                      <w:kern w:val="0"/>
                      <w:sz w:val="18"/>
                      <w:szCs w:val="18"/>
                    </w:rPr>
                    <w:t>已有矿业权与生态保护红线、自然保护地等禁止或限制开发区域重叠的，要按相关要求主动退出或避让。</w:t>
                  </w:r>
                </w:p>
                <w:p w14:paraId="2BEAC7F6">
                  <w:pPr>
                    <w:pStyle w:val="113"/>
                    <w:spacing w:line="240" w:lineRule="auto"/>
                    <w:ind w:firstLine="0" w:firstLineChars="0"/>
                    <w:rPr>
                      <w:rFonts w:eastAsia="宋体"/>
                      <w:kern w:val="0"/>
                      <w:sz w:val="18"/>
                      <w:szCs w:val="18"/>
                    </w:rPr>
                  </w:pPr>
                  <w:r>
                    <w:rPr>
                      <w:rFonts w:eastAsia="宋体"/>
                      <w:kern w:val="0"/>
                      <w:sz w:val="18"/>
                      <w:szCs w:val="18"/>
                    </w:rPr>
                    <w:t>对不符合要求和规划、造成污染或破坏的设施，应限期治理或退出。</w:t>
                  </w:r>
                </w:p>
                <w:p w14:paraId="4F6870A0">
                  <w:pPr>
                    <w:pStyle w:val="113"/>
                    <w:spacing w:line="240" w:lineRule="auto"/>
                    <w:ind w:firstLine="0" w:firstLineChars="0"/>
                    <w:rPr>
                      <w:rFonts w:eastAsia="宋体"/>
                      <w:kern w:val="0"/>
                      <w:sz w:val="18"/>
                      <w:szCs w:val="18"/>
                    </w:rPr>
                  </w:pPr>
                  <w:r>
                    <w:rPr>
                      <w:rFonts w:eastAsia="宋体"/>
                      <w:kern w:val="0"/>
                      <w:sz w:val="18"/>
                      <w:szCs w:val="18"/>
                    </w:rPr>
                    <w:t>其他空间布局约束要求</w:t>
                  </w:r>
                </w:p>
                <w:p w14:paraId="5A2472DC">
                  <w:pPr>
                    <w:pStyle w:val="113"/>
                    <w:spacing w:line="240" w:lineRule="auto"/>
                    <w:ind w:firstLine="0" w:firstLineChars="0"/>
                    <w:rPr>
                      <w:rFonts w:eastAsia="宋体"/>
                      <w:kern w:val="0"/>
                      <w:sz w:val="18"/>
                      <w:szCs w:val="18"/>
                    </w:rPr>
                  </w:pPr>
                  <w:r>
                    <w:rPr>
                      <w:rFonts w:eastAsia="宋体"/>
                      <w:kern w:val="0"/>
                      <w:sz w:val="18"/>
                      <w:szCs w:val="18"/>
                    </w:rPr>
                    <w:t>允许开发建设活动的要求：</w:t>
                  </w:r>
                </w:p>
                <w:p w14:paraId="6BA0C31F">
                  <w:pPr>
                    <w:pStyle w:val="113"/>
                    <w:spacing w:line="240" w:lineRule="auto"/>
                    <w:ind w:firstLine="0" w:firstLineChars="0"/>
                    <w:rPr>
                      <w:rFonts w:eastAsia="宋体"/>
                      <w:kern w:val="0"/>
                      <w:sz w:val="18"/>
                      <w:szCs w:val="18"/>
                    </w:rPr>
                  </w:pPr>
                  <w:r>
                    <w:rPr>
                      <w:rFonts w:eastAsia="宋体"/>
                      <w:kern w:val="0"/>
                      <w:sz w:val="18"/>
                      <w:szCs w:val="18"/>
                    </w:rPr>
                    <w:t>1.自然保护区：自然保护区实验区可以进入从事科学试验、教学实习、参观考察、旅游以及驯化、繁殖珍稀、濒危野生动植物等活动。</w:t>
                  </w:r>
                </w:p>
                <w:p w14:paraId="315D289B">
                  <w:pPr>
                    <w:pStyle w:val="113"/>
                    <w:spacing w:line="240" w:lineRule="auto"/>
                    <w:ind w:firstLine="0" w:firstLineChars="0"/>
                    <w:rPr>
                      <w:rFonts w:eastAsia="宋体"/>
                      <w:kern w:val="0"/>
                      <w:sz w:val="18"/>
                      <w:szCs w:val="18"/>
                    </w:rPr>
                  </w:pPr>
                  <w:r>
                    <w:rPr>
                      <w:rFonts w:eastAsia="宋体"/>
                      <w:kern w:val="0"/>
                      <w:sz w:val="18"/>
                      <w:szCs w:val="18"/>
                    </w:rPr>
                    <w:t>2.水产种质资源保护区：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tc>
              <w:tc>
                <w:tcPr>
                  <w:tcW w:w="1390" w:type="dxa"/>
                  <w:vAlign w:val="center"/>
                </w:tcPr>
                <w:p w14:paraId="776BCAD3">
                  <w:pPr>
                    <w:adjustRightInd w:val="0"/>
                    <w:snapToGrid w:val="0"/>
                    <w:jc w:val="center"/>
                    <w:rPr>
                      <w:sz w:val="18"/>
                      <w:szCs w:val="18"/>
                    </w:rPr>
                  </w:pPr>
                  <w:r>
                    <w:rPr>
                      <w:bCs/>
                      <w:sz w:val="18"/>
                      <w:szCs w:val="18"/>
                    </w:rPr>
                    <w:t>本项目为</w:t>
                  </w:r>
                  <w:r>
                    <w:rPr>
                      <w:rFonts w:hint="eastAsia"/>
                      <w:bCs/>
                      <w:sz w:val="18"/>
                      <w:szCs w:val="18"/>
                    </w:rPr>
                    <w:t>城市道路</w:t>
                  </w:r>
                  <w:r>
                    <w:rPr>
                      <w:bCs/>
                      <w:sz w:val="18"/>
                      <w:szCs w:val="18"/>
                    </w:rPr>
                    <w:t>建设工程</w:t>
                  </w:r>
                  <w:r>
                    <w:rPr>
                      <w:rFonts w:hint="eastAsia"/>
                      <w:bCs/>
                      <w:sz w:val="18"/>
                      <w:szCs w:val="18"/>
                    </w:rPr>
                    <w:t>，不涉及生态保护红线、自然保护区、风景名胜区、世界自然遗产地、水产种质资源保护区等。</w:t>
                  </w:r>
                </w:p>
              </w:tc>
              <w:tc>
                <w:tcPr>
                  <w:tcW w:w="637" w:type="dxa"/>
                  <w:vAlign w:val="center"/>
                </w:tcPr>
                <w:p w14:paraId="4F512F9B">
                  <w:pPr>
                    <w:adjustRightInd w:val="0"/>
                    <w:snapToGrid w:val="0"/>
                    <w:jc w:val="center"/>
                    <w:rPr>
                      <w:bCs/>
                      <w:sz w:val="18"/>
                      <w:szCs w:val="18"/>
                    </w:rPr>
                  </w:pPr>
                  <w:r>
                    <w:rPr>
                      <w:bCs/>
                      <w:sz w:val="18"/>
                      <w:szCs w:val="18"/>
                    </w:rPr>
                    <w:t>符合</w:t>
                  </w:r>
                </w:p>
              </w:tc>
            </w:tr>
            <w:tr w14:paraId="5CD19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13323EB7">
                  <w:pPr>
                    <w:adjustRightInd w:val="0"/>
                    <w:snapToGrid w:val="0"/>
                    <w:jc w:val="center"/>
                    <w:rPr>
                      <w:bCs/>
                      <w:sz w:val="18"/>
                      <w:szCs w:val="18"/>
                    </w:rPr>
                  </w:pPr>
                </w:p>
              </w:tc>
              <w:tc>
                <w:tcPr>
                  <w:tcW w:w="236" w:type="dxa"/>
                  <w:vMerge w:val="continue"/>
                  <w:vAlign w:val="center"/>
                </w:tcPr>
                <w:p w14:paraId="6BCF3B68">
                  <w:pPr>
                    <w:adjustRightInd w:val="0"/>
                    <w:snapToGrid w:val="0"/>
                    <w:jc w:val="left"/>
                    <w:rPr>
                      <w:bCs/>
                      <w:sz w:val="18"/>
                      <w:szCs w:val="18"/>
                    </w:rPr>
                  </w:pPr>
                </w:p>
              </w:tc>
              <w:tc>
                <w:tcPr>
                  <w:tcW w:w="790" w:type="dxa"/>
                  <w:vAlign w:val="center"/>
                </w:tcPr>
                <w:p w14:paraId="65A50DF5">
                  <w:pPr>
                    <w:adjustRightInd w:val="0"/>
                    <w:snapToGrid w:val="0"/>
                    <w:jc w:val="center"/>
                    <w:rPr>
                      <w:bCs/>
                      <w:sz w:val="18"/>
                      <w:szCs w:val="18"/>
                    </w:rPr>
                  </w:pPr>
                  <w:r>
                    <w:rPr>
                      <w:rStyle w:val="114"/>
                      <w:bCs/>
                      <w:sz w:val="18"/>
                      <w:szCs w:val="18"/>
                    </w:rPr>
                    <w:t>污染物排放管控</w:t>
                  </w:r>
                </w:p>
              </w:tc>
              <w:tc>
                <w:tcPr>
                  <w:tcW w:w="9242" w:type="dxa"/>
                  <w:vAlign w:val="center"/>
                </w:tcPr>
                <w:p w14:paraId="719AC09F">
                  <w:pPr>
                    <w:pStyle w:val="113"/>
                    <w:spacing w:line="240" w:lineRule="auto"/>
                    <w:ind w:firstLine="0" w:firstLineChars="0"/>
                    <w:rPr>
                      <w:rFonts w:eastAsia="宋体"/>
                      <w:sz w:val="18"/>
                      <w:szCs w:val="18"/>
                    </w:rPr>
                  </w:pPr>
                  <w:r>
                    <w:rPr>
                      <w:rFonts w:eastAsia="宋体"/>
                      <w:sz w:val="18"/>
                      <w:szCs w:val="18"/>
                    </w:rPr>
                    <w:t>允许排放量要求</w:t>
                  </w:r>
                </w:p>
                <w:p w14:paraId="789A4668">
                  <w:pPr>
                    <w:pStyle w:val="113"/>
                    <w:spacing w:line="240" w:lineRule="auto"/>
                    <w:ind w:firstLine="0" w:firstLineChars="0"/>
                    <w:rPr>
                      <w:rFonts w:eastAsia="宋体"/>
                      <w:sz w:val="18"/>
                      <w:szCs w:val="18"/>
                    </w:rPr>
                  </w:pPr>
                  <w:r>
                    <w:rPr>
                      <w:rFonts w:eastAsia="宋体"/>
                      <w:sz w:val="18"/>
                      <w:szCs w:val="18"/>
                    </w:rPr>
                    <w:t>/</w:t>
                  </w:r>
                </w:p>
                <w:p w14:paraId="09D02D77">
                  <w:pPr>
                    <w:pStyle w:val="113"/>
                    <w:spacing w:line="240" w:lineRule="auto"/>
                    <w:ind w:firstLine="0" w:firstLineChars="0"/>
                    <w:rPr>
                      <w:rFonts w:eastAsia="宋体"/>
                      <w:sz w:val="18"/>
                      <w:szCs w:val="18"/>
                    </w:rPr>
                  </w:pPr>
                  <w:r>
                    <w:rPr>
                      <w:rFonts w:eastAsia="宋体"/>
                      <w:sz w:val="18"/>
                      <w:szCs w:val="18"/>
                    </w:rPr>
                    <w:t>现有源提标升级改造</w:t>
                  </w:r>
                </w:p>
                <w:p w14:paraId="22EE3C84">
                  <w:pPr>
                    <w:pStyle w:val="113"/>
                    <w:spacing w:line="240" w:lineRule="auto"/>
                    <w:ind w:firstLine="0" w:firstLineChars="0"/>
                    <w:rPr>
                      <w:rFonts w:eastAsia="宋体"/>
                      <w:sz w:val="18"/>
                      <w:szCs w:val="18"/>
                    </w:rPr>
                  </w:pPr>
                  <w:r>
                    <w:rPr>
                      <w:rFonts w:eastAsia="宋体"/>
                      <w:sz w:val="18"/>
                      <w:szCs w:val="18"/>
                    </w:rPr>
                    <w:t>/</w:t>
                  </w:r>
                </w:p>
                <w:p w14:paraId="7963577E">
                  <w:pPr>
                    <w:pStyle w:val="113"/>
                    <w:spacing w:line="240" w:lineRule="auto"/>
                    <w:ind w:firstLine="0" w:firstLineChars="0"/>
                    <w:rPr>
                      <w:rFonts w:eastAsia="宋体"/>
                      <w:sz w:val="18"/>
                      <w:szCs w:val="18"/>
                    </w:rPr>
                  </w:pPr>
                  <w:r>
                    <w:rPr>
                      <w:rFonts w:eastAsia="宋体"/>
                      <w:sz w:val="18"/>
                      <w:szCs w:val="18"/>
                    </w:rPr>
                    <w:t>其他污染物排放管控要求</w:t>
                  </w:r>
                </w:p>
                <w:p w14:paraId="2604D1C8">
                  <w:pPr>
                    <w:pStyle w:val="113"/>
                    <w:spacing w:line="240" w:lineRule="auto"/>
                    <w:ind w:firstLine="0" w:firstLineChars="0"/>
                    <w:rPr>
                      <w:rFonts w:eastAsia="宋体"/>
                      <w:sz w:val="18"/>
                      <w:szCs w:val="18"/>
                    </w:rPr>
                  </w:pPr>
                  <w:r>
                    <w:rPr>
                      <w:rFonts w:eastAsia="宋体"/>
                      <w:sz w:val="18"/>
                      <w:szCs w:val="18"/>
                    </w:rPr>
                    <w:t>△</w:t>
                  </w:r>
                </w:p>
              </w:tc>
              <w:tc>
                <w:tcPr>
                  <w:tcW w:w="1390" w:type="dxa"/>
                  <w:vAlign w:val="center"/>
                </w:tcPr>
                <w:p w14:paraId="6D77DCD0">
                  <w:pPr>
                    <w:adjustRightInd w:val="0"/>
                    <w:snapToGrid w:val="0"/>
                    <w:jc w:val="center"/>
                    <w:rPr>
                      <w:bCs/>
                      <w:sz w:val="18"/>
                      <w:szCs w:val="18"/>
                    </w:rPr>
                  </w:pPr>
                  <w:r>
                    <w:rPr>
                      <w:bCs/>
                      <w:sz w:val="18"/>
                      <w:szCs w:val="18"/>
                    </w:rPr>
                    <w:t>本项目为</w:t>
                  </w:r>
                  <w:r>
                    <w:rPr>
                      <w:rFonts w:hint="eastAsia"/>
                      <w:bCs/>
                      <w:sz w:val="18"/>
                      <w:szCs w:val="18"/>
                    </w:rPr>
                    <w:t>城市道路</w:t>
                  </w:r>
                  <w:r>
                    <w:rPr>
                      <w:bCs/>
                      <w:sz w:val="18"/>
                      <w:szCs w:val="18"/>
                    </w:rPr>
                    <w:t>建设工程</w:t>
                  </w:r>
                  <w:r>
                    <w:rPr>
                      <w:rFonts w:hint="eastAsia"/>
                      <w:bCs/>
                      <w:sz w:val="18"/>
                      <w:szCs w:val="18"/>
                    </w:rPr>
                    <w:t>，运营期无污染物产生。</w:t>
                  </w:r>
                </w:p>
              </w:tc>
              <w:tc>
                <w:tcPr>
                  <w:tcW w:w="637" w:type="dxa"/>
                  <w:vAlign w:val="center"/>
                </w:tcPr>
                <w:p w14:paraId="36E63D41">
                  <w:pPr>
                    <w:adjustRightInd w:val="0"/>
                    <w:snapToGrid w:val="0"/>
                    <w:jc w:val="center"/>
                    <w:rPr>
                      <w:bCs/>
                      <w:sz w:val="18"/>
                      <w:szCs w:val="18"/>
                    </w:rPr>
                  </w:pPr>
                  <w:r>
                    <w:rPr>
                      <w:bCs/>
                      <w:sz w:val="18"/>
                      <w:szCs w:val="18"/>
                    </w:rPr>
                    <w:t>符合</w:t>
                  </w:r>
                </w:p>
              </w:tc>
            </w:tr>
            <w:tr w14:paraId="4AC87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7702E71F">
                  <w:pPr>
                    <w:adjustRightInd w:val="0"/>
                    <w:snapToGrid w:val="0"/>
                    <w:jc w:val="center"/>
                    <w:rPr>
                      <w:bCs/>
                      <w:sz w:val="18"/>
                      <w:szCs w:val="18"/>
                    </w:rPr>
                  </w:pPr>
                </w:p>
              </w:tc>
              <w:tc>
                <w:tcPr>
                  <w:tcW w:w="236" w:type="dxa"/>
                  <w:vMerge w:val="continue"/>
                  <w:vAlign w:val="center"/>
                </w:tcPr>
                <w:p w14:paraId="1B13E429">
                  <w:pPr>
                    <w:adjustRightInd w:val="0"/>
                    <w:snapToGrid w:val="0"/>
                    <w:jc w:val="left"/>
                    <w:rPr>
                      <w:bCs/>
                      <w:sz w:val="18"/>
                      <w:szCs w:val="18"/>
                    </w:rPr>
                  </w:pPr>
                </w:p>
              </w:tc>
              <w:tc>
                <w:tcPr>
                  <w:tcW w:w="790" w:type="dxa"/>
                  <w:vAlign w:val="center"/>
                </w:tcPr>
                <w:p w14:paraId="497CBC9E">
                  <w:pPr>
                    <w:pStyle w:val="113"/>
                    <w:widowControl/>
                    <w:spacing w:line="240" w:lineRule="auto"/>
                    <w:ind w:firstLine="0" w:firstLineChars="0"/>
                    <w:jc w:val="center"/>
                    <w:rPr>
                      <w:rFonts w:eastAsia="宋体"/>
                      <w:bCs/>
                      <w:sz w:val="18"/>
                      <w:szCs w:val="18"/>
                    </w:rPr>
                  </w:pPr>
                  <w:r>
                    <w:rPr>
                      <w:rStyle w:val="114"/>
                      <w:rFonts w:eastAsia="宋体"/>
                      <w:bCs/>
                      <w:sz w:val="18"/>
                      <w:szCs w:val="18"/>
                    </w:rPr>
                    <w:t>环境风险防控</w:t>
                  </w:r>
                </w:p>
              </w:tc>
              <w:tc>
                <w:tcPr>
                  <w:tcW w:w="9242" w:type="dxa"/>
                  <w:vAlign w:val="center"/>
                </w:tcPr>
                <w:p w14:paraId="4778F413">
                  <w:pPr>
                    <w:pStyle w:val="113"/>
                    <w:spacing w:line="240" w:lineRule="auto"/>
                    <w:ind w:firstLine="0" w:firstLineChars="0"/>
                    <w:rPr>
                      <w:rFonts w:eastAsia="宋体"/>
                      <w:sz w:val="18"/>
                      <w:szCs w:val="18"/>
                    </w:rPr>
                  </w:pPr>
                  <w:r>
                    <w:rPr>
                      <w:rFonts w:eastAsia="宋体"/>
                      <w:sz w:val="18"/>
                      <w:szCs w:val="18"/>
                    </w:rPr>
                    <w:t>联防联控要求</w:t>
                  </w:r>
                </w:p>
                <w:p w14:paraId="0D8139C2">
                  <w:pPr>
                    <w:pStyle w:val="113"/>
                    <w:spacing w:line="240" w:lineRule="auto"/>
                    <w:ind w:firstLine="0" w:firstLineChars="0"/>
                    <w:rPr>
                      <w:rFonts w:eastAsia="宋体"/>
                      <w:sz w:val="18"/>
                      <w:szCs w:val="18"/>
                    </w:rPr>
                  </w:pPr>
                  <w:r>
                    <w:rPr>
                      <w:rFonts w:eastAsia="宋体"/>
                      <w:sz w:val="18"/>
                      <w:szCs w:val="18"/>
                    </w:rPr>
                    <w:t>加强成都平原经济区信息共享和联动合作，协力推进产业和能源结构优化调整，加强大气污染源头防控，加强潼遂合作。</w:t>
                  </w:r>
                </w:p>
                <w:p w14:paraId="6114F5AD">
                  <w:pPr>
                    <w:pStyle w:val="113"/>
                    <w:spacing w:line="240" w:lineRule="auto"/>
                    <w:ind w:firstLine="0" w:firstLineChars="0"/>
                    <w:rPr>
                      <w:rFonts w:eastAsia="宋体"/>
                      <w:sz w:val="18"/>
                      <w:szCs w:val="18"/>
                    </w:rPr>
                  </w:pPr>
                  <w:r>
                    <w:rPr>
                      <w:rFonts w:eastAsia="宋体"/>
                      <w:sz w:val="18"/>
                      <w:szCs w:val="18"/>
                    </w:rPr>
                    <w:t>其他环境风险防控要求</w:t>
                  </w:r>
                </w:p>
              </w:tc>
              <w:tc>
                <w:tcPr>
                  <w:tcW w:w="1390" w:type="dxa"/>
                  <w:vAlign w:val="center"/>
                </w:tcPr>
                <w:p w14:paraId="12B16059">
                  <w:pPr>
                    <w:adjustRightInd w:val="0"/>
                    <w:snapToGrid w:val="0"/>
                    <w:jc w:val="center"/>
                    <w:rPr>
                      <w:bCs/>
                      <w:sz w:val="18"/>
                      <w:szCs w:val="18"/>
                    </w:rPr>
                  </w:pPr>
                  <w:r>
                    <w:rPr>
                      <w:bCs/>
                      <w:sz w:val="18"/>
                      <w:szCs w:val="18"/>
                    </w:rPr>
                    <w:t>本项目为</w:t>
                  </w:r>
                  <w:r>
                    <w:rPr>
                      <w:rFonts w:hint="eastAsia"/>
                      <w:bCs/>
                      <w:sz w:val="18"/>
                      <w:szCs w:val="18"/>
                    </w:rPr>
                    <w:t>城市道路</w:t>
                  </w:r>
                  <w:r>
                    <w:rPr>
                      <w:bCs/>
                      <w:sz w:val="18"/>
                      <w:szCs w:val="18"/>
                    </w:rPr>
                    <w:t>建设工程</w:t>
                  </w:r>
                  <w:r>
                    <w:rPr>
                      <w:rFonts w:hint="eastAsia"/>
                      <w:bCs/>
                      <w:sz w:val="18"/>
                      <w:szCs w:val="18"/>
                    </w:rPr>
                    <w:t>，环境风险小，符合当地</w:t>
                  </w:r>
                  <w:r>
                    <w:rPr>
                      <w:rStyle w:val="114"/>
                      <w:bCs/>
                      <w:sz w:val="18"/>
                      <w:szCs w:val="18"/>
                    </w:rPr>
                    <w:t>环境风险防控</w:t>
                  </w:r>
                  <w:r>
                    <w:rPr>
                      <w:rStyle w:val="114"/>
                      <w:rFonts w:hint="eastAsia"/>
                      <w:bCs/>
                      <w:sz w:val="18"/>
                      <w:szCs w:val="18"/>
                    </w:rPr>
                    <w:t>要求。</w:t>
                  </w:r>
                </w:p>
              </w:tc>
              <w:tc>
                <w:tcPr>
                  <w:tcW w:w="637" w:type="dxa"/>
                  <w:vAlign w:val="center"/>
                </w:tcPr>
                <w:p w14:paraId="74459D4B">
                  <w:pPr>
                    <w:adjustRightInd w:val="0"/>
                    <w:snapToGrid w:val="0"/>
                    <w:jc w:val="center"/>
                    <w:rPr>
                      <w:bCs/>
                      <w:sz w:val="18"/>
                      <w:szCs w:val="18"/>
                    </w:rPr>
                  </w:pPr>
                  <w:r>
                    <w:rPr>
                      <w:bCs/>
                      <w:sz w:val="18"/>
                      <w:szCs w:val="18"/>
                    </w:rPr>
                    <w:t>符合</w:t>
                  </w:r>
                </w:p>
              </w:tc>
            </w:tr>
            <w:tr w14:paraId="33784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1862491D">
                  <w:pPr>
                    <w:adjustRightInd w:val="0"/>
                    <w:snapToGrid w:val="0"/>
                    <w:jc w:val="center"/>
                    <w:rPr>
                      <w:bCs/>
                      <w:sz w:val="18"/>
                      <w:szCs w:val="18"/>
                    </w:rPr>
                  </w:pPr>
                </w:p>
              </w:tc>
              <w:tc>
                <w:tcPr>
                  <w:tcW w:w="236" w:type="dxa"/>
                  <w:vMerge w:val="continue"/>
                  <w:vAlign w:val="center"/>
                </w:tcPr>
                <w:p w14:paraId="1D0034E0">
                  <w:pPr>
                    <w:adjustRightInd w:val="0"/>
                    <w:snapToGrid w:val="0"/>
                    <w:jc w:val="left"/>
                    <w:rPr>
                      <w:bCs/>
                      <w:sz w:val="18"/>
                      <w:szCs w:val="18"/>
                    </w:rPr>
                  </w:pPr>
                </w:p>
              </w:tc>
              <w:tc>
                <w:tcPr>
                  <w:tcW w:w="790" w:type="dxa"/>
                  <w:vAlign w:val="center"/>
                </w:tcPr>
                <w:p w14:paraId="172AC451">
                  <w:pPr>
                    <w:pStyle w:val="113"/>
                    <w:widowControl/>
                    <w:spacing w:line="240" w:lineRule="auto"/>
                    <w:ind w:firstLine="0" w:firstLineChars="0"/>
                    <w:jc w:val="center"/>
                    <w:rPr>
                      <w:rFonts w:eastAsia="宋体"/>
                      <w:bCs/>
                      <w:sz w:val="18"/>
                      <w:szCs w:val="18"/>
                    </w:rPr>
                  </w:pPr>
                  <w:r>
                    <w:rPr>
                      <w:rStyle w:val="114"/>
                      <w:rFonts w:eastAsia="宋体"/>
                      <w:bCs/>
                      <w:sz w:val="18"/>
                      <w:szCs w:val="18"/>
                    </w:rPr>
                    <w:t>资源开发效率要求</w:t>
                  </w:r>
                </w:p>
              </w:tc>
              <w:tc>
                <w:tcPr>
                  <w:tcW w:w="9242" w:type="dxa"/>
                  <w:vAlign w:val="center"/>
                </w:tcPr>
                <w:p w14:paraId="024E4A56">
                  <w:pPr>
                    <w:pStyle w:val="113"/>
                    <w:widowControl/>
                    <w:shd w:val="clear" w:color="auto" w:fill="FFFFFF"/>
                    <w:spacing w:line="240" w:lineRule="auto"/>
                    <w:ind w:firstLine="0" w:firstLineChars="0"/>
                    <w:jc w:val="left"/>
                    <w:rPr>
                      <w:rFonts w:eastAsia="宋体"/>
                      <w:sz w:val="18"/>
                      <w:szCs w:val="18"/>
                    </w:rPr>
                  </w:pPr>
                  <w:r>
                    <w:rPr>
                      <w:rFonts w:eastAsia="宋体"/>
                      <w:sz w:val="18"/>
                      <w:szCs w:val="18"/>
                    </w:rPr>
                    <w:t>水资源利用总量要求</w:t>
                  </w:r>
                </w:p>
                <w:p w14:paraId="24A94320">
                  <w:pPr>
                    <w:pStyle w:val="113"/>
                    <w:widowControl/>
                    <w:shd w:val="clear" w:color="auto" w:fill="FFFFFF"/>
                    <w:spacing w:line="240" w:lineRule="auto"/>
                    <w:ind w:firstLine="0" w:firstLineChars="0"/>
                    <w:jc w:val="left"/>
                    <w:rPr>
                      <w:rFonts w:eastAsia="宋体"/>
                      <w:sz w:val="18"/>
                      <w:szCs w:val="18"/>
                    </w:rPr>
                  </w:pPr>
                  <w:r>
                    <w:rPr>
                      <w:rFonts w:eastAsia="宋体"/>
                      <w:sz w:val="18"/>
                      <w:szCs w:val="18"/>
                    </w:rPr>
                    <w:t>/</w:t>
                  </w:r>
                </w:p>
                <w:p w14:paraId="3A8BCF87">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地下水开采要求</w:t>
                  </w:r>
                </w:p>
                <w:p w14:paraId="11D66E20">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全面建设节水型社会，达到合理高效用水。</w:t>
                  </w:r>
                </w:p>
                <w:p w14:paraId="0F51A1BE">
                  <w:pPr>
                    <w:pStyle w:val="113"/>
                    <w:widowControl/>
                    <w:shd w:val="clear" w:color="auto" w:fill="FFFFFF"/>
                    <w:spacing w:line="240" w:lineRule="auto"/>
                    <w:ind w:firstLine="0" w:firstLineChars="0"/>
                    <w:jc w:val="left"/>
                    <w:rPr>
                      <w:rFonts w:eastAsia="宋体"/>
                      <w:sz w:val="18"/>
                      <w:szCs w:val="18"/>
                    </w:rPr>
                  </w:pPr>
                  <w:r>
                    <w:rPr>
                      <w:rFonts w:eastAsia="宋体"/>
                      <w:sz w:val="18"/>
                      <w:szCs w:val="18"/>
                    </w:rPr>
                    <w:t>能源利用总量及效率要求</w:t>
                  </w:r>
                </w:p>
                <w:p w14:paraId="08FD6926">
                  <w:pPr>
                    <w:pStyle w:val="113"/>
                    <w:widowControl/>
                    <w:shd w:val="clear" w:color="auto" w:fill="FFFFFF"/>
                    <w:spacing w:line="240" w:lineRule="auto"/>
                    <w:ind w:firstLine="0" w:firstLineChars="0"/>
                    <w:jc w:val="left"/>
                    <w:rPr>
                      <w:rFonts w:eastAsia="宋体"/>
                      <w:sz w:val="18"/>
                      <w:szCs w:val="18"/>
                    </w:rPr>
                  </w:pPr>
                  <w:r>
                    <w:rPr>
                      <w:rFonts w:eastAsia="宋体"/>
                      <w:sz w:val="18"/>
                      <w:szCs w:val="18"/>
                    </w:rPr>
                    <w:t>/</w:t>
                  </w:r>
                </w:p>
                <w:p w14:paraId="0229940B">
                  <w:pPr>
                    <w:pStyle w:val="113"/>
                    <w:widowControl/>
                    <w:shd w:val="clear" w:color="auto" w:fill="FFFFFF"/>
                    <w:spacing w:line="240" w:lineRule="auto"/>
                    <w:ind w:firstLine="0" w:firstLineChars="0"/>
                    <w:jc w:val="left"/>
                    <w:rPr>
                      <w:rFonts w:eastAsia="宋体"/>
                      <w:sz w:val="18"/>
                      <w:szCs w:val="18"/>
                    </w:rPr>
                  </w:pPr>
                  <w:r>
                    <w:rPr>
                      <w:rFonts w:eastAsia="宋体"/>
                      <w:sz w:val="18"/>
                      <w:szCs w:val="18"/>
                    </w:rPr>
                    <w:t>禁燃区要求</w:t>
                  </w:r>
                </w:p>
                <w:p w14:paraId="2D520681">
                  <w:pPr>
                    <w:pStyle w:val="113"/>
                    <w:widowControl/>
                    <w:shd w:val="clear" w:color="auto" w:fill="FFFFFF"/>
                    <w:spacing w:line="240" w:lineRule="auto"/>
                    <w:ind w:firstLine="0" w:firstLineChars="0"/>
                    <w:jc w:val="left"/>
                    <w:rPr>
                      <w:rFonts w:eastAsia="宋体"/>
                      <w:sz w:val="18"/>
                      <w:szCs w:val="18"/>
                    </w:rPr>
                  </w:pPr>
                  <w:r>
                    <w:rPr>
                      <w:rFonts w:eastAsia="宋体"/>
                      <w:sz w:val="18"/>
                      <w:szCs w:val="18"/>
                    </w:rPr>
                    <w:t>1.禁燃区内禁止燃烧以下高污染燃料：</w:t>
                  </w:r>
                </w:p>
                <w:p w14:paraId="5CE25DA3">
                  <w:pPr>
                    <w:pStyle w:val="113"/>
                    <w:widowControl/>
                    <w:shd w:val="clear" w:color="auto" w:fill="FFFFFF"/>
                    <w:spacing w:line="240" w:lineRule="auto"/>
                    <w:ind w:firstLine="0" w:firstLineChars="0"/>
                    <w:jc w:val="left"/>
                    <w:rPr>
                      <w:rFonts w:eastAsia="宋体"/>
                      <w:sz w:val="18"/>
                      <w:szCs w:val="18"/>
                    </w:rPr>
                  </w:pPr>
                  <w:r>
                    <w:rPr>
                      <w:rFonts w:eastAsia="宋体"/>
                      <w:sz w:val="18"/>
                      <w:szCs w:val="18"/>
                    </w:rPr>
                    <w:t>（1）煤炭及其制品（包括原煤、散煤、煤矸石、煤泥、煤粉、水浆煤、型煤、焦炭、兰炭、油类等常规燃料）。</w:t>
                  </w:r>
                </w:p>
                <w:p w14:paraId="75D4FA6B">
                  <w:pPr>
                    <w:pStyle w:val="113"/>
                    <w:widowControl/>
                    <w:shd w:val="clear" w:color="auto" w:fill="FFFFFF"/>
                    <w:spacing w:line="240" w:lineRule="auto"/>
                    <w:ind w:firstLine="0" w:firstLineChars="0"/>
                    <w:jc w:val="left"/>
                    <w:rPr>
                      <w:rFonts w:eastAsia="宋体"/>
                      <w:sz w:val="18"/>
                      <w:szCs w:val="18"/>
                    </w:rPr>
                  </w:pPr>
                  <w:r>
                    <w:rPr>
                      <w:rFonts w:eastAsia="宋体"/>
                      <w:sz w:val="18"/>
                      <w:szCs w:val="18"/>
                    </w:rPr>
                    <w:t>（2）石油焦、油页岩、原油、重油、渣油、煤焦油。</w:t>
                  </w:r>
                </w:p>
                <w:p w14:paraId="3EB4D229">
                  <w:pPr>
                    <w:pStyle w:val="113"/>
                    <w:widowControl/>
                    <w:shd w:val="clear" w:color="auto" w:fill="FFFFFF"/>
                    <w:spacing w:line="240" w:lineRule="auto"/>
                    <w:ind w:firstLine="0" w:firstLineChars="0"/>
                    <w:jc w:val="left"/>
                    <w:rPr>
                      <w:rFonts w:eastAsia="宋体"/>
                      <w:sz w:val="18"/>
                      <w:szCs w:val="18"/>
                    </w:rPr>
                  </w:pPr>
                  <w:r>
                    <w:rPr>
                      <w:rFonts w:eastAsia="宋体"/>
                      <w:sz w:val="18"/>
                      <w:szCs w:val="18"/>
                    </w:rPr>
                    <w:t>（3）非专用锅炉或未配置高效除尘设施的专用锅炉燃用的生物质成型燃料。</w:t>
                  </w:r>
                </w:p>
                <w:p w14:paraId="2D3BB53C">
                  <w:pPr>
                    <w:pStyle w:val="113"/>
                    <w:widowControl/>
                    <w:shd w:val="clear" w:color="auto" w:fill="FFFFFF"/>
                    <w:spacing w:line="240" w:lineRule="auto"/>
                    <w:ind w:firstLine="0" w:firstLineChars="0"/>
                    <w:jc w:val="left"/>
                    <w:rPr>
                      <w:rFonts w:eastAsia="宋体"/>
                      <w:sz w:val="18"/>
                      <w:szCs w:val="18"/>
                    </w:rPr>
                  </w:pPr>
                  <w:r>
                    <w:rPr>
                      <w:rFonts w:eastAsia="宋体"/>
                      <w:sz w:val="18"/>
                      <w:szCs w:val="18"/>
                    </w:rPr>
                    <w:t>2.禁燃区内禁止新建、扩建燃用高污染燃料的锅炉、炉窑、炉灶等燃烧设施（集中供热、电厂锅炉除外）。</w:t>
                  </w:r>
                </w:p>
                <w:p w14:paraId="0B3C6270">
                  <w:pPr>
                    <w:pStyle w:val="113"/>
                    <w:widowControl/>
                    <w:shd w:val="clear" w:color="auto" w:fill="FFFFFF"/>
                    <w:spacing w:line="240" w:lineRule="auto"/>
                    <w:ind w:firstLine="0" w:firstLineChars="0"/>
                    <w:jc w:val="left"/>
                    <w:rPr>
                      <w:rFonts w:eastAsia="宋体"/>
                      <w:sz w:val="18"/>
                      <w:szCs w:val="18"/>
                    </w:rPr>
                  </w:pPr>
                  <w:r>
                    <w:rPr>
                      <w:rFonts w:eastAsia="宋体"/>
                      <w:sz w:val="18"/>
                      <w:szCs w:val="18"/>
                    </w:rPr>
                    <w:t>3.自2020年1月1日起，禁燃区内禁止销售高污染燃料。</w:t>
                  </w:r>
                </w:p>
                <w:p w14:paraId="405F68F8">
                  <w:pPr>
                    <w:pStyle w:val="113"/>
                    <w:widowControl/>
                    <w:shd w:val="clear" w:color="auto" w:fill="FFFFFF"/>
                    <w:spacing w:line="240" w:lineRule="auto"/>
                    <w:ind w:firstLine="0" w:firstLineChars="0"/>
                    <w:jc w:val="left"/>
                    <w:rPr>
                      <w:rFonts w:eastAsia="宋体"/>
                      <w:sz w:val="18"/>
                      <w:szCs w:val="18"/>
                    </w:rPr>
                  </w:pPr>
                  <w:r>
                    <w:rPr>
                      <w:rFonts w:eastAsia="宋体"/>
                      <w:sz w:val="18"/>
                      <w:szCs w:val="18"/>
                    </w:rPr>
                    <w:t>4.加强对集中供热、电厂锅炉、10蒸吨/时以上的在用燃煤锅炉以及改用清洁能源前的在用锅炉等燃烧设施的监管，确保达标排放。</w:t>
                  </w:r>
                </w:p>
                <w:p w14:paraId="13FCAD78">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其他资源利用效率要求</w:t>
                  </w:r>
                </w:p>
                <w:p w14:paraId="1B6549C2">
                  <w:pPr>
                    <w:pStyle w:val="113"/>
                    <w:widowControl/>
                    <w:shd w:val="clear" w:color="auto" w:fill="FFFFFF"/>
                    <w:spacing w:line="240" w:lineRule="auto"/>
                    <w:ind w:firstLine="0" w:firstLineChars="0"/>
                    <w:jc w:val="left"/>
                    <w:rPr>
                      <w:rFonts w:eastAsia="宋体"/>
                      <w:sz w:val="18"/>
                      <w:szCs w:val="18"/>
                    </w:rPr>
                  </w:pPr>
                  <w:r>
                    <w:rPr>
                      <w:rFonts w:eastAsia="宋体"/>
                      <w:sz w:val="18"/>
                      <w:szCs w:val="18"/>
                    </w:rPr>
                    <w:t>△</w:t>
                  </w:r>
                </w:p>
              </w:tc>
              <w:tc>
                <w:tcPr>
                  <w:tcW w:w="1390" w:type="dxa"/>
                  <w:vAlign w:val="center"/>
                </w:tcPr>
                <w:p w14:paraId="6D2CEFBC">
                  <w:pPr>
                    <w:adjustRightInd w:val="0"/>
                    <w:snapToGrid w:val="0"/>
                    <w:jc w:val="center"/>
                    <w:rPr>
                      <w:bCs/>
                      <w:sz w:val="18"/>
                      <w:szCs w:val="18"/>
                    </w:rPr>
                  </w:pPr>
                  <w:r>
                    <w:rPr>
                      <w:bCs/>
                      <w:sz w:val="18"/>
                      <w:szCs w:val="18"/>
                    </w:rPr>
                    <w:t>本项目</w:t>
                  </w:r>
                  <w:r>
                    <w:rPr>
                      <w:rFonts w:hint="eastAsia"/>
                      <w:bCs/>
                      <w:sz w:val="18"/>
                      <w:szCs w:val="18"/>
                    </w:rPr>
                    <w:t>不涉及</w:t>
                  </w:r>
                  <w:r>
                    <w:rPr>
                      <w:sz w:val="18"/>
                      <w:szCs w:val="18"/>
                    </w:rPr>
                    <w:t>地下水开采</w:t>
                  </w:r>
                  <w:r>
                    <w:rPr>
                      <w:rFonts w:hint="eastAsia"/>
                      <w:bCs/>
                      <w:sz w:val="18"/>
                      <w:szCs w:val="18"/>
                    </w:rPr>
                    <w:t>，与当地资源开发效率要求不冲突。</w:t>
                  </w:r>
                </w:p>
              </w:tc>
              <w:tc>
                <w:tcPr>
                  <w:tcW w:w="637" w:type="dxa"/>
                  <w:vAlign w:val="center"/>
                </w:tcPr>
                <w:p w14:paraId="4272289C">
                  <w:pPr>
                    <w:adjustRightInd w:val="0"/>
                    <w:snapToGrid w:val="0"/>
                    <w:jc w:val="center"/>
                    <w:rPr>
                      <w:bCs/>
                      <w:sz w:val="18"/>
                      <w:szCs w:val="18"/>
                    </w:rPr>
                  </w:pPr>
                  <w:r>
                    <w:rPr>
                      <w:bCs/>
                      <w:sz w:val="18"/>
                      <w:szCs w:val="18"/>
                    </w:rPr>
                    <w:t>符合</w:t>
                  </w:r>
                </w:p>
              </w:tc>
            </w:tr>
            <w:tr w14:paraId="631A9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restart"/>
                  <w:vAlign w:val="center"/>
                </w:tcPr>
                <w:p w14:paraId="45EE398F">
                  <w:pPr>
                    <w:adjustRightInd w:val="0"/>
                    <w:snapToGrid w:val="0"/>
                    <w:jc w:val="center"/>
                    <w:rPr>
                      <w:bCs/>
                      <w:sz w:val="18"/>
                      <w:szCs w:val="18"/>
                    </w:rPr>
                  </w:pPr>
                  <w:r>
                    <w:rPr>
                      <w:bCs/>
                      <w:sz w:val="18"/>
                      <w:szCs w:val="18"/>
                    </w:rPr>
                    <w:t>YS51092322</w:t>
                  </w:r>
                  <w:r>
                    <w:rPr>
                      <w:rFonts w:hint="eastAsia"/>
                      <w:bCs/>
                      <w:sz w:val="18"/>
                      <w:szCs w:val="18"/>
                    </w:rPr>
                    <w:t>2</w:t>
                  </w:r>
                  <w:r>
                    <w:rPr>
                      <w:bCs/>
                      <w:sz w:val="18"/>
                      <w:szCs w:val="18"/>
                    </w:rPr>
                    <w:t>0001郪江-大英县-郪江口-控制单元</w:t>
                  </w:r>
                  <w:r>
                    <w:rPr>
                      <w:rFonts w:hint="eastAsia"/>
                      <w:bCs/>
                      <w:sz w:val="18"/>
                      <w:szCs w:val="18"/>
                    </w:rPr>
                    <w:t>-水环境城镇生活污染重点管控区</w:t>
                  </w:r>
                </w:p>
              </w:tc>
              <w:tc>
                <w:tcPr>
                  <w:tcW w:w="236" w:type="dxa"/>
                  <w:vMerge w:val="restart"/>
                  <w:vAlign w:val="center"/>
                </w:tcPr>
                <w:p w14:paraId="45C356DE">
                  <w:pPr>
                    <w:adjustRightInd w:val="0"/>
                    <w:snapToGrid w:val="0"/>
                    <w:jc w:val="left"/>
                    <w:rPr>
                      <w:bCs/>
                      <w:sz w:val="18"/>
                      <w:szCs w:val="18"/>
                    </w:rPr>
                  </w:pPr>
                  <w:r>
                    <w:rPr>
                      <w:bCs/>
                      <w:sz w:val="18"/>
                      <w:szCs w:val="18"/>
                    </w:rPr>
                    <w:t>单元级清单</w:t>
                  </w:r>
                </w:p>
              </w:tc>
              <w:tc>
                <w:tcPr>
                  <w:tcW w:w="790" w:type="dxa"/>
                  <w:vAlign w:val="center"/>
                </w:tcPr>
                <w:p w14:paraId="47CF8BD9">
                  <w:pPr>
                    <w:pStyle w:val="113"/>
                    <w:spacing w:line="240" w:lineRule="auto"/>
                    <w:ind w:firstLine="0" w:firstLineChars="0"/>
                    <w:jc w:val="center"/>
                    <w:rPr>
                      <w:rFonts w:eastAsia="宋体"/>
                      <w:bCs/>
                      <w:sz w:val="18"/>
                      <w:szCs w:val="18"/>
                    </w:rPr>
                  </w:pPr>
                  <w:r>
                    <w:rPr>
                      <w:rFonts w:eastAsia="宋体"/>
                      <w:bCs/>
                      <w:sz w:val="18"/>
                      <w:szCs w:val="18"/>
                    </w:rPr>
                    <w:t>空间布局约束</w:t>
                  </w:r>
                </w:p>
              </w:tc>
              <w:tc>
                <w:tcPr>
                  <w:tcW w:w="9242" w:type="dxa"/>
                  <w:vAlign w:val="center"/>
                </w:tcPr>
                <w:p w14:paraId="75A6A178">
                  <w:pPr>
                    <w:pStyle w:val="113"/>
                    <w:widowControl/>
                    <w:shd w:val="clear" w:color="auto" w:fill="FFFFFF"/>
                    <w:spacing w:line="240" w:lineRule="auto"/>
                    <w:ind w:firstLine="0" w:firstLineChars="0"/>
                    <w:jc w:val="left"/>
                    <w:rPr>
                      <w:rFonts w:eastAsia="宋体"/>
                      <w:sz w:val="18"/>
                      <w:szCs w:val="18"/>
                    </w:rPr>
                  </w:pPr>
                  <w:r>
                    <w:rPr>
                      <w:rFonts w:eastAsia="宋体"/>
                      <w:sz w:val="18"/>
                      <w:szCs w:val="18"/>
                    </w:rPr>
                    <w:t>禁止开发建设活动的要求</w:t>
                  </w:r>
                </w:p>
                <w:p w14:paraId="0C663E7E">
                  <w:pPr>
                    <w:pStyle w:val="113"/>
                    <w:widowControl/>
                    <w:shd w:val="clear" w:color="auto" w:fill="FFFFFF"/>
                    <w:spacing w:line="240" w:lineRule="auto"/>
                    <w:ind w:firstLine="0" w:firstLineChars="0"/>
                    <w:jc w:val="left"/>
                    <w:rPr>
                      <w:rFonts w:eastAsia="宋体"/>
                      <w:sz w:val="18"/>
                      <w:szCs w:val="18"/>
                    </w:rPr>
                  </w:pPr>
                  <w:r>
                    <w:rPr>
                      <w:rFonts w:eastAsia="宋体"/>
                      <w:sz w:val="18"/>
                      <w:szCs w:val="18"/>
                    </w:rPr>
                    <w:t>限制开发建设活动的要求</w:t>
                  </w:r>
                </w:p>
                <w:p w14:paraId="399B72C2">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允许开发建设活动的要求</w:t>
                  </w:r>
                </w:p>
                <w:p w14:paraId="7C596BB7">
                  <w:pPr>
                    <w:pStyle w:val="113"/>
                    <w:widowControl/>
                    <w:shd w:val="clear" w:color="auto" w:fill="FFFFFF"/>
                    <w:spacing w:line="240" w:lineRule="auto"/>
                    <w:ind w:firstLine="0" w:firstLineChars="0"/>
                    <w:jc w:val="left"/>
                    <w:rPr>
                      <w:rFonts w:eastAsia="宋体"/>
                      <w:sz w:val="18"/>
                      <w:szCs w:val="18"/>
                    </w:rPr>
                  </w:pPr>
                  <w:r>
                    <w:rPr>
                      <w:rFonts w:eastAsia="宋体"/>
                      <w:sz w:val="18"/>
                      <w:szCs w:val="18"/>
                    </w:rPr>
                    <w:t>不符合空间布局要求活动的退出要求</w:t>
                  </w:r>
                </w:p>
                <w:p w14:paraId="25FD0F1F">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其他空间布局约束要求</w:t>
                  </w:r>
                </w:p>
              </w:tc>
              <w:tc>
                <w:tcPr>
                  <w:tcW w:w="1390" w:type="dxa"/>
                  <w:vAlign w:val="center"/>
                </w:tcPr>
                <w:p w14:paraId="02856DA0">
                  <w:pPr>
                    <w:adjustRightInd w:val="0"/>
                    <w:snapToGrid w:val="0"/>
                    <w:jc w:val="center"/>
                    <w:rPr>
                      <w:bCs/>
                      <w:sz w:val="18"/>
                      <w:szCs w:val="18"/>
                    </w:rPr>
                  </w:pPr>
                  <w:r>
                    <w:rPr>
                      <w:bCs/>
                      <w:sz w:val="18"/>
                      <w:szCs w:val="18"/>
                    </w:rPr>
                    <w:t>本项目</w:t>
                  </w:r>
                  <w:r>
                    <w:rPr>
                      <w:rFonts w:hint="eastAsia"/>
                      <w:bCs/>
                      <w:sz w:val="18"/>
                      <w:szCs w:val="18"/>
                    </w:rPr>
                    <w:t>不属于</w:t>
                  </w:r>
                  <w:r>
                    <w:rPr>
                      <w:bCs/>
                      <w:sz w:val="18"/>
                      <w:szCs w:val="18"/>
                    </w:rPr>
                    <w:t>禁止</w:t>
                  </w:r>
                  <w:r>
                    <w:rPr>
                      <w:rFonts w:hint="eastAsia"/>
                      <w:bCs/>
                      <w:sz w:val="18"/>
                      <w:szCs w:val="18"/>
                    </w:rPr>
                    <w:t>和限制</w:t>
                  </w:r>
                  <w:r>
                    <w:rPr>
                      <w:bCs/>
                      <w:sz w:val="18"/>
                      <w:szCs w:val="18"/>
                    </w:rPr>
                    <w:t>开发建设活动</w:t>
                  </w:r>
                  <w:r>
                    <w:rPr>
                      <w:rFonts w:hint="eastAsia"/>
                      <w:bCs/>
                      <w:sz w:val="18"/>
                      <w:szCs w:val="18"/>
                    </w:rPr>
                    <w:t>，符合</w:t>
                  </w:r>
                  <w:r>
                    <w:rPr>
                      <w:sz w:val="18"/>
                      <w:szCs w:val="18"/>
                    </w:rPr>
                    <w:t>空间布局要求</w:t>
                  </w:r>
                  <w:r>
                    <w:rPr>
                      <w:kern w:val="0"/>
                      <w:sz w:val="18"/>
                      <w:szCs w:val="18"/>
                    </w:rPr>
                    <w:t>。</w:t>
                  </w:r>
                </w:p>
              </w:tc>
              <w:tc>
                <w:tcPr>
                  <w:tcW w:w="637" w:type="dxa"/>
                  <w:vAlign w:val="center"/>
                </w:tcPr>
                <w:p w14:paraId="0D6530C4">
                  <w:pPr>
                    <w:adjustRightInd w:val="0"/>
                    <w:snapToGrid w:val="0"/>
                    <w:jc w:val="center"/>
                    <w:rPr>
                      <w:bCs/>
                      <w:sz w:val="18"/>
                      <w:szCs w:val="18"/>
                    </w:rPr>
                  </w:pPr>
                  <w:r>
                    <w:rPr>
                      <w:bCs/>
                      <w:sz w:val="18"/>
                      <w:szCs w:val="18"/>
                    </w:rPr>
                    <w:t>符合</w:t>
                  </w:r>
                </w:p>
              </w:tc>
            </w:tr>
            <w:tr w14:paraId="09789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659B1242">
                  <w:pPr>
                    <w:adjustRightInd w:val="0"/>
                    <w:snapToGrid w:val="0"/>
                    <w:jc w:val="center"/>
                    <w:rPr>
                      <w:bCs/>
                      <w:sz w:val="18"/>
                      <w:szCs w:val="18"/>
                    </w:rPr>
                  </w:pPr>
                </w:p>
              </w:tc>
              <w:tc>
                <w:tcPr>
                  <w:tcW w:w="236" w:type="dxa"/>
                  <w:vMerge w:val="continue"/>
                  <w:vAlign w:val="center"/>
                </w:tcPr>
                <w:p w14:paraId="295DD12D">
                  <w:pPr>
                    <w:adjustRightInd w:val="0"/>
                    <w:snapToGrid w:val="0"/>
                    <w:jc w:val="left"/>
                    <w:rPr>
                      <w:bCs/>
                      <w:sz w:val="18"/>
                      <w:szCs w:val="18"/>
                    </w:rPr>
                  </w:pPr>
                </w:p>
              </w:tc>
              <w:tc>
                <w:tcPr>
                  <w:tcW w:w="790" w:type="dxa"/>
                  <w:vAlign w:val="center"/>
                </w:tcPr>
                <w:p w14:paraId="3840FCAB">
                  <w:pPr>
                    <w:pStyle w:val="113"/>
                    <w:spacing w:line="240" w:lineRule="auto"/>
                    <w:ind w:firstLine="0" w:firstLineChars="0"/>
                    <w:jc w:val="center"/>
                    <w:rPr>
                      <w:rFonts w:eastAsia="宋体"/>
                      <w:bCs/>
                      <w:sz w:val="18"/>
                      <w:szCs w:val="18"/>
                    </w:rPr>
                  </w:pPr>
                  <w:r>
                    <w:rPr>
                      <w:rFonts w:eastAsia="宋体"/>
                      <w:bCs/>
                      <w:sz w:val="18"/>
                      <w:szCs w:val="18"/>
                    </w:rPr>
                    <w:t>污染物排放管控</w:t>
                  </w:r>
                </w:p>
              </w:tc>
              <w:tc>
                <w:tcPr>
                  <w:tcW w:w="9242" w:type="dxa"/>
                  <w:vAlign w:val="center"/>
                </w:tcPr>
                <w:p w14:paraId="3D306D8B">
                  <w:pPr>
                    <w:adjustRightInd w:val="0"/>
                    <w:snapToGrid w:val="0"/>
                    <w:jc w:val="left"/>
                    <w:rPr>
                      <w:bCs/>
                      <w:sz w:val="18"/>
                      <w:szCs w:val="18"/>
                    </w:rPr>
                  </w:pPr>
                  <w:r>
                    <w:rPr>
                      <w:bCs/>
                      <w:sz w:val="18"/>
                      <w:szCs w:val="18"/>
                    </w:rPr>
                    <w:t>城镇污水污染控制措施要求</w:t>
                  </w:r>
                </w:p>
                <w:p w14:paraId="013D0C7F">
                  <w:pPr>
                    <w:adjustRightInd w:val="0"/>
                    <w:snapToGrid w:val="0"/>
                    <w:jc w:val="left"/>
                    <w:rPr>
                      <w:bCs/>
                      <w:sz w:val="18"/>
                      <w:szCs w:val="18"/>
                    </w:rPr>
                  </w:pPr>
                  <w:r>
                    <w:rPr>
                      <w:bCs/>
                      <w:sz w:val="18"/>
                      <w:szCs w:val="18"/>
                    </w:rPr>
                    <w:t>1、推进流域聚居点生活污水处理设施建设。2、保障乡镇污水收集处理设施顺畅运行。3、推进污水直排口排查与整治，落实“一口一策”整改措施。</w:t>
                  </w:r>
                </w:p>
                <w:p w14:paraId="0261AF32">
                  <w:pPr>
                    <w:adjustRightInd w:val="0"/>
                    <w:snapToGrid w:val="0"/>
                    <w:jc w:val="left"/>
                    <w:rPr>
                      <w:bCs/>
                      <w:sz w:val="18"/>
                      <w:szCs w:val="18"/>
                    </w:rPr>
                  </w:pPr>
                  <w:r>
                    <w:rPr>
                      <w:bCs/>
                      <w:sz w:val="18"/>
                      <w:szCs w:val="18"/>
                    </w:rPr>
                    <w:t>工业废水污染控制措施要求</w:t>
                  </w:r>
                </w:p>
                <w:p w14:paraId="5FB683D1">
                  <w:pPr>
                    <w:adjustRightInd w:val="0"/>
                    <w:snapToGrid w:val="0"/>
                    <w:jc w:val="left"/>
                    <w:rPr>
                      <w:bCs/>
                      <w:sz w:val="18"/>
                      <w:szCs w:val="18"/>
                    </w:rPr>
                  </w:pPr>
                  <w:r>
                    <w:rPr>
                      <w:bCs/>
                      <w:sz w:val="18"/>
                      <w:szCs w:val="18"/>
                    </w:rPr>
                    <w:t>1、落实主要污染物排放总量指标控制要求，加强入河排污口登记、审批和监督管理。2、强化流域内工业点源、规模化畜禽养殖场运行监管，避免偷排、漏排。</w:t>
                  </w:r>
                </w:p>
                <w:p w14:paraId="5E2BECA1">
                  <w:pPr>
                    <w:adjustRightInd w:val="0"/>
                    <w:snapToGrid w:val="0"/>
                    <w:jc w:val="left"/>
                    <w:rPr>
                      <w:bCs/>
                      <w:sz w:val="18"/>
                      <w:szCs w:val="18"/>
                    </w:rPr>
                  </w:pPr>
                  <w:r>
                    <w:rPr>
                      <w:bCs/>
                      <w:sz w:val="18"/>
                      <w:szCs w:val="18"/>
                    </w:rPr>
                    <w:t>农业面源水污染控制措施要求</w:t>
                  </w:r>
                </w:p>
                <w:p w14:paraId="18CF2637">
                  <w:pPr>
                    <w:adjustRightInd w:val="0"/>
                    <w:snapToGrid w:val="0"/>
                    <w:jc w:val="left"/>
                    <w:rPr>
                      <w:bCs/>
                      <w:sz w:val="18"/>
                      <w:szCs w:val="18"/>
                    </w:rPr>
                  </w:pPr>
                  <w:r>
                    <w:rPr>
                      <w:bCs/>
                      <w:sz w:val="18"/>
                      <w:szCs w:val="18"/>
                    </w:rPr>
                    <w:t>1、推进农村污染治理。稳步农村污水处理设施建设，适当预留发展空间，宜集中则集中，宜分散则分散；农村生活污水处理设施排水执行《农村生活污水处理设施水污染物排放标准》（DB 51 2626-2019）要求；大力推进农村生活垃圾就地分类减量和资源化利用，因地制宜选择农村生活垃圾治理模式；严格做好“农家乐”、种植采摘园等范围内的生活及农产品产生污水及垃圾治理。2、大力推进水产生态健康养殖，加强渔业生产过程中抗菌药物使用管控；强化水产养殖污染治理，水产养殖废水应处理达到《四川省水产养殖业水污染物排放标准》后排放；实施池塘标准化改造，完善循环水和进排水处理设施，推进养殖尾水节水减排。到2025年，水产健康养殖示范比重达到68%以上。3、推进畜禽粪污分类处置，根据排放去向或利用方式的不同执行相应的标准规范；不断提高畜禽养殖粪污资源化利用率及利用水平；设有污水排放口的规模化畜禽养殖场应当依法申领排污许可证。到2025年，畜禽粪污综合利用率达到80%以上，规模以上养殖场粪污处理设施装备配套率保持100%。到2035年，畜禽粪污基本实现资源化利用，综合利用率达到95%以上。</w:t>
                  </w:r>
                </w:p>
                <w:p w14:paraId="557EA8A8">
                  <w:pPr>
                    <w:adjustRightInd w:val="0"/>
                    <w:snapToGrid w:val="0"/>
                    <w:jc w:val="left"/>
                    <w:rPr>
                      <w:bCs/>
                      <w:sz w:val="18"/>
                      <w:szCs w:val="18"/>
                    </w:rPr>
                  </w:pPr>
                </w:p>
                <w:p w14:paraId="1AB5DAA2">
                  <w:pPr>
                    <w:adjustRightInd w:val="0"/>
                    <w:snapToGrid w:val="0"/>
                    <w:jc w:val="left"/>
                    <w:rPr>
                      <w:bCs/>
                      <w:sz w:val="18"/>
                      <w:szCs w:val="18"/>
                    </w:rPr>
                  </w:pPr>
                  <w:r>
                    <w:rPr>
                      <w:bCs/>
                      <w:sz w:val="18"/>
                      <w:szCs w:val="18"/>
                    </w:rPr>
                    <w:t>饮用水水源和其它特殊水体保护要求</w:t>
                  </w:r>
                </w:p>
              </w:tc>
              <w:tc>
                <w:tcPr>
                  <w:tcW w:w="1390" w:type="dxa"/>
                  <w:vAlign w:val="center"/>
                </w:tcPr>
                <w:p w14:paraId="546277ED">
                  <w:pPr>
                    <w:adjustRightInd w:val="0"/>
                    <w:snapToGrid w:val="0"/>
                    <w:jc w:val="center"/>
                    <w:rPr>
                      <w:bCs/>
                      <w:sz w:val="18"/>
                      <w:szCs w:val="18"/>
                    </w:rPr>
                  </w:pPr>
                  <w:r>
                    <w:rPr>
                      <w:bCs/>
                      <w:sz w:val="18"/>
                      <w:szCs w:val="18"/>
                    </w:rPr>
                    <w:t>本项目为</w:t>
                  </w:r>
                  <w:r>
                    <w:rPr>
                      <w:rFonts w:hint="eastAsia"/>
                      <w:bCs/>
                      <w:sz w:val="18"/>
                      <w:szCs w:val="18"/>
                    </w:rPr>
                    <w:t>城市</w:t>
                  </w:r>
                  <w:r>
                    <w:rPr>
                      <w:bCs/>
                      <w:sz w:val="18"/>
                      <w:szCs w:val="18"/>
                    </w:rPr>
                    <w:t>道路建设项目</w:t>
                  </w:r>
                  <w:r>
                    <w:rPr>
                      <w:rFonts w:hint="eastAsia"/>
                      <w:bCs/>
                      <w:sz w:val="18"/>
                      <w:szCs w:val="18"/>
                    </w:rPr>
                    <w:t>，不涉及水产养殖、</w:t>
                  </w:r>
                  <w:r>
                    <w:rPr>
                      <w:bCs/>
                      <w:sz w:val="18"/>
                      <w:szCs w:val="18"/>
                    </w:rPr>
                    <w:t>畜禽</w:t>
                  </w:r>
                  <w:r>
                    <w:rPr>
                      <w:rFonts w:hint="eastAsia"/>
                      <w:bCs/>
                      <w:sz w:val="18"/>
                      <w:szCs w:val="18"/>
                    </w:rPr>
                    <w:t>养殖，运营期无废水产生。</w:t>
                  </w:r>
                </w:p>
              </w:tc>
              <w:tc>
                <w:tcPr>
                  <w:tcW w:w="637" w:type="dxa"/>
                  <w:vAlign w:val="center"/>
                </w:tcPr>
                <w:p w14:paraId="35D36421">
                  <w:pPr>
                    <w:adjustRightInd w:val="0"/>
                    <w:snapToGrid w:val="0"/>
                    <w:jc w:val="center"/>
                    <w:rPr>
                      <w:bCs/>
                      <w:sz w:val="18"/>
                      <w:szCs w:val="18"/>
                    </w:rPr>
                  </w:pPr>
                  <w:r>
                    <w:rPr>
                      <w:bCs/>
                      <w:sz w:val="18"/>
                      <w:szCs w:val="18"/>
                    </w:rPr>
                    <w:t>符合</w:t>
                  </w:r>
                </w:p>
              </w:tc>
            </w:tr>
            <w:tr w14:paraId="64AC4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4A2120EC">
                  <w:pPr>
                    <w:widowControl/>
                    <w:jc w:val="center"/>
                    <w:rPr>
                      <w:bCs/>
                      <w:sz w:val="18"/>
                      <w:szCs w:val="18"/>
                    </w:rPr>
                  </w:pPr>
                </w:p>
              </w:tc>
              <w:tc>
                <w:tcPr>
                  <w:tcW w:w="236" w:type="dxa"/>
                  <w:vMerge w:val="continue"/>
                  <w:vAlign w:val="center"/>
                </w:tcPr>
                <w:p w14:paraId="2E95C84D">
                  <w:pPr>
                    <w:widowControl/>
                    <w:jc w:val="left"/>
                    <w:rPr>
                      <w:bCs/>
                      <w:sz w:val="18"/>
                      <w:szCs w:val="18"/>
                    </w:rPr>
                  </w:pPr>
                </w:p>
              </w:tc>
              <w:tc>
                <w:tcPr>
                  <w:tcW w:w="790" w:type="dxa"/>
                  <w:vAlign w:val="center"/>
                </w:tcPr>
                <w:p w14:paraId="58ADA276">
                  <w:pPr>
                    <w:pStyle w:val="113"/>
                    <w:spacing w:line="240" w:lineRule="auto"/>
                    <w:ind w:firstLine="0" w:firstLineChars="0"/>
                    <w:jc w:val="center"/>
                    <w:rPr>
                      <w:rFonts w:eastAsia="宋体"/>
                      <w:bCs/>
                      <w:sz w:val="18"/>
                      <w:szCs w:val="18"/>
                    </w:rPr>
                  </w:pPr>
                  <w:r>
                    <w:rPr>
                      <w:rFonts w:eastAsia="宋体"/>
                      <w:bCs/>
                      <w:sz w:val="18"/>
                      <w:szCs w:val="18"/>
                    </w:rPr>
                    <w:t>环境风险防控</w:t>
                  </w:r>
                </w:p>
              </w:tc>
              <w:tc>
                <w:tcPr>
                  <w:tcW w:w="9242" w:type="dxa"/>
                  <w:vAlign w:val="center"/>
                </w:tcPr>
                <w:p w14:paraId="30A2A365">
                  <w:pPr>
                    <w:adjustRightInd w:val="0"/>
                    <w:snapToGrid w:val="0"/>
                    <w:jc w:val="left"/>
                    <w:rPr>
                      <w:bCs/>
                      <w:sz w:val="18"/>
                      <w:szCs w:val="18"/>
                    </w:rPr>
                  </w:pPr>
                  <w:r>
                    <w:rPr>
                      <w:bCs/>
                      <w:sz w:val="18"/>
                      <w:szCs w:val="18"/>
                    </w:rPr>
                    <w:t>/</w:t>
                  </w:r>
                </w:p>
              </w:tc>
              <w:tc>
                <w:tcPr>
                  <w:tcW w:w="1390" w:type="dxa"/>
                  <w:vAlign w:val="center"/>
                </w:tcPr>
                <w:p w14:paraId="15A83E0C">
                  <w:pPr>
                    <w:adjustRightInd w:val="0"/>
                    <w:snapToGrid w:val="0"/>
                    <w:jc w:val="center"/>
                    <w:rPr>
                      <w:bCs/>
                      <w:sz w:val="18"/>
                      <w:szCs w:val="18"/>
                    </w:rPr>
                  </w:pPr>
                  <w:r>
                    <w:rPr>
                      <w:bCs/>
                      <w:sz w:val="18"/>
                      <w:szCs w:val="18"/>
                    </w:rPr>
                    <w:t>/</w:t>
                  </w:r>
                </w:p>
              </w:tc>
              <w:tc>
                <w:tcPr>
                  <w:tcW w:w="637" w:type="dxa"/>
                  <w:vAlign w:val="center"/>
                </w:tcPr>
                <w:p w14:paraId="7D4AA517">
                  <w:pPr>
                    <w:adjustRightInd w:val="0"/>
                    <w:snapToGrid w:val="0"/>
                    <w:jc w:val="center"/>
                    <w:rPr>
                      <w:bCs/>
                      <w:sz w:val="18"/>
                      <w:szCs w:val="18"/>
                    </w:rPr>
                  </w:pPr>
                  <w:r>
                    <w:rPr>
                      <w:bCs/>
                      <w:sz w:val="18"/>
                      <w:szCs w:val="18"/>
                    </w:rPr>
                    <w:t>/</w:t>
                  </w:r>
                </w:p>
              </w:tc>
            </w:tr>
            <w:tr w14:paraId="3B177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0170CA35">
                  <w:pPr>
                    <w:widowControl/>
                    <w:jc w:val="center"/>
                    <w:rPr>
                      <w:bCs/>
                      <w:sz w:val="18"/>
                      <w:szCs w:val="18"/>
                    </w:rPr>
                  </w:pPr>
                </w:p>
              </w:tc>
              <w:tc>
                <w:tcPr>
                  <w:tcW w:w="236" w:type="dxa"/>
                  <w:vMerge w:val="continue"/>
                  <w:vAlign w:val="center"/>
                </w:tcPr>
                <w:p w14:paraId="6F8ECDC2">
                  <w:pPr>
                    <w:widowControl/>
                    <w:jc w:val="left"/>
                    <w:rPr>
                      <w:bCs/>
                      <w:sz w:val="18"/>
                      <w:szCs w:val="18"/>
                    </w:rPr>
                  </w:pPr>
                </w:p>
              </w:tc>
              <w:tc>
                <w:tcPr>
                  <w:tcW w:w="790" w:type="dxa"/>
                  <w:vAlign w:val="center"/>
                </w:tcPr>
                <w:p w14:paraId="3B7FC928">
                  <w:pPr>
                    <w:pStyle w:val="113"/>
                    <w:spacing w:line="240" w:lineRule="auto"/>
                    <w:ind w:firstLine="0" w:firstLineChars="0"/>
                    <w:jc w:val="center"/>
                    <w:rPr>
                      <w:rFonts w:eastAsia="宋体"/>
                      <w:bCs/>
                      <w:sz w:val="18"/>
                      <w:szCs w:val="18"/>
                    </w:rPr>
                  </w:pPr>
                  <w:r>
                    <w:rPr>
                      <w:rFonts w:eastAsia="宋体"/>
                      <w:bCs/>
                      <w:sz w:val="18"/>
                      <w:szCs w:val="18"/>
                    </w:rPr>
                    <w:t>资源开发效率要求</w:t>
                  </w:r>
                </w:p>
              </w:tc>
              <w:tc>
                <w:tcPr>
                  <w:tcW w:w="9242" w:type="dxa"/>
                  <w:vAlign w:val="center"/>
                </w:tcPr>
                <w:p w14:paraId="308AD04B">
                  <w:pPr>
                    <w:adjustRightInd w:val="0"/>
                    <w:snapToGrid w:val="0"/>
                    <w:jc w:val="left"/>
                    <w:rPr>
                      <w:bCs/>
                      <w:sz w:val="18"/>
                      <w:szCs w:val="18"/>
                    </w:rPr>
                  </w:pPr>
                  <w:r>
                    <w:rPr>
                      <w:bCs/>
                      <w:sz w:val="18"/>
                      <w:szCs w:val="18"/>
                    </w:rPr>
                    <w:t>落实生态流量保障，强化流域内水库、水电站下泄生态流量监管。强化种植业节水；推进农村污水分质资源化利用。</w:t>
                  </w:r>
                </w:p>
              </w:tc>
              <w:tc>
                <w:tcPr>
                  <w:tcW w:w="1390" w:type="dxa"/>
                  <w:vAlign w:val="center"/>
                </w:tcPr>
                <w:p w14:paraId="6083C399">
                  <w:pPr>
                    <w:adjustRightInd w:val="0"/>
                    <w:snapToGrid w:val="0"/>
                    <w:jc w:val="center"/>
                    <w:rPr>
                      <w:bCs/>
                      <w:sz w:val="18"/>
                      <w:szCs w:val="18"/>
                    </w:rPr>
                  </w:pPr>
                  <w:r>
                    <w:rPr>
                      <w:bCs/>
                      <w:sz w:val="18"/>
                      <w:szCs w:val="18"/>
                    </w:rPr>
                    <w:t>本项目为</w:t>
                  </w:r>
                  <w:r>
                    <w:rPr>
                      <w:rFonts w:hint="eastAsia"/>
                      <w:bCs/>
                      <w:sz w:val="18"/>
                      <w:szCs w:val="18"/>
                    </w:rPr>
                    <w:t>城市</w:t>
                  </w:r>
                  <w:r>
                    <w:rPr>
                      <w:bCs/>
                      <w:sz w:val="18"/>
                      <w:szCs w:val="18"/>
                    </w:rPr>
                    <w:t>道路建设项目</w:t>
                  </w:r>
                  <w:r>
                    <w:rPr>
                      <w:rFonts w:hint="eastAsia"/>
                      <w:bCs/>
                      <w:sz w:val="18"/>
                      <w:szCs w:val="18"/>
                    </w:rPr>
                    <w:t>，不改变流域类水体下泄流量；</w:t>
                  </w:r>
                </w:p>
              </w:tc>
              <w:tc>
                <w:tcPr>
                  <w:tcW w:w="637" w:type="dxa"/>
                  <w:vAlign w:val="center"/>
                </w:tcPr>
                <w:p w14:paraId="7BE4F252">
                  <w:pPr>
                    <w:adjustRightInd w:val="0"/>
                    <w:snapToGrid w:val="0"/>
                    <w:jc w:val="center"/>
                    <w:rPr>
                      <w:bCs/>
                      <w:sz w:val="18"/>
                      <w:szCs w:val="18"/>
                    </w:rPr>
                  </w:pPr>
                  <w:r>
                    <w:rPr>
                      <w:rFonts w:hint="eastAsia"/>
                      <w:bCs/>
                      <w:sz w:val="18"/>
                      <w:szCs w:val="18"/>
                    </w:rPr>
                    <w:t>符合</w:t>
                  </w:r>
                </w:p>
              </w:tc>
            </w:tr>
            <w:tr w14:paraId="6A078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restart"/>
                  <w:vAlign w:val="center"/>
                </w:tcPr>
                <w:p w14:paraId="69D9C941">
                  <w:pPr>
                    <w:adjustRightInd w:val="0"/>
                    <w:snapToGrid w:val="0"/>
                    <w:jc w:val="center"/>
                    <w:rPr>
                      <w:bCs/>
                      <w:sz w:val="18"/>
                      <w:szCs w:val="18"/>
                    </w:rPr>
                  </w:pPr>
                  <w:r>
                    <w:rPr>
                      <w:bCs/>
                      <w:sz w:val="18"/>
                      <w:szCs w:val="18"/>
                    </w:rPr>
                    <w:t>YS5109232230001郪江-大英县-郪江口-控制单元</w:t>
                  </w:r>
                  <w:r>
                    <w:rPr>
                      <w:rFonts w:hint="eastAsia"/>
                      <w:bCs/>
                      <w:sz w:val="18"/>
                      <w:szCs w:val="18"/>
                    </w:rPr>
                    <w:t>-水环境农业污染重点管控区</w:t>
                  </w:r>
                </w:p>
              </w:tc>
              <w:tc>
                <w:tcPr>
                  <w:tcW w:w="236" w:type="dxa"/>
                  <w:vMerge w:val="restart"/>
                  <w:vAlign w:val="center"/>
                </w:tcPr>
                <w:p w14:paraId="7F4B2480">
                  <w:pPr>
                    <w:adjustRightInd w:val="0"/>
                    <w:snapToGrid w:val="0"/>
                    <w:jc w:val="left"/>
                    <w:rPr>
                      <w:bCs/>
                      <w:sz w:val="18"/>
                      <w:szCs w:val="18"/>
                    </w:rPr>
                  </w:pPr>
                  <w:r>
                    <w:rPr>
                      <w:bCs/>
                      <w:sz w:val="18"/>
                      <w:szCs w:val="18"/>
                    </w:rPr>
                    <w:t>单元级清单</w:t>
                  </w:r>
                </w:p>
              </w:tc>
              <w:tc>
                <w:tcPr>
                  <w:tcW w:w="790" w:type="dxa"/>
                  <w:vAlign w:val="center"/>
                </w:tcPr>
                <w:p w14:paraId="3616BCBC">
                  <w:pPr>
                    <w:pStyle w:val="113"/>
                    <w:spacing w:line="240" w:lineRule="auto"/>
                    <w:ind w:firstLine="0" w:firstLineChars="0"/>
                    <w:jc w:val="center"/>
                    <w:rPr>
                      <w:rFonts w:eastAsia="宋体"/>
                      <w:bCs/>
                      <w:sz w:val="18"/>
                      <w:szCs w:val="18"/>
                    </w:rPr>
                  </w:pPr>
                  <w:r>
                    <w:rPr>
                      <w:rFonts w:eastAsia="宋体"/>
                      <w:bCs/>
                      <w:sz w:val="18"/>
                      <w:szCs w:val="18"/>
                    </w:rPr>
                    <w:t>空间布局约束</w:t>
                  </w:r>
                </w:p>
              </w:tc>
              <w:tc>
                <w:tcPr>
                  <w:tcW w:w="9242" w:type="dxa"/>
                  <w:vAlign w:val="center"/>
                </w:tcPr>
                <w:p w14:paraId="195AFB75">
                  <w:pPr>
                    <w:pStyle w:val="113"/>
                    <w:widowControl/>
                    <w:shd w:val="clear" w:color="auto" w:fill="FFFFFF"/>
                    <w:spacing w:line="240" w:lineRule="auto"/>
                    <w:ind w:firstLine="0" w:firstLineChars="0"/>
                    <w:jc w:val="left"/>
                    <w:rPr>
                      <w:rFonts w:eastAsia="宋体"/>
                      <w:sz w:val="18"/>
                      <w:szCs w:val="18"/>
                    </w:rPr>
                  </w:pPr>
                  <w:r>
                    <w:rPr>
                      <w:rFonts w:eastAsia="宋体"/>
                      <w:sz w:val="18"/>
                      <w:szCs w:val="18"/>
                    </w:rPr>
                    <w:t>禁止开发建设活动的要求</w:t>
                  </w:r>
                </w:p>
                <w:p w14:paraId="02BCF659">
                  <w:pPr>
                    <w:pStyle w:val="113"/>
                    <w:widowControl/>
                    <w:shd w:val="clear" w:color="auto" w:fill="FFFFFF"/>
                    <w:spacing w:line="240" w:lineRule="auto"/>
                    <w:ind w:firstLine="0" w:firstLineChars="0"/>
                    <w:jc w:val="left"/>
                    <w:rPr>
                      <w:rFonts w:eastAsia="宋体"/>
                      <w:sz w:val="18"/>
                      <w:szCs w:val="18"/>
                    </w:rPr>
                  </w:pPr>
                  <w:r>
                    <w:rPr>
                      <w:rFonts w:eastAsia="宋体"/>
                      <w:sz w:val="18"/>
                      <w:szCs w:val="18"/>
                    </w:rPr>
                    <w:t>限制开发建设活动的要求</w:t>
                  </w:r>
                </w:p>
                <w:p w14:paraId="349321BF">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允许开发建设活动的要求</w:t>
                  </w:r>
                </w:p>
                <w:p w14:paraId="730CABC6">
                  <w:pPr>
                    <w:pStyle w:val="113"/>
                    <w:widowControl/>
                    <w:shd w:val="clear" w:color="auto" w:fill="FFFFFF"/>
                    <w:spacing w:line="240" w:lineRule="auto"/>
                    <w:ind w:firstLine="0" w:firstLineChars="0"/>
                    <w:jc w:val="left"/>
                    <w:rPr>
                      <w:rFonts w:eastAsia="宋体"/>
                      <w:sz w:val="18"/>
                      <w:szCs w:val="18"/>
                    </w:rPr>
                  </w:pPr>
                  <w:r>
                    <w:rPr>
                      <w:rFonts w:eastAsia="宋体"/>
                      <w:sz w:val="18"/>
                      <w:szCs w:val="18"/>
                    </w:rPr>
                    <w:t>不符合空间布局要求活动的退出要求</w:t>
                  </w:r>
                </w:p>
                <w:p w14:paraId="727B349B">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其他空间布局约束要求</w:t>
                  </w:r>
                </w:p>
              </w:tc>
              <w:tc>
                <w:tcPr>
                  <w:tcW w:w="1390" w:type="dxa"/>
                  <w:vAlign w:val="center"/>
                </w:tcPr>
                <w:p w14:paraId="47E16679">
                  <w:pPr>
                    <w:adjustRightInd w:val="0"/>
                    <w:snapToGrid w:val="0"/>
                    <w:jc w:val="center"/>
                    <w:rPr>
                      <w:bCs/>
                      <w:sz w:val="18"/>
                      <w:szCs w:val="18"/>
                    </w:rPr>
                  </w:pPr>
                  <w:r>
                    <w:rPr>
                      <w:bCs/>
                      <w:sz w:val="18"/>
                      <w:szCs w:val="18"/>
                    </w:rPr>
                    <w:t>本项目</w:t>
                  </w:r>
                  <w:r>
                    <w:rPr>
                      <w:rFonts w:hint="eastAsia"/>
                      <w:bCs/>
                      <w:sz w:val="18"/>
                      <w:szCs w:val="18"/>
                    </w:rPr>
                    <w:t>不属于</w:t>
                  </w:r>
                  <w:r>
                    <w:rPr>
                      <w:bCs/>
                      <w:sz w:val="18"/>
                      <w:szCs w:val="18"/>
                    </w:rPr>
                    <w:t>禁止</w:t>
                  </w:r>
                  <w:r>
                    <w:rPr>
                      <w:rFonts w:hint="eastAsia"/>
                      <w:bCs/>
                      <w:sz w:val="18"/>
                      <w:szCs w:val="18"/>
                    </w:rPr>
                    <w:t>和限制</w:t>
                  </w:r>
                  <w:r>
                    <w:rPr>
                      <w:bCs/>
                      <w:sz w:val="18"/>
                      <w:szCs w:val="18"/>
                    </w:rPr>
                    <w:t>开发建设活动</w:t>
                  </w:r>
                  <w:r>
                    <w:rPr>
                      <w:rFonts w:hint="eastAsia"/>
                      <w:bCs/>
                      <w:sz w:val="18"/>
                      <w:szCs w:val="18"/>
                    </w:rPr>
                    <w:t>，符合</w:t>
                  </w:r>
                  <w:r>
                    <w:rPr>
                      <w:sz w:val="18"/>
                      <w:szCs w:val="18"/>
                    </w:rPr>
                    <w:t>空间布局要求</w:t>
                  </w:r>
                  <w:r>
                    <w:rPr>
                      <w:kern w:val="0"/>
                      <w:sz w:val="18"/>
                      <w:szCs w:val="18"/>
                    </w:rPr>
                    <w:t>。</w:t>
                  </w:r>
                </w:p>
              </w:tc>
              <w:tc>
                <w:tcPr>
                  <w:tcW w:w="637" w:type="dxa"/>
                  <w:vAlign w:val="center"/>
                </w:tcPr>
                <w:p w14:paraId="6A7A0147">
                  <w:pPr>
                    <w:adjustRightInd w:val="0"/>
                    <w:snapToGrid w:val="0"/>
                    <w:jc w:val="center"/>
                    <w:rPr>
                      <w:bCs/>
                      <w:sz w:val="18"/>
                      <w:szCs w:val="18"/>
                    </w:rPr>
                  </w:pPr>
                  <w:r>
                    <w:rPr>
                      <w:bCs/>
                      <w:sz w:val="18"/>
                      <w:szCs w:val="18"/>
                    </w:rPr>
                    <w:t>符合</w:t>
                  </w:r>
                </w:p>
              </w:tc>
            </w:tr>
            <w:tr w14:paraId="6909C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0F505226">
                  <w:pPr>
                    <w:widowControl/>
                    <w:jc w:val="center"/>
                    <w:rPr>
                      <w:bCs/>
                      <w:sz w:val="18"/>
                      <w:szCs w:val="18"/>
                    </w:rPr>
                  </w:pPr>
                </w:p>
              </w:tc>
              <w:tc>
                <w:tcPr>
                  <w:tcW w:w="236" w:type="dxa"/>
                  <w:vMerge w:val="continue"/>
                  <w:vAlign w:val="center"/>
                </w:tcPr>
                <w:p w14:paraId="76CDBE8D">
                  <w:pPr>
                    <w:widowControl/>
                    <w:jc w:val="left"/>
                    <w:rPr>
                      <w:bCs/>
                      <w:sz w:val="18"/>
                      <w:szCs w:val="18"/>
                    </w:rPr>
                  </w:pPr>
                </w:p>
              </w:tc>
              <w:tc>
                <w:tcPr>
                  <w:tcW w:w="790" w:type="dxa"/>
                  <w:vAlign w:val="center"/>
                </w:tcPr>
                <w:p w14:paraId="5E01E5B0">
                  <w:pPr>
                    <w:pStyle w:val="113"/>
                    <w:spacing w:line="240" w:lineRule="auto"/>
                    <w:ind w:firstLine="0" w:firstLineChars="0"/>
                    <w:jc w:val="center"/>
                    <w:rPr>
                      <w:rFonts w:eastAsia="宋体"/>
                      <w:bCs/>
                      <w:sz w:val="18"/>
                      <w:szCs w:val="18"/>
                    </w:rPr>
                  </w:pPr>
                  <w:r>
                    <w:rPr>
                      <w:rFonts w:eastAsia="宋体"/>
                      <w:bCs/>
                      <w:sz w:val="18"/>
                      <w:szCs w:val="18"/>
                    </w:rPr>
                    <w:t>污染物排放管控</w:t>
                  </w:r>
                </w:p>
              </w:tc>
              <w:tc>
                <w:tcPr>
                  <w:tcW w:w="9242" w:type="dxa"/>
                  <w:vAlign w:val="center"/>
                </w:tcPr>
                <w:p w14:paraId="69A58352">
                  <w:pPr>
                    <w:adjustRightInd w:val="0"/>
                    <w:snapToGrid w:val="0"/>
                    <w:jc w:val="left"/>
                    <w:rPr>
                      <w:bCs/>
                      <w:sz w:val="18"/>
                      <w:szCs w:val="18"/>
                    </w:rPr>
                  </w:pPr>
                  <w:r>
                    <w:rPr>
                      <w:bCs/>
                      <w:sz w:val="18"/>
                      <w:szCs w:val="18"/>
                    </w:rPr>
                    <w:t>城镇污水污染控制措施要求</w:t>
                  </w:r>
                </w:p>
                <w:p w14:paraId="1D46277C">
                  <w:pPr>
                    <w:adjustRightInd w:val="0"/>
                    <w:snapToGrid w:val="0"/>
                    <w:jc w:val="left"/>
                    <w:rPr>
                      <w:bCs/>
                      <w:sz w:val="18"/>
                      <w:szCs w:val="18"/>
                    </w:rPr>
                  </w:pPr>
                  <w:r>
                    <w:rPr>
                      <w:bCs/>
                      <w:sz w:val="18"/>
                      <w:szCs w:val="18"/>
                    </w:rPr>
                    <w:t>1、推进流域聚居点生活污水处理设施建设。2、保障乡镇污水收集处理设施顺畅运行。3、推进污水直排口排查与整治，落实“一口一策”整改措施。</w:t>
                  </w:r>
                </w:p>
                <w:p w14:paraId="18C87A86">
                  <w:pPr>
                    <w:adjustRightInd w:val="0"/>
                    <w:snapToGrid w:val="0"/>
                    <w:jc w:val="left"/>
                    <w:rPr>
                      <w:bCs/>
                      <w:sz w:val="18"/>
                      <w:szCs w:val="18"/>
                    </w:rPr>
                  </w:pPr>
                  <w:r>
                    <w:rPr>
                      <w:bCs/>
                      <w:sz w:val="18"/>
                      <w:szCs w:val="18"/>
                    </w:rPr>
                    <w:t>工业废水污染控制措施要求</w:t>
                  </w:r>
                </w:p>
                <w:p w14:paraId="1F4854C2">
                  <w:pPr>
                    <w:adjustRightInd w:val="0"/>
                    <w:snapToGrid w:val="0"/>
                    <w:jc w:val="left"/>
                    <w:rPr>
                      <w:bCs/>
                      <w:sz w:val="18"/>
                      <w:szCs w:val="18"/>
                    </w:rPr>
                  </w:pPr>
                  <w:r>
                    <w:rPr>
                      <w:bCs/>
                      <w:sz w:val="18"/>
                      <w:szCs w:val="18"/>
                    </w:rPr>
                    <w:t>1、落实主要污染物排放总量指标控制要求，加强入河排污口登记、审批和监督管理。2、强化流域内工业点源、规模化畜禽养殖场运行监管，避免偷排、漏排。</w:t>
                  </w:r>
                </w:p>
                <w:p w14:paraId="6F1F7761">
                  <w:pPr>
                    <w:adjustRightInd w:val="0"/>
                    <w:snapToGrid w:val="0"/>
                    <w:jc w:val="left"/>
                    <w:rPr>
                      <w:bCs/>
                      <w:sz w:val="18"/>
                      <w:szCs w:val="18"/>
                    </w:rPr>
                  </w:pPr>
                  <w:r>
                    <w:rPr>
                      <w:bCs/>
                      <w:sz w:val="18"/>
                      <w:szCs w:val="18"/>
                    </w:rPr>
                    <w:t>农业面源水污染控制措施要求</w:t>
                  </w:r>
                </w:p>
                <w:p w14:paraId="575EB980">
                  <w:pPr>
                    <w:adjustRightInd w:val="0"/>
                    <w:snapToGrid w:val="0"/>
                    <w:jc w:val="left"/>
                    <w:rPr>
                      <w:bCs/>
                      <w:sz w:val="18"/>
                      <w:szCs w:val="18"/>
                    </w:rPr>
                  </w:pPr>
                  <w:r>
                    <w:rPr>
                      <w:bCs/>
                      <w:sz w:val="18"/>
                      <w:szCs w:val="18"/>
                    </w:rPr>
                    <w:t>1、推进农村污染治理。稳步农村污水处理设施建设，适当预留发展空间，宜集中则集中，宜分散则分散；农村生活污水处理设施排水执行《农村生活污水处理设施水污染物排放标准》（DB 51 2626-2019）要求；大力推进农村生活垃圾就地分类减量和资源化利用，因地制宜选择农村生活垃圾治理模式；严格做好“农家乐”、种植采摘园等范围内的生活及农产品产生污水及垃圾治理。2、大力推进水产生态健康养殖，加强渔业生产过程中抗菌药物使用管控；强化水产养殖污染治理，水产养殖废水应处理达到《四川省水产养殖业水污染物排放标准》后排放；实施池塘标准化改造，完善循环水和进排水处理设施，推进养殖尾水节水减排。到2025年，水产健康养殖示范比重达到68%以上。3、推进畜禽粪污分类处置，根据排放去向或利用方式的不同执行相应的标准规范；不断提高畜禽养殖粪污资源化利用率及利用水平；设有污水排放口的规模化畜禽养殖场应当依法申领排污许可证。到2025年，畜禽粪污综合利用率达到80%以上，规模以上养殖场粪污处理设施装备配套率保持100%。到2035年，畜禽粪污基本实现资源化利用，综合利用率达到95%以上。4、深入推进化肥减量增效，鼓励以循环利用与生态净化相结合的方式控制种植业污染，农企合作推进测土配方施肥；逐步推进农田径流拦截及治理。5、按照《四川省推进农村黑臭水体治理工作方案（2021</w:t>
                  </w:r>
                  <w:r>
                    <w:rPr>
                      <w:rFonts w:hint="eastAsia"/>
                      <w:bCs/>
                      <w:sz w:val="18"/>
                      <w:szCs w:val="18"/>
                    </w:rPr>
                    <w:t>—</w:t>
                  </w:r>
                  <w:r>
                    <w:rPr>
                      <w:bCs/>
                      <w:sz w:val="18"/>
                      <w:szCs w:val="18"/>
                    </w:rPr>
                    <w:t>2025年）》要求，持续开展农村黑臭水体排查，实现农村黑臭水体“动态”清零。</w:t>
                  </w:r>
                </w:p>
                <w:p w14:paraId="12BBB916">
                  <w:pPr>
                    <w:adjustRightInd w:val="0"/>
                    <w:snapToGrid w:val="0"/>
                    <w:jc w:val="left"/>
                    <w:rPr>
                      <w:bCs/>
                      <w:sz w:val="18"/>
                      <w:szCs w:val="18"/>
                    </w:rPr>
                  </w:pPr>
                  <w:r>
                    <w:rPr>
                      <w:bCs/>
                      <w:sz w:val="18"/>
                      <w:szCs w:val="18"/>
                    </w:rPr>
                    <w:t>船舶港口水污染控制措施要求</w:t>
                  </w:r>
                </w:p>
                <w:p w14:paraId="1FA13A66">
                  <w:pPr>
                    <w:adjustRightInd w:val="0"/>
                    <w:snapToGrid w:val="0"/>
                    <w:jc w:val="left"/>
                    <w:rPr>
                      <w:bCs/>
                      <w:sz w:val="18"/>
                      <w:szCs w:val="18"/>
                    </w:rPr>
                  </w:pPr>
                </w:p>
                <w:p w14:paraId="73D0986C">
                  <w:pPr>
                    <w:adjustRightInd w:val="0"/>
                    <w:snapToGrid w:val="0"/>
                    <w:jc w:val="left"/>
                    <w:rPr>
                      <w:bCs/>
                      <w:sz w:val="18"/>
                      <w:szCs w:val="18"/>
                    </w:rPr>
                  </w:pPr>
                  <w:r>
                    <w:rPr>
                      <w:bCs/>
                      <w:sz w:val="18"/>
                      <w:szCs w:val="18"/>
                    </w:rPr>
                    <w:t>饮用水水源和其它特殊水体保护要求</w:t>
                  </w:r>
                </w:p>
              </w:tc>
              <w:tc>
                <w:tcPr>
                  <w:tcW w:w="1390" w:type="dxa"/>
                  <w:vAlign w:val="center"/>
                </w:tcPr>
                <w:p w14:paraId="7DC92364">
                  <w:pPr>
                    <w:adjustRightInd w:val="0"/>
                    <w:snapToGrid w:val="0"/>
                    <w:jc w:val="center"/>
                    <w:rPr>
                      <w:bCs/>
                      <w:sz w:val="18"/>
                      <w:szCs w:val="18"/>
                    </w:rPr>
                  </w:pPr>
                  <w:r>
                    <w:rPr>
                      <w:bCs/>
                      <w:sz w:val="18"/>
                      <w:szCs w:val="18"/>
                    </w:rPr>
                    <w:t>本项目为</w:t>
                  </w:r>
                  <w:r>
                    <w:rPr>
                      <w:rFonts w:hint="eastAsia"/>
                      <w:bCs/>
                      <w:sz w:val="18"/>
                      <w:szCs w:val="18"/>
                    </w:rPr>
                    <w:t>城市</w:t>
                  </w:r>
                  <w:r>
                    <w:rPr>
                      <w:bCs/>
                      <w:sz w:val="18"/>
                      <w:szCs w:val="18"/>
                    </w:rPr>
                    <w:t>道路建设项目</w:t>
                  </w:r>
                  <w:r>
                    <w:rPr>
                      <w:rFonts w:hint="eastAsia"/>
                      <w:bCs/>
                      <w:sz w:val="18"/>
                      <w:szCs w:val="18"/>
                    </w:rPr>
                    <w:t>，不涉及水产养殖、</w:t>
                  </w:r>
                  <w:r>
                    <w:rPr>
                      <w:bCs/>
                      <w:sz w:val="18"/>
                      <w:szCs w:val="18"/>
                    </w:rPr>
                    <w:t>畜禽</w:t>
                  </w:r>
                  <w:r>
                    <w:rPr>
                      <w:rFonts w:hint="eastAsia"/>
                      <w:bCs/>
                      <w:sz w:val="18"/>
                      <w:szCs w:val="18"/>
                    </w:rPr>
                    <w:t>养殖，运营期无废水产生。</w:t>
                  </w:r>
                </w:p>
              </w:tc>
              <w:tc>
                <w:tcPr>
                  <w:tcW w:w="637" w:type="dxa"/>
                  <w:vAlign w:val="center"/>
                </w:tcPr>
                <w:p w14:paraId="48DF577B">
                  <w:pPr>
                    <w:adjustRightInd w:val="0"/>
                    <w:snapToGrid w:val="0"/>
                    <w:jc w:val="center"/>
                    <w:rPr>
                      <w:bCs/>
                      <w:sz w:val="18"/>
                      <w:szCs w:val="18"/>
                    </w:rPr>
                  </w:pPr>
                  <w:r>
                    <w:rPr>
                      <w:bCs/>
                      <w:sz w:val="18"/>
                      <w:szCs w:val="18"/>
                    </w:rPr>
                    <w:t>符合</w:t>
                  </w:r>
                </w:p>
              </w:tc>
            </w:tr>
            <w:tr w14:paraId="57871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7E8FD0BF">
                  <w:pPr>
                    <w:widowControl/>
                    <w:jc w:val="center"/>
                    <w:rPr>
                      <w:bCs/>
                      <w:sz w:val="18"/>
                      <w:szCs w:val="18"/>
                    </w:rPr>
                  </w:pPr>
                </w:p>
              </w:tc>
              <w:tc>
                <w:tcPr>
                  <w:tcW w:w="236" w:type="dxa"/>
                  <w:vMerge w:val="continue"/>
                  <w:vAlign w:val="center"/>
                </w:tcPr>
                <w:p w14:paraId="35609A0C">
                  <w:pPr>
                    <w:widowControl/>
                    <w:jc w:val="left"/>
                    <w:rPr>
                      <w:bCs/>
                      <w:sz w:val="18"/>
                      <w:szCs w:val="18"/>
                    </w:rPr>
                  </w:pPr>
                </w:p>
              </w:tc>
              <w:tc>
                <w:tcPr>
                  <w:tcW w:w="790" w:type="dxa"/>
                  <w:vAlign w:val="center"/>
                </w:tcPr>
                <w:p w14:paraId="518B6E75">
                  <w:pPr>
                    <w:pStyle w:val="113"/>
                    <w:spacing w:line="240" w:lineRule="auto"/>
                    <w:ind w:firstLine="0" w:firstLineChars="0"/>
                    <w:jc w:val="center"/>
                    <w:rPr>
                      <w:rFonts w:eastAsia="宋体"/>
                      <w:bCs/>
                      <w:sz w:val="18"/>
                      <w:szCs w:val="18"/>
                    </w:rPr>
                  </w:pPr>
                  <w:r>
                    <w:rPr>
                      <w:rFonts w:eastAsia="宋体"/>
                      <w:bCs/>
                      <w:sz w:val="18"/>
                      <w:szCs w:val="18"/>
                    </w:rPr>
                    <w:t>环境风险防控</w:t>
                  </w:r>
                </w:p>
              </w:tc>
              <w:tc>
                <w:tcPr>
                  <w:tcW w:w="9242" w:type="dxa"/>
                  <w:vAlign w:val="center"/>
                </w:tcPr>
                <w:p w14:paraId="621D4986">
                  <w:pPr>
                    <w:adjustRightInd w:val="0"/>
                    <w:snapToGrid w:val="0"/>
                    <w:jc w:val="left"/>
                    <w:rPr>
                      <w:bCs/>
                      <w:sz w:val="18"/>
                      <w:szCs w:val="18"/>
                    </w:rPr>
                  </w:pPr>
                  <w:r>
                    <w:rPr>
                      <w:bCs/>
                      <w:sz w:val="18"/>
                      <w:szCs w:val="18"/>
                    </w:rPr>
                    <w:t>/</w:t>
                  </w:r>
                </w:p>
              </w:tc>
              <w:tc>
                <w:tcPr>
                  <w:tcW w:w="1390" w:type="dxa"/>
                  <w:vAlign w:val="center"/>
                </w:tcPr>
                <w:p w14:paraId="5CD2539E">
                  <w:pPr>
                    <w:adjustRightInd w:val="0"/>
                    <w:snapToGrid w:val="0"/>
                    <w:jc w:val="center"/>
                    <w:rPr>
                      <w:bCs/>
                      <w:sz w:val="18"/>
                      <w:szCs w:val="18"/>
                    </w:rPr>
                  </w:pPr>
                  <w:r>
                    <w:rPr>
                      <w:bCs/>
                      <w:sz w:val="18"/>
                      <w:szCs w:val="18"/>
                    </w:rPr>
                    <w:t>/</w:t>
                  </w:r>
                </w:p>
              </w:tc>
              <w:tc>
                <w:tcPr>
                  <w:tcW w:w="637" w:type="dxa"/>
                  <w:vAlign w:val="center"/>
                </w:tcPr>
                <w:p w14:paraId="1FC7E45E">
                  <w:pPr>
                    <w:adjustRightInd w:val="0"/>
                    <w:snapToGrid w:val="0"/>
                    <w:jc w:val="center"/>
                    <w:rPr>
                      <w:bCs/>
                      <w:sz w:val="18"/>
                      <w:szCs w:val="18"/>
                    </w:rPr>
                  </w:pPr>
                  <w:r>
                    <w:rPr>
                      <w:bCs/>
                      <w:sz w:val="18"/>
                      <w:szCs w:val="18"/>
                    </w:rPr>
                    <w:t>/</w:t>
                  </w:r>
                </w:p>
              </w:tc>
            </w:tr>
            <w:tr w14:paraId="70A99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41EA30EA">
                  <w:pPr>
                    <w:widowControl/>
                    <w:jc w:val="center"/>
                    <w:rPr>
                      <w:bCs/>
                      <w:sz w:val="18"/>
                      <w:szCs w:val="18"/>
                    </w:rPr>
                  </w:pPr>
                </w:p>
              </w:tc>
              <w:tc>
                <w:tcPr>
                  <w:tcW w:w="236" w:type="dxa"/>
                  <w:vMerge w:val="continue"/>
                  <w:vAlign w:val="center"/>
                </w:tcPr>
                <w:p w14:paraId="3AE054D2">
                  <w:pPr>
                    <w:widowControl/>
                    <w:jc w:val="left"/>
                    <w:rPr>
                      <w:bCs/>
                      <w:sz w:val="18"/>
                      <w:szCs w:val="18"/>
                    </w:rPr>
                  </w:pPr>
                </w:p>
              </w:tc>
              <w:tc>
                <w:tcPr>
                  <w:tcW w:w="790" w:type="dxa"/>
                  <w:vAlign w:val="center"/>
                </w:tcPr>
                <w:p w14:paraId="65BE9F10">
                  <w:pPr>
                    <w:pStyle w:val="113"/>
                    <w:spacing w:line="240" w:lineRule="auto"/>
                    <w:ind w:firstLine="0" w:firstLineChars="0"/>
                    <w:jc w:val="center"/>
                    <w:rPr>
                      <w:rFonts w:eastAsia="宋体"/>
                      <w:bCs/>
                      <w:sz w:val="18"/>
                      <w:szCs w:val="18"/>
                    </w:rPr>
                  </w:pPr>
                  <w:r>
                    <w:rPr>
                      <w:rFonts w:eastAsia="宋体"/>
                      <w:bCs/>
                      <w:sz w:val="18"/>
                      <w:szCs w:val="18"/>
                    </w:rPr>
                    <w:t>资源开发效率要求</w:t>
                  </w:r>
                </w:p>
              </w:tc>
              <w:tc>
                <w:tcPr>
                  <w:tcW w:w="9242" w:type="dxa"/>
                  <w:vAlign w:val="center"/>
                </w:tcPr>
                <w:p w14:paraId="37073DF0">
                  <w:pPr>
                    <w:adjustRightInd w:val="0"/>
                    <w:snapToGrid w:val="0"/>
                    <w:jc w:val="left"/>
                    <w:rPr>
                      <w:bCs/>
                      <w:sz w:val="18"/>
                      <w:szCs w:val="18"/>
                    </w:rPr>
                  </w:pPr>
                  <w:r>
                    <w:rPr>
                      <w:bCs/>
                      <w:sz w:val="18"/>
                      <w:szCs w:val="18"/>
                    </w:rPr>
                    <w:t>落实生态流量保障，强化流域内水库、水电站下泄生态流量监管。强化种植业节水；推进农村污水分质资源化利用。</w:t>
                  </w:r>
                </w:p>
              </w:tc>
              <w:tc>
                <w:tcPr>
                  <w:tcW w:w="1390" w:type="dxa"/>
                  <w:vAlign w:val="center"/>
                </w:tcPr>
                <w:p w14:paraId="3EC5A270">
                  <w:pPr>
                    <w:adjustRightInd w:val="0"/>
                    <w:snapToGrid w:val="0"/>
                    <w:jc w:val="center"/>
                    <w:rPr>
                      <w:bCs/>
                      <w:sz w:val="18"/>
                      <w:szCs w:val="18"/>
                    </w:rPr>
                  </w:pPr>
                  <w:r>
                    <w:rPr>
                      <w:bCs/>
                      <w:sz w:val="18"/>
                      <w:szCs w:val="18"/>
                    </w:rPr>
                    <w:t>本项目为</w:t>
                  </w:r>
                  <w:r>
                    <w:rPr>
                      <w:rFonts w:hint="eastAsia"/>
                      <w:bCs/>
                      <w:sz w:val="18"/>
                      <w:szCs w:val="18"/>
                    </w:rPr>
                    <w:t>城市</w:t>
                  </w:r>
                  <w:r>
                    <w:rPr>
                      <w:bCs/>
                      <w:sz w:val="18"/>
                      <w:szCs w:val="18"/>
                    </w:rPr>
                    <w:t>道路建设项目</w:t>
                  </w:r>
                  <w:r>
                    <w:rPr>
                      <w:rFonts w:hint="eastAsia"/>
                      <w:bCs/>
                      <w:sz w:val="18"/>
                      <w:szCs w:val="18"/>
                    </w:rPr>
                    <w:t>，不改变流域类水体下泄流量；</w:t>
                  </w:r>
                </w:p>
              </w:tc>
              <w:tc>
                <w:tcPr>
                  <w:tcW w:w="637" w:type="dxa"/>
                  <w:vAlign w:val="center"/>
                </w:tcPr>
                <w:p w14:paraId="152C22F9">
                  <w:pPr>
                    <w:adjustRightInd w:val="0"/>
                    <w:snapToGrid w:val="0"/>
                    <w:jc w:val="center"/>
                    <w:rPr>
                      <w:bCs/>
                      <w:sz w:val="18"/>
                      <w:szCs w:val="18"/>
                    </w:rPr>
                  </w:pPr>
                  <w:r>
                    <w:rPr>
                      <w:rFonts w:hint="eastAsia"/>
                      <w:bCs/>
                      <w:sz w:val="18"/>
                      <w:szCs w:val="18"/>
                    </w:rPr>
                    <w:t>符合</w:t>
                  </w:r>
                </w:p>
              </w:tc>
            </w:tr>
            <w:tr w14:paraId="2E51D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restart"/>
                  <w:vAlign w:val="center"/>
                </w:tcPr>
                <w:p w14:paraId="61CE5422">
                  <w:pPr>
                    <w:adjustRightInd w:val="0"/>
                    <w:snapToGrid w:val="0"/>
                    <w:jc w:val="center"/>
                    <w:rPr>
                      <w:bCs/>
                      <w:sz w:val="18"/>
                      <w:szCs w:val="18"/>
                    </w:rPr>
                  </w:pPr>
                  <w:r>
                    <w:rPr>
                      <w:rFonts w:hint="eastAsia"/>
                      <w:bCs/>
                      <w:sz w:val="18"/>
                      <w:szCs w:val="18"/>
                    </w:rPr>
                    <w:t>YS5109232340001大英县城镇集中建设区</w:t>
                  </w:r>
                </w:p>
              </w:tc>
              <w:tc>
                <w:tcPr>
                  <w:tcW w:w="236" w:type="dxa"/>
                  <w:vMerge w:val="restart"/>
                  <w:vAlign w:val="center"/>
                </w:tcPr>
                <w:p w14:paraId="53B143E2">
                  <w:pPr>
                    <w:adjustRightInd w:val="0"/>
                    <w:snapToGrid w:val="0"/>
                    <w:jc w:val="left"/>
                    <w:rPr>
                      <w:bCs/>
                      <w:sz w:val="18"/>
                      <w:szCs w:val="18"/>
                    </w:rPr>
                  </w:pPr>
                  <w:r>
                    <w:rPr>
                      <w:bCs/>
                      <w:sz w:val="18"/>
                      <w:szCs w:val="18"/>
                    </w:rPr>
                    <w:t>单元级清单</w:t>
                  </w:r>
                </w:p>
              </w:tc>
              <w:tc>
                <w:tcPr>
                  <w:tcW w:w="790" w:type="dxa"/>
                  <w:vAlign w:val="center"/>
                </w:tcPr>
                <w:p w14:paraId="1BDCF0D2">
                  <w:pPr>
                    <w:pStyle w:val="113"/>
                    <w:spacing w:line="240" w:lineRule="auto"/>
                    <w:ind w:firstLine="0" w:firstLineChars="0"/>
                    <w:jc w:val="center"/>
                    <w:rPr>
                      <w:rFonts w:eastAsia="宋体"/>
                      <w:bCs/>
                      <w:sz w:val="18"/>
                      <w:szCs w:val="18"/>
                    </w:rPr>
                  </w:pPr>
                  <w:r>
                    <w:rPr>
                      <w:rFonts w:eastAsia="宋体"/>
                      <w:bCs/>
                      <w:sz w:val="18"/>
                      <w:szCs w:val="18"/>
                    </w:rPr>
                    <w:t>空间布局约束</w:t>
                  </w:r>
                </w:p>
              </w:tc>
              <w:tc>
                <w:tcPr>
                  <w:tcW w:w="9242" w:type="dxa"/>
                  <w:vAlign w:val="center"/>
                </w:tcPr>
                <w:p w14:paraId="165D9164">
                  <w:pPr>
                    <w:pStyle w:val="113"/>
                    <w:widowControl/>
                    <w:shd w:val="clear" w:color="auto" w:fill="FFFFFF"/>
                    <w:spacing w:line="240" w:lineRule="auto"/>
                    <w:ind w:firstLine="0" w:firstLineChars="0"/>
                    <w:jc w:val="left"/>
                    <w:rPr>
                      <w:rFonts w:eastAsia="宋体"/>
                      <w:sz w:val="18"/>
                      <w:szCs w:val="18"/>
                    </w:rPr>
                  </w:pPr>
                  <w:r>
                    <w:rPr>
                      <w:rFonts w:eastAsia="宋体"/>
                      <w:sz w:val="18"/>
                      <w:szCs w:val="18"/>
                    </w:rPr>
                    <w:t>禁止开发建设活动的要求</w:t>
                  </w:r>
                </w:p>
                <w:p w14:paraId="3BEE2E61">
                  <w:pPr>
                    <w:pStyle w:val="113"/>
                    <w:widowControl/>
                    <w:shd w:val="clear" w:color="auto" w:fill="FFFFFF"/>
                    <w:spacing w:line="240" w:lineRule="auto"/>
                    <w:ind w:firstLine="0" w:firstLineChars="0"/>
                    <w:jc w:val="left"/>
                    <w:rPr>
                      <w:rFonts w:eastAsia="宋体"/>
                      <w:sz w:val="18"/>
                      <w:szCs w:val="18"/>
                    </w:rPr>
                  </w:pPr>
                  <w:r>
                    <w:rPr>
                      <w:rFonts w:eastAsia="宋体"/>
                      <w:sz w:val="18"/>
                      <w:szCs w:val="18"/>
                    </w:rPr>
                    <w:t>限制开发建设活动的要求</w:t>
                  </w:r>
                </w:p>
                <w:p w14:paraId="0275E0F4">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允许开发建设活动的要求</w:t>
                  </w:r>
                </w:p>
                <w:p w14:paraId="47364017">
                  <w:pPr>
                    <w:pStyle w:val="113"/>
                    <w:widowControl/>
                    <w:shd w:val="clear" w:color="auto" w:fill="FFFFFF"/>
                    <w:spacing w:line="240" w:lineRule="auto"/>
                    <w:ind w:firstLine="0" w:firstLineChars="0"/>
                    <w:jc w:val="left"/>
                    <w:rPr>
                      <w:rFonts w:eastAsia="宋体"/>
                      <w:sz w:val="18"/>
                      <w:szCs w:val="18"/>
                    </w:rPr>
                  </w:pPr>
                  <w:r>
                    <w:rPr>
                      <w:rFonts w:eastAsia="宋体"/>
                      <w:sz w:val="18"/>
                      <w:szCs w:val="18"/>
                    </w:rPr>
                    <w:t>不符合空间布局要求活动的退出要求</w:t>
                  </w:r>
                </w:p>
                <w:p w14:paraId="0185BA5F">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其他空间布局约束要求</w:t>
                  </w:r>
                </w:p>
              </w:tc>
              <w:tc>
                <w:tcPr>
                  <w:tcW w:w="1390" w:type="dxa"/>
                  <w:vAlign w:val="center"/>
                </w:tcPr>
                <w:p w14:paraId="354F081F">
                  <w:pPr>
                    <w:adjustRightInd w:val="0"/>
                    <w:snapToGrid w:val="0"/>
                    <w:jc w:val="center"/>
                    <w:rPr>
                      <w:bCs/>
                      <w:sz w:val="18"/>
                      <w:szCs w:val="18"/>
                    </w:rPr>
                  </w:pPr>
                  <w:r>
                    <w:rPr>
                      <w:bCs/>
                      <w:sz w:val="18"/>
                      <w:szCs w:val="18"/>
                    </w:rPr>
                    <w:t>本项目</w:t>
                  </w:r>
                  <w:r>
                    <w:rPr>
                      <w:rFonts w:hint="eastAsia"/>
                      <w:bCs/>
                      <w:sz w:val="18"/>
                      <w:szCs w:val="18"/>
                    </w:rPr>
                    <w:t>不属于</w:t>
                  </w:r>
                  <w:r>
                    <w:rPr>
                      <w:bCs/>
                      <w:sz w:val="18"/>
                      <w:szCs w:val="18"/>
                    </w:rPr>
                    <w:t>禁止</w:t>
                  </w:r>
                  <w:r>
                    <w:rPr>
                      <w:rFonts w:hint="eastAsia"/>
                      <w:bCs/>
                      <w:sz w:val="18"/>
                      <w:szCs w:val="18"/>
                    </w:rPr>
                    <w:t>和限制</w:t>
                  </w:r>
                  <w:r>
                    <w:rPr>
                      <w:bCs/>
                      <w:sz w:val="18"/>
                      <w:szCs w:val="18"/>
                    </w:rPr>
                    <w:t>开发建设活动</w:t>
                  </w:r>
                  <w:r>
                    <w:rPr>
                      <w:rFonts w:hint="eastAsia"/>
                      <w:bCs/>
                      <w:sz w:val="18"/>
                      <w:szCs w:val="18"/>
                    </w:rPr>
                    <w:t>，符合</w:t>
                  </w:r>
                  <w:r>
                    <w:rPr>
                      <w:sz w:val="18"/>
                      <w:szCs w:val="18"/>
                    </w:rPr>
                    <w:t>空间布局要求</w:t>
                  </w:r>
                  <w:r>
                    <w:rPr>
                      <w:kern w:val="0"/>
                      <w:sz w:val="18"/>
                      <w:szCs w:val="18"/>
                    </w:rPr>
                    <w:t>。</w:t>
                  </w:r>
                </w:p>
              </w:tc>
              <w:tc>
                <w:tcPr>
                  <w:tcW w:w="637" w:type="dxa"/>
                  <w:vAlign w:val="center"/>
                </w:tcPr>
                <w:p w14:paraId="30B1FC02">
                  <w:pPr>
                    <w:adjustRightInd w:val="0"/>
                    <w:snapToGrid w:val="0"/>
                    <w:jc w:val="center"/>
                    <w:rPr>
                      <w:bCs/>
                      <w:sz w:val="18"/>
                      <w:szCs w:val="18"/>
                    </w:rPr>
                  </w:pPr>
                  <w:r>
                    <w:rPr>
                      <w:bCs/>
                      <w:sz w:val="18"/>
                      <w:szCs w:val="18"/>
                    </w:rPr>
                    <w:t>符合</w:t>
                  </w:r>
                </w:p>
              </w:tc>
            </w:tr>
            <w:tr w14:paraId="7E892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5E4A664F">
                  <w:pPr>
                    <w:widowControl/>
                    <w:jc w:val="center"/>
                    <w:rPr>
                      <w:bCs/>
                      <w:sz w:val="18"/>
                      <w:szCs w:val="18"/>
                    </w:rPr>
                  </w:pPr>
                </w:p>
              </w:tc>
              <w:tc>
                <w:tcPr>
                  <w:tcW w:w="236" w:type="dxa"/>
                  <w:vMerge w:val="continue"/>
                  <w:vAlign w:val="center"/>
                </w:tcPr>
                <w:p w14:paraId="04C45EBC">
                  <w:pPr>
                    <w:widowControl/>
                    <w:jc w:val="left"/>
                    <w:rPr>
                      <w:bCs/>
                      <w:sz w:val="18"/>
                      <w:szCs w:val="18"/>
                    </w:rPr>
                  </w:pPr>
                </w:p>
              </w:tc>
              <w:tc>
                <w:tcPr>
                  <w:tcW w:w="790" w:type="dxa"/>
                  <w:vAlign w:val="center"/>
                </w:tcPr>
                <w:p w14:paraId="05430785">
                  <w:pPr>
                    <w:pStyle w:val="113"/>
                    <w:spacing w:line="240" w:lineRule="auto"/>
                    <w:ind w:firstLine="0" w:firstLineChars="0"/>
                    <w:jc w:val="center"/>
                    <w:rPr>
                      <w:rFonts w:eastAsia="宋体"/>
                      <w:bCs/>
                      <w:sz w:val="18"/>
                      <w:szCs w:val="18"/>
                    </w:rPr>
                  </w:pPr>
                  <w:r>
                    <w:rPr>
                      <w:rFonts w:eastAsia="宋体"/>
                      <w:bCs/>
                      <w:sz w:val="18"/>
                      <w:szCs w:val="18"/>
                    </w:rPr>
                    <w:t>污染物排放管控</w:t>
                  </w:r>
                </w:p>
              </w:tc>
              <w:tc>
                <w:tcPr>
                  <w:tcW w:w="9242" w:type="dxa"/>
                  <w:vAlign w:val="center"/>
                </w:tcPr>
                <w:p w14:paraId="3BA76E42">
                  <w:pPr>
                    <w:adjustRightInd w:val="0"/>
                    <w:snapToGrid w:val="0"/>
                    <w:jc w:val="left"/>
                    <w:rPr>
                      <w:bCs/>
                      <w:sz w:val="18"/>
                      <w:szCs w:val="18"/>
                    </w:rPr>
                  </w:pPr>
                  <w:r>
                    <w:rPr>
                      <w:rFonts w:hint="eastAsia"/>
                      <w:bCs/>
                      <w:sz w:val="18"/>
                      <w:szCs w:val="18"/>
                    </w:rPr>
                    <w:t>大气环境质量执行标准</w:t>
                  </w:r>
                </w:p>
                <w:p w14:paraId="7CEFC050">
                  <w:pPr>
                    <w:adjustRightInd w:val="0"/>
                    <w:snapToGrid w:val="0"/>
                    <w:jc w:val="left"/>
                    <w:rPr>
                      <w:bCs/>
                      <w:sz w:val="18"/>
                      <w:szCs w:val="18"/>
                    </w:rPr>
                  </w:pPr>
                  <w:r>
                    <w:rPr>
                      <w:rFonts w:hint="eastAsia"/>
                      <w:bCs/>
                      <w:sz w:val="18"/>
                      <w:szCs w:val="18"/>
                    </w:rPr>
                    <w:t>《环境空气质量标准》（GB3095-2012）：二级</w:t>
                  </w:r>
                </w:p>
                <w:p w14:paraId="321777F8">
                  <w:pPr>
                    <w:adjustRightInd w:val="0"/>
                    <w:snapToGrid w:val="0"/>
                    <w:jc w:val="left"/>
                    <w:rPr>
                      <w:bCs/>
                      <w:sz w:val="18"/>
                      <w:szCs w:val="18"/>
                    </w:rPr>
                  </w:pPr>
                  <w:r>
                    <w:rPr>
                      <w:rFonts w:hint="eastAsia"/>
                      <w:bCs/>
                      <w:sz w:val="18"/>
                      <w:szCs w:val="18"/>
                    </w:rPr>
                    <w:t>区域大气污染物削减/替代要求</w:t>
                  </w:r>
                </w:p>
                <w:p w14:paraId="11BEC437">
                  <w:pPr>
                    <w:adjustRightInd w:val="0"/>
                    <w:snapToGrid w:val="0"/>
                    <w:jc w:val="left"/>
                    <w:rPr>
                      <w:bCs/>
                      <w:sz w:val="18"/>
                      <w:szCs w:val="18"/>
                    </w:rPr>
                  </w:pPr>
                  <w:r>
                    <w:rPr>
                      <w:bCs/>
                      <w:sz w:val="18"/>
                      <w:szCs w:val="18"/>
                    </w:rPr>
                    <w:t>/</w:t>
                  </w:r>
                </w:p>
                <w:p w14:paraId="060C3222">
                  <w:pPr>
                    <w:adjustRightInd w:val="0"/>
                    <w:snapToGrid w:val="0"/>
                    <w:jc w:val="left"/>
                    <w:rPr>
                      <w:bCs/>
                      <w:sz w:val="18"/>
                      <w:szCs w:val="18"/>
                    </w:rPr>
                  </w:pPr>
                  <w:r>
                    <w:rPr>
                      <w:rFonts w:hint="eastAsia"/>
                      <w:bCs/>
                      <w:sz w:val="18"/>
                      <w:szCs w:val="18"/>
                    </w:rPr>
                    <w:t>燃煤和其他能源大气污染控制要求</w:t>
                  </w:r>
                </w:p>
                <w:p w14:paraId="7650B7C3">
                  <w:pPr>
                    <w:adjustRightInd w:val="0"/>
                    <w:snapToGrid w:val="0"/>
                    <w:jc w:val="left"/>
                    <w:rPr>
                      <w:bCs/>
                      <w:sz w:val="18"/>
                      <w:szCs w:val="18"/>
                    </w:rPr>
                  </w:pPr>
                  <w:r>
                    <w:rPr>
                      <w:bCs/>
                      <w:sz w:val="18"/>
                      <w:szCs w:val="18"/>
                    </w:rPr>
                    <w:t>/</w:t>
                  </w:r>
                </w:p>
                <w:p w14:paraId="1B040D35">
                  <w:pPr>
                    <w:adjustRightInd w:val="0"/>
                    <w:snapToGrid w:val="0"/>
                    <w:jc w:val="left"/>
                    <w:rPr>
                      <w:bCs/>
                      <w:sz w:val="18"/>
                      <w:szCs w:val="18"/>
                    </w:rPr>
                  </w:pPr>
                  <w:r>
                    <w:rPr>
                      <w:rFonts w:hint="eastAsia"/>
                      <w:bCs/>
                      <w:sz w:val="18"/>
                      <w:szCs w:val="18"/>
                    </w:rPr>
                    <w:t>工业废气污染控制要求</w:t>
                  </w:r>
                </w:p>
                <w:p w14:paraId="2C4C406F">
                  <w:pPr>
                    <w:adjustRightInd w:val="0"/>
                    <w:snapToGrid w:val="0"/>
                    <w:jc w:val="left"/>
                    <w:rPr>
                      <w:bCs/>
                      <w:sz w:val="18"/>
                      <w:szCs w:val="18"/>
                    </w:rPr>
                  </w:pPr>
                  <w:r>
                    <w:rPr>
                      <w:bCs/>
                      <w:sz w:val="18"/>
                      <w:szCs w:val="18"/>
                    </w:rPr>
                    <w:t>/</w:t>
                  </w:r>
                </w:p>
                <w:p w14:paraId="5636FDB9">
                  <w:pPr>
                    <w:adjustRightInd w:val="0"/>
                    <w:snapToGrid w:val="0"/>
                    <w:jc w:val="left"/>
                    <w:rPr>
                      <w:bCs/>
                      <w:sz w:val="18"/>
                      <w:szCs w:val="18"/>
                    </w:rPr>
                  </w:pPr>
                  <w:r>
                    <w:rPr>
                      <w:rFonts w:hint="eastAsia"/>
                      <w:bCs/>
                      <w:sz w:val="18"/>
                      <w:szCs w:val="18"/>
                    </w:rPr>
                    <w:t>机动车船大气污染控制要求</w:t>
                  </w:r>
                </w:p>
                <w:p w14:paraId="695EA0EE">
                  <w:pPr>
                    <w:adjustRightInd w:val="0"/>
                    <w:snapToGrid w:val="0"/>
                    <w:jc w:val="left"/>
                    <w:rPr>
                      <w:bCs/>
                      <w:sz w:val="18"/>
                      <w:szCs w:val="18"/>
                    </w:rPr>
                  </w:pPr>
                  <w:r>
                    <w:rPr>
                      <w:rFonts w:hint="eastAsia"/>
                      <w:bCs/>
                      <w:sz w:val="18"/>
                      <w:szCs w:val="18"/>
                    </w:rPr>
                    <w:t>加大新能源汽车在城市公交、出租汽车、城市配送、邮政快递、机场、铁路货场、重点地区港口等领域应用，地级以上城市清洁能源汽车在公共领域使用率显著提升，设区的市城市公交车基本实现新能源化。</w:t>
                  </w:r>
                </w:p>
                <w:p w14:paraId="72CD07EB">
                  <w:pPr>
                    <w:adjustRightInd w:val="0"/>
                    <w:snapToGrid w:val="0"/>
                    <w:jc w:val="left"/>
                    <w:rPr>
                      <w:bCs/>
                      <w:sz w:val="18"/>
                      <w:szCs w:val="18"/>
                    </w:rPr>
                  </w:pPr>
                  <w:r>
                    <w:rPr>
                      <w:rFonts w:hint="eastAsia"/>
                      <w:bCs/>
                      <w:sz w:val="18"/>
                      <w:szCs w:val="18"/>
                    </w:rPr>
                    <w:t>扬尘污染控制要求</w:t>
                  </w:r>
                </w:p>
                <w:p w14:paraId="237FB442">
                  <w:pPr>
                    <w:adjustRightInd w:val="0"/>
                    <w:snapToGrid w:val="0"/>
                    <w:jc w:val="left"/>
                    <w:rPr>
                      <w:bCs/>
                      <w:sz w:val="18"/>
                      <w:szCs w:val="18"/>
                    </w:rPr>
                  </w:pPr>
                  <w:r>
                    <w:rPr>
                      <w:rFonts w:hint="eastAsia"/>
                      <w:bCs/>
                      <w:sz w:val="18"/>
                      <w:szCs w:val="18"/>
                    </w:rPr>
                    <w:t>全面落实各类施工工地扬尘防控措施，重点、重大项目工地实现视频监控、可吸入颗粒物（PM10）在线监测全覆盖。</w:t>
                  </w:r>
                </w:p>
                <w:p w14:paraId="5CFBEF8E">
                  <w:pPr>
                    <w:adjustRightInd w:val="0"/>
                    <w:snapToGrid w:val="0"/>
                    <w:jc w:val="left"/>
                    <w:rPr>
                      <w:bCs/>
                      <w:sz w:val="18"/>
                      <w:szCs w:val="18"/>
                    </w:rPr>
                  </w:pPr>
                  <w:r>
                    <w:rPr>
                      <w:rFonts w:hint="eastAsia"/>
                      <w:bCs/>
                      <w:sz w:val="18"/>
                      <w:szCs w:val="18"/>
                    </w:rPr>
                    <w:t>农业生产经营活动大气污染控制要求</w:t>
                  </w:r>
                </w:p>
                <w:p w14:paraId="53A589AC">
                  <w:pPr>
                    <w:adjustRightInd w:val="0"/>
                    <w:snapToGrid w:val="0"/>
                    <w:jc w:val="left"/>
                    <w:rPr>
                      <w:bCs/>
                      <w:sz w:val="18"/>
                      <w:szCs w:val="18"/>
                    </w:rPr>
                  </w:pPr>
                  <w:r>
                    <w:rPr>
                      <w:bCs/>
                      <w:sz w:val="18"/>
                      <w:szCs w:val="18"/>
                    </w:rPr>
                    <w:t>/</w:t>
                  </w:r>
                </w:p>
                <w:p w14:paraId="77E14E87">
                  <w:pPr>
                    <w:adjustRightInd w:val="0"/>
                    <w:snapToGrid w:val="0"/>
                    <w:jc w:val="left"/>
                    <w:rPr>
                      <w:bCs/>
                      <w:sz w:val="18"/>
                      <w:szCs w:val="18"/>
                    </w:rPr>
                  </w:pPr>
                  <w:r>
                    <w:rPr>
                      <w:rFonts w:hint="eastAsia"/>
                      <w:bCs/>
                      <w:sz w:val="18"/>
                      <w:szCs w:val="18"/>
                    </w:rPr>
                    <w:t>重点行业企业专项治理要求</w:t>
                  </w:r>
                </w:p>
                <w:p w14:paraId="738ED4C3">
                  <w:pPr>
                    <w:adjustRightInd w:val="0"/>
                    <w:snapToGrid w:val="0"/>
                    <w:jc w:val="left"/>
                    <w:rPr>
                      <w:bCs/>
                      <w:sz w:val="18"/>
                      <w:szCs w:val="18"/>
                    </w:rPr>
                  </w:pPr>
                  <w:r>
                    <w:rPr>
                      <w:bCs/>
                      <w:sz w:val="18"/>
                      <w:szCs w:val="18"/>
                    </w:rPr>
                    <w:t>/</w:t>
                  </w:r>
                </w:p>
                <w:p w14:paraId="21041CE4">
                  <w:pPr>
                    <w:adjustRightInd w:val="0"/>
                    <w:snapToGrid w:val="0"/>
                    <w:jc w:val="left"/>
                    <w:rPr>
                      <w:bCs/>
                      <w:sz w:val="18"/>
                      <w:szCs w:val="18"/>
                    </w:rPr>
                  </w:pPr>
                  <w:r>
                    <w:rPr>
                      <w:rFonts w:hint="eastAsia"/>
                      <w:bCs/>
                      <w:sz w:val="18"/>
                      <w:szCs w:val="18"/>
                    </w:rPr>
                    <w:t>其他大气污染物排放管控要求</w:t>
                  </w:r>
                </w:p>
                <w:p w14:paraId="0AC8B413">
                  <w:pPr>
                    <w:adjustRightInd w:val="0"/>
                    <w:snapToGrid w:val="0"/>
                    <w:jc w:val="left"/>
                    <w:rPr>
                      <w:bCs/>
                      <w:sz w:val="18"/>
                      <w:szCs w:val="18"/>
                    </w:rPr>
                  </w:pPr>
                  <w:r>
                    <w:rPr>
                      <w:rFonts w:hint="eastAsia"/>
                      <w:bCs/>
                      <w:sz w:val="18"/>
                      <w:szCs w:val="18"/>
                    </w:rPr>
                    <w:t>有序开展城市生活源VOCs污染防治，全面推广房屋建筑和市政工程涉VOCs工序环节使用低VOCs含量涂料和胶粘剂；推进加油站按照《四川省加油站大气污染排放标准》要求安装油气处理装置</w:t>
                  </w:r>
                </w:p>
              </w:tc>
              <w:tc>
                <w:tcPr>
                  <w:tcW w:w="1390" w:type="dxa"/>
                  <w:vAlign w:val="center"/>
                </w:tcPr>
                <w:p w14:paraId="49CCA514">
                  <w:pPr>
                    <w:adjustRightInd w:val="0"/>
                    <w:snapToGrid w:val="0"/>
                    <w:jc w:val="center"/>
                    <w:rPr>
                      <w:bCs/>
                      <w:sz w:val="18"/>
                      <w:szCs w:val="18"/>
                    </w:rPr>
                  </w:pPr>
                  <w:r>
                    <w:rPr>
                      <w:bCs/>
                      <w:sz w:val="18"/>
                      <w:szCs w:val="18"/>
                    </w:rPr>
                    <w:t>本项目为</w:t>
                  </w:r>
                  <w:r>
                    <w:rPr>
                      <w:rFonts w:hint="eastAsia"/>
                      <w:bCs/>
                      <w:sz w:val="18"/>
                      <w:szCs w:val="18"/>
                    </w:rPr>
                    <w:t>城市</w:t>
                  </w:r>
                  <w:r>
                    <w:rPr>
                      <w:bCs/>
                      <w:sz w:val="18"/>
                      <w:szCs w:val="18"/>
                    </w:rPr>
                    <w:t>道路建设项目</w:t>
                  </w:r>
                  <w:r>
                    <w:rPr>
                      <w:rFonts w:hint="eastAsia"/>
                      <w:bCs/>
                      <w:sz w:val="18"/>
                      <w:szCs w:val="18"/>
                    </w:rPr>
                    <w:t>，《环境空气质量标准》（GB3095-2012）执行二级标准；施工期施工工地扬尘防控措施，工程涉VOCs工序环节使用低VOCs含量涂料和胶粘剂；运营期无废气、废水产生。</w:t>
                  </w:r>
                </w:p>
              </w:tc>
              <w:tc>
                <w:tcPr>
                  <w:tcW w:w="637" w:type="dxa"/>
                  <w:vAlign w:val="center"/>
                </w:tcPr>
                <w:p w14:paraId="0E076803">
                  <w:pPr>
                    <w:adjustRightInd w:val="0"/>
                    <w:snapToGrid w:val="0"/>
                    <w:jc w:val="center"/>
                    <w:rPr>
                      <w:bCs/>
                      <w:sz w:val="18"/>
                      <w:szCs w:val="18"/>
                    </w:rPr>
                  </w:pPr>
                  <w:r>
                    <w:rPr>
                      <w:bCs/>
                      <w:sz w:val="18"/>
                      <w:szCs w:val="18"/>
                    </w:rPr>
                    <w:t>符合</w:t>
                  </w:r>
                </w:p>
              </w:tc>
            </w:tr>
            <w:tr w14:paraId="6F8AD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7FAD761E">
                  <w:pPr>
                    <w:widowControl/>
                    <w:jc w:val="center"/>
                    <w:rPr>
                      <w:bCs/>
                      <w:sz w:val="18"/>
                      <w:szCs w:val="18"/>
                    </w:rPr>
                  </w:pPr>
                </w:p>
              </w:tc>
              <w:tc>
                <w:tcPr>
                  <w:tcW w:w="236" w:type="dxa"/>
                  <w:vMerge w:val="continue"/>
                  <w:vAlign w:val="center"/>
                </w:tcPr>
                <w:p w14:paraId="52585BCD">
                  <w:pPr>
                    <w:widowControl/>
                    <w:jc w:val="left"/>
                    <w:rPr>
                      <w:bCs/>
                      <w:sz w:val="18"/>
                      <w:szCs w:val="18"/>
                    </w:rPr>
                  </w:pPr>
                </w:p>
              </w:tc>
              <w:tc>
                <w:tcPr>
                  <w:tcW w:w="790" w:type="dxa"/>
                  <w:vAlign w:val="center"/>
                </w:tcPr>
                <w:p w14:paraId="407C80B7">
                  <w:pPr>
                    <w:pStyle w:val="113"/>
                    <w:spacing w:line="240" w:lineRule="auto"/>
                    <w:ind w:firstLine="0" w:firstLineChars="0"/>
                    <w:jc w:val="center"/>
                    <w:rPr>
                      <w:rFonts w:eastAsia="宋体"/>
                      <w:bCs/>
                      <w:sz w:val="18"/>
                      <w:szCs w:val="18"/>
                    </w:rPr>
                  </w:pPr>
                  <w:r>
                    <w:rPr>
                      <w:rFonts w:eastAsia="宋体"/>
                      <w:bCs/>
                      <w:sz w:val="18"/>
                      <w:szCs w:val="18"/>
                    </w:rPr>
                    <w:t>环境风险防控</w:t>
                  </w:r>
                </w:p>
              </w:tc>
              <w:tc>
                <w:tcPr>
                  <w:tcW w:w="9242" w:type="dxa"/>
                  <w:vAlign w:val="center"/>
                </w:tcPr>
                <w:p w14:paraId="36D3C26E">
                  <w:pPr>
                    <w:adjustRightInd w:val="0"/>
                    <w:snapToGrid w:val="0"/>
                    <w:jc w:val="left"/>
                    <w:rPr>
                      <w:bCs/>
                      <w:sz w:val="18"/>
                      <w:szCs w:val="18"/>
                    </w:rPr>
                  </w:pPr>
                  <w:r>
                    <w:rPr>
                      <w:bCs/>
                      <w:sz w:val="18"/>
                      <w:szCs w:val="18"/>
                    </w:rPr>
                    <w:t>/</w:t>
                  </w:r>
                </w:p>
              </w:tc>
              <w:tc>
                <w:tcPr>
                  <w:tcW w:w="1390" w:type="dxa"/>
                  <w:vAlign w:val="center"/>
                </w:tcPr>
                <w:p w14:paraId="65A15921">
                  <w:pPr>
                    <w:adjustRightInd w:val="0"/>
                    <w:snapToGrid w:val="0"/>
                    <w:jc w:val="center"/>
                    <w:rPr>
                      <w:bCs/>
                      <w:sz w:val="18"/>
                      <w:szCs w:val="18"/>
                    </w:rPr>
                  </w:pPr>
                  <w:r>
                    <w:rPr>
                      <w:bCs/>
                      <w:sz w:val="18"/>
                      <w:szCs w:val="18"/>
                    </w:rPr>
                    <w:t>/</w:t>
                  </w:r>
                </w:p>
              </w:tc>
              <w:tc>
                <w:tcPr>
                  <w:tcW w:w="637" w:type="dxa"/>
                  <w:vAlign w:val="center"/>
                </w:tcPr>
                <w:p w14:paraId="4F5A1E72">
                  <w:pPr>
                    <w:adjustRightInd w:val="0"/>
                    <w:snapToGrid w:val="0"/>
                    <w:jc w:val="center"/>
                    <w:rPr>
                      <w:bCs/>
                      <w:sz w:val="18"/>
                      <w:szCs w:val="18"/>
                    </w:rPr>
                  </w:pPr>
                  <w:r>
                    <w:rPr>
                      <w:bCs/>
                      <w:sz w:val="18"/>
                      <w:szCs w:val="18"/>
                    </w:rPr>
                    <w:t>/</w:t>
                  </w:r>
                </w:p>
              </w:tc>
            </w:tr>
            <w:tr w14:paraId="319BD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3E792A74">
                  <w:pPr>
                    <w:widowControl/>
                    <w:jc w:val="center"/>
                    <w:rPr>
                      <w:bCs/>
                      <w:sz w:val="18"/>
                      <w:szCs w:val="18"/>
                    </w:rPr>
                  </w:pPr>
                </w:p>
              </w:tc>
              <w:tc>
                <w:tcPr>
                  <w:tcW w:w="236" w:type="dxa"/>
                  <w:vMerge w:val="continue"/>
                  <w:vAlign w:val="center"/>
                </w:tcPr>
                <w:p w14:paraId="03EF8BB8">
                  <w:pPr>
                    <w:widowControl/>
                    <w:jc w:val="left"/>
                    <w:rPr>
                      <w:bCs/>
                      <w:sz w:val="18"/>
                      <w:szCs w:val="18"/>
                    </w:rPr>
                  </w:pPr>
                </w:p>
              </w:tc>
              <w:tc>
                <w:tcPr>
                  <w:tcW w:w="790" w:type="dxa"/>
                  <w:vAlign w:val="center"/>
                </w:tcPr>
                <w:p w14:paraId="6B440AB3">
                  <w:pPr>
                    <w:pStyle w:val="113"/>
                    <w:spacing w:line="240" w:lineRule="auto"/>
                    <w:ind w:firstLine="0" w:firstLineChars="0"/>
                    <w:jc w:val="center"/>
                    <w:rPr>
                      <w:rFonts w:eastAsia="宋体"/>
                      <w:bCs/>
                      <w:sz w:val="18"/>
                      <w:szCs w:val="18"/>
                    </w:rPr>
                  </w:pPr>
                  <w:r>
                    <w:rPr>
                      <w:rFonts w:eastAsia="宋体"/>
                      <w:bCs/>
                      <w:sz w:val="18"/>
                      <w:szCs w:val="18"/>
                    </w:rPr>
                    <w:t>资源开发效率要求</w:t>
                  </w:r>
                </w:p>
              </w:tc>
              <w:tc>
                <w:tcPr>
                  <w:tcW w:w="9242" w:type="dxa"/>
                  <w:vAlign w:val="center"/>
                </w:tcPr>
                <w:p w14:paraId="7B78F369">
                  <w:pPr>
                    <w:adjustRightInd w:val="0"/>
                    <w:snapToGrid w:val="0"/>
                    <w:jc w:val="left"/>
                    <w:rPr>
                      <w:bCs/>
                      <w:sz w:val="18"/>
                      <w:szCs w:val="18"/>
                    </w:rPr>
                  </w:pPr>
                  <w:r>
                    <w:rPr>
                      <w:rFonts w:hint="eastAsia"/>
                      <w:bCs/>
                      <w:sz w:val="18"/>
                      <w:szCs w:val="18"/>
                    </w:rPr>
                    <w:t>/</w:t>
                  </w:r>
                </w:p>
              </w:tc>
              <w:tc>
                <w:tcPr>
                  <w:tcW w:w="1390" w:type="dxa"/>
                  <w:vAlign w:val="center"/>
                </w:tcPr>
                <w:p w14:paraId="5228F1CF">
                  <w:pPr>
                    <w:adjustRightInd w:val="0"/>
                    <w:snapToGrid w:val="0"/>
                    <w:jc w:val="center"/>
                    <w:rPr>
                      <w:bCs/>
                      <w:sz w:val="18"/>
                      <w:szCs w:val="18"/>
                    </w:rPr>
                  </w:pPr>
                  <w:r>
                    <w:rPr>
                      <w:rFonts w:hint="eastAsia"/>
                      <w:bCs/>
                      <w:sz w:val="18"/>
                      <w:szCs w:val="18"/>
                    </w:rPr>
                    <w:t>/</w:t>
                  </w:r>
                </w:p>
              </w:tc>
              <w:tc>
                <w:tcPr>
                  <w:tcW w:w="637" w:type="dxa"/>
                  <w:vAlign w:val="center"/>
                </w:tcPr>
                <w:p w14:paraId="19158243">
                  <w:pPr>
                    <w:adjustRightInd w:val="0"/>
                    <w:snapToGrid w:val="0"/>
                    <w:jc w:val="center"/>
                    <w:rPr>
                      <w:bCs/>
                      <w:sz w:val="18"/>
                      <w:szCs w:val="18"/>
                    </w:rPr>
                  </w:pPr>
                  <w:r>
                    <w:rPr>
                      <w:bCs/>
                      <w:sz w:val="18"/>
                      <w:szCs w:val="18"/>
                    </w:rPr>
                    <w:t>/</w:t>
                  </w:r>
                </w:p>
              </w:tc>
            </w:tr>
            <w:tr w14:paraId="6F483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restart"/>
                  <w:vAlign w:val="center"/>
                </w:tcPr>
                <w:p w14:paraId="0E7F5891">
                  <w:pPr>
                    <w:adjustRightInd w:val="0"/>
                    <w:snapToGrid w:val="0"/>
                    <w:jc w:val="center"/>
                    <w:rPr>
                      <w:bCs/>
                      <w:sz w:val="18"/>
                      <w:szCs w:val="18"/>
                    </w:rPr>
                  </w:pPr>
                  <w:r>
                    <w:rPr>
                      <w:rFonts w:hint="eastAsia"/>
                      <w:bCs/>
                      <w:sz w:val="18"/>
                      <w:szCs w:val="18"/>
                    </w:rPr>
                    <w:t>YS5109232530001大英县城镇开发边界</w:t>
                  </w:r>
                </w:p>
              </w:tc>
              <w:tc>
                <w:tcPr>
                  <w:tcW w:w="236" w:type="dxa"/>
                  <w:vMerge w:val="restart"/>
                  <w:vAlign w:val="center"/>
                </w:tcPr>
                <w:p w14:paraId="67BAE671">
                  <w:pPr>
                    <w:adjustRightInd w:val="0"/>
                    <w:snapToGrid w:val="0"/>
                    <w:jc w:val="left"/>
                    <w:rPr>
                      <w:bCs/>
                      <w:sz w:val="18"/>
                      <w:szCs w:val="18"/>
                    </w:rPr>
                  </w:pPr>
                  <w:r>
                    <w:rPr>
                      <w:bCs/>
                      <w:sz w:val="18"/>
                      <w:szCs w:val="18"/>
                    </w:rPr>
                    <w:t>单元级清单</w:t>
                  </w:r>
                </w:p>
              </w:tc>
              <w:tc>
                <w:tcPr>
                  <w:tcW w:w="790" w:type="dxa"/>
                  <w:vAlign w:val="center"/>
                </w:tcPr>
                <w:p w14:paraId="7C82467E">
                  <w:pPr>
                    <w:pStyle w:val="113"/>
                    <w:spacing w:line="240" w:lineRule="auto"/>
                    <w:ind w:firstLine="0" w:firstLineChars="0"/>
                    <w:jc w:val="center"/>
                    <w:rPr>
                      <w:rFonts w:eastAsia="宋体"/>
                      <w:bCs/>
                      <w:sz w:val="18"/>
                      <w:szCs w:val="18"/>
                    </w:rPr>
                  </w:pPr>
                  <w:r>
                    <w:rPr>
                      <w:rFonts w:eastAsia="宋体"/>
                      <w:bCs/>
                      <w:sz w:val="18"/>
                      <w:szCs w:val="18"/>
                    </w:rPr>
                    <w:t>空间布局约束</w:t>
                  </w:r>
                </w:p>
              </w:tc>
              <w:tc>
                <w:tcPr>
                  <w:tcW w:w="9242" w:type="dxa"/>
                  <w:vAlign w:val="center"/>
                </w:tcPr>
                <w:p w14:paraId="0372FC21">
                  <w:pPr>
                    <w:pStyle w:val="113"/>
                    <w:widowControl/>
                    <w:shd w:val="clear" w:color="auto" w:fill="FFFFFF"/>
                    <w:spacing w:line="240" w:lineRule="auto"/>
                    <w:ind w:firstLine="0" w:firstLineChars="0"/>
                    <w:jc w:val="left"/>
                    <w:rPr>
                      <w:rFonts w:eastAsia="宋体"/>
                      <w:sz w:val="18"/>
                      <w:szCs w:val="18"/>
                    </w:rPr>
                  </w:pPr>
                  <w:r>
                    <w:rPr>
                      <w:rFonts w:hint="eastAsia" w:eastAsia="宋体"/>
                      <w:sz w:val="18"/>
                      <w:szCs w:val="18"/>
                    </w:rPr>
                    <w:t>1.以城镇开发建设现状为基础，综合考虑资源承载能力、人口分布、经济布局、城乡统筹、城镇无序蔓延科学预留一定比例的留白区，为未来发展留有开发空间城镇建设和发展不得违法违规侵占河道、湖面、滩地2.城镇开发边界调整报国土空间规划原审批机关审批</w:t>
                  </w:r>
                </w:p>
              </w:tc>
              <w:tc>
                <w:tcPr>
                  <w:tcW w:w="1390" w:type="dxa"/>
                  <w:vAlign w:val="center"/>
                </w:tcPr>
                <w:p w14:paraId="7997BD62">
                  <w:pPr>
                    <w:adjustRightInd w:val="0"/>
                    <w:snapToGrid w:val="0"/>
                    <w:jc w:val="center"/>
                    <w:rPr>
                      <w:bCs/>
                      <w:sz w:val="18"/>
                      <w:szCs w:val="18"/>
                    </w:rPr>
                  </w:pPr>
                  <w:r>
                    <w:rPr>
                      <w:bCs/>
                      <w:sz w:val="18"/>
                      <w:szCs w:val="18"/>
                    </w:rPr>
                    <w:t>本项目建设符合大英县国土空间规划，建设范围位于城镇开发边界范围内，</w:t>
                  </w:r>
                  <w:r>
                    <w:rPr>
                      <w:rFonts w:hint="eastAsia"/>
                      <w:bCs/>
                      <w:sz w:val="18"/>
                      <w:szCs w:val="18"/>
                    </w:rPr>
                    <w:t>不属于</w:t>
                  </w:r>
                  <w:r>
                    <w:rPr>
                      <w:bCs/>
                      <w:sz w:val="18"/>
                      <w:szCs w:val="18"/>
                    </w:rPr>
                    <w:t>禁止</w:t>
                  </w:r>
                  <w:r>
                    <w:rPr>
                      <w:rFonts w:hint="eastAsia"/>
                      <w:bCs/>
                      <w:sz w:val="18"/>
                      <w:szCs w:val="18"/>
                    </w:rPr>
                    <w:t>和限制</w:t>
                  </w:r>
                  <w:r>
                    <w:rPr>
                      <w:bCs/>
                      <w:sz w:val="18"/>
                      <w:szCs w:val="18"/>
                    </w:rPr>
                    <w:t>开发建设活动</w:t>
                  </w:r>
                  <w:r>
                    <w:rPr>
                      <w:rFonts w:hint="eastAsia"/>
                      <w:bCs/>
                      <w:sz w:val="18"/>
                      <w:szCs w:val="18"/>
                    </w:rPr>
                    <w:t>，符合</w:t>
                  </w:r>
                  <w:r>
                    <w:rPr>
                      <w:sz w:val="18"/>
                      <w:szCs w:val="18"/>
                    </w:rPr>
                    <w:t>空间布局要求</w:t>
                  </w:r>
                  <w:r>
                    <w:rPr>
                      <w:kern w:val="0"/>
                      <w:sz w:val="18"/>
                      <w:szCs w:val="18"/>
                    </w:rPr>
                    <w:t>。</w:t>
                  </w:r>
                </w:p>
              </w:tc>
              <w:tc>
                <w:tcPr>
                  <w:tcW w:w="637" w:type="dxa"/>
                  <w:vAlign w:val="center"/>
                </w:tcPr>
                <w:p w14:paraId="06A082FB">
                  <w:pPr>
                    <w:adjustRightInd w:val="0"/>
                    <w:snapToGrid w:val="0"/>
                    <w:jc w:val="center"/>
                    <w:rPr>
                      <w:bCs/>
                      <w:sz w:val="18"/>
                      <w:szCs w:val="18"/>
                    </w:rPr>
                  </w:pPr>
                  <w:r>
                    <w:rPr>
                      <w:bCs/>
                      <w:sz w:val="18"/>
                      <w:szCs w:val="18"/>
                    </w:rPr>
                    <w:t>符合</w:t>
                  </w:r>
                </w:p>
              </w:tc>
            </w:tr>
            <w:tr w14:paraId="01832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056C3F6A">
                  <w:pPr>
                    <w:widowControl/>
                    <w:jc w:val="center"/>
                    <w:rPr>
                      <w:bCs/>
                      <w:sz w:val="18"/>
                      <w:szCs w:val="18"/>
                    </w:rPr>
                  </w:pPr>
                </w:p>
              </w:tc>
              <w:tc>
                <w:tcPr>
                  <w:tcW w:w="236" w:type="dxa"/>
                  <w:vMerge w:val="continue"/>
                  <w:vAlign w:val="center"/>
                </w:tcPr>
                <w:p w14:paraId="69822CFD">
                  <w:pPr>
                    <w:widowControl/>
                    <w:jc w:val="left"/>
                    <w:rPr>
                      <w:bCs/>
                      <w:sz w:val="18"/>
                      <w:szCs w:val="18"/>
                    </w:rPr>
                  </w:pPr>
                </w:p>
              </w:tc>
              <w:tc>
                <w:tcPr>
                  <w:tcW w:w="790" w:type="dxa"/>
                  <w:vAlign w:val="center"/>
                </w:tcPr>
                <w:p w14:paraId="2882474B">
                  <w:pPr>
                    <w:pStyle w:val="113"/>
                    <w:spacing w:line="240" w:lineRule="auto"/>
                    <w:ind w:firstLine="0" w:firstLineChars="0"/>
                    <w:jc w:val="center"/>
                    <w:rPr>
                      <w:rFonts w:eastAsia="宋体"/>
                      <w:bCs/>
                      <w:sz w:val="18"/>
                      <w:szCs w:val="18"/>
                    </w:rPr>
                  </w:pPr>
                  <w:r>
                    <w:rPr>
                      <w:rFonts w:eastAsia="宋体"/>
                      <w:bCs/>
                      <w:sz w:val="18"/>
                      <w:szCs w:val="18"/>
                    </w:rPr>
                    <w:t>污染物排放管控</w:t>
                  </w:r>
                </w:p>
              </w:tc>
              <w:tc>
                <w:tcPr>
                  <w:tcW w:w="9242" w:type="dxa"/>
                  <w:vAlign w:val="center"/>
                </w:tcPr>
                <w:p w14:paraId="33AB78D3">
                  <w:pPr>
                    <w:adjustRightInd w:val="0"/>
                    <w:snapToGrid w:val="0"/>
                    <w:jc w:val="left"/>
                    <w:rPr>
                      <w:bCs/>
                      <w:sz w:val="18"/>
                      <w:szCs w:val="18"/>
                    </w:rPr>
                  </w:pPr>
                  <w:r>
                    <w:rPr>
                      <w:rFonts w:hint="eastAsia" w:ascii="宋体" w:hAnsi="宋体"/>
                      <w:szCs w:val="21"/>
                    </w:rPr>
                    <w:t>/</w:t>
                  </w:r>
                </w:p>
              </w:tc>
              <w:tc>
                <w:tcPr>
                  <w:tcW w:w="1390" w:type="dxa"/>
                  <w:vAlign w:val="center"/>
                </w:tcPr>
                <w:p w14:paraId="41C8AE72">
                  <w:pPr>
                    <w:adjustRightInd w:val="0"/>
                    <w:snapToGrid w:val="0"/>
                    <w:jc w:val="center"/>
                    <w:rPr>
                      <w:bCs/>
                      <w:sz w:val="18"/>
                      <w:szCs w:val="18"/>
                    </w:rPr>
                  </w:pPr>
                  <w:r>
                    <w:rPr>
                      <w:rFonts w:hint="eastAsia" w:ascii="宋体" w:hAnsi="宋体"/>
                      <w:szCs w:val="21"/>
                    </w:rPr>
                    <w:t>/</w:t>
                  </w:r>
                </w:p>
              </w:tc>
              <w:tc>
                <w:tcPr>
                  <w:tcW w:w="637" w:type="dxa"/>
                  <w:vAlign w:val="center"/>
                </w:tcPr>
                <w:p w14:paraId="57434AEE">
                  <w:pPr>
                    <w:adjustRightInd w:val="0"/>
                    <w:snapToGrid w:val="0"/>
                    <w:jc w:val="center"/>
                    <w:rPr>
                      <w:bCs/>
                      <w:sz w:val="18"/>
                      <w:szCs w:val="18"/>
                    </w:rPr>
                  </w:pPr>
                  <w:r>
                    <w:rPr>
                      <w:bCs/>
                      <w:sz w:val="18"/>
                      <w:szCs w:val="18"/>
                    </w:rPr>
                    <w:t>/</w:t>
                  </w:r>
                </w:p>
              </w:tc>
            </w:tr>
            <w:tr w14:paraId="149CA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4E211511">
                  <w:pPr>
                    <w:widowControl/>
                    <w:jc w:val="center"/>
                    <w:rPr>
                      <w:bCs/>
                      <w:sz w:val="18"/>
                      <w:szCs w:val="18"/>
                    </w:rPr>
                  </w:pPr>
                </w:p>
              </w:tc>
              <w:tc>
                <w:tcPr>
                  <w:tcW w:w="236" w:type="dxa"/>
                  <w:vMerge w:val="continue"/>
                  <w:vAlign w:val="center"/>
                </w:tcPr>
                <w:p w14:paraId="798510CE">
                  <w:pPr>
                    <w:widowControl/>
                    <w:jc w:val="left"/>
                    <w:rPr>
                      <w:bCs/>
                      <w:sz w:val="18"/>
                      <w:szCs w:val="18"/>
                    </w:rPr>
                  </w:pPr>
                </w:p>
              </w:tc>
              <w:tc>
                <w:tcPr>
                  <w:tcW w:w="790" w:type="dxa"/>
                  <w:vAlign w:val="center"/>
                </w:tcPr>
                <w:p w14:paraId="1156E73B">
                  <w:pPr>
                    <w:pStyle w:val="113"/>
                    <w:spacing w:line="240" w:lineRule="auto"/>
                    <w:ind w:firstLine="0" w:firstLineChars="0"/>
                    <w:jc w:val="center"/>
                    <w:rPr>
                      <w:rFonts w:eastAsia="宋体"/>
                      <w:bCs/>
                      <w:sz w:val="18"/>
                      <w:szCs w:val="18"/>
                    </w:rPr>
                  </w:pPr>
                  <w:r>
                    <w:rPr>
                      <w:rFonts w:eastAsia="宋体"/>
                      <w:bCs/>
                      <w:sz w:val="18"/>
                      <w:szCs w:val="18"/>
                    </w:rPr>
                    <w:t>环境风险防控</w:t>
                  </w:r>
                </w:p>
              </w:tc>
              <w:tc>
                <w:tcPr>
                  <w:tcW w:w="9242" w:type="dxa"/>
                  <w:vAlign w:val="center"/>
                </w:tcPr>
                <w:p w14:paraId="087D7BAB">
                  <w:pPr>
                    <w:adjustRightInd w:val="0"/>
                    <w:snapToGrid w:val="0"/>
                    <w:jc w:val="left"/>
                    <w:rPr>
                      <w:bCs/>
                      <w:sz w:val="18"/>
                      <w:szCs w:val="18"/>
                    </w:rPr>
                  </w:pPr>
                  <w:r>
                    <w:rPr>
                      <w:bCs/>
                      <w:sz w:val="18"/>
                      <w:szCs w:val="18"/>
                    </w:rPr>
                    <w:t>/</w:t>
                  </w:r>
                </w:p>
              </w:tc>
              <w:tc>
                <w:tcPr>
                  <w:tcW w:w="1390" w:type="dxa"/>
                  <w:vAlign w:val="center"/>
                </w:tcPr>
                <w:p w14:paraId="57B7EE0D">
                  <w:pPr>
                    <w:adjustRightInd w:val="0"/>
                    <w:snapToGrid w:val="0"/>
                    <w:jc w:val="center"/>
                    <w:rPr>
                      <w:bCs/>
                      <w:sz w:val="18"/>
                      <w:szCs w:val="18"/>
                    </w:rPr>
                  </w:pPr>
                  <w:r>
                    <w:rPr>
                      <w:bCs/>
                      <w:sz w:val="18"/>
                      <w:szCs w:val="18"/>
                    </w:rPr>
                    <w:t>/</w:t>
                  </w:r>
                </w:p>
              </w:tc>
              <w:tc>
                <w:tcPr>
                  <w:tcW w:w="637" w:type="dxa"/>
                  <w:vAlign w:val="center"/>
                </w:tcPr>
                <w:p w14:paraId="1540A9C5">
                  <w:pPr>
                    <w:adjustRightInd w:val="0"/>
                    <w:snapToGrid w:val="0"/>
                    <w:jc w:val="center"/>
                    <w:rPr>
                      <w:bCs/>
                      <w:sz w:val="18"/>
                      <w:szCs w:val="18"/>
                    </w:rPr>
                  </w:pPr>
                  <w:r>
                    <w:rPr>
                      <w:bCs/>
                      <w:sz w:val="18"/>
                      <w:szCs w:val="18"/>
                    </w:rPr>
                    <w:t>/</w:t>
                  </w:r>
                </w:p>
              </w:tc>
            </w:tr>
            <w:tr w14:paraId="13A78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5FDE2CD8">
                  <w:pPr>
                    <w:widowControl/>
                    <w:jc w:val="center"/>
                    <w:rPr>
                      <w:bCs/>
                      <w:sz w:val="18"/>
                      <w:szCs w:val="18"/>
                    </w:rPr>
                  </w:pPr>
                </w:p>
              </w:tc>
              <w:tc>
                <w:tcPr>
                  <w:tcW w:w="236" w:type="dxa"/>
                  <w:vMerge w:val="continue"/>
                  <w:vAlign w:val="center"/>
                </w:tcPr>
                <w:p w14:paraId="1F5D2C6A">
                  <w:pPr>
                    <w:widowControl/>
                    <w:jc w:val="left"/>
                    <w:rPr>
                      <w:bCs/>
                      <w:sz w:val="18"/>
                      <w:szCs w:val="18"/>
                    </w:rPr>
                  </w:pPr>
                </w:p>
              </w:tc>
              <w:tc>
                <w:tcPr>
                  <w:tcW w:w="790" w:type="dxa"/>
                  <w:vAlign w:val="center"/>
                </w:tcPr>
                <w:p w14:paraId="10EB622A">
                  <w:pPr>
                    <w:pStyle w:val="113"/>
                    <w:spacing w:line="240" w:lineRule="auto"/>
                    <w:ind w:firstLine="0" w:firstLineChars="0"/>
                    <w:jc w:val="center"/>
                    <w:rPr>
                      <w:rFonts w:eastAsia="宋体"/>
                      <w:bCs/>
                      <w:sz w:val="18"/>
                      <w:szCs w:val="18"/>
                    </w:rPr>
                  </w:pPr>
                  <w:r>
                    <w:rPr>
                      <w:rFonts w:eastAsia="宋体"/>
                      <w:bCs/>
                      <w:sz w:val="18"/>
                      <w:szCs w:val="18"/>
                    </w:rPr>
                    <w:t>资源开发效率要求</w:t>
                  </w:r>
                </w:p>
              </w:tc>
              <w:tc>
                <w:tcPr>
                  <w:tcW w:w="9242" w:type="dxa"/>
                  <w:vAlign w:val="center"/>
                </w:tcPr>
                <w:p w14:paraId="6849AC91">
                  <w:pPr>
                    <w:pStyle w:val="113"/>
                    <w:widowControl/>
                    <w:shd w:val="clear" w:color="auto" w:fill="FFFFFF"/>
                    <w:spacing w:line="240" w:lineRule="auto"/>
                    <w:ind w:firstLine="0" w:firstLineChars="0"/>
                    <w:jc w:val="left"/>
                    <w:rPr>
                      <w:rFonts w:ascii="宋体" w:hAnsi="宋体" w:eastAsia="宋体"/>
                      <w:sz w:val="21"/>
                    </w:rPr>
                  </w:pPr>
                  <w:r>
                    <w:rPr>
                      <w:rFonts w:hint="eastAsia" w:ascii="宋体" w:hAnsi="宋体" w:eastAsia="宋体"/>
                      <w:sz w:val="21"/>
                    </w:rPr>
                    <w:t>土地资源开发效率要求</w:t>
                  </w:r>
                </w:p>
                <w:p w14:paraId="561F61BF">
                  <w:pPr>
                    <w:pStyle w:val="113"/>
                    <w:widowControl/>
                    <w:shd w:val="clear" w:color="auto" w:fill="FFFFFF"/>
                    <w:spacing w:line="240" w:lineRule="auto"/>
                    <w:ind w:firstLine="0" w:firstLineChars="0"/>
                    <w:jc w:val="left"/>
                    <w:rPr>
                      <w:rFonts w:ascii="宋体" w:hAnsi="宋体" w:eastAsia="宋体"/>
                      <w:sz w:val="21"/>
                    </w:rPr>
                  </w:pPr>
                  <w:r>
                    <w:rPr>
                      <w:rFonts w:hint="eastAsia" w:ascii="宋体" w:hAnsi="宋体" w:eastAsia="宋体"/>
                      <w:sz w:val="21"/>
                    </w:rPr>
                    <w:t>土地资源开发利用量不得超过土地资源利用上线控制性指标。</w:t>
                  </w:r>
                </w:p>
                <w:p w14:paraId="7726A53B">
                  <w:pPr>
                    <w:pStyle w:val="113"/>
                    <w:widowControl/>
                    <w:shd w:val="clear" w:color="auto" w:fill="FFFFFF"/>
                    <w:spacing w:line="240" w:lineRule="auto"/>
                    <w:ind w:firstLine="0" w:firstLineChars="0"/>
                    <w:jc w:val="left"/>
                    <w:rPr>
                      <w:rFonts w:ascii="宋体" w:hAnsi="宋体" w:eastAsia="宋体"/>
                      <w:sz w:val="21"/>
                    </w:rPr>
                  </w:pPr>
                  <w:r>
                    <w:rPr>
                      <w:rFonts w:hint="eastAsia" w:ascii="宋体" w:hAnsi="宋体" w:eastAsia="宋体"/>
                      <w:sz w:val="21"/>
                    </w:rPr>
                    <w:t>能源资源开发效率要求</w:t>
                  </w:r>
                </w:p>
                <w:p w14:paraId="3A263481">
                  <w:pPr>
                    <w:adjustRightInd w:val="0"/>
                    <w:snapToGrid w:val="0"/>
                    <w:jc w:val="left"/>
                    <w:rPr>
                      <w:bCs/>
                      <w:sz w:val="18"/>
                      <w:szCs w:val="18"/>
                    </w:rPr>
                  </w:pPr>
                  <w:r>
                    <w:rPr>
                      <w:rFonts w:hint="eastAsia" w:ascii="宋体" w:hAnsi="宋体"/>
                      <w:szCs w:val="21"/>
                    </w:rPr>
                    <w:t>其他资源开发效率要求</w:t>
                  </w:r>
                </w:p>
              </w:tc>
              <w:tc>
                <w:tcPr>
                  <w:tcW w:w="1390" w:type="dxa"/>
                  <w:vAlign w:val="center"/>
                </w:tcPr>
                <w:p w14:paraId="3F1CD7D5">
                  <w:pPr>
                    <w:adjustRightInd w:val="0"/>
                    <w:snapToGrid w:val="0"/>
                    <w:jc w:val="center"/>
                    <w:rPr>
                      <w:bCs/>
                      <w:sz w:val="18"/>
                      <w:szCs w:val="18"/>
                    </w:rPr>
                  </w:pPr>
                  <w:r>
                    <w:rPr>
                      <w:rFonts w:hint="eastAsia"/>
                      <w:bCs/>
                      <w:sz w:val="18"/>
                      <w:szCs w:val="18"/>
                    </w:rPr>
                    <w:t>项目用地严格按照当地自然资源部门审批核准，不超过土地资源上线控制性指标。</w:t>
                  </w:r>
                </w:p>
              </w:tc>
              <w:tc>
                <w:tcPr>
                  <w:tcW w:w="637" w:type="dxa"/>
                  <w:vAlign w:val="center"/>
                </w:tcPr>
                <w:p w14:paraId="6938B446">
                  <w:pPr>
                    <w:adjustRightInd w:val="0"/>
                    <w:snapToGrid w:val="0"/>
                    <w:jc w:val="center"/>
                    <w:rPr>
                      <w:bCs/>
                      <w:sz w:val="18"/>
                      <w:szCs w:val="18"/>
                    </w:rPr>
                  </w:pPr>
                  <w:r>
                    <w:rPr>
                      <w:bCs/>
                      <w:sz w:val="18"/>
                      <w:szCs w:val="18"/>
                    </w:rPr>
                    <w:t>符合</w:t>
                  </w:r>
                </w:p>
              </w:tc>
            </w:tr>
            <w:tr w14:paraId="12331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restart"/>
                  <w:vAlign w:val="center"/>
                </w:tcPr>
                <w:p w14:paraId="28C0CFC9">
                  <w:pPr>
                    <w:adjustRightInd w:val="0"/>
                    <w:snapToGrid w:val="0"/>
                    <w:jc w:val="center"/>
                    <w:rPr>
                      <w:bCs/>
                      <w:sz w:val="18"/>
                      <w:szCs w:val="18"/>
                    </w:rPr>
                  </w:pPr>
                  <w:r>
                    <w:rPr>
                      <w:rFonts w:hint="eastAsia"/>
                      <w:bCs/>
                      <w:sz w:val="18"/>
                      <w:szCs w:val="18"/>
                    </w:rPr>
                    <w:t>ZH51092320001大英县城镇空间</w:t>
                  </w:r>
                </w:p>
              </w:tc>
              <w:tc>
                <w:tcPr>
                  <w:tcW w:w="236" w:type="dxa"/>
                  <w:vMerge w:val="restart"/>
                  <w:vAlign w:val="center"/>
                </w:tcPr>
                <w:p w14:paraId="2380A105">
                  <w:pPr>
                    <w:adjustRightInd w:val="0"/>
                    <w:snapToGrid w:val="0"/>
                    <w:jc w:val="left"/>
                    <w:rPr>
                      <w:bCs/>
                      <w:sz w:val="18"/>
                      <w:szCs w:val="18"/>
                    </w:rPr>
                  </w:pPr>
                  <w:r>
                    <w:rPr>
                      <w:bCs/>
                      <w:sz w:val="18"/>
                      <w:szCs w:val="18"/>
                    </w:rPr>
                    <w:t>单元级清单</w:t>
                  </w:r>
                </w:p>
              </w:tc>
              <w:tc>
                <w:tcPr>
                  <w:tcW w:w="790" w:type="dxa"/>
                  <w:vAlign w:val="center"/>
                </w:tcPr>
                <w:p w14:paraId="52D3BAEF">
                  <w:pPr>
                    <w:pStyle w:val="113"/>
                    <w:spacing w:line="240" w:lineRule="auto"/>
                    <w:ind w:firstLine="0" w:firstLineChars="0"/>
                    <w:jc w:val="center"/>
                    <w:rPr>
                      <w:rFonts w:eastAsia="宋体"/>
                      <w:bCs/>
                      <w:sz w:val="18"/>
                      <w:szCs w:val="18"/>
                    </w:rPr>
                  </w:pPr>
                  <w:r>
                    <w:rPr>
                      <w:rFonts w:eastAsia="宋体"/>
                      <w:bCs/>
                      <w:sz w:val="18"/>
                      <w:szCs w:val="18"/>
                    </w:rPr>
                    <w:t>空间布局约束</w:t>
                  </w:r>
                </w:p>
              </w:tc>
              <w:tc>
                <w:tcPr>
                  <w:tcW w:w="9242" w:type="dxa"/>
                  <w:vAlign w:val="center"/>
                </w:tcPr>
                <w:p w14:paraId="3B59581D">
                  <w:pPr>
                    <w:adjustRightInd w:val="0"/>
                    <w:snapToGrid w:val="0"/>
                    <w:jc w:val="left"/>
                    <w:rPr>
                      <w:bCs/>
                      <w:sz w:val="18"/>
                      <w:szCs w:val="18"/>
                    </w:rPr>
                  </w:pPr>
                  <w:r>
                    <w:rPr>
                      <w:rFonts w:hint="eastAsia"/>
                      <w:bCs/>
                      <w:sz w:val="18"/>
                      <w:szCs w:val="18"/>
                    </w:rPr>
                    <w:t>禁止开发建设活动的要求</w:t>
                  </w:r>
                </w:p>
                <w:p w14:paraId="13B75A96">
                  <w:pPr>
                    <w:adjustRightInd w:val="0"/>
                    <w:snapToGrid w:val="0"/>
                    <w:jc w:val="left"/>
                    <w:rPr>
                      <w:bCs/>
                      <w:sz w:val="18"/>
                      <w:szCs w:val="18"/>
                    </w:rPr>
                  </w:pPr>
                  <w:r>
                    <w:rPr>
                      <w:rFonts w:hint="eastAsia"/>
                      <w:bCs/>
                      <w:sz w:val="18"/>
                      <w:szCs w:val="18"/>
                    </w:rPr>
                    <w:t>参照遂宁市总体准入要求-城镇重点管控单元</w:t>
                  </w:r>
                </w:p>
                <w:p w14:paraId="6352D1A5">
                  <w:pPr>
                    <w:adjustRightInd w:val="0"/>
                    <w:snapToGrid w:val="0"/>
                    <w:jc w:val="left"/>
                    <w:rPr>
                      <w:bCs/>
                      <w:sz w:val="18"/>
                      <w:szCs w:val="18"/>
                    </w:rPr>
                  </w:pPr>
                  <w:r>
                    <w:rPr>
                      <w:rFonts w:hint="eastAsia"/>
                      <w:bCs/>
                      <w:sz w:val="18"/>
                      <w:szCs w:val="18"/>
                    </w:rPr>
                    <w:t>限制开发建设活动的要求</w:t>
                  </w:r>
                </w:p>
                <w:p w14:paraId="755AA260">
                  <w:pPr>
                    <w:adjustRightInd w:val="0"/>
                    <w:snapToGrid w:val="0"/>
                    <w:jc w:val="left"/>
                    <w:rPr>
                      <w:bCs/>
                      <w:sz w:val="18"/>
                      <w:szCs w:val="18"/>
                    </w:rPr>
                  </w:pPr>
                  <w:r>
                    <w:rPr>
                      <w:rFonts w:hint="eastAsia"/>
                      <w:bCs/>
                      <w:sz w:val="18"/>
                      <w:szCs w:val="18"/>
                    </w:rPr>
                    <w:t>1.工业用地布局在新城综合发展区的南部、“北城新区”功能片区的北部、东南部的工业组团2.其他参照遂宁市总体准入要求-城镇重点管控单元</w:t>
                  </w:r>
                </w:p>
                <w:p w14:paraId="4366C349">
                  <w:pPr>
                    <w:adjustRightInd w:val="0"/>
                    <w:snapToGrid w:val="0"/>
                    <w:jc w:val="left"/>
                    <w:rPr>
                      <w:bCs/>
                      <w:sz w:val="18"/>
                      <w:szCs w:val="18"/>
                    </w:rPr>
                  </w:pPr>
                  <w:r>
                    <w:rPr>
                      <w:rFonts w:hint="eastAsia"/>
                      <w:bCs/>
                      <w:sz w:val="18"/>
                      <w:szCs w:val="18"/>
                    </w:rPr>
                    <w:t>允许开发建设活动的要求</w:t>
                  </w:r>
                </w:p>
                <w:p w14:paraId="60E1E689">
                  <w:pPr>
                    <w:adjustRightInd w:val="0"/>
                    <w:snapToGrid w:val="0"/>
                    <w:jc w:val="left"/>
                    <w:rPr>
                      <w:bCs/>
                      <w:sz w:val="18"/>
                      <w:szCs w:val="18"/>
                    </w:rPr>
                  </w:pPr>
                  <w:r>
                    <w:rPr>
                      <w:bCs/>
                      <w:sz w:val="18"/>
                      <w:szCs w:val="18"/>
                    </w:rPr>
                    <w:t>/</w:t>
                  </w:r>
                </w:p>
                <w:p w14:paraId="43A3D6BD">
                  <w:pPr>
                    <w:adjustRightInd w:val="0"/>
                    <w:snapToGrid w:val="0"/>
                    <w:jc w:val="left"/>
                    <w:rPr>
                      <w:bCs/>
                      <w:sz w:val="18"/>
                      <w:szCs w:val="18"/>
                    </w:rPr>
                  </w:pPr>
                  <w:r>
                    <w:rPr>
                      <w:rFonts w:hint="eastAsia"/>
                      <w:bCs/>
                      <w:sz w:val="18"/>
                      <w:szCs w:val="18"/>
                    </w:rPr>
                    <w:t>不符合空间布局要求活动的退出要求</w:t>
                  </w:r>
                </w:p>
                <w:p w14:paraId="05591692">
                  <w:pPr>
                    <w:adjustRightInd w:val="0"/>
                    <w:snapToGrid w:val="0"/>
                    <w:jc w:val="left"/>
                    <w:rPr>
                      <w:bCs/>
                      <w:sz w:val="18"/>
                      <w:szCs w:val="18"/>
                    </w:rPr>
                  </w:pPr>
                  <w:r>
                    <w:rPr>
                      <w:rFonts w:hint="eastAsia"/>
                      <w:bCs/>
                      <w:sz w:val="18"/>
                      <w:szCs w:val="18"/>
                    </w:rPr>
                    <w:t>参照遂宁市总体准入要求-城镇重点管控单元</w:t>
                  </w:r>
                </w:p>
                <w:p w14:paraId="3282E6EB">
                  <w:pPr>
                    <w:adjustRightInd w:val="0"/>
                    <w:snapToGrid w:val="0"/>
                    <w:jc w:val="left"/>
                    <w:rPr>
                      <w:bCs/>
                      <w:sz w:val="18"/>
                      <w:szCs w:val="18"/>
                    </w:rPr>
                  </w:pPr>
                  <w:r>
                    <w:rPr>
                      <w:rFonts w:hint="eastAsia"/>
                      <w:bCs/>
                      <w:sz w:val="18"/>
                      <w:szCs w:val="18"/>
                    </w:rPr>
                    <w:t>其他空间布局约束要求</w:t>
                  </w:r>
                </w:p>
                <w:p w14:paraId="34BE9941">
                  <w:pPr>
                    <w:adjustRightInd w:val="0"/>
                    <w:snapToGrid w:val="0"/>
                    <w:jc w:val="left"/>
                    <w:rPr>
                      <w:sz w:val="18"/>
                      <w:szCs w:val="18"/>
                    </w:rPr>
                  </w:pPr>
                  <w:r>
                    <w:rPr>
                      <w:bCs/>
                      <w:sz w:val="18"/>
                      <w:szCs w:val="18"/>
                    </w:rPr>
                    <w:t>/</w:t>
                  </w:r>
                </w:p>
              </w:tc>
              <w:tc>
                <w:tcPr>
                  <w:tcW w:w="1390" w:type="dxa"/>
                  <w:vAlign w:val="center"/>
                </w:tcPr>
                <w:p w14:paraId="156EA65B">
                  <w:pPr>
                    <w:adjustRightInd w:val="0"/>
                    <w:snapToGrid w:val="0"/>
                    <w:jc w:val="center"/>
                    <w:rPr>
                      <w:bCs/>
                      <w:sz w:val="18"/>
                      <w:szCs w:val="18"/>
                    </w:rPr>
                  </w:pPr>
                  <w:r>
                    <w:rPr>
                      <w:bCs/>
                      <w:sz w:val="18"/>
                      <w:szCs w:val="18"/>
                    </w:rPr>
                    <w:t>本项目</w:t>
                  </w:r>
                  <w:r>
                    <w:rPr>
                      <w:rFonts w:hint="eastAsia"/>
                      <w:bCs/>
                      <w:sz w:val="18"/>
                      <w:szCs w:val="18"/>
                    </w:rPr>
                    <w:t>为生态类项目，不属于禁止和限制</w:t>
                  </w:r>
                  <w:r>
                    <w:rPr>
                      <w:sz w:val="18"/>
                      <w:szCs w:val="18"/>
                    </w:rPr>
                    <w:t>开发建设活动</w:t>
                  </w:r>
                  <w:r>
                    <w:rPr>
                      <w:rFonts w:hint="eastAsia"/>
                      <w:sz w:val="18"/>
                      <w:szCs w:val="18"/>
                    </w:rPr>
                    <w:t>，符合当地空间布局要求。</w:t>
                  </w:r>
                </w:p>
              </w:tc>
              <w:tc>
                <w:tcPr>
                  <w:tcW w:w="637" w:type="dxa"/>
                  <w:vAlign w:val="center"/>
                </w:tcPr>
                <w:p w14:paraId="199FE132">
                  <w:pPr>
                    <w:adjustRightInd w:val="0"/>
                    <w:snapToGrid w:val="0"/>
                    <w:jc w:val="center"/>
                    <w:rPr>
                      <w:bCs/>
                      <w:sz w:val="18"/>
                      <w:szCs w:val="18"/>
                    </w:rPr>
                  </w:pPr>
                  <w:r>
                    <w:rPr>
                      <w:rFonts w:hint="eastAsia"/>
                      <w:bCs/>
                      <w:sz w:val="18"/>
                      <w:szCs w:val="18"/>
                    </w:rPr>
                    <w:t>符合</w:t>
                  </w:r>
                </w:p>
              </w:tc>
            </w:tr>
            <w:tr w14:paraId="02C3E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2B3E416A">
                  <w:pPr>
                    <w:widowControl/>
                    <w:jc w:val="center"/>
                    <w:rPr>
                      <w:bCs/>
                      <w:sz w:val="18"/>
                      <w:szCs w:val="18"/>
                    </w:rPr>
                  </w:pPr>
                </w:p>
              </w:tc>
              <w:tc>
                <w:tcPr>
                  <w:tcW w:w="236" w:type="dxa"/>
                  <w:vMerge w:val="continue"/>
                  <w:vAlign w:val="center"/>
                </w:tcPr>
                <w:p w14:paraId="3562A083">
                  <w:pPr>
                    <w:widowControl/>
                    <w:jc w:val="center"/>
                    <w:rPr>
                      <w:bCs/>
                      <w:sz w:val="18"/>
                      <w:szCs w:val="18"/>
                    </w:rPr>
                  </w:pPr>
                </w:p>
              </w:tc>
              <w:tc>
                <w:tcPr>
                  <w:tcW w:w="790" w:type="dxa"/>
                  <w:vAlign w:val="center"/>
                </w:tcPr>
                <w:p w14:paraId="630FF2F9">
                  <w:pPr>
                    <w:pStyle w:val="113"/>
                    <w:spacing w:line="240" w:lineRule="auto"/>
                    <w:ind w:firstLine="0" w:firstLineChars="0"/>
                    <w:jc w:val="center"/>
                    <w:rPr>
                      <w:rFonts w:eastAsia="宋体"/>
                      <w:bCs/>
                      <w:sz w:val="18"/>
                      <w:szCs w:val="18"/>
                    </w:rPr>
                  </w:pPr>
                  <w:r>
                    <w:rPr>
                      <w:rFonts w:eastAsia="宋体"/>
                      <w:bCs/>
                      <w:sz w:val="18"/>
                      <w:szCs w:val="18"/>
                    </w:rPr>
                    <w:t>污染物排放</w:t>
                  </w:r>
                  <w:r>
                    <w:rPr>
                      <w:rFonts w:eastAsia="宋体"/>
                      <w:bCs/>
                      <w:sz w:val="18"/>
                      <w:szCs w:val="18"/>
                    </w:rPr>
                    <w:cr/>
                  </w:r>
                  <w:r>
                    <w:rPr>
                      <w:rFonts w:eastAsia="宋体"/>
                      <w:bCs/>
                      <w:sz w:val="18"/>
                      <w:szCs w:val="18"/>
                    </w:rPr>
                    <w:t>控</w:t>
                  </w:r>
                </w:p>
              </w:tc>
              <w:tc>
                <w:tcPr>
                  <w:tcW w:w="9242" w:type="dxa"/>
                  <w:vAlign w:val="center"/>
                </w:tcPr>
                <w:p w14:paraId="572C4DAD">
                  <w:pPr>
                    <w:adjustRightInd w:val="0"/>
                    <w:snapToGrid w:val="0"/>
                    <w:jc w:val="left"/>
                    <w:rPr>
                      <w:bCs/>
                      <w:sz w:val="18"/>
                      <w:szCs w:val="18"/>
                    </w:rPr>
                  </w:pPr>
                  <w:r>
                    <w:rPr>
                      <w:rFonts w:hint="eastAsia"/>
                      <w:bCs/>
                      <w:sz w:val="18"/>
                      <w:szCs w:val="18"/>
                    </w:rPr>
                    <w:t>现有源提标升级改造</w:t>
                  </w:r>
                </w:p>
                <w:p w14:paraId="229C38C5">
                  <w:pPr>
                    <w:adjustRightInd w:val="0"/>
                    <w:snapToGrid w:val="0"/>
                    <w:jc w:val="left"/>
                    <w:rPr>
                      <w:bCs/>
                      <w:sz w:val="18"/>
                      <w:szCs w:val="18"/>
                    </w:rPr>
                  </w:pPr>
                  <w:r>
                    <w:rPr>
                      <w:rFonts w:hint="eastAsia"/>
                      <w:bCs/>
                      <w:sz w:val="18"/>
                      <w:szCs w:val="18"/>
                    </w:rPr>
                    <w:t>参照遂宁市总体准入要求-城镇重点管控单元</w:t>
                  </w:r>
                </w:p>
                <w:p w14:paraId="2DA72AD0">
                  <w:pPr>
                    <w:adjustRightInd w:val="0"/>
                    <w:snapToGrid w:val="0"/>
                    <w:jc w:val="left"/>
                    <w:rPr>
                      <w:bCs/>
                      <w:sz w:val="18"/>
                      <w:szCs w:val="18"/>
                    </w:rPr>
                  </w:pPr>
                  <w:r>
                    <w:rPr>
                      <w:rFonts w:hint="eastAsia"/>
                      <w:bCs/>
                      <w:sz w:val="18"/>
                      <w:szCs w:val="18"/>
                    </w:rPr>
                    <w:t>新增源等量或倍量替代</w:t>
                  </w:r>
                </w:p>
                <w:p w14:paraId="173C7982">
                  <w:pPr>
                    <w:adjustRightInd w:val="0"/>
                    <w:snapToGrid w:val="0"/>
                    <w:jc w:val="left"/>
                    <w:rPr>
                      <w:bCs/>
                      <w:sz w:val="18"/>
                      <w:szCs w:val="18"/>
                    </w:rPr>
                  </w:pPr>
                  <w:r>
                    <w:rPr>
                      <w:rFonts w:hint="eastAsia"/>
                      <w:bCs/>
                      <w:sz w:val="18"/>
                      <w:szCs w:val="18"/>
                    </w:rPr>
                    <w:t>参照遂宁市总体准入要求-城镇重点管控单元</w:t>
                  </w:r>
                </w:p>
                <w:p w14:paraId="140E3B06">
                  <w:pPr>
                    <w:adjustRightInd w:val="0"/>
                    <w:snapToGrid w:val="0"/>
                    <w:jc w:val="left"/>
                    <w:rPr>
                      <w:bCs/>
                      <w:sz w:val="18"/>
                      <w:szCs w:val="18"/>
                    </w:rPr>
                  </w:pPr>
                  <w:r>
                    <w:rPr>
                      <w:rFonts w:hint="eastAsia"/>
                      <w:bCs/>
                      <w:sz w:val="18"/>
                      <w:szCs w:val="18"/>
                    </w:rPr>
                    <w:t>新增源排放标准限值</w:t>
                  </w:r>
                </w:p>
                <w:p w14:paraId="7D7E37B7">
                  <w:pPr>
                    <w:adjustRightInd w:val="0"/>
                    <w:snapToGrid w:val="0"/>
                    <w:jc w:val="left"/>
                    <w:rPr>
                      <w:bCs/>
                      <w:sz w:val="18"/>
                      <w:szCs w:val="18"/>
                    </w:rPr>
                  </w:pPr>
                  <w:r>
                    <w:rPr>
                      <w:rFonts w:hint="eastAsia"/>
                      <w:bCs/>
                      <w:sz w:val="18"/>
                      <w:szCs w:val="18"/>
                    </w:rPr>
                    <w:t>/</w:t>
                  </w:r>
                </w:p>
                <w:p w14:paraId="1F65F721">
                  <w:pPr>
                    <w:adjustRightInd w:val="0"/>
                    <w:snapToGrid w:val="0"/>
                    <w:jc w:val="left"/>
                    <w:rPr>
                      <w:bCs/>
                      <w:sz w:val="18"/>
                      <w:szCs w:val="18"/>
                    </w:rPr>
                  </w:pPr>
                  <w:r>
                    <w:rPr>
                      <w:rFonts w:hint="eastAsia"/>
                      <w:bCs/>
                      <w:sz w:val="18"/>
                      <w:szCs w:val="18"/>
                    </w:rPr>
                    <w:t>污染物排放绩效水平准入要求</w:t>
                  </w:r>
                </w:p>
                <w:p w14:paraId="21B4038E">
                  <w:pPr>
                    <w:adjustRightInd w:val="0"/>
                    <w:snapToGrid w:val="0"/>
                    <w:jc w:val="left"/>
                    <w:rPr>
                      <w:bCs/>
                      <w:sz w:val="18"/>
                      <w:szCs w:val="18"/>
                    </w:rPr>
                  </w:pPr>
                  <w:r>
                    <w:rPr>
                      <w:rFonts w:hint="eastAsia"/>
                      <w:bCs/>
                      <w:sz w:val="18"/>
                      <w:szCs w:val="18"/>
                    </w:rPr>
                    <w:t>参照遂宁市总体准入要求-城镇重点管控单元</w:t>
                  </w:r>
                </w:p>
                <w:p w14:paraId="0CC96EA6">
                  <w:pPr>
                    <w:adjustRightInd w:val="0"/>
                    <w:snapToGrid w:val="0"/>
                    <w:jc w:val="left"/>
                    <w:rPr>
                      <w:bCs/>
                      <w:sz w:val="18"/>
                      <w:szCs w:val="18"/>
                    </w:rPr>
                  </w:pPr>
                  <w:r>
                    <w:rPr>
                      <w:rFonts w:hint="eastAsia"/>
                      <w:bCs/>
                      <w:sz w:val="18"/>
                      <w:szCs w:val="18"/>
                    </w:rPr>
                    <w:t>其他污染物排放管控要求</w:t>
                  </w:r>
                </w:p>
                <w:p w14:paraId="7EC65ABB">
                  <w:pPr>
                    <w:adjustRightInd w:val="0"/>
                    <w:snapToGrid w:val="0"/>
                    <w:jc w:val="left"/>
                    <w:rPr>
                      <w:bCs/>
                      <w:sz w:val="18"/>
                      <w:szCs w:val="18"/>
                    </w:rPr>
                  </w:pPr>
                  <w:r>
                    <w:rPr>
                      <w:rFonts w:hint="eastAsia"/>
                      <w:bCs/>
                      <w:sz w:val="18"/>
                      <w:szCs w:val="18"/>
                    </w:rPr>
                    <w:t>/</w:t>
                  </w:r>
                </w:p>
              </w:tc>
              <w:tc>
                <w:tcPr>
                  <w:tcW w:w="1390" w:type="dxa"/>
                  <w:vAlign w:val="center"/>
                </w:tcPr>
                <w:p w14:paraId="5E1A0D71">
                  <w:pPr>
                    <w:adjustRightInd w:val="0"/>
                    <w:snapToGrid w:val="0"/>
                    <w:jc w:val="center"/>
                    <w:rPr>
                      <w:bCs/>
                      <w:sz w:val="18"/>
                      <w:szCs w:val="18"/>
                    </w:rPr>
                  </w:pPr>
                  <w:r>
                    <w:rPr>
                      <w:rFonts w:hint="eastAsia"/>
                      <w:bCs/>
                      <w:sz w:val="18"/>
                      <w:szCs w:val="18"/>
                    </w:rPr>
                    <w:t>本项目运营期无废气产生，不会影响区域大气环境质量。</w:t>
                  </w:r>
                </w:p>
              </w:tc>
              <w:tc>
                <w:tcPr>
                  <w:tcW w:w="637" w:type="dxa"/>
                  <w:vAlign w:val="center"/>
                </w:tcPr>
                <w:p w14:paraId="01C43D74">
                  <w:pPr>
                    <w:adjustRightInd w:val="0"/>
                    <w:snapToGrid w:val="0"/>
                    <w:jc w:val="center"/>
                    <w:rPr>
                      <w:bCs/>
                      <w:sz w:val="18"/>
                      <w:szCs w:val="18"/>
                    </w:rPr>
                  </w:pPr>
                  <w:r>
                    <w:rPr>
                      <w:rFonts w:hint="eastAsia"/>
                      <w:bCs/>
                      <w:sz w:val="18"/>
                      <w:szCs w:val="18"/>
                    </w:rPr>
                    <w:t>符合</w:t>
                  </w:r>
                </w:p>
              </w:tc>
            </w:tr>
            <w:tr w14:paraId="27CFF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3607DA8F">
                  <w:pPr>
                    <w:widowControl/>
                    <w:jc w:val="center"/>
                    <w:rPr>
                      <w:bCs/>
                      <w:sz w:val="18"/>
                      <w:szCs w:val="18"/>
                    </w:rPr>
                  </w:pPr>
                </w:p>
              </w:tc>
              <w:tc>
                <w:tcPr>
                  <w:tcW w:w="236" w:type="dxa"/>
                  <w:vMerge w:val="continue"/>
                  <w:vAlign w:val="center"/>
                </w:tcPr>
                <w:p w14:paraId="36CF4CFC">
                  <w:pPr>
                    <w:widowControl/>
                    <w:jc w:val="center"/>
                    <w:rPr>
                      <w:bCs/>
                      <w:sz w:val="18"/>
                      <w:szCs w:val="18"/>
                    </w:rPr>
                  </w:pPr>
                </w:p>
              </w:tc>
              <w:tc>
                <w:tcPr>
                  <w:tcW w:w="790" w:type="dxa"/>
                  <w:vAlign w:val="center"/>
                </w:tcPr>
                <w:p w14:paraId="33635970">
                  <w:pPr>
                    <w:pStyle w:val="113"/>
                    <w:spacing w:line="240" w:lineRule="auto"/>
                    <w:ind w:firstLine="0" w:firstLineChars="0"/>
                    <w:jc w:val="center"/>
                    <w:rPr>
                      <w:rFonts w:eastAsia="宋体"/>
                      <w:bCs/>
                      <w:sz w:val="18"/>
                      <w:szCs w:val="18"/>
                    </w:rPr>
                  </w:pPr>
                  <w:r>
                    <w:rPr>
                      <w:rFonts w:eastAsia="宋体"/>
                      <w:bCs/>
                      <w:sz w:val="18"/>
                      <w:szCs w:val="18"/>
                    </w:rPr>
                    <w:t>环境风险防控</w:t>
                  </w:r>
                </w:p>
              </w:tc>
              <w:tc>
                <w:tcPr>
                  <w:tcW w:w="9242" w:type="dxa"/>
                  <w:vAlign w:val="center"/>
                </w:tcPr>
                <w:p w14:paraId="2847086D">
                  <w:pPr>
                    <w:adjustRightInd w:val="0"/>
                    <w:snapToGrid w:val="0"/>
                    <w:jc w:val="left"/>
                    <w:rPr>
                      <w:bCs/>
                      <w:sz w:val="18"/>
                      <w:szCs w:val="18"/>
                    </w:rPr>
                  </w:pPr>
                  <w:r>
                    <w:rPr>
                      <w:rFonts w:hint="eastAsia"/>
                      <w:bCs/>
                      <w:sz w:val="18"/>
                      <w:szCs w:val="18"/>
                    </w:rPr>
                    <w:t>严格管控类农用地管控要求</w:t>
                  </w:r>
                </w:p>
                <w:p w14:paraId="2E4B0E36">
                  <w:pPr>
                    <w:adjustRightInd w:val="0"/>
                    <w:snapToGrid w:val="0"/>
                    <w:jc w:val="left"/>
                    <w:rPr>
                      <w:bCs/>
                      <w:sz w:val="18"/>
                      <w:szCs w:val="18"/>
                    </w:rPr>
                  </w:pPr>
                  <w:r>
                    <w:rPr>
                      <w:rFonts w:hint="eastAsia"/>
                      <w:bCs/>
                      <w:sz w:val="18"/>
                      <w:szCs w:val="18"/>
                    </w:rPr>
                    <w:t>1.有一定危险性仓库用地远离市区，按有关规范选址和建设，留够防护距离。</w:t>
                  </w:r>
                </w:p>
                <w:p w14:paraId="7B706692">
                  <w:pPr>
                    <w:adjustRightInd w:val="0"/>
                    <w:snapToGrid w:val="0"/>
                    <w:jc w:val="left"/>
                    <w:rPr>
                      <w:bCs/>
                      <w:sz w:val="18"/>
                      <w:szCs w:val="18"/>
                    </w:rPr>
                  </w:pPr>
                  <w:r>
                    <w:rPr>
                      <w:rFonts w:hint="eastAsia"/>
                      <w:bCs/>
                      <w:sz w:val="18"/>
                      <w:szCs w:val="18"/>
                    </w:rPr>
                    <w:t>2.城镇开发边界的划定避让永久基本农田红线和生态保护红线，避开蓄滞洪区、地质灾害易发区等。</w:t>
                  </w:r>
                </w:p>
                <w:p w14:paraId="0264D9B8">
                  <w:pPr>
                    <w:adjustRightInd w:val="0"/>
                    <w:snapToGrid w:val="0"/>
                    <w:jc w:val="left"/>
                    <w:rPr>
                      <w:bCs/>
                      <w:sz w:val="18"/>
                      <w:szCs w:val="18"/>
                    </w:rPr>
                  </w:pPr>
                  <w:r>
                    <w:rPr>
                      <w:rFonts w:hint="eastAsia"/>
                      <w:bCs/>
                      <w:sz w:val="18"/>
                      <w:szCs w:val="18"/>
                    </w:rPr>
                    <w:t>3.其他参照遂宁市总体准入要求-城镇重点管控单元</w:t>
                  </w:r>
                </w:p>
                <w:p w14:paraId="55662C0C">
                  <w:pPr>
                    <w:adjustRightInd w:val="0"/>
                    <w:snapToGrid w:val="0"/>
                    <w:jc w:val="left"/>
                    <w:rPr>
                      <w:bCs/>
                      <w:sz w:val="18"/>
                      <w:szCs w:val="18"/>
                    </w:rPr>
                  </w:pPr>
                  <w:r>
                    <w:rPr>
                      <w:rFonts w:hint="eastAsia"/>
                      <w:bCs/>
                      <w:sz w:val="18"/>
                      <w:szCs w:val="18"/>
                    </w:rPr>
                    <w:t>安全利用类农用地管控要求</w:t>
                  </w:r>
                </w:p>
                <w:p w14:paraId="5598DC56">
                  <w:pPr>
                    <w:adjustRightInd w:val="0"/>
                    <w:snapToGrid w:val="0"/>
                    <w:jc w:val="left"/>
                    <w:rPr>
                      <w:bCs/>
                      <w:sz w:val="18"/>
                      <w:szCs w:val="18"/>
                    </w:rPr>
                  </w:pPr>
                  <w:r>
                    <w:rPr>
                      <w:rFonts w:hint="eastAsia"/>
                      <w:bCs/>
                      <w:sz w:val="18"/>
                      <w:szCs w:val="18"/>
                    </w:rPr>
                    <w:t>1.有一定危险性仓库用地远离市区，按有关规范选址和建设，留够防护距离。</w:t>
                  </w:r>
                </w:p>
                <w:p w14:paraId="350D6D0E">
                  <w:pPr>
                    <w:adjustRightInd w:val="0"/>
                    <w:snapToGrid w:val="0"/>
                    <w:jc w:val="left"/>
                    <w:rPr>
                      <w:bCs/>
                      <w:sz w:val="18"/>
                      <w:szCs w:val="18"/>
                    </w:rPr>
                  </w:pPr>
                  <w:r>
                    <w:rPr>
                      <w:rFonts w:hint="eastAsia"/>
                      <w:bCs/>
                      <w:sz w:val="18"/>
                      <w:szCs w:val="18"/>
                    </w:rPr>
                    <w:t>2.城镇开发边界的划定避让永久基本农田红线和生态保护红线，避开蓄滞洪区、地质灾害易发区等。</w:t>
                  </w:r>
                </w:p>
                <w:p w14:paraId="271565AA">
                  <w:pPr>
                    <w:adjustRightInd w:val="0"/>
                    <w:snapToGrid w:val="0"/>
                    <w:jc w:val="left"/>
                    <w:rPr>
                      <w:bCs/>
                      <w:sz w:val="18"/>
                      <w:szCs w:val="18"/>
                    </w:rPr>
                  </w:pPr>
                  <w:r>
                    <w:rPr>
                      <w:rFonts w:hint="eastAsia"/>
                      <w:bCs/>
                      <w:sz w:val="18"/>
                      <w:szCs w:val="18"/>
                    </w:rPr>
                    <w:t>3.其他参照遂宁市总体准入要求-城镇重点管控单元</w:t>
                  </w:r>
                </w:p>
                <w:p w14:paraId="2321FC25">
                  <w:pPr>
                    <w:adjustRightInd w:val="0"/>
                    <w:snapToGrid w:val="0"/>
                    <w:jc w:val="left"/>
                    <w:rPr>
                      <w:bCs/>
                      <w:sz w:val="18"/>
                      <w:szCs w:val="18"/>
                    </w:rPr>
                  </w:pPr>
                  <w:r>
                    <w:rPr>
                      <w:rFonts w:hint="eastAsia"/>
                      <w:bCs/>
                      <w:sz w:val="18"/>
                      <w:szCs w:val="18"/>
                    </w:rPr>
                    <w:t>污染地块管控要求</w:t>
                  </w:r>
                </w:p>
                <w:p w14:paraId="4652F67F">
                  <w:pPr>
                    <w:adjustRightInd w:val="0"/>
                    <w:snapToGrid w:val="0"/>
                    <w:jc w:val="left"/>
                    <w:rPr>
                      <w:bCs/>
                      <w:sz w:val="18"/>
                      <w:szCs w:val="18"/>
                    </w:rPr>
                  </w:pPr>
                  <w:r>
                    <w:rPr>
                      <w:rFonts w:hint="eastAsia"/>
                      <w:bCs/>
                      <w:sz w:val="18"/>
                      <w:szCs w:val="18"/>
                    </w:rPr>
                    <w:t>1.有一定危险性仓库用地远离市区，按有关规范选址和建设，留够防护距离。</w:t>
                  </w:r>
                </w:p>
                <w:p w14:paraId="77987D62">
                  <w:pPr>
                    <w:adjustRightInd w:val="0"/>
                    <w:snapToGrid w:val="0"/>
                    <w:jc w:val="left"/>
                    <w:rPr>
                      <w:bCs/>
                      <w:sz w:val="18"/>
                      <w:szCs w:val="18"/>
                    </w:rPr>
                  </w:pPr>
                  <w:r>
                    <w:rPr>
                      <w:rFonts w:hint="eastAsia"/>
                      <w:bCs/>
                      <w:sz w:val="18"/>
                      <w:szCs w:val="18"/>
                    </w:rPr>
                    <w:t>2.城镇开发边界的划定避让永久基本农田红线和生态保护红线，避开蓄滞洪区、地质灾害易发区等。</w:t>
                  </w:r>
                </w:p>
                <w:p w14:paraId="3AA3890E">
                  <w:pPr>
                    <w:adjustRightInd w:val="0"/>
                    <w:snapToGrid w:val="0"/>
                    <w:jc w:val="left"/>
                    <w:rPr>
                      <w:bCs/>
                      <w:sz w:val="18"/>
                      <w:szCs w:val="18"/>
                    </w:rPr>
                  </w:pPr>
                  <w:r>
                    <w:rPr>
                      <w:rFonts w:hint="eastAsia"/>
                      <w:bCs/>
                      <w:sz w:val="18"/>
                      <w:szCs w:val="18"/>
                    </w:rPr>
                    <w:t>3.其他参照遂宁市总体准入要求-城镇重点管控单元</w:t>
                  </w:r>
                </w:p>
                <w:p w14:paraId="1B44B5B8">
                  <w:pPr>
                    <w:adjustRightInd w:val="0"/>
                    <w:snapToGrid w:val="0"/>
                    <w:jc w:val="left"/>
                    <w:rPr>
                      <w:bCs/>
                      <w:sz w:val="18"/>
                      <w:szCs w:val="18"/>
                    </w:rPr>
                  </w:pPr>
                  <w:r>
                    <w:rPr>
                      <w:rFonts w:hint="eastAsia"/>
                      <w:bCs/>
                      <w:sz w:val="18"/>
                      <w:szCs w:val="18"/>
                    </w:rPr>
                    <w:t>园区环境风险防控要求</w:t>
                  </w:r>
                </w:p>
                <w:p w14:paraId="2B155A7B">
                  <w:pPr>
                    <w:adjustRightInd w:val="0"/>
                    <w:snapToGrid w:val="0"/>
                    <w:jc w:val="left"/>
                    <w:rPr>
                      <w:bCs/>
                      <w:sz w:val="18"/>
                      <w:szCs w:val="18"/>
                    </w:rPr>
                  </w:pPr>
                  <w:r>
                    <w:rPr>
                      <w:rFonts w:hint="eastAsia"/>
                      <w:bCs/>
                      <w:sz w:val="18"/>
                      <w:szCs w:val="18"/>
                    </w:rPr>
                    <w:t>/</w:t>
                  </w:r>
                </w:p>
                <w:p w14:paraId="6B1CD89D">
                  <w:pPr>
                    <w:adjustRightInd w:val="0"/>
                    <w:snapToGrid w:val="0"/>
                    <w:jc w:val="left"/>
                    <w:rPr>
                      <w:bCs/>
                      <w:sz w:val="18"/>
                      <w:szCs w:val="18"/>
                    </w:rPr>
                  </w:pPr>
                  <w:r>
                    <w:rPr>
                      <w:rFonts w:hint="eastAsia"/>
                      <w:bCs/>
                      <w:sz w:val="18"/>
                      <w:szCs w:val="18"/>
                    </w:rPr>
                    <w:t>企业环境风险防控要求</w:t>
                  </w:r>
                </w:p>
                <w:p w14:paraId="6F104076">
                  <w:pPr>
                    <w:adjustRightInd w:val="0"/>
                    <w:snapToGrid w:val="0"/>
                    <w:jc w:val="left"/>
                    <w:rPr>
                      <w:bCs/>
                      <w:sz w:val="18"/>
                      <w:szCs w:val="18"/>
                    </w:rPr>
                  </w:pPr>
                  <w:r>
                    <w:rPr>
                      <w:rFonts w:hint="eastAsia"/>
                      <w:bCs/>
                      <w:sz w:val="18"/>
                      <w:szCs w:val="18"/>
                    </w:rPr>
                    <w:t>参照遂宁市总体准入要求-城镇重点管控单元</w:t>
                  </w:r>
                </w:p>
                <w:p w14:paraId="15DB2BA4">
                  <w:pPr>
                    <w:adjustRightInd w:val="0"/>
                    <w:snapToGrid w:val="0"/>
                    <w:jc w:val="left"/>
                    <w:rPr>
                      <w:bCs/>
                      <w:sz w:val="18"/>
                      <w:szCs w:val="18"/>
                    </w:rPr>
                  </w:pPr>
                  <w:r>
                    <w:rPr>
                      <w:rFonts w:hint="eastAsia"/>
                      <w:bCs/>
                      <w:sz w:val="18"/>
                      <w:szCs w:val="18"/>
                    </w:rPr>
                    <w:t>其他环境风险防控要求</w:t>
                  </w:r>
                </w:p>
                <w:p w14:paraId="1F373304">
                  <w:pPr>
                    <w:adjustRightInd w:val="0"/>
                    <w:snapToGrid w:val="0"/>
                    <w:jc w:val="left"/>
                    <w:rPr>
                      <w:bCs/>
                      <w:sz w:val="18"/>
                      <w:szCs w:val="18"/>
                    </w:rPr>
                  </w:pPr>
                  <w:r>
                    <w:rPr>
                      <w:rFonts w:hint="eastAsia"/>
                      <w:bCs/>
                      <w:sz w:val="18"/>
                      <w:szCs w:val="18"/>
                    </w:rPr>
                    <w:t>/</w:t>
                  </w:r>
                </w:p>
              </w:tc>
              <w:tc>
                <w:tcPr>
                  <w:tcW w:w="1390" w:type="dxa"/>
                  <w:vAlign w:val="center"/>
                </w:tcPr>
                <w:p w14:paraId="31435285">
                  <w:pPr>
                    <w:adjustRightInd w:val="0"/>
                    <w:snapToGrid w:val="0"/>
                    <w:jc w:val="center"/>
                    <w:rPr>
                      <w:bCs/>
                      <w:sz w:val="18"/>
                      <w:szCs w:val="18"/>
                    </w:rPr>
                  </w:pPr>
                  <w:r>
                    <w:rPr>
                      <w:rFonts w:hint="eastAsia"/>
                      <w:bCs/>
                      <w:sz w:val="18"/>
                      <w:szCs w:val="18"/>
                    </w:rPr>
                    <w:t>本项目选址建设符合大英县国土空间规划，位于城镇开发边界的划定区域内，避让永久基本农田红线和生态保护红线；运营期无废气产生，不会影响区域大气环境质量。</w:t>
                  </w:r>
                </w:p>
              </w:tc>
              <w:tc>
                <w:tcPr>
                  <w:tcW w:w="637" w:type="dxa"/>
                  <w:vAlign w:val="center"/>
                </w:tcPr>
                <w:p w14:paraId="47BC52C8">
                  <w:pPr>
                    <w:adjustRightInd w:val="0"/>
                    <w:snapToGrid w:val="0"/>
                    <w:jc w:val="center"/>
                    <w:rPr>
                      <w:bCs/>
                      <w:sz w:val="18"/>
                      <w:szCs w:val="18"/>
                    </w:rPr>
                  </w:pPr>
                  <w:r>
                    <w:rPr>
                      <w:bCs/>
                      <w:sz w:val="18"/>
                      <w:szCs w:val="18"/>
                    </w:rPr>
                    <w:t>符合</w:t>
                  </w:r>
                </w:p>
              </w:tc>
            </w:tr>
            <w:tr w14:paraId="00201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3D81C3B1">
                  <w:pPr>
                    <w:widowControl/>
                    <w:jc w:val="center"/>
                    <w:rPr>
                      <w:bCs/>
                      <w:sz w:val="18"/>
                      <w:szCs w:val="18"/>
                    </w:rPr>
                  </w:pPr>
                </w:p>
              </w:tc>
              <w:tc>
                <w:tcPr>
                  <w:tcW w:w="236" w:type="dxa"/>
                  <w:vMerge w:val="continue"/>
                  <w:vAlign w:val="center"/>
                </w:tcPr>
                <w:p w14:paraId="163EA850">
                  <w:pPr>
                    <w:widowControl/>
                    <w:jc w:val="center"/>
                    <w:rPr>
                      <w:bCs/>
                      <w:sz w:val="18"/>
                      <w:szCs w:val="18"/>
                    </w:rPr>
                  </w:pPr>
                </w:p>
              </w:tc>
              <w:tc>
                <w:tcPr>
                  <w:tcW w:w="790" w:type="dxa"/>
                  <w:vAlign w:val="center"/>
                </w:tcPr>
                <w:p w14:paraId="15BE094D">
                  <w:pPr>
                    <w:pStyle w:val="113"/>
                    <w:spacing w:line="240" w:lineRule="auto"/>
                    <w:ind w:firstLine="0" w:firstLineChars="0"/>
                    <w:jc w:val="center"/>
                    <w:rPr>
                      <w:rFonts w:eastAsia="宋体"/>
                      <w:bCs/>
                      <w:sz w:val="18"/>
                      <w:szCs w:val="18"/>
                    </w:rPr>
                  </w:pPr>
                  <w:r>
                    <w:rPr>
                      <w:rFonts w:eastAsia="宋体"/>
                      <w:bCs/>
                      <w:sz w:val="18"/>
                      <w:szCs w:val="18"/>
                    </w:rPr>
                    <w:t>资源开发效率要求</w:t>
                  </w:r>
                </w:p>
              </w:tc>
              <w:tc>
                <w:tcPr>
                  <w:tcW w:w="9242" w:type="dxa"/>
                  <w:vAlign w:val="center"/>
                </w:tcPr>
                <w:p w14:paraId="0C774325">
                  <w:pPr>
                    <w:adjustRightInd w:val="0"/>
                    <w:snapToGrid w:val="0"/>
                    <w:jc w:val="left"/>
                    <w:rPr>
                      <w:bCs/>
                      <w:sz w:val="18"/>
                      <w:szCs w:val="18"/>
                    </w:rPr>
                  </w:pPr>
                  <w:r>
                    <w:rPr>
                      <w:rFonts w:hint="eastAsia"/>
                      <w:bCs/>
                      <w:sz w:val="18"/>
                      <w:szCs w:val="18"/>
                    </w:rPr>
                    <w:t>水资源利用效率要求</w:t>
                  </w:r>
                </w:p>
                <w:p w14:paraId="687C0DF7">
                  <w:pPr>
                    <w:adjustRightInd w:val="0"/>
                    <w:snapToGrid w:val="0"/>
                    <w:jc w:val="left"/>
                    <w:rPr>
                      <w:bCs/>
                      <w:sz w:val="18"/>
                      <w:szCs w:val="18"/>
                    </w:rPr>
                  </w:pPr>
                  <w:r>
                    <w:rPr>
                      <w:rFonts w:hint="eastAsia"/>
                      <w:bCs/>
                      <w:sz w:val="18"/>
                      <w:szCs w:val="18"/>
                    </w:rPr>
                    <w:t>参照遂宁市总体准入要求-城镇重点管控单元</w:t>
                  </w:r>
                </w:p>
                <w:p w14:paraId="5EAC144A">
                  <w:pPr>
                    <w:adjustRightInd w:val="0"/>
                    <w:snapToGrid w:val="0"/>
                    <w:jc w:val="left"/>
                    <w:rPr>
                      <w:bCs/>
                      <w:sz w:val="18"/>
                      <w:szCs w:val="18"/>
                    </w:rPr>
                  </w:pPr>
                  <w:r>
                    <w:rPr>
                      <w:rFonts w:hint="eastAsia"/>
                      <w:bCs/>
                      <w:sz w:val="18"/>
                      <w:szCs w:val="18"/>
                    </w:rPr>
                    <w:t>地下水开采要求</w:t>
                  </w:r>
                </w:p>
                <w:p w14:paraId="4DD56899">
                  <w:pPr>
                    <w:adjustRightInd w:val="0"/>
                    <w:snapToGrid w:val="0"/>
                    <w:jc w:val="left"/>
                    <w:rPr>
                      <w:bCs/>
                      <w:sz w:val="18"/>
                      <w:szCs w:val="18"/>
                    </w:rPr>
                  </w:pPr>
                  <w:r>
                    <w:rPr>
                      <w:rFonts w:hint="eastAsia"/>
                      <w:bCs/>
                      <w:sz w:val="18"/>
                      <w:szCs w:val="18"/>
                    </w:rPr>
                    <w:t>（1）大英县2030年地下水开采控制控制量保持在0.06亿m</w:t>
                  </w:r>
                  <w:r>
                    <w:rPr>
                      <w:rFonts w:hint="eastAsia"/>
                      <w:bCs/>
                      <w:sz w:val="18"/>
                      <w:szCs w:val="18"/>
                      <w:vertAlign w:val="superscript"/>
                    </w:rPr>
                    <w:t>3</w:t>
                  </w:r>
                  <w:r>
                    <w:rPr>
                      <w:rFonts w:hint="eastAsia"/>
                      <w:bCs/>
                      <w:sz w:val="18"/>
                      <w:szCs w:val="18"/>
                    </w:rPr>
                    <w:t>以内。（2）全面建设节水型社会，达到合理高效用水。</w:t>
                  </w:r>
                </w:p>
                <w:p w14:paraId="0032636F">
                  <w:pPr>
                    <w:adjustRightInd w:val="0"/>
                    <w:snapToGrid w:val="0"/>
                    <w:jc w:val="left"/>
                    <w:rPr>
                      <w:bCs/>
                      <w:sz w:val="18"/>
                      <w:szCs w:val="18"/>
                    </w:rPr>
                  </w:pPr>
                  <w:r>
                    <w:rPr>
                      <w:rFonts w:hint="eastAsia"/>
                      <w:bCs/>
                      <w:sz w:val="18"/>
                      <w:szCs w:val="18"/>
                    </w:rPr>
                    <w:t>能源利用效率要求</w:t>
                  </w:r>
                </w:p>
                <w:p w14:paraId="2B10C0E9">
                  <w:pPr>
                    <w:adjustRightInd w:val="0"/>
                    <w:snapToGrid w:val="0"/>
                    <w:jc w:val="left"/>
                    <w:rPr>
                      <w:bCs/>
                      <w:sz w:val="18"/>
                      <w:szCs w:val="18"/>
                    </w:rPr>
                  </w:pPr>
                  <w:r>
                    <w:rPr>
                      <w:rFonts w:hint="eastAsia"/>
                      <w:bCs/>
                      <w:sz w:val="18"/>
                      <w:szCs w:val="18"/>
                    </w:rPr>
                    <w:t>参照遂宁市总体准入要求-城镇重点管控单元</w:t>
                  </w:r>
                </w:p>
                <w:p w14:paraId="0657AA7F">
                  <w:pPr>
                    <w:adjustRightInd w:val="0"/>
                    <w:snapToGrid w:val="0"/>
                    <w:jc w:val="left"/>
                    <w:rPr>
                      <w:bCs/>
                      <w:sz w:val="18"/>
                      <w:szCs w:val="18"/>
                    </w:rPr>
                  </w:pPr>
                  <w:r>
                    <w:rPr>
                      <w:rFonts w:hint="eastAsia"/>
                      <w:bCs/>
                      <w:sz w:val="18"/>
                      <w:szCs w:val="18"/>
                    </w:rPr>
                    <w:t>其他资源利用效率要求</w:t>
                  </w:r>
                </w:p>
                <w:p w14:paraId="0374A15F">
                  <w:pPr>
                    <w:adjustRightInd w:val="0"/>
                    <w:snapToGrid w:val="0"/>
                    <w:jc w:val="left"/>
                    <w:rPr>
                      <w:bCs/>
                      <w:sz w:val="18"/>
                      <w:szCs w:val="18"/>
                    </w:rPr>
                  </w:pPr>
                  <w:r>
                    <w:rPr>
                      <w:rFonts w:hint="eastAsia"/>
                      <w:bCs/>
                      <w:sz w:val="18"/>
                      <w:szCs w:val="18"/>
                    </w:rPr>
                    <w:t>禁燃区管控要求：参照遂宁市总体准入要求-城镇重点管控单元</w:t>
                  </w:r>
                </w:p>
              </w:tc>
              <w:tc>
                <w:tcPr>
                  <w:tcW w:w="1390" w:type="dxa"/>
                  <w:vAlign w:val="center"/>
                </w:tcPr>
                <w:p w14:paraId="3F733AE2">
                  <w:pPr>
                    <w:adjustRightInd w:val="0"/>
                    <w:snapToGrid w:val="0"/>
                    <w:jc w:val="center"/>
                    <w:rPr>
                      <w:bCs/>
                      <w:sz w:val="18"/>
                      <w:szCs w:val="18"/>
                    </w:rPr>
                  </w:pPr>
                  <w:r>
                    <w:rPr>
                      <w:rFonts w:hint="eastAsia"/>
                      <w:bCs/>
                      <w:sz w:val="18"/>
                      <w:szCs w:val="18"/>
                    </w:rPr>
                    <w:t>本项目</w:t>
                  </w:r>
                  <w:r>
                    <w:rPr>
                      <w:bCs/>
                      <w:sz w:val="18"/>
                      <w:szCs w:val="18"/>
                    </w:rPr>
                    <w:t>不涉及地下水开采</w:t>
                  </w:r>
                </w:p>
              </w:tc>
              <w:tc>
                <w:tcPr>
                  <w:tcW w:w="637" w:type="dxa"/>
                  <w:vAlign w:val="center"/>
                </w:tcPr>
                <w:p w14:paraId="0494DA75">
                  <w:pPr>
                    <w:adjustRightInd w:val="0"/>
                    <w:snapToGrid w:val="0"/>
                    <w:jc w:val="center"/>
                    <w:rPr>
                      <w:bCs/>
                      <w:sz w:val="18"/>
                      <w:szCs w:val="18"/>
                    </w:rPr>
                  </w:pPr>
                  <w:r>
                    <w:rPr>
                      <w:bCs/>
                      <w:sz w:val="18"/>
                      <w:szCs w:val="18"/>
                    </w:rPr>
                    <w:t>符合</w:t>
                  </w:r>
                </w:p>
              </w:tc>
            </w:tr>
            <w:tr w14:paraId="04FA0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restart"/>
                  <w:vAlign w:val="center"/>
                </w:tcPr>
                <w:p w14:paraId="1F6615C2">
                  <w:pPr>
                    <w:adjustRightInd w:val="0"/>
                    <w:snapToGrid w:val="0"/>
                    <w:jc w:val="center"/>
                    <w:rPr>
                      <w:bCs/>
                      <w:sz w:val="18"/>
                      <w:szCs w:val="18"/>
                    </w:rPr>
                  </w:pPr>
                  <w:r>
                    <w:rPr>
                      <w:bCs/>
                      <w:sz w:val="18"/>
                      <w:szCs w:val="18"/>
                    </w:rPr>
                    <w:t>ZH51092320005大英县要素重点管控单元</w:t>
                  </w:r>
                </w:p>
              </w:tc>
              <w:tc>
                <w:tcPr>
                  <w:tcW w:w="236" w:type="dxa"/>
                  <w:vMerge w:val="restart"/>
                  <w:vAlign w:val="center"/>
                </w:tcPr>
                <w:p w14:paraId="366A1F4F">
                  <w:pPr>
                    <w:adjustRightInd w:val="0"/>
                    <w:snapToGrid w:val="0"/>
                    <w:rPr>
                      <w:bCs/>
                      <w:sz w:val="18"/>
                      <w:szCs w:val="18"/>
                    </w:rPr>
                  </w:pPr>
                  <w:r>
                    <w:rPr>
                      <w:bCs/>
                      <w:sz w:val="18"/>
                      <w:szCs w:val="18"/>
                    </w:rPr>
                    <w:t>单元级清单</w:t>
                  </w:r>
                </w:p>
              </w:tc>
              <w:tc>
                <w:tcPr>
                  <w:tcW w:w="790" w:type="dxa"/>
                  <w:vAlign w:val="center"/>
                </w:tcPr>
                <w:p w14:paraId="29BDC1D4">
                  <w:pPr>
                    <w:pStyle w:val="113"/>
                    <w:spacing w:line="240" w:lineRule="auto"/>
                    <w:ind w:firstLine="0" w:firstLineChars="0"/>
                    <w:jc w:val="center"/>
                    <w:rPr>
                      <w:rFonts w:eastAsia="宋体"/>
                      <w:bCs/>
                      <w:sz w:val="18"/>
                      <w:szCs w:val="18"/>
                    </w:rPr>
                  </w:pPr>
                  <w:r>
                    <w:rPr>
                      <w:rFonts w:eastAsia="宋体"/>
                      <w:bCs/>
                      <w:sz w:val="18"/>
                      <w:szCs w:val="18"/>
                    </w:rPr>
                    <w:t>空间布局约束</w:t>
                  </w:r>
                </w:p>
              </w:tc>
              <w:tc>
                <w:tcPr>
                  <w:tcW w:w="9242" w:type="dxa"/>
                  <w:vAlign w:val="center"/>
                </w:tcPr>
                <w:p w14:paraId="0A8E368F">
                  <w:pPr>
                    <w:adjustRightInd w:val="0"/>
                    <w:snapToGrid w:val="0"/>
                    <w:jc w:val="left"/>
                    <w:rPr>
                      <w:bCs/>
                      <w:sz w:val="18"/>
                      <w:szCs w:val="18"/>
                    </w:rPr>
                  </w:pPr>
                  <w:r>
                    <w:rPr>
                      <w:bCs/>
                      <w:sz w:val="18"/>
                      <w:szCs w:val="18"/>
                    </w:rPr>
                    <w:t>禁止开发建设活动的要求</w:t>
                  </w:r>
                </w:p>
                <w:p w14:paraId="3E45949F">
                  <w:pPr>
                    <w:adjustRightInd w:val="0"/>
                    <w:snapToGrid w:val="0"/>
                    <w:jc w:val="left"/>
                    <w:rPr>
                      <w:bCs/>
                      <w:sz w:val="18"/>
                      <w:szCs w:val="18"/>
                    </w:rPr>
                  </w:pPr>
                  <w:r>
                    <w:rPr>
                      <w:bCs/>
                      <w:sz w:val="18"/>
                      <w:szCs w:val="18"/>
                    </w:rPr>
                    <w:t>参照遂宁市总体准入要求-要素重点管控单元</w:t>
                  </w:r>
                </w:p>
                <w:p w14:paraId="1F16B726">
                  <w:pPr>
                    <w:adjustRightInd w:val="0"/>
                    <w:snapToGrid w:val="0"/>
                    <w:jc w:val="left"/>
                    <w:rPr>
                      <w:bCs/>
                      <w:sz w:val="18"/>
                      <w:szCs w:val="18"/>
                    </w:rPr>
                  </w:pPr>
                  <w:r>
                    <w:rPr>
                      <w:bCs/>
                      <w:sz w:val="18"/>
                      <w:szCs w:val="18"/>
                    </w:rPr>
                    <w:t>限制开发建设活动的要求</w:t>
                  </w:r>
                </w:p>
                <w:p w14:paraId="568EE760">
                  <w:pPr>
                    <w:adjustRightInd w:val="0"/>
                    <w:snapToGrid w:val="0"/>
                    <w:jc w:val="left"/>
                    <w:rPr>
                      <w:bCs/>
                      <w:sz w:val="18"/>
                      <w:szCs w:val="18"/>
                    </w:rPr>
                  </w:pPr>
                  <w:r>
                    <w:rPr>
                      <w:bCs/>
                      <w:sz w:val="18"/>
                      <w:szCs w:val="18"/>
                    </w:rPr>
                    <w:t>参照遂宁市总体准入要求-要素重点管控单元</w:t>
                  </w:r>
                </w:p>
                <w:p w14:paraId="7800F5D3">
                  <w:pPr>
                    <w:adjustRightInd w:val="0"/>
                    <w:snapToGrid w:val="0"/>
                    <w:jc w:val="left"/>
                    <w:rPr>
                      <w:bCs/>
                      <w:sz w:val="18"/>
                      <w:szCs w:val="18"/>
                    </w:rPr>
                  </w:pPr>
                  <w:r>
                    <w:rPr>
                      <w:bCs/>
                      <w:sz w:val="18"/>
                      <w:szCs w:val="18"/>
                    </w:rPr>
                    <w:t>允许开发建设活动的要求</w:t>
                  </w:r>
                </w:p>
                <w:p w14:paraId="16B8815A">
                  <w:pPr>
                    <w:adjustRightInd w:val="0"/>
                    <w:snapToGrid w:val="0"/>
                    <w:jc w:val="left"/>
                    <w:rPr>
                      <w:bCs/>
                      <w:sz w:val="18"/>
                      <w:szCs w:val="18"/>
                    </w:rPr>
                  </w:pPr>
                  <w:r>
                    <w:rPr>
                      <w:bCs/>
                      <w:sz w:val="18"/>
                      <w:szCs w:val="18"/>
                    </w:rPr>
                    <w:t>/</w:t>
                  </w:r>
                </w:p>
                <w:p w14:paraId="0F3C6C86">
                  <w:pPr>
                    <w:adjustRightInd w:val="0"/>
                    <w:snapToGrid w:val="0"/>
                    <w:jc w:val="left"/>
                    <w:rPr>
                      <w:bCs/>
                      <w:sz w:val="18"/>
                      <w:szCs w:val="18"/>
                    </w:rPr>
                  </w:pPr>
                  <w:r>
                    <w:rPr>
                      <w:bCs/>
                      <w:sz w:val="18"/>
                      <w:szCs w:val="18"/>
                    </w:rPr>
                    <w:t>不符合空间布局要求活动的退出要求</w:t>
                  </w:r>
                </w:p>
                <w:p w14:paraId="5B03D102">
                  <w:pPr>
                    <w:adjustRightInd w:val="0"/>
                    <w:snapToGrid w:val="0"/>
                    <w:jc w:val="left"/>
                    <w:rPr>
                      <w:bCs/>
                      <w:sz w:val="18"/>
                      <w:szCs w:val="18"/>
                    </w:rPr>
                  </w:pPr>
                  <w:r>
                    <w:rPr>
                      <w:bCs/>
                      <w:sz w:val="18"/>
                      <w:szCs w:val="18"/>
                    </w:rPr>
                    <w:t>1.位于城镇空间外的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14:paraId="667E3034">
                  <w:pPr>
                    <w:adjustRightInd w:val="0"/>
                    <w:snapToGrid w:val="0"/>
                    <w:jc w:val="left"/>
                    <w:rPr>
                      <w:bCs/>
                      <w:sz w:val="18"/>
                      <w:szCs w:val="18"/>
                    </w:rPr>
                  </w:pPr>
                  <w:r>
                    <w:rPr>
                      <w:bCs/>
                      <w:sz w:val="18"/>
                      <w:szCs w:val="18"/>
                    </w:rPr>
                    <w:t>2.其他参照遂宁市总体准入要求-要素重点管控单元</w:t>
                  </w:r>
                </w:p>
                <w:p w14:paraId="7B442BE6">
                  <w:pPr>
                    <w:adjustRightInd w:val="0"/>
                    <w:snapToGrid w:val="0"/>
                    <w:jc w:val="left"/>
                    <w:rPr>
                      <w:bCs/>
                      <w:sz w:val="18"/>
                      <w:szCs w:val="18"/>
                    </w:rPr>
                  </w:pPr>
                  <w:r>
                    <w:rPr>
                      <w:bCs/>
                      <w:sz w:val="18"/>
                      <w:szCs w:val="18"/>
                    </w:rPr>
                    <w:t>其他空间布局约束要求</w:t>
                  </w:r>
                </w:p>
                <w:p w14:paraId="2F2AA6C8">
                  <w:pPr>
                    <w:adjustRightInd w:val="0"/>
                    <w:snapToGrid w:val="0"/>
                    <w:jc w:val="left"/>
                    <w:rPr>
                      <w:bCs/>
                      <w:sz w:val="18"/>
                      <w:szCs w:val="18"/>
                    </w:rPr>
                  </w:pPr>
                  <w:r>
                    <w:rPr>
                      <w:bCs/>
                      <w:sz w:val="18"/>
                      <w:szCs w:val="18"/>
                    </w:rPr>
                    <w:t>/</w:t>
                  </w:r>
                </w:p>
              </w:tc>
              <w:tc>
                <w:tcPr>
                  <w:tcW w:w="1390" w:type="dxa"/>
                  <w:vAlign w:val="center"/>
                </w:tcPr>
                <w:p w14:paraId="336283A4">
                  <w:pPr>
                    <w:adjustRightInd w:val="0"/>
                    <w:snapToGrid w:val="0"/>
                    <w:jc w:val="center"/>
                    <w:rPr>
                      <w:bCs/>
                      <w:sz w:val="18"/>
                      <w:szCs w:val="18"/>
                    </w:rPr>
                  </w:pPr>
                  <w:r>
                    <w:rPr>
                      <w:rFonts w:hint="eastAsia"/>
                      <w:bCs/>
                      <w:sz w:val="18"/>
                      <w:szCs w:val="18"/>
                    </w:rPr>
                    <w:t>本项目不属于水</w:t>
                  </w:r>
                  <w:r>
                    <w:rPr>
                      <w:bCs/>
                      <w:sz w:val="18"/>
                      <w:szCs w:val="18"/>
                    </w:rPr>
                    <w:t>泥厂、危废焚烧、陶瓷厂等</w:t>
                  </w:r>
                  <w:r>
                    <w:rPr>
                      <w:rFonts w:hint="eastAsia"/>
                      <w:bCs/>
                      <w:sz w:val="18"/>
                      <w:szCs w:val="18"/>
                    </w:rPr>
                    <w:t>污染项目，符合大英县空间布局要求。</w:t>
                  </w:r>
                </w:p>
              </w:tc>
              <w:tc>
                <w:tcPr>
                  <w:tcW w:w="637" w:type="dxa"/>
                  <w:vAlign w:val="center"/>
                </w:tcPr>
                <w:p w14:paraId="4262E171">
                  <w:pPr>
                    <w:adjustRightInd w:val="0"/>
                    <w:snapToGrid w:val="0"/>
                    <w:jc w:val="center"/>
                    <w:rPr>
                      <w:bCs/>
                      <w:sz w:val="18"/>
                      <w:szCs w:val="18"/>
                    </w:rPr>
                  </w:pPr>
                  <w:r>
                    <w:rPr>
                      <w:rFonts w:hint="eastAsia"/>
                      <w:bCs/>
                      <w:sz w:val="18"/>
                      <w:szCs w:val="18"/>
                    </w:rPr>
                    <w:t>符合</w:t>
                  </w:r>
                </w:p>
              </w:tc>
            </w:tr>
            <w:tr w14:paraId="5CF8A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4FFC6915">
                  <w:pPr>
                    <w:widowControl/>
                    <w:jc w:val="center"/>
                    <w:rPr>
                      <w:bCs/>
                      <w:sz w:val="18"/>
                      <w:szCs w:val="18"/>
                    </w:rPr>
                  </w:pPr>
                </w:p>
              </w:tc>
              <w:tc>
                <w:tcPr>
                  <w:tcW w:w="236" w:type="dxa"/>
                  <w:vMerge w:val="continue"/>
                  <w:vAlign w:val="center"/>
                </w:tcPr>
                <w:p w14:paraId="7E66089C">
                  <w:pPr>
                    <w:widowControl/>
                    <w:jc w:val="center"/>
                    <w:rPr>
                      <w:bCs/>
                      <w:sz w:val="18"/>
                      <w:szCs w:val="18"/>
                    </w:rPr>
                  </w:pPr>
                </w:p>
              </w:tc>
              <w:tc>
                <w:tcPr>
                  <w:tcW w:w="790" w:type="dxa"/>
                  <w:vAlign w:val="center"/>
                </w:tcPr>
                <w:p w14:paraId="78300439">
                  <w:pPr>
                    <w:pStyle w:val="113"/>
                    <w:spacing w:line="240" w:lineRule="auto"/>
                    <w:ind w:firstLine="0" w:firstLineChars="0"/>
                    <w:jc w:val="center"/>
                    <w:rPr>
                      <w:rFonts w:eastAsia="宋体"/>
                      <w:bCs/>
                      <w:sz w:val="18"/>
                      <w:szCs w:val="18"/>
                    </w:rPr>
                  </w:pPr>
                  <w:r>
                    <w:rPr>
                      <w:rFonts w:eastAsia="宋体"/>
                      <w:bCs/>
                      <w:sz w:val="18"/>
                      <w:szCs w:val="18"/>
                    </w:rPr>
                    <w:t>污染物排放管控</w:t>
                  </w:r>
                </w:p>
              </w:tc>
              <w:tc>
                <w:tcPr>
                  <w:tcW w:w="9242" w:type="dxa"/>
                  <w:vAlign w:val="center"/>
                </w:tcPr>
                <w:p w14:paraId="289A64B9">
                  <w:pPr>
                    <w:adjustRightInd w:val="0"/>
                    <w:snapToGrid w:val="0"/>
                    <w:jc w:val="left"/>
                    <w:rPr>
                      <w:bCs/>
                      <w:sz w:val="18"/>
                      <w:szCs w:val="18"/>
                    </w:rPr>
                  </w:pPr>
                  <w:r>
                    <w:rPr>
                      <w:bCs/>
                      <w:sz w:val="18"/>
                      <w:szCs w:val="18"/>
                    </w:rPr>
                    <w:t>现有源提标升级改造</w:t>
                  </w:r>
                </w:p>
                <w:p w14:paraId="201CF7A6">
                  <w:pPr>
                    <w:adjustRightInd w:val="0"/>
                    <w:snapToGrid w:val="0"/>
                    <w:jc w:val="left"/>
                    <w:rPr>
                      <w:bCs/>
                      <w:sz w:val="18"/>
                      <w:szCs w:val="18"/>
                    </w:rPr>
                  </w:pPr>
                  <w:r>
                    <w:rPr>
                      <w:bCs/>
                      <w:sz w:val="18"/>
                      <w:szCs w:val="18"/>
                    </w:rPr>
                    <w:t>1.加快补齐建制镇污水处理短板，不断完善污水收集管网，确保建制镇污水处理厂稳定运行。</w:t>
                  </w:r>
                </w:p>
                <w:p w14:paraId="0773D6AA">
                  <w:pPr>
                    <w:adjustRightInd w:val="0"/>
                    <w:snapToGrid w:val="0"/>
                    <w:jc w:val="left"/>
                    <w:rPr>
                      <w:bCs/>
                      <w:sz w:val="18"/>
                      <w:szCs w:val="18"/>
                    </w:rPr>
                  </w:pPr>
                  <w:r>
                    <w:rPr>
                      <w:bCs/>
                      <w:sz w:val="18"/>
                      <w:szCs w:val="18"/>
                    </w:rPr>
                    <w:t>2.水环境农业污染重点管控区全面开展黑臭水体排查，科学推进黑臭水体治理。</w:t>
                  </w:r>
                </w:p>
                <w:p w14:paraId="705CAB4F">
                  <w:pPr>
                    <w:adjustRightInd w:val="0"/>
                    <w:snapToGrid w:val="0"/>
                    <w:jc w:val="left"/>
                    <w:rPr>
                      <w:bCs/>
                      <w:sz w:val="18"/>
                      <w:szCs w:val="18"/>
                    </w:rPr>
                  </w:pPr>
                  <w:r>
                    <w:rPr>
                      <w:bCs/>
                      <w:sz w:val="18"/>
                      <w:szCs w:val="18"/>
                    </w:rPr>
                    <w:t>3.其他参照遂宁市总体准入要求-要素重点管控单元。</w:t>
                  </w:r>
                </w:p>
                <w:p w14:paraId="412020B4">
                  <w:pPr>
                    <w:adjustRightInd w:val="0"/>
                    <w:snapToGrid w:val="0"/>
                    <w:jc w:val="left"/>
                    <w:rPr>
                      <w:bCs/>
                      <w:sz w:val="18"/>
                      <w:szCs w:val="18"/>
                    </w:rPr>
                  </w:pPr>
                  <w:r>
                    <w:rPr>
                      <w:bCs/>
                      <w:sz w:val="18"/>
                      <w:szCs w:val="18"/>
                    </w:rPr>
                    <w:t>新增源等量或倍量替代</w:t>
                  </w:r>
                </w:p>
                <w:p w14:paraId="2851A0CE">
                  <w:pPr>
                    <w:adjustRightInd w:val="0"/>
                    <w:snapToGrid w:val="0"/>
                    <w:jc w:val="left"/>
                    <w:rPr>
                      <w:bCs/>
                      <w:sz w:val="18"/>
                      <w:szCs w:val="18"/>
                    </w:rPr>
                  </w:pPr>
                  <w:r>
                    <w:rPr>
                      <w:bCs/>
                      <w:sz w:val="18"/>
                      <w:szCs w:val="18"/>
                    </w:rPr>
                    <w:t>1</w:t>
                  </w:r>
                  <w:r>
                    <w:rPr>
                      <w:rFonts w:hint="eastAsia"/>
                      <w:bCs/>
                      <w:sz w:val="18"/>
                      <w:szCs w:val="18"/>
                    </w:rPr>
                    <w:t>.</w:t>
                  </w:r>
                  <w:r>
                    <w:rPr>
                      <w:bCs/>
                      <w:sz w:val="18"/>
                      <w:szCs w:val="18"/>
                    </w:rPr>
                    <w:t>上一年度水环境质量未完成目标的，新建排放水污染的建设项目按照总量管控要求进行倍量削减替代。</w:t>
                  </w:r>
                </w:p>
                <w:p w14:paraId="062A2F7C">
                  <w:pPr>
                    <w:adjustRightInd w:val="0"/>
                    <w:snapToGrid w:val="0"/>
                    <w:jc w:val="left"/>
                    <w:rPr>
                      <w:bCs/>
                      <w:sz w:val="18"/>
                      <w:szCs w:val="18"/>
                    </w:rPr>
                  </w:pPr>
                  <w:r>
                    <w:rPr>
                      <w:bCs/>
                      <w:sz w:val="18"/>
                      <w:szCs w:val="18"/>
                    </w:rPr>
                    <w:t>2</w:t>
                  </w:r>
                  <w:r>
                    <w:rPr>
                      <w:rFonts w:hint="eastAsia"/>
                      <w:bCs/>
                      <w:sz w:val="18"/>
                      <w:szCs w:val="18"/>
                    </w:rPr>
                    <w:t>.</w:t>
                  </w:r>
                  <w:r>
                    <w:rPr>
                      <w:bCs/>
                      <w:sz w:val="18"/>
                      <w:szCs w:val="18"/>
                    </w:rPr>
                    <w:t>其他参照遂宁市总体准入要求-要素重点管控单元。</w:t>
                  </w:r>
                </w:p>
                <w:p w14:paraId="3E731E1F">
                  <w:pPr>
                    <w:adjustRightInd w:val="0"/>
                    <w:snapToGrid w:val="0"/>
                    <w:jc w:val="left"/>
                    <w:rPr>
                      <w:bCs/>
                      <w:sz w:val="18"/>
                      <w:szCs w:val="18"/>
                    </w:rPr>
                  </w:pPr>
                  <w:r>
                    <w:rPr>
                      <w:bCs/>
                      <w:sz w:val="18"/>
                      <w:szCs w:val="18"/>
                    </w:rPr>
                    <w:t>新增源排放标准限值</w:t>
                  </w:r>
                </w:p>
                <w:p w14:paraId="61E414F9">
                  <w:pPr>
                    <w:adjustRightInd w:val="0"/>
                    <w:snapToGrid w:val="0"/>
                    <w:jc w:val="left"/>
                    <w:rPr>
                      <w:bCs/>
                      <w:sz w:val="18"/>
                      <w:szCs w:val="18"/>
                    </w:rPr>
                  </w:pPr>
                  <w:r>
                    <w:rPr>
                      <w:bCs/>
                      <w:sz w:val="18"/>
                      <w:szCs w:val="18"/>
                    </w:rPr>
                    <w:t>1.水环境农业污染重点农村生活污水处理设施排水执行《农村生活污水处理设施水污染物排放标准》（DB 51 2626-2019）要求。</w:t>
                  </w:r>
                </w:p>
                <w:p w14:paraId="1D75B7BC">
                  <w:pPr>
                    <w:adjustRightInd w:val="0"/>
                    <w:snapToGrid w:val="0"/>
                    <w:jc w:val="left"/>
                    <w:rPr>
                      <w:bCs/>
                      <w:sz w:val="18"/>
                      <w:szCs w:val="18"/>
                    </w:rPr>
                  </w:pPr>
                  <w:r>
                    <w:rPr>
                      <w:bCs/>
                      <w:sz w:val="18"/>
                      <w:szCs w:val="18"/>
                    </w:rPr>
                    <w:t>2.其他参照遂宁市总体准入要求-要素重点管控单元。</w:t>
                  </w:r>
                </w:p>
                <w:p w14:paraId="06D417D0">
                  <w:pPr>
                    <w:adjustRightInd w:val="0"/>
                    <w:snapToGrid w:val="0"/>
                    <w:jc w:val="left"/>
                    <w:rPr>
                      <w:bCs/>
                      <w:sz w:val="18"/>
                      <w:szCs w:val="18"/>
                    </w:rPr>
                  </w:pPr>
                  <w:r>
                    <w:rPr>
                      <w:bCs/>
                      <w:sz w:val="18"/>
                      <w:szCs w:val="18"/>
                    </w:rPr>
                    <w:t>污染物排放绩效水平准入要求</w:t>
                  </w:r>
                </w:p>
                <w:p w14:paraId="5F0EBDA6">
                  <w:pPr>
                    <w:adjustRightInd w:val="0"/>
                    <w:snapToGrid w:val="0"/>
                    <w:jc w:val="left"/>
                    <w:rPr>
                      <w:bCs/>
                      <w:sz w:val="18"/>
                      <w:szCs w:val="18"/>
                    </w:rPr>
                  </w:pPr>
                  <w:r>
                    <w:rPr>
                      <w:bCs/>
                      <w:sz w:val="18"/>
                      <w:szCs w:val="18"/>
                    </w:rPr>
                    <w:t>参照遂宁市总体准入要求-要素重点管控单元</w:t>
                  </w:r>
                </w:p>
                <w:p w14:paraId="0A27504B">
                  <w:pPr>
                    <w:adjustRightInd w:val="0"/>
                    <w:snapToGrid w:val="0"/>
                    <w:jc w:val="left"/>
                    <w:rPr>
                      <w:bCs/>
                      <w:sz w:val="18"/>
                      <w:szCs w:val="18"/>
                    </w:rPr>
                  </w:pPr>
                  <w:r>
                    <w:rPr>
                      <w:bCs/>
                      <w:sz w:val="18"/>
                      <w:szCs w:val="18"/>
                    </w:rPr>
                    <w:t>其他污染物排放管控要求</w:t>
                  </w:r>
                </w:p>
                <w:p w14:paraId="0ED04AE6">
                  <w:pPr>
                    <w:adjustRightInd w:val="0"/>
                    <w:snapToGrid w:val="0"/>
                    <w:jc w:val="left"/>
                    <w:rPr>
                      <w:bCs/>
                      <w:sz w:val="18"/>
                      <w:szCs w:val="18"/>
                    </w:rPr>
                  </w:pPr>
                  <w:r>
                    <w:rPr>
                      <w:bCs/>
                      <w:sz w:val="18"/>
                      <w:szCs w:val="18"/>
                    </w:rPr>
                    <w:t>/</w:t>
                  </w:r>
                </w:p>
              </w:tc>
              <w:tc>
                <w:tcPr>
                  <w:tcW w:w="1390" w:type="dxa"/>
                  <w:vAlign w:val="center"/>
                </w:tcPr>
                <w:p w14:paraId="6152CA44">
                  <w:pPr>
                    <w:adjustRightInd w:val="0"/>
                    <w:snapToGrid w:val="0"/>
                    <w:jc w:val="center"/>
                    <w:rPr>
                      <w:bCs/>
                      <w:sz w:val="18"/>
                      <w:szCs w:val="18"/>
                    </w:rPr>
                  </w:pPr>
                  <w:r>
                    <w:rPr>
                      <w:bCs/>
                      <w:sz w:val="18"/>
                      <w:szCs w:val="18"/>
                    </w:rPr>
                    <w:t>本项目为</w:t>
                  </w:r>
                  <w:r>
                    <w:rPr>
                      <w:rFonts w:hint="eastAsia"/>
                      <w:bCs/>
                      <w:sz w:val="18"/>
                      <w:szCs w:val="18"/>
                    </w:rPr>
                    <w:t>城市道路</w:t>
                  </w:r>
                  <w:r>
                    <w:rPr>
                      <w:bCs/>
                      <w:sz w:val="18"/>
                      <w:szCs w:val="18"/>
                    </w:rPr>
                    <w:t>建设项目</w:t>
                  </w:r>
                  <w:r>
                    <w:rPr>
                      <w:rFonts w:hint="eastAsia"/>
                      <w:bCs/>
                      <w:sz w:val="18"/>
                      <w:szCs w:val="18"/>
                    </w:rPr>
                    <w:t>，运营期无废水、废气产生，符合大英县</w:t>
                  </w:r>
                  <w:r>
                    <w:rPr>
                      <w:bCs/>
                      <w:sz w:val="18"/>
                      <w:szCs w:val="18"/>
                    </w:rPr>
                    <w:t>污染物排放管控</w:t>
                  </w:r>
                  <w:r>
                    <w:rPr>
                      <w:rFonts w:hint="eastAsia"/>
                      <w:bCs/>
                      <w:sz w:val="18"/>
                      <w:szCs w:val="18"/>
                    </w:rPr>
                    <w:t>要求。</w:t>
                  </w:r>
                </w:p>
              </w:tc>
              <w:tc>
                <w:tcPr>
                  <w:tcW w:w="637" w:type="dxa"/>
                  <w:vAlign w:val="center"/>
                </w:tcPr>
                <w:p w14:paraId="7FBD74C1">
                  <w:pPr>
                    <w:adjustRightInd w:val="0"/>
                    <w:snapToGrid w:val="0"/>
                    <w:jc w:val="center"/>
                    <w:rPr>
                      <w:bCs/>
                      <w:sz w:val="18"/>
                      <w:szCs w:val="18"/>
                    </w:rPr>
                  </w:pPr>
                  <w:r>
                    <w:rPr>
                      <w:rFonts w:hint="eastAsia"/>
                      <w:bCs/>
                      <w:sz w:val="18"/>
                      <w:szCs w:val="18"/>
                    </w:rPr>
                    <w:t>符合</w:t>
                  </w:r>
                </w:p>
              </w:tc>
            </w:tr>
            <w:tr w14:paraId="04146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39E7A228">
                  <w:pPr>
                    <w:widowControl/>
                    <w:jc w:val="center"/>
                    <w:rPr>
                      <w:bCs/>
                      <w:sz w:val="18"/>
                      <w:szCs w:val="18"/>
                    </w:rPr>
                  </w:pPr>
                </w:p>
              </w:tc>
              <w:tc>
                <w:tcPr>
                  <w:tcW w:w="236" w:type="dxa"/>
                  <w:vMerge w:val="continue"/>
                  <w:vAlign w:val="center"/>
                </w:tcPr>
                <w:p w14:paraId="43A825B1">
                  <w:pPr>
                    <w:widowControl/>
                    <w:jc w:val="center"/>
                    <w:rPr>
                      <w:bCs/>
                      <w:sz w:val="18"/>
                      <w:szCs w:val="18"/>
                    </w:rPr>
                  </w:pPr>
                </w:p>
              </w:tc>
              <w:tc>
                <w:tcPr>
                  <w:tcW w:w="790" w:type="dxa"/>
                  <w:vAlign w:val="center"/>
                </w:tcPr>
                <w:p w14:paraId="5FC820D7">
                  <w:pPr>
                    <w:pStyle w:val="113"/>
                    <w:spacing w:line="240" w:lineRule="auto"/>
                    <w:ind w:firstLine="0" w:firstLineChars="0"/>
                    <w:jc w:val="center"/>
                    <w:rPr>
                      <w:rFonts w:eastAsia="宋体"/>
                      <w:bCs/>
                      <w:sz w:val="18"/>
                      <w:szCs w:val="18"/>
                    </w:rPr>
                  </w:pPr>
                  <w:r>
                    <w:rPr>
                      <w:rFonts w:eastAsia="宋体"/>
                      <w:bCs/>
                      <w:sz w:val="18"/>
                      <w:szCs w:val="18"/>
                    </w:rPr>
                    <w:t>环境风险防控</w:t>
                  </w:r>
                </w:p>
              </w:tc>
              <w:tc>
                <w:tcPr>
                  <w:tcW w:w="9242" w:type="dxa"/>
                  <w:vAlign w:val="center"/>
                </w:tcPr>
                <w:p w14:paraId="621282D4">
                  <w:pPr>
                    <w:adjustRightInd w:val="0"/>
                    <w:snapToGrid w:val="0"/>
                    <w:jc w:val="left"/>
                    <w:rPr>
                      <w:bCs/>
                      <w:sz w:val="18"/>
                      <w:szCs w:val="18"/>
                    </w:rPr>
                  </w:pPr>
                  <w:r>
                    <w:rPr>
                      <w:bCs/>
                      <w:sz w:val="18"/>
                      <w:szCs w:val="18"/>
                    </w:rPr>
                    <w:t>严格管控类农用地管控要求</w:t>
                  </w:r>
                </w:p>
                <w:p w14:paraId="0AE391BC">
                  <w:pPr>
                    <w:adjustRightInd w:val="0"/>
                    <w:snapToGrid w:val="0"/>
                    <w:jc w:val="left"/>
                    <w:rPr>
                      <w:bCs/>
                      <w:sz w:val="18"/>
                      <w:szCs w:val="18"/>
                    </w:rPr>
                  </w:pPr>
                  <w:r>
                    <w:rPr>
                      <w:bCs/>
                      <w:sz w:val="18"/>
                      <w:szCs w:val="18"/>
                    </w:rPr>
                    <w:t>参照遂宁市总体准入要求-要素重点管控单元</w:t>
                  </w:r>
                </w:p>
                <w:p w14:paraId="500F6435">
                  <w:pPr>
                    <w:adjustRightInd w:val="0"/>
                    <w:snapToGrid w:val="0"/>
                    <w:jc w:val="left"/>
                    <w:rPr>
                      <w:bCs/>
                      <w:sz w:val="18"/>
                      <w:szCs w:val="18"/>
                    </w:rPr>
                  </w:pPr>
                  <w:r>
                    <w:rPr>
                      <w:bCs/>
                      <w:sz w:val="18"/>
                      <w:szCs w:val="18"/>
                    </w:rPr>
                    <w:t>安全利用类农用地管控要求</w:t>
                  </w:r>
                </w:p>
                <w:p w14:paraId="46A2F45B">
                  <w:pPr>
                    <w:adjustRightInd w:val="0"/>
                    <w:snapToGrid w:val="0"/>
                    <w:jc w:val="left"/>
                    <w:rPr>
                      <w:bCs/>
                      <w:sz w:val="18"/>
                      <w:szCs w:val="18"/>
                    </w:rPr>
                  </w:pPr>
                  <w:r>
                    <w:rPr>
                      <w:bCs/>
                      <w:sz w:val="18"/>
                      <w:szCs w:val="18"/>
                    </w:rPr>
                    <w:t>参照遂宁市总体准入要求-要素重点管控单元</w:t>
                  </w:r>
                </w:p>
                <w:p w14:paraId="5287E02C">
                  <w:pPr>
                    <w:adjustRightInd w:val="0"/>
                    <w:snapToGrid w:val="0"/>
                    <w:jc w:val="left"/>
                    <w:rPr>
                      <w:bCs/>
                      <w:sz w:val="18"/>
                      <w:szCs w:val="18"/>
                    </w:rPr>
                  </w:pPr>
                  <w:r>
                    <w:rPr>
                      <w:bCs/>
                      <w:sz w:val="18"/>
                      <w:szCs w:val="18"/>
                    </w:rPr>
                    <w:t>污染地块管控要求</w:t>
                  </w:r>
                </w:p>
                <w:p w14:paraId="2C67EA75">
                  <w:pPr>
                    <w:adjustRightInd w:val="0"/>
                    <w:snapToGrid w:val="0"/>
                    <w:jc w:val="left"/>
                    <w:rPr>
                      <w:bCs/>
                      <w:sz w:val="18"/>
                      <w:szCs w:val="18"/>
                    </w:rPr>
                  </w:pPr>
                  <w:r>
                    <w:rPr>
                      <w:bCs/>
                      <w:sz w:val="18"/>
                      <w:szCs w:val="18"/>
                    </w:rPr>
                    <w:t>参照遂宁市总体准入要求-要素重点管控单元</w:t>
                  </w:r>
                </w:p>
                <w:p w14:paraId="20244332">
                  <w:pPr>
                    <w:adjustRightInd w:val="0"/>
                    <w:snapToGrid w:val="0"/>
                    <w:jc w:val="left"/>
                    <w:rPr>
                      <w:bCs/>
                      <w:sz w:val="18"/>
                      <w:szCs w:val="18"/>
                    </w:rPr>
                  </w:pPr>
                  <w:r>
                    <w:rPr>
                      <w:bCs/>
                      <w:sz w:val="18"/>
                      <w:szCs w:val="18"/>
                    </w:rPr>
                    <w:t>园区环境风险防控要求</w:t>
                  </w:r>
                </w:p>
                <w:p w14:paraId="0B8536E9">
                  <w:pPr>
                    <w:adjustRightInd w:val="0"/>
                    <w:snapToGrid w:val="0"/>
                    <w:jc w:val="left"/>
                    <w:rPr>
                      <w:bCs/>
                      <w:sz w:val="18"/>
                      <w:szCs w:val="18"/>
                    </w:rPr>
                  </w:pPr>
                  <w:r>
                    <w:rPr>
                      <w:bCs/>
                      <w:sz w:val="18"/>
                      <w:szCs w:val="18"/>
                    </w:rPr>
                    <w:t>/</w:t>
                  </w:r>
                </w:p>
                <w:p w14:paraId="1CB956E7">
                  <w:pPr>
                    <w:adjustRightInd w:val="0"/>
                    <w:snapToGrid w:val="0"/>
                    <w:jc w:val="left"/>
                    <w:rPr>
                      <w:bCs/>
                      <w:sz w:val="18"/>
                      <w:szCs w:val="18"/>
                    </w:rPr>
                  </w:pPr>
                  <w:r>
                    <w:rPr>
                      <w:bCs/>
                      <w:sz w:val="18"/>
                      <w:szCs w:val="18"/>
                    </w:rPr>
                    <w:t>企业环境风险防控要求</w:t>
                  </w:r>
                </w:p>
                <w:p w14:paraId="4045C6F5">
                  <w:pPr>
                    <w:adjustRightInd w:val="0"/>
                    <w:snapToGrid w:val="0"/>
                    <w:jc w:val="left"/>
                    <w:rPr>
                      <w:bCs/>
                      <w:sz w:val="18"/>
                      <w:szCs w:val="18"/>
                    </w:rPr>
                  </w:pPr>
                  <w:r>
                    <w:rPr>
                      <w:bCs/>
                      <w:sz w:val="18"/>
                      <w:szCs w:val="18"/>
                    </w:rPr>
                    <w:t>参照遂宁市总体准入要求-要素重点管控单元</w:t>
                  </w:r>
                </w:p>
                <w:p w14:paraId="6988A0C8">
                  <w:pPr>
                    <w:adjustRightInd w:val="0"/>
                    <w:snapToGrid w:val="0"/>
                    <w:jc w:val="left"/>
                    <w:rPr>
                      <w:bCs/>
                      <w:sz w:val="18"/>
                      <w:szCs w:val="18"/>
                    </w:rPr>
                  </w:pPr>
                  <w:r>
                    <w:rPr>
                      <w:bCs/>
                      <w:sz w:val="18"/>
                      <w:szCs w:val="18"/>
                    </w:rPr>
                    <w:t>其他环境风险防控要求</w:t>
                  </w:r>
                </w:p>
                <w:p w14:paraId="7D3FBB28">
                  <w:pPr>
                    <w:adjustRightInd w:val="0"/>
                    <w:snapToGrid w:val="0"/>
                    <w:jc w:val="left"/>
                    <w:rPr>
                      <w:bCs/>
                      <w:sz w:val="18"/>
                      <w:szCs w:val="18"/>
                    </w:rPr>
                  </w:pPr>
                  <w:r>
                    <w:rPr>
                      <w:bCs/>
                      <w:sz w:val="18"/>
                      <w:szCs w:val="18"/>
                    </w:rPr>
                    <w:t>/</w:t>
                  </w:r>
                </w:p>
              </w:tc>
              <w:tc>
                <w:tcPr>
                  <w:tcW w:w="1390" w:type="dxa"/>
                  <w:vAlign w:val="center"/>
                </w:tcPr>
                <w:p w14:paraId="1F860754">
                  <w:pPr>
                    <w:adjustRightInd w:val="0"/>
                    <w:snapToGrid w:val="0"/>
                    <w:jc w:val="center"/>
                    <w:rPr>
                      <w:bCs/>
                      <w:sz w:val="18"/>
                      <w:szCs w:val="18"/>
                    </w:rPr>
                  </w:pPr>
                  <w:r>
                    <w:rPr>
                      <w:bCs/>
                      <w:sz w:val="18"/>
                      <w:szCs w:val="18"/>
                    </w:rPr>
                    <w:t>本项目为</w:t>
                  </w:r>
                  <w:r>
                    <w:rPr>
                      <w:rFonts w:hint="eastAsia"/>
                      <w:bCs/>
                      <w:sz w:val="18"/>
                      <w:szCs w:val="18"/>
                    </w:rPr>
                    <w:t>城市道路</w:t>
                  </w:r>
                  <w:r>
                    <w:rPr>
                      <w:bCs/>
                      <w:sz w:val="18"/>
                      <w:szCs w:val="18"/>
                    </w:rPr>
                    <w:t>建设项目</w:t>
                  </w:r>
                  <w:r>
                    <w:rPr>
                      <w:rFonts w:hint="eastAsia"/>
                      <w:bCs/>
                      <w:sz w:val="18"/>
                      <w:szCs w:val="18"/>
                    </w:rPr>
                    <w:t>，环境风险小</w:t>
                  </w:r>
                </w:p>
              </w:tc>
              <w:tc>
                <w:tcPr>
                  <w:tcW w:w="637" w:type="dxa"/>
                  <w:vAlign w:val="center"/>
                </w:tcPr>
                <w:p w14:paraId="4CEDB437">
                  <w:pPr>
                    <w:adjustRightInd w:val="0"/>
                    <w:snapToGrid w:val="0"/>
                    <w:jc w:val="center"/>
                    <w:rPr>
                      <w:bCs/>
                      <w:sz w:val="18"/>
                      <w:szCs w:val="18"/>
                    </w:rPr>
                  </w:pPr>
                  <w:r>
                    <w:rPr>
                      <w:rFonts w:hint="eastAsia"/>
                      <w:bCs/>
                      <w:sz w:val="18"/>
                      <w:szCs w:val="18"/>
                    </w:rPr>
                    <w:t>符合</w:t>
                  </w:r>
                </w:p>
              </w:tc>
            </w:tr>
            <w:tr w14:paraId="5C294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6C70EA63">
                  <w:pPr>
                    <w:widowControl/>
                    <w:jc w:val="center"/>
                    <w:rPr>
                      <w:bCs/>
                      <w:sz w:val="18"/>
                      <w:szCs w:val="18"/>
                    </w:rPr>
                  </w:pPr>
                </w:p>
              </w:tc>
              <w:tc>
                <w:tcPr>
                  <w:tcW w:w="236" w:type="dxa"/>
                  <w:vMerge w:val="continue"/>
                  <w:vAlign w:val="center"/>
                </w:tcPr>
                <w:p w14:paraId="5266ED77">
                  <w:pPr>
                    <w:widowControl/>
                    <w:jc w:val="center"/>
                    <w:rPr>
                      <w:bCs/>
                      <w:sz w:val="18"/>
                      <w:szCs w:val="18"/>
                    </w:rPr>
                  </w:pPr>
                </w:p>
              </w:tc>
              <w:tc>
                <w:tcPr>
                  <w:tcW w:w="790" w:type="dxa"/>
                  <w:vAlign w:val="center"/>
                </w:tcPr>
                <w:p w14:paraId="686EE1E0">
                  <w:pPr>
                    <w:pStyle w:val="113"/>
                    <w:spacing w:line="240" w:lineRule="auto"/>
                    <w:ind w:firstLine="0" w:firstLineChars="0"/>
                    <w:jc w:val="center"/>
                    <w:rPr>
                      <w:rFonts w:eastAsia="宋体"/>
                      <w:bCs/>
                      <w:sz w:val="18"/>
                      <w:szCs w:val="18"/>
                    </w:rPr>
                  </w:pPr>
                  <w:r>
                    <w:rPr>
                      <w:rFonts w:eastAsia="宋体"/>
                      <w:bCs/>
                      <w:sz w:val="18"/>
                      <w:szCs w:val="18"/>
                    </w:rPr>
                    <w:t>资源开发效率要求</w:t>
                  </w:r>
                </w:p>
              </w:tc>
              <w:tc>
                <w:tcPr>
                  <w:tcW w:w="9242" w:type="dxa"/>
                  <w:vAlign w:val="center"/>
                </w:tcPr>
                <w:p w14:paraId="73F6755B">
                  <w:pPr>
                    <w:pStyle w:val="113"/>
                    <w:widowControl/>
                    <w:shd w:val="clear" w:color="auto" w:fill="FFFFFF"/>
                    <w:spacing w:line="240" w:lineRule="auto"/>
                    <w:ind w:firstLine="0" w:firstLineChars="0"/>
                    <w:jc w:val="left"/>
                    <w:rPr>
                      <w:rFonts w:eastAsia="宋体"/>
                      <w:sz w:val="18"/>
                      <w:szCs w:val="18"/>
                    </w:rPr>
                  </w:pPr>
                  <w:r>
                    <w:rPr>
                      <w:rFonts w:eastAsia="宋体"/>
                      <w:sz w:val="18"/>
                      <w:szCs w:val="18"/>
                    </w:rPr>
                    <w:t>水资源利用效率要求</w:t>
                  </w:r>
                </w:p>
                <w:p w14:paraId="7B44F744">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参照遂宁市总体准入要求-要素重点管控单元</w:t>
                  </w:r>
                </w:p>
                <w:p w14:paraId="74C37056">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地下水开采要求</w:t>
                  </w:r>
                </w:p>
                <w:p w14:paraId="46EAB23D">
                  <w:pPr>
                    <w:pStyle w:val="113"/>
                    <w:widowControl/>
                    <w:shd w:val="clear" w:color="auto" w:fill="FFFFFF"/>
                    <w:spacing w:line="240" w:lineRule="auto"/>
                    <w:ind w:firstLine="0" w:firstLineChars="0"/>
                    <w:jc w:val="left"/>
                    <w:rPr>
                      <w:rFonts w:eastAsia="宋体"/>
                      <w:sz w:val="18"/>
                      <w:szCs w:val="18"/>
                    </w:rPr>
                  </w:pPr>
                  <w:r>
                    <w:rPr>
                      <w:rFonts w:eastAsia="宋体"/>
                      <w:sz w:val="18"/>
                      <w:szCs w:val="18"/>
                    </w:rPr>
                    <w:t>（1）大英县2030年地下水开采控制量保持在0.06亿m</w:t>
                  </w:r>
                  <w:r>
                    <w:rPr>
                      <w:rFonts w:eastAsia="宋体"/>
                      <w:sz w:val="18"/>
                      <w:szCs w:val="18"/>
                      <w:vertAlign w:val="superscript"/>
                    </w:rPr>
                    <w:t>3</w:t>
                  </w:r>
                  <w:r>
                    <w:rPr>
                      <w:rFonts w:eastAsia="宋体"/>
                      <w:sz w:val="18"/>
                      <w:szCs w:val="18"/>
                    </w:rPr>
                    <w:t>以内。（2）全面建设节水型社会，达到合理高效用水。</w:t>
                  </w:r>
                </w:p>
                <w:p w14:paraId="28A8C91E">
                  <w:pPr>
                    <w:pStyle w:val="113"/>
                    <w:widowControl/>
                    <w:shd w:val="clear" w:color="auto" w:fill="FFFFFF"/>
                    <w:spacing w:line="240" w:lineRule="auto"/>
                    <w:ind w:firstLine="0" w:firstLineChars="0"/>
                    <w:jc w:val="left"/>
                    <w:rPr>
                      <w:rFonts w:eastAsia="宋体"/>
                      <w:sz w:val="18"/>
                      <w:szCs w:val="18"/>
                    </w:rPr>
                  </w:pPr>
                  <w:r>
                    <w:rPr>
                      <w:rFonts w:eastAsia="宋体"/>
                      <w:sz w:val="18"/>
                      <w:szCs w:val="18"/>
                    </w:rPr>
                    <w:t>能源利用效率要求</w:t>
                  </w:r>
                </w:p>
                <w:p w14:paraId="571FB203">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参照遂宁市总体准入要求-要素重点管控单元</w:t>
                  </w:r>
                </w:p>
                <w:p w14:paraId="6D7DA355">
                  <w:pPr>
                    <w:pStyle w:val="113"/>
                    <w:widowControl/>
                    <w:shd w:val="clear" w:color="auto" w:fill="FFFFFF"/>
                    <w:spacing w:line="240" w:lineRule="auto"/>
                    <w:ind w:firstLine="0" w:firstLineChars="0"/>
                    <w:jc w:val="left"/>
                    <w:rPr>
                      <w:rFonts w:eastAsia="宋体"/>
                      <w:sz w:val="18"/>
                      <w:szCs w:val="18"/>
                    </w:rPr>
                  </w:pPr>
                  <w:r>
                    <w:rPr>
                      <w:rFonts w:eastAsia="宋体"/>
                      <w:sz w:val="18"/>
                      <w:szCs w:val="18"/>
                    </w:rPr>
                    <w:t>其他资源利用效率要求</w:t>
                  </w:r>
                </w:p>
                <w:p w14:paraId="258BA8BD">
                  <w:pPr>
                    <w:pStyle w:val="113"/>
                    <w:widowControl/>
                    <w:shd w:val="clear" w:color="auto" w:fill="FFFFFF"/>
                    <w:spacing w:line="240" w:lineRule="auto"/>
                    <w:ind w:firstLine="0" w:firstLineChars="0"/>
                    <w:jc w:val="left"/>
                    <w:rPr>
                      <w:rFonts w:eastAsia="宋体"/>
                      <w:sz w:val="18"/>
                      <w:szCs w:val="18"/>
                    </w:rPr>
                  </w:pPr>
                  <w:r>
                    <w:rPr>
                      <w:rFonts w:eastAsia="宋体"/>
                      <w:sz w:val="18"/>
                      <w:szCs w:val="18"/>
                    </w:rPr>
                    <w:t>/</w:t>
                  </w:r>
                </w:p>
              </w:tc>
              <w:tc>
                <w:tcPr>
                  <w:tcW w:w="1390" w:type="dxa"/>
                  <w:vAlign w:val="center"/>
                </w:tcPr>
                <w:p w14:paraId="5BAB6EB9">
                  <w:pPr>
                    <w:adjustRightInd w:val="0"/>
                    <w:snapToGrid w:val="0"/>
                    <w:jc w:val="center"/>
                    <w:rPr>
                      <w:bCs/>
                      <w:sz w:val="18"/>
                      <w:szCs w:val="18"/>
                    </w:rPr>
                  </w:pPr>
                  <w:r>
                    <w:rPr>
                      <w:bCs/>
                      <w:sz w:val="18"/>
                      <w:szCs w:val="18"/>
                    </w:rPr>
                    <w:t>本项目为</w:t>
                  </w:r>
                  <w:r>
                    <w:rPr>
                      <w:rFonts w:hint="eastAsia"/>
                      <w:bCs/>
                      <w:sz w:val="18"/>
                      <w:szCs w:val="18"/>
                    </w:rPr>
                    <w:t>城市道路</w:t>
                  </w:r>
                  <w:r>
                    <w:rPr>
                      <w:bCs/>
                      <w:sz w:val="18"/>
                      <w:szCs w:val="18"/>
                    </w:rPr>
                    <w:t>建设项目</w:t>
                  </w:r>
                  <w:r>
                    <w:rPr>
                      <w:rFonts w:hint="eastAsia"/>
                      <w:bCs/>
                      <w:sz w:val="18"/>
                      <w:szCs w:val="18"/>
                    </w:rPr>
                    <w:t>，不涉及地下水开采。</w:t>
                  </w:r>
                </w:p>
              </w:tc>
              <w:tc>
                <w:tcPr>
                  <w:tcW w:w="637" w:type="dxa"/>
                  <w:vAlign w:val="center"/>
                </w:tcPr>
                <w:p w14:paraId="28EBE714">
                  <w:pPr>
                    <w:adjustRightInd w:val="0"/>
                    <w:snapToGrid w:val="0"/>
                    <w:jc w:val="center"/>
                    <w:rPr>
                      <w:bCs/>
                      <w:sz w:val="18"/>
                      <w:szCs w:val="18"/>
                    </w:rPr>
                  </w:pPr>
                  <w:r>
                    <w:rPr>
                      <w:rStyle w:val="114"/>
                      <w:bCs/>
                      <w:sz w:val="18"/>
                      <w:szCs w:val="18"/>
                    </w:rPr>
                    <w:t>符合</w:t>
                  </w:r>
                </w:p>
              </w:tc>
            </w:tr>
            <w:tr w14:paraId="66B18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restart"/>
                  <w:vAlign w:val="center"/>
                </w:tcPr>
                <w:p w14:paraId="41447FDA">
                  <w:pPr>
                    <w:adjustRightInd w:val="0"/>
                    <w:snapToGrid w:val="0"/>
                    <w:jc w:val="center"/>
                    <w:rPr>
                      <w:bCs/>
                      <w:sz w:val="18"/>
                      <w:szCs w:val="18"/>
                    </w:rPr>
                  </w:pPr>
                  <w:r>
                    <w:rPr>
                      <w:rFonts w:hint="eastAsia"/>
                      <w:bCs/>
                      <w:sz w:val="18"/>
                      <w:szCs w:val="18"/>
                    </w:rPr>
                    <w:t>YS5109232550001大英县自然资源重点管控区</w:t>
                  </w:r>
                </w:p>
              </w:tc>
              <w:tc>
                <w:tcPr>
                  <w:tcW w:w="236" w:type="dxa"/>
                  <w:vMerge w:val="restart"/>
                  <w:vAlign w:val="center"/>
                </w:tcPr>
                <w:p w14:paraId="1E2CA18D">
                  <w:pPr>
                    <w:adjustRightInd w:val="0"/>
                    <w:snapToGrid w:val="0"/>
                    <w:rPr>
                      <w:bCs/>
                      <w:sz w:val="18"/>
                      <w:szCs w:val="18"/>
                    </w:rPr>
                  </w:pPr>
                  <w:r>
                    <w:rPr>
                      <w:bCs/>
                      <w:sz w:val="18"/>
                      <w:szCs w:val="18"/>
                    </w:rPr>
                    <w:t>单元级清单</w:t>
                  </w:r>
                </w:p>
              </w:tc>
              <w:tc>
                <w:tcPr>
                  <w:tcW w:w="790" w:type="dxa"/>
                  <w:vAlign w:val="center"/>
                </w:tcPr>
                <w:p w14:paraId="3F00D4D9">
                  <w:pPr>
                    <w:pStyle w:val="113"/>
                    <w:spacing w:line="240" w:lineRule="auto"/>
                    <w:ind w:firstLine="0" w:firstLineChars="0"/>
                    <w:jc w:val="center"/>
                    <w:rPr>
                      <w:rFonts w:eastAsia="宋体"/>
                      <w:bCs/>
                      <w:sz w:val="18"/>
                      <w:szCs w:val="18"/>
                    </w:rPr>
                  </w:pPr>
                  <w:r>
                    <w:rPr>
                      <w:rFonts w:eastAsia="宋体"/>
                      <w:bCs/>
                      <w:sz w:val="18"/>
                      <w:szCs w:val="18"/>
                    </w:rPr>
                    <w:t>空间布局约束</w:t>
                  </w:r>
                </w:p>
              </w:tc>
              <w:tc>
                <w:tcPr>
                  <w:tcW w:w="9242" w:type="dxa"/>
                  <w:vAlign w:val="center"/>
                </w:tcPr>
                <w:p w14:paraId="116F6AF7">
                  <w:pPr>
                    <w:pStyle w:val="113"/>
                    <w:spacing w:line="240" w:lineRule="auto"/>
                    <w:ind w:firstLine="0" w:firstLineChars="0"/>
                    <w:rPr>
                      <w:rFonts w:eastAsia="宋体"/>
                      <w:bCs/>
                      <w:sz w:val="18"/>
                      <w:szCs w:val="18"/>
                    </w:rPr>
                  </w:pPr>
                  <w:r>
                    <w:rPr>
                      <w:rFonts w:hint="eastAsia" w:eastAsia="宋体"/>
                      <w:bCs/>
                      <w:sz w:val="18"/>
                      <w:szCs w:val="18"/>
                    </w:rPr>
                    <w:t>禁止开发建设活动的要求</w:t>
                  </w:r>
                </w:p>
                <w:p w14:paraId="37AF80F0">
                  <w:pPr>
                    <w:pStyle w:val="113"/>
                    <w:spacing w:line="240" w:lineRule="auto"/>
                    <w:ind w:firstLine="0" w:firstLineChars="0"/>
                    <w:rPr>
                      <w:rFonts w:eastAsia="宋体"/>
                      <w:bCs/>
                      <w:sz w:val="18"/>
                      <w:szCs w:val="18"/>
                    </w:rPr>
                  </w:pPr>
                  <w:r>
                    <w:rPr>
                      <w:rFonts w:hint="eastAsia" w:eastAsia="宋体"/>
                      <w:bCs/>
                      <w:sz w:val="18"/>
                      <w:szCs w:val="18"/>
                    </w:rPr>
                    <w:t>/</w:t>
                  </w:r>
                </w:p>
                <w:p w14:paraId="263899E5">
                  <w:pPr>
                    <w:pStyle w:val="113"/>
                    <w:spacing w:line="240" w:lineRule="auto"/>
                    <w:ind w:firstLine="0" w:firstLineChars="0"/>
                    <w:rPr>
                      <w:rFonts w:eastAsia="宋体"/>
                      <w:bCs/>
                      <w:sz w:val="18"/>
                      <w:szCs w:val="18"/>
                    </w:rPr>
                  </w:pPr>
                  <w:r>
                    <w:rPr>
                      <w:rFonts w:hint="eastAsia" w:eastAsia="宋体"/>
                      <w:bCs/>
                      <w:sz w:val="18"/>
                      <w:szCs w:val="18"/>
                    </w:rPr>
                    <w:t>限制开发建设活动的要求</w:t>
                  </w:r>
                </w:p>
                <w:p w14:paraId="6DD4F6FF">
                  <w:pPr>
                    <w:pStyle w:val="113"/>
                    <w:spacing w:line="240" w:lineRule="auto"/>
                    <w:ind w:firstLine="0" w:firstLineChars="0"/>
                    <w:rPr>
                      <w:rFonts w:eastAsia="宋体"/>
                      <w:bCs/>
                      <w:sz w:val="18"/>
                      <w:szCs w:val="18"/>
                    </w:rPr>
                  </w:pPr>
                  <w:r>
                    <w:rPr>
                      <w:rFonts w:hint="eastAsia" w:eastAsia="宋体"/>
                      <w:bCs/>
                      <w:sz w:val="18"/>
                      <w:szCs w:val="18"/>
                    </w:rPr>
                    <w:t>/</w:t>
                  </w:r>
                </w:p>
                <w:p w14:paraId="32E9C425">
                  <w:pPr>
                    <w:pStyle w:val="113"/>
                    <w:spacing w:line="240" w:lineRule="auto"/>
                    <w:ind w:firstLine="0" w:firstLineChars="0"/>
                    <w:rPr>
                      <w:rFonts w:eastAsia="宋体"/>
                      <w:bCs/>
                      <w:sz w:val="18"/>
                      <w:szCs w:val="18"/>
                    </w:rPr>
                  </w:pPr>
                  <w:r>
                    <w:rPr>
                      <w:rFonts w:hint="eastAsia" w:eastAsia="宋体"/>
                      <w:bCs/>
                      <w:sz w:val="18"/>
                      <w:szCs w:val="18"/>
                    </w:rPr>
                    <w:t>允许开发建设活动的要求</w:t>
                  </w:r>
                </w:p>
                <w:p w14:paraId="5AC11554">
                  <w:pPr>
                    <w:pStyle w:val="113"/>
                    <w:spacing w:line="240" w:lineRule="auto"/>
                    <w:ind w:firstLine="0" w:firstLineChars="0"/>
                    <w:rPr>
                      <w:rFonts w:eastAsia="宋体"/>
                      <w:bCs/>
                      <w:sz w:val="18"/>
                      <w:szCs w:val="18"/>
                    </w:rPr>
                  </w:pPr>
                  <w:r>
                    <w:rPr>
                      <w:rFonts w:hint="eastAsia" w:eastAsia="宋体"/>
                      <w:bCs/>
                      <w:sz w:val="18"/>
                      <w:szCs w:val="18"/>
                    </w:rPr>
                    <w:t>/</w:t>
                  </w:r>
                </w:p>
                <w:p w14:paraId="6E735320">
                  <w:pPr>
                    <w:pStyle w:val="113"/>
                    <w:spacing w:line="240" w:lineRule="auto"/>
                    <w:ind w:firstLine="0" w:firstLineChars="0"/>
                    <w:rPr>
                      <w:rFonts w:eastAsia="宋体"/>
                      <w:bCs/>
                      <w:sz w:val="18"/>
                      <w:szCs w:val="18"/>
                    </w:rPr>
                  </w:pPr>
                  <w:r>
                    <w:rPr>
                      <w:rFonts w:hint="eastAsia" w:eastAsia="宋体"/>
                      <w:bCs/>
                      <w:sz w:val="18"/>
                      <w:szCs w:val="18"/>
                    </w:rPr>
                    <w:t>不符合空间布局要求活动的退出要求</w:t>
                  </w:r>
                </w:p>
                <w:p w14:paraId="3EADD4D4">
                  <w:pPr>
                    <w:pStyle w:val="113"/>
                    <w:spacing w:line="240" w:lineRule="auto"/>
                    <w:ind w:firstLine="0" w:firstLineChars="0"/>
                    <w:rPr>
                      <w:rFonts w:eastAsia="宋体"/>
                      <w:bCs/>
                      <w:sz w:val="18"/>
                      <w:szCs w:val="18"/>
                    </w:rPr>
                  </w:pPr>
                  <w:r>
                    <w:rPr>
                      <w:rFonts w:hint="eastAsia" w:eastAsia="宋体"/>
                      <w:bCs/>
                      <w:sz w:val="18"/>
                      <w:szCs w:val="18"/>
                    </w:rPr>
                    <w:t>/</w:t>
                  </w:r>
                </w:p>
                <w:p w14:paraId="4AA66E29">
                  <w:pPr>
                    <w:pStyle w:val="113"/>
                    <w:spacing w:line="240" w:lineRule="auto"/>
                    <w:ind w:firstLine="0" w:firstLineChars="0"/>
                    <w:rPr>
                      <w:rFonts w:eastAsia="宋体"/>
                      <w:bCs/>
                      <w:sz w:val="18"/>
                      <w:szCs w:val="18"/>
                    </w:rPr>
                  </w:pPr>
                  <w:r>
                    <w:rPr>
                      <w:rFonts w:hint="eastAsia" w:eastAsia="宋体"/>
                      <w:bCs/>
                      <w:sz w:val="18"/>
                      <w:szCs w:val="18"/>
                    </w:rPr>
                    <w:t>其他空间布局约束要求</w:t>
                  </w:r>
                </w:p>
                <w:p w14:paraId="4EBD89EB">
                  <w:pPr>
                    <w:pStyle w:val="113"/>
                    <w:spacing w:line="240" w:lineRule="auto"/>
                    <w:ind w:firstLine="0" w:firstLineChars="0"/>
                    <w:rPr>
                      <w:rFonts w:eastAsia="宋体"/>
                      <w:bCs/>
                      <w:sz w:val="18"/>
                      <w:szCs w:val="18"/>
                    </w:rPr>
                  </w:pPr>
                  <w:r>
                    <w:rPr>
                      <w:rFonts w:hint="eastAsia" w:eastAsia="宋体"/>
                      <w:bCs/>
                      <w:sz w:val="18"/>
                      <w:szCs w:val="18"/>
                    </w:rPr>
                    <w:t>/</w:t>
                  </w:r>
                </w:p>
              </w:tc>
              <w:tc>
                <w:tcPr>
                  <w:tcW w:w="1390" w:type="dxa"/>
                </w:tcPr>
                <w:p w14:paraId="134A291E">
                  <w:pPr>
                    <w:jc w:val="center"/>
                  </w:pPr>
                  <w:r>
                    <w:rPr>
                      <w:rFonts w:hint="eastAsia"/>
                      <w:bCs/>
                      <w:sz w:val="18"/>
                      <w:szCs w:val="18"/>
                    </w:rPr>
                    <w:t>/</w:t>
                  </w:r>
                </w:p>
              </w:tc>
              <w:tc>
                <w:tcPr>
                  <w:tcW w:w="637" w:type="dxa"/>
                </w:tcPr>
                <w:p w14:paraId="79B1D707">
                  <w:pPr>
                    <w:jc w:val="center"/>
                  </w:pPr>
                  <w:r>
                    <w:rPr>
                      <w:rFonts w:hint="eastAsia"/>
                      <w:bCs/>
                      <w:sz w:val="18"/>
                      <w:szCs w:val="18"/>
                    </w:rPr>
                    <w:t>/</w:t>
                  </w:r>
                </w:p>
              </w:tc>
            </w:tr>
            <w:tr w14:paraId="53FB2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1B4F2A4F">
                  <w:pPr>
                    <w:widowControl/>
                    <w:jc w:val="center"/>
                    <w:rPr>
                      <w:rStyle w:val="114"/>
                      <w:sz w:val="18"/>
                      <w:szCs w:val="18"/>
                    </w:rPr>
                  </w:pPr>
                </w:p>
              </w:tc>
              <w:tc>
                <w:tcPr>
                  <w:tcW w:w="236" w:type="dxa"/>
                  <w:vMerge w:val="continue"/>
                  <w:vAlign w:val="center"/>
                </w:tcPr>
                <w:p w14:paraId="53C2B8E3">
                  <w:pPr>
                    <w:widowControl/>
                    <w:jc w:val="center"/>
                    <w:rPr>
                      <w:bCs/>
                      <w:sz w:val="18"/>
                      <w:szCs w:val="18"/>
                    </w:rPr>
                  </w:pPr>
                </w:p>
              </w:tc>
              <w:tc>
                <w:tcPr>
                  <w:tcW w:w="790" w:type="dxa"/>
                  <w:vAlign w:val="center"/>
                </w:tcPr>
                <w:p w14:paraId="53B70088">
                  <w:pPr>
                    <w:pStyle w:val="113"/>
                    <w:spacing w:line="240" w:lineRule="auto"/>
                    <w:ind w:firstLine="0" w:firstLineChars="0"/>
                    <w:jc w:val="center"/>
                    <w:rPr>
                      <w:rFonts w:eastAsia="宋体"/>
                      <w:bCs/>
                      <w:sz w:val="18"/>
                      <w:szCs w:val="18"/>
                    </w:rPr>
                  </w:pPr>
                  <w:r>
                    <w:rPr>
                      <w:rFonts w:eastAsia="宋体"/>
                      <w:bCs/>
                      <w:sz w:val="18"/>
                      <w:szCs w:val="18"/>
                    </w:rPr>
                    <w:t>污染物排放管控</w:t>
                  </w:r>
                </w:p>
              </w:tc>
              <w:tc>
                <w:tcPr>
                  <w:tcW w:w="9242" w:type="dxa"/>
                  <w:vAlign w:val="center"/>
                </w:tcPr>
                <w:p w14:paraId="15D5B572">
                  <w:pPr>
                    <w:pStyle w:val="113"/>
                    <w:spacing w:line="240" w:lineRule="auto"/>
                    <w:ind w:firstLine="0" w:firstLineChars="0"/>
                    <w:rPr>
                      <w:rFonts w:eastAsia="宋体"/>
                      <w:bCs/>
                      <w:sz w:val="18"/>
                      <w:szCs w:val="18"/>
                    </w:rPr>
                  </w:pPr>
                  <w:r>
                    <w:rPr>
                      <w:rFonts w:hint="eastAsia" w:eastAsia="宋体"/>
                      <w:bCs/>
                      <w:sz w:val="18"/>
                      <w:szCs w:val="18"/>
                    </w:rPr>
                    <w:t>大气环境质量执行标准</w:t>
                  </w:r>
                </w:p>
                <w:p w14:paraId="60C51019">
                  <w:pPr>
                    <w:pStyle w:val="113"/>
                    <w:spacing w:line="240" w:lineRule="auto"/>
                    <w:ind w:firstLine="0" w:firstLineChars="0"/>
                    <w:rPr>
                      <w:rFonts w:eastAsia="宋体"/>
                      <w:bCs/>
                      <w:sz w:val="18"/>
                      <w:szCs w:val="18"/>
                    </w:rPr>
                  </w:pPr>
                  <w:r>
                    <w:rPr>
                      <w:rFonts w:hint="eastAsia" w:eastAsia="宋体"/>
                      <w:bCs/>
                      <w:sz w:val="18"/>
                      <w:szCs w:val="18"/>
                    </w:rPr>
                    <w:t>《环境空气质量标准》（GB3095-2012）：二级</w:t>
                  </w:r>
                </w:p>
                <w:p w14:paraId="2A883C2E">
                  <w:pPr>
                    <w:pStyle w:val="113"/>
                    <w:spacing w:line="240" w:lineRule="auto"/>
                    <w:ind w:firstLine="0" w:firstLineChars="0"/>
                    <w:rPr>
                      <w:rFonts w:eastAsia="宋体"/>
                      <w:bCs/>
                      <w:sz w:val="18"/>
                      <w:szCs w:val="18"/>
                    </w:rPr>
                  </w:pPr>
                  <w:r>
                    <w:rPr>
                      <w:rFonts w:hint="eastAsia" w:eastAsia="宋体"/>
                      <w:bCs/>
                      <w:sz w:val="18"/>
                      <w:szCs w:val="18"/>
                    </w:rPr>
                    <w:t>区域大气污染物削减/替代要求</w:t>
                  </w:r>
                </w:p>
                <w:p w14:paraId="36C7A414">
                  <w:pPr>
                    <w:pStyle w:val="113"/>
                    <w:spacing w:line="240" w:lineRule="auto"/>
                    <w:ind w:firstLine="0" w:firstLineChars="0"/>
                    <w:rPr>
                      <w:rFonts w:eastAsia="宋体"/>
                      <w:bCs/>
                      <w:sz w:val="18"/>
                      <w:szCs w:val="18"/>
                    </w:rPr>
                  </w:pPr>
                  <w:r>
                    <w:rPr>
                      <w:rFonts w:hint="eastAsia" w:eastAsia="宋体"/>
                      <w:bCs/>
                      <w:sz w:val="18"/>
                      <w:szCs w:val="18"/>
                    </w:rPr>
                    <w:t>/</w:t>
                  </w:r>
                </w:p>
                <w:p w14:paraId="0CDF485B">
                  <w:pPr>
                    <w:pStyle w:val="113"/>
                    <w:spacing w:line="240" w:lineRule="auto"/>
                    <w:ind w:firstLine="0" w:firstLineChars="0"/>
                    <w:rPr>
                      <w:rFonts w:eastAsia="宋体"/>
                      <w:bCs/>
                      <w:sz w:val="18"/>
                      <w:szCs w:val="18"/>
                    </w:rPr>
                  </w:pPr>
                  <w:r>
                    <w:rPr>
                      <w:rFonts w:hint="eastAsia" w:eastAsia="宋体"/>
                      <w:bCs/>
                      <w:sz w:val="18"/>
                      <w:szCs w:val="18"/>
                    </w:rPr>
                    <w:t>燃煤和其他能源大气污染控制要求</w:t>
                  </w:r>
                </w:p>
                <w:p w14:paraId="73C19449">
                  <w:pPr>
                    <w:pStyle w:val="113"/>
                    <w:spacing w:line="240" w:lineRule="auto"/>
                    <w:ind w:firstLine="0" w:firstLineChars="0"/>
                    <w:rPr>
                      <w:rFonts w:eastAsia="宋体"/>
                      <w:bCs/>
                      <w:sz w:val="18"/>
                      <w:szCs w:val="18"/>
                    </w:rPr>
                  </w:pPr>
                  <w:r>
                    <w:rPr>
                      <w:rFonts w:hint="eastAsia" w:eastAsia="宋体"/>
                      <w:bCs/>
                      <w:sz w:val="18"/>
                      <w:szCs w:val="18"/>
                    </w:rPr>
                    <w:t>/</w:t>
                  </w:r>
                </w:p>
                <w:p w14:paraId="35B17E9C">
                  <w:pPr>
                    <w:pStyle w:val="113"/>
                    <w:spacing w:line="240" w:lineRule="auto"/>
                    <w:ind w:firstLine="0" w:firstLineChars="0"/>
                    <w:rPr>
                      <w:rFonts w:eastAsia="宋体"/>
                      <w:bCs/>
                      <w:sz w:val="18"/>
                      <w:szCs w:val="18"/>
                    </w:rPr>
                  </w:pPr>
                  <w:r>
                    <w:rPr>
                      <w:rFonts w:hint="eastAsia" w:eastAsia="宋体"/>
                      <w:bCs/>
                      <w:sz w:val="18"/>
                      <w:szCs w:val="18"/>
                    </w:rPr>
                    <w:t>工业废气污染控制要求</w:t>
                  </w:r>
                </w:p>
                <w:p w14:paraId="790615CC">
                  <w:pPr>
                    <w:pStyle w:val="113"/>
                    <w:spacing w:line="240" w:lineRule="auto"/>
                    <w:ind w:firstLine="0" w:firstLineChars="0"/>
                    <w:rPr>
                      <w:rFonts w:eastAsia="宋体"/>
                      <w:bCs/>
                      <w:sz w:val="18"/>
                      <w:szCs w:val="18"/>
                    </w:rPr>
                  </w:pPr>
                  <w:r>
                    <w:rPr>
                      <w:rFonts w:hint="eastAsia" w:eastAsia="宋体"/>
                      <w:bCs/>
                      <w:sz w:val="18"/>
                      <w:szCs w:val="18"/>
                    </w:rPr>
                    <w:t>/</w:t>
                  </w:r>
                </w:p>
                <w:p w14:paraId="4AAE0C6D">
                  <w:pPr>
                    <w:pStyle w:val="113"/>
                    <w:spacing w:line="240" w:lineRule="auto"/>
                    <w:ind w:firstLine="0" w:firstLineChars="0"/>
                    <w:rPr>
                      <w:rFonts w:eastAsia="宋体"/>
                      <w:bCs/>
                      <w:sz w:val="18"/>
                      <w:szCs w:val="18"/>
                    </w:rPr>
                  </w:pPr>
                  <w:r>
                    <w:rPr>
                      <w:rFonts w:hint="eastAsia" w:eastAsia="宋体"/>
                      <w:bCs/>
                      <w:sz w:val="18"/>
                      <w:szCs w:val="18"/>
                    </w:rPr>
                    <w:t>机动车船大气污染控制要求</w:t>
                  </w:r>
                </w:p>
                <w:p w14:paraId="2993AFA4">
                  <w:pPr>
                    <w:pStyle w:val="113"/>
                    <w:spacing w:line="240" w:lineRule="auto"/>
                    <w:ind w:firstLine="0" w:firstLineChars="0"/>
                    <w:rPr>
                      <w:rFonts w:eastAsia="宋体"/>
                      <w:bCs/>
                      <w:sz w:val="18"/>
                      <w:szCs w:val="18"/>
                    </w:rPr>
                  </w:pPr>
                  <w:r>
                    <w:rPr>
                      <w:rFonts w:hint="eastAsia" w:eastAsia="宋体"/>
                      <w:bCs/>
                      <w:sz w:val="18"/>
                      <w:szCs w:val="18"/>
                    </w:rPr>
                    <w:t>/</w:t>
                  </w:r>
                </w:p>
                <w:p w14:paraId="4CB2E5E0">
                  <w:pPr>
                    <w:pStyle w:val="113"/>
                    <w:spacing w:line="240" w:lineRule="auto"/>
                    <w:ind w:firstLine="0" w:firstLineChars="0"/>
                    <w:rPr>
                      <w:rFonts w:eastAsia="宋体"/>
                      <w:bCs/>
                      <w:sz w:val="18"/>
                      <w:szCs w:val="18"/>
                    </w:rPr>
                  </w:pPr>
                  <w:r>
                    <w:rPr>
                      <w:rFonts w:hint="eastAsia" w:eastAsia="宋体"/>
                      <w:bCs/>
                      <w:sz w:val="18"/>
                      <w:szCs w:val="18"/>
                    </w:rPr>
                    <w:t>扬尘污染控制要求</w:t>
                  </w:r>
                </w:p>
                <w:p w14:paraId="1D87DF3B">
                  <w:pPr>
                    <w:pStyle w:val="113"/>
                    <w:spacing w:line="240" w:lineRule="auto"/>
                    <w:ind w:firstLine="0" w:firstLineChars="0"/>
                    <w:rPr>
                      <w:rFonts w:eastAsia="宋体"/>
                      <w:bCs/>
                      <w:sz w:val="18"/>
                      <w:szCs w:val="18"/>
                    </w:rPr>
                  </w:pPr>
                  <w:r>
                    <w:rPr>
                      <w:rFonts w:hint="eastAsia" w:eastAsia="宋体"/>
                      <w:bCs/>
                      <w:sz w:val="18"/>
                      <w:szCs w:val="18"/>
                    </w:rPr>
                    <w:t>/</w:t>
                  </w:r>
                </w:p>
                <w:p w14:paraId="6ADDDFA3">
                  <w:pPr>
                    <w:pStyle w:val="113"/>
                    <w:spacing w:line="240" w:lineRule="auto"/>
                    <w:ind w:firstLine="0" w:firstLineChars="0"/>
                    <w:rPr>
                      <w:rFonts w:eastAsia="宋体"/>
                      <w:bCs/>
                      <w:sz w:val="18"/>
                      <w:szCs w:val="18"/>
                    </w:rPr>
                  </w:pPr>
                  <w:r>
                    <w:rPr>
                      <w:rFonts w:hint="eastAsia" w:eastAsia="宋体"/>
                      <w:bCs/>
                      <w:sz w:val="18"/>
                      <w:szCs w:val="18"/>
                    </w:rPr>
                    <w:t>农业生产经营活动大气污染控制要求</w:t>
                  </w:r>
                </w:p>
                <w:p w14:paraId="271BFCBE">
                  <w:pPr>
                    <w:pStyle w:val="113"/>
                    <w:spacing w:line="240" w:lineRule="auto"/>
                    <w:ind w:firstLine="0" w:firstLineChars="0"/>
                    <w:rPr>
                      <w:rFonts w:eastAsia="宋体"/>
                      <w:bCs/>
                      <w:sz w:val="18"/>
                      <w:szCs w:val="18"/>
                    </w:rPr>
                  </w:pPr>
                  <w:r>
                    <w:rPr>
                      <w:rFonts w:hint="eastAsia" w:eastAsia="宋体"/>
                      <w:bCs/>
                      <w:sz w:val="18"/>
                      <w:szCs w:val="18"/>
                    </w:rPr>
                    <w:t>/</w:t>
                  </w:r>
                </w:p>
                <w:p w14:paraId="715BAD49">
                  <w:pPr>
                    <w:pStyle w:val="113"/>
                    <w:spacing w:line="240" w:lineRule="auto"/>
                    <w:ind w:firstLine="0" w:firstLineChars="0"/>
                    <w:rPr>
                      <w:rFonts w:eastAsia="宋体"/>
                      <w:bCs/>
                      <w:sz w:val="18"/>
                      <w:szCs w:val="18"/>
                    </w:rPr>
                  </w:pPr>
                  <w:r>
                    <w:rPr>
                      <w:rFonts w:hint="eastAsia" w:eastAsia="宋体"/>
                      <w:bCs/>
                      <w:sz w:val="18"/>
                      <w:szCs w:val="18"/>
                    </w:rPr>
                    <w:t>重点行业企业专项治理要求</w:t>
                  </w:r>
                </w:p>
                <w:p w14:paraId="505AA74F">
                  <w:pPr>
                    <w:pStyle w:val="113"/>
                    <w:spacing w:line="240" w:lineRule="auto"/>
                    <w:ind w:firstLine="0" w:firstLineChars="0"/>
                    <w:rPr>
                      <w:rFonts w:eastAsia="宋体"/>
                      <w:bCs/>
                      <w:sz w:val="18"/>
                      <w:szCs w:val="18"/>
                    </w:rPr>
                  </w:pPr>
                  <w:r>
                    <w:rPr>
                      <w:rFonts w:hint="eastAsia" w:eastAsia="宋体"/>
                      <w:bCs/>
                      <w:sz w:val="18"/>
                      <w:szCs w:val="18"/>
                    </w:rPr>
                    <w:t>/</w:t>
                  </w:r>
                </w:p>
                <w:p w14:paraId="11EFFF2A">
                  <w:pPr>
                    <w:pStyle w:val="113"/>
                    <w:spacing w:line="240" w:lineRule="auto"/>
                    <w:ind w:firstLine="0" w:firstLineChars="0"/>
                    <w:rPr>
                      <w:rFonts w:eastAsia="宋体"/>
                      <w:bCs/>
                      <w:sz w:val="18"/>
                      <w:szCs w:val="18"/>
                    </w:rPr>
                  </w:pPr>
                  <w:r>
                    <w:rPr>
                      <w:rFonts w:hint="eastAsia" w:eastAsia="宋体"/>
                      <w:bCs/>
                      <w:sz w:val="18"/>
                      <w:szCs w:val="18"/>
                    </w:rPr>
                    <w:t>其他大气污染物排放管控要求</w:t>
                  </w:r>
                </w:p>
                <w:p w14:paraId="0D00B0A5">
                  <w:pPr>
                    <w:pStyle w:val="113"/>
                    <w:spacing w:line="240" w:lineRule="auto"/>
                    <w:ind w:firstLine="0" w:firstLineChars="0"/>
                    <w:rPr>
                      <w:rFonts w:eastAsia="宋体"/>
                      <w:bCs/>
                      <w:sz w:val="18"/>
                      <w:szCs w:val="18"/>
                    </w:rPr>
                  </w:pPr>
                  <w:r>
                    <w:rPr>
                      <w:rFonts w:hint="eastAsia" w:eastAsia="宋体"/>
                      <w:bCs/>
                      <w:sz w:val="18"/>
                      <w:szCs w:val="18"/>
                    </w:rPr>
                    <w:t>减少工业化、城镇化对大气环境的影响，严格执行国家、省、市下达的相关大气污染防治要求。</w:t>
                  </w:r>
                </w:p>
              </w:tc>
              <w:tc>
                <w:tcPr>
                  <w:tcW w:w="1390" w:type="dxa"/>
                  <w:vAlign w:val="center"/>
                </w:tcPr>
                <w:p w14:paraId="2C37358B">
                  <w:pPr>
                    <w:adjustRightInd w:val="0"/>
                    <w:snapToGrid w:val="0"/>
                    <w:jc w:val="center"/>
                    <w:rPr>
                      <w:bCs/>
                      <w:sz w:val="18"/>
                      <w:szCs w:val="18"/>
                    </w:rPr>
                  </w:pPr>
                  <w:r>
                    <w:rPr>
                      <w:bCs/>
                      <w:sz w:val="18"/>
                      <w:szCs w:val="18"/>
                    </w:rPr>
                    <w:t>本项目为</w:t>
                  </w:r>
                  <w:r>
                    <w:rPr>
                      <w:rFonts w:hint="eastAsia"/>
                      <w:bCs/>
                      <w:sz w:val="18"/>
                      <w:szCs w:val="18"/>
                    </w:rPr>
                    <w:t>城市</w:t>
                  </w:r>
                  <w:r>
                    <w:rPr>
                      <w:bCs/>
                      <w:sz w:val="18"/>
                      <w:szCs w:val="18"/>
                    </w:rPr>
                    <w:t>道路建设项目</w:t>
                  </w:r>
                  <w:r>
                    <w:rPr>
                      <w:rFonts w:hint="eastAsia"/>
                      <w:bCs/>
                      <w:sz w:val="18"/>
                      <w:szCs w:val="18"/>
                    </w:rPr>
                    <w:t>，《环境空气质量标准》（GB3095-2012）执行二级标准；施工期施工工地扬尘防控措施；运营期无废气、废水产生。</w:t>
                  </w:r>
                </w:p>
              </w:tc>
              <w:tc>
                <w:tcPr>
                  <w:tcW w:w="637" w:type="dxa"/>
                  <w:vAlign w:val="center"/>
                </w:tcPr>
                <w:p w14:paraId="54DA4063">
                  <w:pPr>
                    <w:adjustRightInd w:val="0"/>
                    <w:snapToGrid w:val="0"/>
                    <w:jc w:val="center"/>
                    <w:rPr>
                      <w:bCs/>
                      <w:sz w:val="18"/>
                      <w:szCs w:val="18"/>
                    </w:rPr>
                  </w:pPr>
                  <w:r>
                    <w:rPr>
                      <w:bCs/>
                      <w:sz w:val="18"/>
                      <w:szCs w:val="18"/>
                    </w:rPr>
                    <w:t>符合</w:t>
                  </w:r>
                </w:p>
              </w:tc>
            </w:tr>
            <w:tr w14:paraId="65187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47D74B3A">
                  <w:pPr>
                    <w:widowControl/>
                    <w:jc w:val="center"/>
                    <w:rPr>
                      <w:rStyle w:val="114"/>
                      <w:sz w:val="18"/>
                      <w:szCs w:val="18"/>
                    </w:rPr>
                  </w:pPr>
                </w:p>
              </w:tc>
              <w:tc>
                <w:tcPr>
                  <w:tcW w:w="236" w:type="dxa"/>
                  <w:vMerge w:val="continue"/>
                  <w:vAlign w:val="center"/>
                </w:tcPr>
                <w:p w14:paraId="66E9EC3B">
                  <w:pPr>
                    <w:widowControl/>
                    <w:jc w:val="center"/>
                    <w:rPr>
                      <w:bCs/>
                      <w:sz w:val="18"/>
                      <w:szCs w:val="18"/>
                    </w:rPr>
                  </w:pPr>
                </w:p>
              </w:tc>
              <w:tc>
                <w:tcPr>
                  <w:tcW w:w="790" w:type="dxa"/>
                  <w:vAlign w:val="center"/>
                </w:tcPr>
                <w:p w14:paraId="1DB71C78">
                  <w:pPr>
                    <w:pStyle w:val="113"/>
                    <w:spacing w:line="240" w:lineRule="auto"/>
                    <w:ind w:firstLine="0" w:firstLineChars="0"/>
                    <w:jc w:val="center"/>
                    <w:rPr>
                      <w:rFonts w:eastAsia="宋体"/>
                      <w:bCs/>
                      <w:sz w:val="18"/>
                      <w:szCs w:val="18"/>
                    </w:rPr>
                  </w:pPr>
                  <w:r>
                    <w:rPr>
                      <w:rFonts w:eastAsia="宋体"/>
                      <w:bCs/>
                      <w:sz w:val="18"/>
                      <w:szCs w:val="18"/>
                    </w:rPr>
                    <w:t>环境风险防控</w:t>
                  </w:r>
                </w:p>
              </w:tc>
              <w:tc>
                <w:tcPr>
                  <w:tcW w:w="9242" w:type="dxa"/>
                  <w:vAlign w:val="center"/>
                </w:tcPr>
                <w:p w14:paraId="1D2B6CC6">
                  <w:pPr>
                    <w:pStyle w:val="113"/>
                    <w:spacing w:line="240" w:lineRule="auto"/>
                    <w:ind w:firstLine="0" w:firstLineChars="0"/>
                    <w:jc w:val="left"/>
                    <w:rPr>
                      <w:rFonts w:eastAsia="宋体"/>
                      <w:bCs/>
                      <w:sz w:val="18"/>
                      <w:szCs w:val="18"/>
                    </w:rPr>
                  </w:pPr>
                  <w:r>
                    <w:rPr>
                      <w:rFonts w:hint="eastAsia" w:eastAsia="宋体"/>
                      <w:bCs/>
                      <w:sz w:val="18"/>
                      <w:szCs w:val="18"/>
                    </w:rPr>
                    <w:t>/</w:t>
                  </w:r>
                </w:p>
              </w:tc>
              <w:tc>
                <w:tcPr>
                  <w:tcW w:w="1390" w:type="dxa"/>
                  <w:vAlign w:val="center"/>
                </w:tcPr>
                <w:p w14:paraId="16B56066">
                  <w:pPr>
                    <w:pStyle w:val="113"/>
                    <w:spacing w:line="240" w:lineRule="auto"/>
                    <w:ind w:firstLine="0" w:firstLineChars="0"/>
                    <w:jc w:val="center"/>
                    <w:rPr>
                      <w:rFonts w:eastAsia="宋体"/>
                      <w:bCs/>
                      <w:sz w:val="18"/>
                      <w:szCs w:val="18"/>
                    </w:rPr>
                  </w:pPr>
                  <w:r>
                    <w:rPr>
                      <w:rFonts w:hint="eastAsia" w:eastAsia="宋体"/>
                      <w:bCs/>
                      <w:sz w:val="18"/>
                      <w:szCs w:val="18"/>
                    </w:rPr>
                    <w:t>/</w:t>
                  </w:r>
                </w:p>
              </w:tc>
              <w:tc>
                <w:tcPr>
                  <w:tcW w:w="637" w:type="dxa"/>
                  <w:vAlign w:val="center"/>
                </w:tcPr>
                <w:p w14:paraId="647DE942">
                  <w:pPr>
                    <w:pStyle w:val="113"/>
                    <w:spacing w:line="240" w:lineRule="auto"/>
                    <w:ind w:firstLine="0" w:firstLineChars="0"/>
                    <w:jc w:val="center"/>
                    <w:rPr>
                      <w:rFonts w:eastAsia="宋体"/>
                      <w:bCs/>
                      <w:sz w:val="18"/>
                      <w:szCs w:val="18"/>
                    </w:rPr>
                  </w:pPr>
                  <w:r>
                    <w:rPr>
                      <w:rFonts w:hint="eastAsia" w:eastAsia="宋体"/>
                      <w:bCs/>
                      <w:sz w:val="18"/>
                      <w:szCs w:val="18"/>
                    </w:rPr>
                    <w:t>/</w:t>
                  </w:r>
                </w:p>
              </w:tc>
            </w:tr>
            <w:tr w14:paraId="35675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1259D508">
                  <w:pPr>
                    <w:widowControl/>
                    <w:jc w:val="center"/>
                    <w:rPr>
                      <w:rStyle w:val="114"/>
                      <w:sz w:val="18"/>
                      <w:szCs w:val="18"/>
                    </w:rPr>
                  </w:pPr>
                </w:p>
              </w:tc>
              <w:tc>
                <w:tcPr>
                  <w:tcW w:w="236" w:type="dxa"/>
                  <w:vMerge w:val="continue"/>
                  <w:vAlign w:val="center"/>
                </w:tcPr>
                <w:p w14:paraId="23A130C7">
                  <w:pPr>
                    <w:widowControl/>
                    <w:jc w:val="center"/>
                    <w:rPr>
                      <w:bCs/>
                      <w:sz w:val="18"/>
                      <w:szCs w:val="18"/>
                    </w:rPr>
                  </w:pPr>
                </w:p>
              </w:tc>
              <w:tc>
                <w:tcPr>
                  <w:tcW w:w="790" w:type="dxa"/>
                  <w:vAlign w:val="center"/>
                </w:tcPr>
                <w:p w14:paraId="1AC2E487">
                  <w:pPr>
                    <w:pStyle w:val="113"/>
                    <w:spacing w:line="240" w:lineRule="auto"/>
                    <w:ind w:firstLine="0" w:firstLineChars="0"/>
                    <w:jc w:val="center"/>
                    <w:rPr>
                      <w:rFonts w:eastAsia="宋体"/>
                      <w:bCs/>
                      <w:sz w:val="18"/>
                      <w:szCs w:val="18"/>
                    </w:rPr>
                  </w:pPr>
                  <w:r>
                    <w:rPr>
                      <w:rFonts w:eastAsia="宋体"/>
                      <w:bCs/>
                      <w:sz w:val="18"/>
                      <w:szCs w:val="18"/>
                    </w:rPr>
                    <w:t>资源开发效率要求</w:t>
                  </w:r>
                </w:p>
              </w:tc>
              <w:tc>
                <w:tcPr>
                  <w:tcW w:w="9242" w:type="dxa"/>
                  <w:vAlign w:val="center"/>
                </w:tcPr>
                <w:p w14:paraId="4D2BCFA8">
                  <w:pPr>
                    <w:pStyle w:val="113"/>
                    <w:spacing w:line="240" w:lineRule="auto"/>
                    <w:ind w:firstLine="0" w:firstLineChars="0"/>
                    <w:jc w:val="left"/>
                    <w:rPr>
                      <w:rFonts w:eastAsia="宋体"/>
                      <w:bCs/>
                      <w:sz w:val="18"/>
                      <w:szCs w:val="18"/>
                    </w:rPr>
                  </w:pPr>
                  <w:r>
                    <w:rPr>
                      <w:rFonts w:hint="eastAsia" w:eastAsia="宋体"/>
                      <w:bCs/>
                      <w:sz w:val="18"/>
                      <w:szCs w:val="18"/>
                    </w:rPr>
                    <w:t>/</w:t>
                  </w:r>
                </w:p>
              </w:tc>
              <w:tc>
                <w:tcPr>
                  <w:tcW w:w="1390" w:type="dxa"/>
                  <w:vAlign w:val="center"/>
                </w:tcPr>
                <w:p w14:paraId="3C2A708D">
                  <w:pPr>
                    <w:pStyle w:val="113"/>
                    <w:spacing w:line="240" w:lineRule="auto"/>
                    <w:ind w:firstLine="0" w:firstLineChars="0"/>
                    <w:jc w:val="center"/>
                    <w:rPr>
                      <w:rFonts w:eastAsia="宋体"/>
                      <w:bCs/>
                      <w:sz w:val="18"/>
                      <w:szCs w:val="18"/>
                    </w:rPr>
                  </w:pPr>
                  <w:r>
                    <w:rPr>
                      <w:rFonts w:hint="eastAsia" w:eastAsia="宋体"/>
                      <w:bCs/>
                      <w:sz w:val="18"/>
                      <w:szCs w:val="18"/>
                    </w:rPr>
                    <w:t>/</w:t>
                  </w:r>
                </w:p>
              </w:tc>
              <w:tc>
                <w:tcPr>
                  <w:tcW w:w="637" w:type="dxa"/>
                  <w:vAlign w:val="center"/>
                </w:tcPr>
                <w:p w14:paraId="4292E8DE">
                  <w:pPr>
                    <w:pStyle w:val="113"/>
                    <w:spacing w:line="240" w:lineRule="auto"/>
                    <w:ind w:firstLine="0" w:firstLineChars="0"/>
                    <w:jc w:val="center"/>
                    <w:rPr>
                      <w:rFonts w:eastAsia="宋体"/>
                      <w:bCs/>
                      <w:sz w:val="18"/>
                      <w:szCs w:val="18"/>
                    </w:rPr>
                  </w:pPr>
                  <w:r>
                    <w:rPr>
                      <w:rFonts w:hint="eastAsia" w:eastAsia="宋体"/>
                      <w:bCs/>
                      <w:sz w:val="18"/>
                      <w:szCs w:val="18"/>
                    </w:rPr>
                    <w:t>/</w:t>
                  </w:r>
                </w:p>
              </w:tc>
            </w:tr>
            <w:tr w14:paraId="2B480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restart"/>
                  <w:vAlign w:val="center"/>
                </w:tcPr>
                <w:p w14:paraId="3E442F4C">
                  <w:pPr>
                    <w:widowControl/>
                    <w:jc w:val="center"/>
                    <w:rPr>
                      <w:rStyle w:val="114"/>
                      <w:sz w:val="18"/>
                      <w:szCs w:val="18"/>
                    </w:rPr>
                  </w:pPr>
                  <w:r>
                    <w:rPr>
                      <w:rStyle w:val="114"/>
                      <w:rFonts w:hint="eastAsia"/>
                      <w:sz w:val="18"/>
                      <w:szCs w:val="18"/>
                    </w:rPr>
                    <w:t>YS5109233310001大英县大气环境一般管控区</w:t>
                  </w:r>
                </w:p>
              </w:tc>
              <w:tc>
                <w:tcPr>
                  <w:tcW w:w="236" w:type="dxa"/>
                  <w:vMerge w:val="restart"/>
                  <w:vAlign w:val="center"/>
                </w:tcPr>
                <w:p w14:paraId="5C27BBD6">
                  <w:pPr>
                    <w:widowControl/>
                    <w:rPr>
                      <w:bCs/>
                      <w:sz w:val="18"/>
                      <w:szCs w:val="18"/>
                    </w:rPr>
                  </w:pPr>
                  <w:r>
                    <w:rPr>
                      <w:bCs/>
                      <w:sz w:val="18"/>
                      <w:szCs w:val="18"/>
                    </w:rPr>
                    <w:t>单元级清单</w:t>
                  </w:r>
                </w:p>
              </w:tc>
              <w:tc>
                <w:tcPr>
                  <w:tcW w:w="790" w:type="dxa"/>
                  <w:vAlign w:val="center"/>
                </w:tcPr>
                <w:p w14:paraId="16177C00">
                  <w:pPr>
                    <w:pStyle w:val="113"/>
                    <w:spacing w:line="240" w:lineRule="auto"/>
                    <w:ind w:firstLine="0" w:firstLineChars="0"/>
                    <w:jc w:val="center"/>
                    <w:rPr>
                      <w:rFonts w:eastAsia="宋体"/>
                      <w:bCs/>
                      <w:sz w:val="18"/>
                      <w:szCs w:val="18"/>
                    </w:rPr>
                  </w:pPr>
                  <w:r>
                    <w:rPr>
                      <w:rFonts w:eastAsia="宋体"/>
                      <w:bCs/>
                      <w:sz w:val="18"/>
                      <w:szCs w:val="18"/>
                    </w:rPr>
                    <w:t>空间布局约束</w:t>
                  </w:r>
                </w:p>
              </w:tc>
              <w:tc>
                <w:tcPr>
                  <w:tcW w:w="9242" w:type="dxa"/>
                  <w:vAlign w:val="center"/>
                </w:tcPr>
                <w:p w14:paraId="099AFC79">
                  <w:pPr>
                    <w:pStyle w:val="113"/>
                    <w:spacing w:line="240" w:lineRule="auto"/>
                    <w:ind w:firstLine="0" w:firstLineChars="0"/>
                    <w:rPr>
                      <w:rFonts w:eastAsia="宋体"/>
                      <w:bCs/>
                      <w:sz w:val="18"/>
                      <w:szCs w:val="18"/>
                    </w:rPr>
                  </w:pPr>
                  <w:r>
                    <w:rPr>
                      <w:rFonts w:hint="eastAsia" w:eastAsia="宋体"/>
                      <w:bCs/>
                      <w:sz w:val="18"/>
                      <w:szCs w:val="18"/>
                    </w:rPr>
                    <w:t>禁止开发建设活动的要求</w:t>
                  </w:r>
                </w:p>
                <w:p w14:paraId="07E92F59">
                  <w:pPr>
                    <w:pStyle w:val="113"/>
                    <w:spacing w:line="240" w:lineRule="auto"/>
                    <w:ind w:firstLine="0" w:firstLineChars="0"/>
                    <w:rPr>
                      <w:rFonts w:eastAsia="宋体"/>
                      <w:bCs/>
                      <w:sz w:val="18"/>
                      <w:szCs w:val="18"/>
                    </w:rPr>
                  </w:pPr>
                  <w:r>
                    <w:rPr>
                      <w:rFonts w:hint="eastAsia" w:eastAsia="宋体"/>
                      <w:bCs/>
                      <w:sz w:val="18"/>
                      <w:szCs w:val="18"/>
                    </w:rPr>
                    <w:t>/</w:t>
                  </w:r>
                </w:p>
                <w:p w14:paraId="4FB0D6B2">
                  <w:pPr>
                    <w:pStyle w:val="113"/>
                    <w:spacing w:line="240" w:lineRule="auto"/>
                    <w:ind w:firstLine="0" w:firstLineChars="0"/>
                    <w:rPr>
                      <w:rFonts w:eastAsia="宋体"/>
                      <w:bCs/>
                      <w:sz w:val="18"/>
                      <w:szCs w:val="18"/>
                    </w:rPr>
                  </w:pPr>
                  <w:r>
                    <w:rPr>
                      <w:rFonts w:hint="eastAsia" w:eastAsia="宋体"/>
                      <w:bCs/>
                      <w:sz w:val="18"/>
                      <w:szCs w:val="18"/>
                    </w:rPr>
                    <w:t>限制开发建设活动的要求</w:t>
                  </w:r>
                </w:p>
                <w:p w14:paraId="1D19BF39">
                  <w:pPr>
                    <w:pStyle w:val="113"/>
                    <w:spacing w:line="240" w:lineRule="auto"/>
                    <w:ind w:firstLine="0" w:firstLineChars="0"/>
                    <w:rPr>
                      <w:rFonts w:eastAsia="宋体"/>
                      <w:bCs/>
                      <w:sz w:val="18"/>
                      <w:szCs w:val="18"/>
                    </w:rPr>
                  </w:pPr>
                  <w:r>
                    <w:rPr>
                      <w:rFonts w:hint="eastAsia" w:eastAsia="宋体"/>
                      <w:bCs/>
                      <w:sz w:val="18"/>
                      <w:szCs w:val="18"/>
                    </w:rPr>
                    <w:t>/</w:t>
                  </w:r>
                </w:p>
                <w:p w14:paraId="14FE0791">
                  <w:pPr>
                    <w:pStyle w:val="113"/>
                    <w:spacing w:line="240" w:lineRule="auto"/>
                    <w:ind w:firstLine="0" w:firstLineChars="0"/>
                    <w:rPr>
                      <w:rFonts w:eastAsia="宋体"/>
                      <w:bCs/>
                      <w:sz w:val="18"/>
                      <w:szCs w:val="18"/>
                    </w:rPr>
                  </w:pPr>
                  <w:r>
                    <w:rPr>
                      <w:rFonts w:hint="eastAsia" w:eastAsia="宋体"/>
                      <w:bCs/>
                      <w:sz w:val="18"/>
                      <w:szCs w:val="18"/>
                    </w:rPr>
                    <w:t>允许开发建设活动的要求</w:t>
                  </w:r>
                </w:p>
                <w:p w14:paraId="3A5289BA">
                  <w:pPr>
                    <w:pStyle w:val="113"/>
                    <w:spacing w:line="240" w:lineRule="auto"/>
                    <w:ind w:firstLine="0" w:firstLineChars="0"/>
                    <w:rPr>
                      <w:rFonts w:eastAsia="宋体"/>
                      <w:bCs/>
                      <w:sz w:val="18"/>
                      <w:szCs w:val="18"/>
                    </w:rPr>
                  </w:pPr>
                  <w:r>
                    <w:rPr>
                      <w:rFonts w:hint="eastAsia" w:eastAsia="宋体"/>
                      <w:bCs/>
                      <w:sz w:val="18"/>
                      <w:szCs w:val="18"/>
                    </w:rPr>
                    <w:t>/</w:t>
                  </w:r>
                </w:p>
                <w:p w14:paraId="5068F740">
                  <w:pPr>
                    <w:pStyle w:val="113"/>
                    <w:spacing w:line="240" w:lineRule="auto"/>
                    <w:ind w:firstLine="0" w:firstLineChars="0"/>
                    <w:rPr>
                      <w:rFonts w:eastAsia="宋体"/>
                      <w:bCs/>
                      <w:sz w:val="18"/>
                      <w:szCs w:val="18"/>
                    </w:rPr>
                  </w:pPr>
                  <w:r>
                    <w:rPr>
                      <w:rFonts w:hint="eastAsia" w:eastAsia="宋体"/>
                      <w:bCs/>
                      <w:sz w:val="18"/>
                      <w:szCs w:val="18"/>
                    </w:rPr>
                    <w:t>不符合空间布局要求活动的退出要求</w:t>
                  </w:r>
                </w:p>
                <w:p w14:paraId="162FE2B3">
                  <w:pPr>
                    <w:pStyle w:val="113"/>
                    <w:spacing w:line="240" w:lineRule="auto"/>
                    <w:ind w:firstLine="0" w:firstLineChars="0"/>
                    <w:rPr>
                      <w:rFonts w:eastAsia="宋体"/>
                      <w:bCs/>
                      <w:sz w:val="18"/>
                      <w:szCs w:val="18"/>
                    </w:rPr>
                  </w:pPr>
                  <w:r>
                    <w:rPr>
                      <w:rFonts w:hint="eastAsia" w:eastAsia="宋体"/>
                      <w:bCs/>
                      <w:sz w:val="18"/>
                      <w:szCs w:val="18"/>
                    </w:rPr>
                    <w:t>/</w:t>
                  </w:r>
                </w:p>
                <w:p w14:paraId="274AB32E">
                  <w:pPr>
                    <w:pStyle w:val="113"/>
                    <w:spacing w:line="240" w:lineRule="auto"/>
                    <w:ind w:firstLine="0" w:firstLineChars="0"/>
                    <w:rPr>
                      <w:rFonts w:eastAsia="宋体"/>
                      <w:bCs/>
                      <w:sz w:val="18"/>
                      <w:szCs w:val="18"/>
                    </w:rPr>
                  </w:pPr>
                  <w:r>
                    <w:rPr>
                      <w:rFonts w:hint="eastAsia" w:eastAsia="宋体"/>
                      <w:bCs/>
                      <w:sz w:val="18"/>
                      <w:szCs w:val="18"/>
                    </w:rPr>
                    <w:t>其他空间布局约束要求</w:t>
                  </w:r>
                </w:p>
                <w:p w14:paraId="77F2ED10">
                  <w:pPr>
                    <w:pStyle w:val="113"/>
                    <w:spacing w:line="240" w:lineRule="auto"/>
                    <w:ind w:firstLine="0" w:firstLineChars="0"/>
                    <w:rPr>
                      <w:rFonts w:eastAsia="宋体"/>
                      <w:bCs/>
                      <w:sz w:val="18"/>
                      <w:szCs w:val="18"/>
                    </w:rPr>
                  </w:pPr>
                  <w:r>
                    <w:rPr>
                      <w:rFonts w:hint="eastAsia" w:eastAsia="宋体"/>
                      <w:bCs/>
                      <w:sz w:val="18"/>
                      <w:szCs w:val="18"/>
                    </w:rPr>
                    <w:t>/</w:t>
                  </w:r>
                </w:p>
              </w:tc>
              <w:tc>
                <w:tcPr>
                  <w:tcW w:w="1390" w:type="dxa"/>
                  <w:vAlign w:val="center"/>
                </w:tcPr>
                <w:p w14:paraId="58610AEA">
                  <w:pPr>
                    <w:pStyle w:val="113"/>
                    <w:spacing w:line="240" w:lineRule="auto"/>
                    <w:ind w:firstLine="0" w:firstLineChars="0"/>
                    <w:jc w:val="center"/>
                    <w:rPr>
                      <w:rFonts w:eastAsia="宋体"/>
                      <w:bCs/>
                      <w:sz w:val="18"/>
                      <w:szCs w:val="18"/>
                    </w:rPr>
                  </w:pPr>
                  <w:r>
                    <w:rPr>
                      <w:rFonts w:hint="eastAsia" w:eastAsia="宋体"/>
                      <w:bCs/>
                      <w:sz w:val="18"/>
                      <w:szCs w:val="18"/>
                    </w:rPr>
                    <w:t>/</w:t>
                  </w:r>
                </w:p>
              </w:tc>
              <w:tc>
                <w:tcPr>
                  <w:tcW w:w="637" w:type="dxa"/>
                  <w:vAlign w:val="center"/>
                </w:tcPr>
                <w:p w14:paraId="04179912">
                  <w:pPr>
                    <w:pStyle w:val="113"/>
                    <w:spacing w:line="240" w:lineRule="auto"/>
                    <w:ind w:firstLine="0" w:firstLineChars="0"/>
                    <w:jc w:val="center"/>
                    <w:rPr>
                      <w:rFonts w:eastAsia="宋体"/>
                      <w:bCs/>
                      <w:sz w:val="18"/>
                      <w:szCs w:val="18"/>
                    </w:rPr>
                  </w:pPr>
                  <w:r>
                    <w:rPr>
                      <w:rFonts w:hint="eastAsia" w:eastAsia="宋体"/>
                      <w:bCs/>
                      <w:sz w:val="18"/>
                      <w:szCs w:val="18"/>
                    </w:rPr>
                    <w:t>/</w:t>
                  </w:r>
                </w:p>
              </w:tc>
            </w:tr>
            <w:tr w14:paraId="2809F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4D715A34">
                  <w:pPr>
                    <w:widowControl/>
                    <w:jc w:val="center"/>
                    <w:rPr>
                      <w:rStyle w:val="114"/>
                      <w:sz w:val="18"/>
                      <w:szCs w:val="18"/>
                    </w:rPr>
                  </w:pPr>
                </w:p>
              </w:tc>
              <w:tc>
                <w:tcPr>
                  <w:tcW w:w="236" w:type="dxa"/>
                  <w:vMerge w:val="continue"/>
                  <w:vAlign w:val="center"/>
                </w:tcPr>
                <w:p w14:paraId="08F0CEBC">
                  <w:pPr>
                    <w:widowControl/>
                    <w:jc w:val="center"/>
                    <w:rPr>
                      <w:bCs/>
                      <w:sz w:val="18"/>
                      <w:szCs w:val="18"/>
                    </w:rPr>
                  </w:pPr>
                </w:p>
              </w:tc>
              <w:tc>
                <w:tcPr>
                  <w:tcW w:w="790" w:type="dxa"/>
                  <w:vAlign w:val="center"/>
                </w:tcPr>
                <w:p w14:paraId="41E63CE8">
                  <w:pPr>
                    <w:pStyle w:val="113"/>
                    <w:spacing w:line="240" w:lineRule="auto"/>
                    <w:ind w:firstLine="0" w:firstLineChars="0"/>
                    <w:jc w:val="center"/>
                    <w:rPr>
                      <w:rFonts w:eastAsia="宋体"/>
                      <w:bCs/>
                      <w:sz w:val="18"/>
                      <w:szCs w:val="18"/>
                    </w:rPr>
                  </w:pPr>
                  <w:r>
                    <w:rPr>
                      <w:rFonts w:eastAsia="宋体"/>
                      <w:bCs/>
                      <w:sz w:val="18"/>
                      <w:szCs w:val="18"/>
                    </w:rPr>
                    <w:t>污染物排放管控</w:t>
                  </w:r>
                </w:p>
              </w:tc>
              <w:tc>
                <w:tcPr>
                  <w:tcW w:w="9242" w:type="dxa"/>
                  <w:vAlign w:val="center"/>
                </w:tcPr>
                <w:p w14:paraId="294E3383">
                  <w:pPr>
                    <w:pStyle w:val="113"/>
                    <w:spacing w:line="240" w:lineRule="auto"/>
                    <w:ind w:firstLine="0" w:firstLineChars="0"/>
                    <w:rPr>
                      <w:rFonts w:eastAsia="宋体"/>
                      <w:bCs/>
                      <w:sz w:val="18"/>
                      <w:szCs w:val="18"/>
                    </w:rPr>
                  </w:pPr>
                  <w:r>
                    <w:rPr>
                      <w:rFonts w:hint="eastAsia" w:eastAsia="宋体"/>
                      <w:bCs/>
                      <w:sz w:val="18"/>
                      <w:szCs w:val="18"/>
                    </w:rPr>
                    <w:t>大气环境质量执行标准</w:t>
                  </w:r>
                </w:p>
                <w:p w14:paraId="1B69DE22">
                  <w:pPr>
                    <w:pStyle w:val="113"/>
                    <w:spacing w:line="240" w:lineRule="auto"/>
                    <w:ind w:firstLine="0" w:firstLineChars="0"/>
                    <w:rPr>
                      <w:rFonts w:eastAsia="宋体"/>
                      <w:bCs/>
                      <w:sz w:val="18"/>
                      <w:szCs w:val="18"/>
                    </w:rPr>
                  </w:pPr>
                  <w:r>
                    <w:rPr>
                      <w:rFonts w:hint="eastAsia" w:eastAsia="宋体"/>
                      <w:bCs/>
                      <w:sz w:val="18"/>
                      <w:szCs w:val="18"/>
                    </w:rPr>
                    <w:t>《环境空气质量标准》（GB3095-2012）：二级</w:t>
                  </w:r>
                </w:p>
                <w:p w14:paraId="02CE0A2F">
                  <w:pPr>
                    <w:pStyle w:val="113"/>
                    <w:spacing w:line="240" w:lineRule="auto"/>
                    <w:ind w:firstLine="0" w:firstLineChars="0"/>
                    <w:rPr>
                      <w:rFonts w:eastAsia="宋体"/>
                      <w:bCs/>
                      <w:sz w:val="18"/>
                      <w:szCs w:val="18"/>
                    </w:rPr>
                  </w:pPr>
                  <w:r>
                    <w:rPr>
                      <w:rFonts w:hint="eastAsia" w:eastAsia="宋体"/>
                      <w:bCs/>
                      <w:sz w:val="18"/>
                      <w:szCs w:val="18"/>
                    </w:rPr>
                    <w:t>区域大气污染物削减/替代要求</w:t>
                  </w:r>
                </w:p>
                <w:p w14:paraId="2D62AC36">
                  <w:pPr>
                    <w:pStyle w:val="113"/>
                    <w:spacing w:line="240" w:lineRule="auto"/>
                    <w:ind w:firstLine="0" w:firstLineChars="0"/>
                    <w:rPr>
                      <w:rFonts w:eastAsia="宋体"/>
                      <w:bCs/>
                      <w:sz w:val="18"/>
                      <w:szCs w:val="18"/>
                    </w:rPr>
                  </w:pPr>
                  <w:r>
                    <w:rPr>
                      <w:rFonts w:hint="eastAsia" w:eastAsia="宋体"/>
                      <w:bCs/>
                      <w:sz w:val="18"/>
                      <w:szCs w:val="18"/>
                    </w:rPr>
                    <w:t>/</w:t>
                  </w:r>
                </w:p>
                <w:p w14:paraId="422854AC">
                  <w:pPr>
                    <w:pStyle w:val="113"/>
                    <w:spacing w:line="240" w:lineRule="auto"/>
                    <w:ind w:firstLine="0" w:firstLineChars="0"/>
                    <w:rPr>
                      <w:rFonts w:eastAsia="宋体"/>
                      <w:bCs/>
                      <w:sz w:val="18"/>
                      <w:szCs w:val="18"/>
                    </w:rPr>
                  </w:pPr>
                  <w:r>
                    <w:rPr>
                      <w:rFonts w:hint="eastAsia" w:eastAsia="宋体"/>
                      <w:bCs/>
                      <w:sz w:val="18"/>
                      <w:szCs w:val="18"/>
                    </w:rPr>
                    <w:t>燃煤和其他能源大气污染控制要求</w:t>
                  </w:r>
                </w:p>
                <w:p w14:paraId="420AFEB2">
                  <w:pPr>
                    <w:pStyle w:val="113"/>
                    <w:spacing w:line="240" w:lineRule="auto"/>
                    <w:ind w:firstLine="0" w:firstLineChars="0"/>
                    <w:rPr>
                      <w:rFonts w:eastAsia="宋体"/>
                      <w:bCs/>
                      <w:sz w:val="18"/>
                      <w:szCs w:val="18"/>
                    </w:rPr>
                  </w:pPr>
                  <w:r>
                    <w:rPr>
                      <w:rFonts w:hint="eastAsia" w:eastAsia="宋体"/>
                      <w:bCs/>
                      <w:sz w:val="18"/>
                      <w:szCs w:val="18"/>
                    </w:rPr>
                    <w:t>/</w:t>
                  </w:r>
                </w:p>
                <w:p w14:paraId="09297E3C">
                  <w:pPr>
                    <w:pStyle w:val="113"/>
                    <w:spacing w:line="240" w:lineRule="auto"/>
                    <w:ind w:firstLine="0" w:firstLineChars="0"/>
                    <w:rPr>
                      <w:rFonts w:eastAsia="宋体"/>
                      <w:bCs/>
                      <w:sz w:val="18"/>
                      <w:szCs w:val="18"/>
                    </w:rPr>
                  </w:pPr>
                  <w:r>
                    <w:rPr>
                      <w:rFonts w:hint="eastAsia" w:eastAsia="宋体"/>
                      <w:bCs/>
                      <w:sz w:val="18"/>
                      <w:szCs w:val="18"/>
                    </w:rPr>
                    <w:t>工业废气污染控制要求</w:t>
                  </w:r>
                </w:p>
                <w:p w14:paraId="14F0A793">
                  <w:pPr>
                    <w:pStyle w:val="113"/>
                    <w:spacing w:line="240" w:lineRule="auto"/>
                    <w:ind w:firstLine="0" w:firstLineChars="0"/>
                    <w:rPr>
                      <w:rFonts w:eastAsia="宋体"/>
                      <w:bCs/>
                      <w:sz w:val="18"/>
                      <w:szCs w:val="18"/>
                    </w:rPr>
                  </w:pPr>
                  <w:r>
                    <w:rPr>
                      <w:rFonts w:hint="eastAsia" w:eastAsia="宋体"/>
                      <w:bCs/>
                      <w:sz w:val="18"/>
                      <w:szCs w:val="18"/>
                    </w:rPr>
                    <w:t>/</w:t>
                  </w:r>
                </w:p>
                <w:p w14:paraId="2D00365A">
                  <w:pPr>
                    <w:pStyle w:val="113"/>
                    <w:spacing w:line="240" w:lineRule="auto"/>
                    <w:ind w:firstLine="0" w:firstLineChars="0"/>
                    <w:rPr>
                      <w:rFonts w:eastAsia="宋体"/>
                      <w:bCs/>
                      <w:sz w:val="18"/>
                      <w:szCs w:val="18"/>
                    </w:rPr>
                  </w:pPr>
                  <w:r>
                    <w:rPr>
                      <w:rFonts w:hint="eastAsia" w:eastAsia="宋体"/>
                      <w:bCs/>
                      <w:sz w:val="18"/>
                      <w:szCs w:val="18"/>
                    </w:rPr>
                    <w:t>机动车船大气污染控制要求</w:t>
                  </w:r>
                </w:p>
                <w:p w14:paraId="03FF37F9">
                  <w:pPr>
                    <w:pStyle w:val="113"/>
                    <w:spacing w:line="240" w:lineRule="auto"/>
                    <w:ind w:firstLine="0" w:firstLineChars="0"/>
                    <w:rPr>
                      <w:rFonts w:eastAsia="宋体"/>
                      <w:bCs/>
                      <w:sz w:val="18"/>
                      <w:szCs w:val="18"/>
                    </w:rPr>
                  </w:pPr>
                  <w:r>
                    <w:rPr>
                      <w:rFonts w:hint="eastAsia" w:eastAsia="宋体"/>
                      <w:bCs/>
                      <w:sz w:val="18"/>
                      <w:szCs w:val="18"/>
                    </w:rPr>
                    <w:t>/</w:t>
                  </w:r>
                </w:p>
                <w:p w14:paraId="7E325EA0">
                  <w:pPr>
                    <w:pStyle w:val="113"/>
                    <w:spacing w:line="240" w:lineRule="auto"/>
                    <w:ind w:firstLine="0" w:firstLineChars="0"/>
                    <w:rPr>
                      <w:rFonts w:eastAsia="宋体"/>
                      <w:bCs/>
                      <w:sz w:val="18"/>
                      <w:szCs w:val="18"/>
                    </w:rPr>
                  </w:pPr>
                  <w:r>
                    <w:rPr>
                      <w:rFonts w:hint="eastAsia" w:eastAsia="宋体"/>
                      <w:bCs/>
                      <w:sz w:val="18"/>
                      <w:szCs w:val="18"/>
                    </w:rPr>
                    <w:t>扬尘污染控制要求</w:t>
                  </w:r>
                </w:p>
                <w:p w14:paraId="44F7D34B">
                  <w:pPr>
                    <w:pStyle w:val="113"/>
                    <w:spacing w:line="240" w:lineRule="auto"/>
                    <w:ind w:firstLine="0" w:firstLineChars="0"/>
                    <w:rPr>
                      <w:rFonts w:eastAsia="宋体"/>
                      <w:bCs/>
                      <w:sz w:val="18"/>
                      <w:szCs w:val="18"/>
                    </w:rPr>
                  </w:pPr>
                  <w:r>
                    <w:rPr>
                      <w:rFonts w:hint="eastAsia" w:eastAsia="宋体"/>
                      <w:bCs/>
                      <w:sz w:val="18"/>
                      <w:szCs w:val="18"/>
                    </w:rPr>
                    <w:t>/</w:t>
                  </w:r>
                </w:p>
                <w:p w14:paraId="66EBAED6">
                  <w:pPr>
                    <w:pStyle w:val="113"/>
                    <w:spacing w:line="240" w:lineRule="auto"/>
                    <w:ind w:firstLine="0" w:firstLineChars="0"/>
                    <w:rPr>
                      <w:rFonts w:eastAsia="宋体"/>
                      <w:bCs/>
                      <w:sz w:val="18"/>
                      <w:szCs w:val="18"/>
                    </w:rPr>
                  </w:pPr>
                  <w:r>
                    <w:rPr>
                      <w:rFonts w:hint="eastAsia" w:eastAsia="宋体"/>
                      <w:bCs/>
                      <w:sz w:val="18"/>
                      <w:szCs w:val="18"/>
                    </w:rPr>
                    <w:t>农业生产经营活动大气污染控制要求</w:t>
                  </w:r>
                </w:p>
                <w:p w14:paraId="7BDA192D">
                  <w:pPr>
                    <w:pStyle w:val="113"/>
                    <w:spacing w:line="240" w:lineRule="auto"/>
                    <w:ind w:firstLine="0" w:firstLineChars="0"/>
                    <w:rPr>
                      <w:rFonts w:eastAsia="宋体"/>
                      <w:bCs/>
                      <w:sz w:val="18"/>
                      <w:szCs w:val="18"/>
                    </w:rPr>
                  </w:pPr>
                  <w:r>
                    <w:rPr>
                      <w:rFonts w:hint="eastAsia" w:eastAsia="宋体"/>
                      <w:bCs/>
                      <w:sz w:val="18"/>
                      <w:szCs w:val="18"/>
                    </w:rPr>
                    <w:t>/</w:t>
                  </w:r>
                </w:p>
                <w:p w14:paraId="33567189">
                  <w:pPr>
                    <w:pStyle w:val="113"/>
                    <w:spacing w:line="240" w:lineRule="auto"/>
                    <w:ind w:firstLine="0" w:firstLineChars="0"/>
                    <w:rPr>
                      <w:rFonts w:eastAsia="宋体"/>
                      <w:bCs/>
                      <w:sz w:val="18"/>
                      <w:szCs w:val="18"/>
                    </w:rPr>
                  </w:pPr>
                  <w:r>
                    <w:rPr>
                      <w:rFonts w:hint="eastAsia" w:eastAsia="宋体"/>
                      <w:bCs/>
                      <w:sz w:val="18"/>
                      <w:szCs w:val="18"/>
                    </w:rPr>
                    <w:t>重点行业企业专项治理要求</w:t>
                  </w:r>
                </w:p>
                <w:p w14:paraId="4F25CB6E">
                  <w:pPr>
                    <w:pStyle w:val="113"/>
                    <w:spacing w:line="240" w:lineRule="auto"/>
                    <w:ind w:firstLine="0" w:firstLineChars="0"/>
                    <w:rPr>
                      <w:rFonts w:eastAsia="宋体"/>
                      <w:bCs/>
                      <w:sz w:val="18"/>
                      <w:szCs w:val="18"/>
                    </w:rPr>
                  </w:pPr>
                  <w:r>
                    <w:rPr>
                      <w:rFonts w:hint="eastAsia" w:eastAsia="宋体"/>
                      <w:bCs/>
                      <w:sz w:val="18"/>
                      <w:szCs w:val="18"/>
                    </w:rPr>
                    <w:t>/</w:t>
                  </w:r>
                </w:p>
                <w:p w14:paraId="77703E50">
                  <w:pPr>
                    <w:pStyle w:val="113"/>
                    <w:spacing w:line="240" w:lineRule="auto"/>
                    <w:ind w:firstLine="0" w:firstLineChars="0"/>
                    <w:rPr>
                      <w:rFonts w:eastAsia="宋体"/>
                      <w:bCs/>
                      <w:sz w:val="18"/>
                      <w:szCs w:val="18"/>
                    </w:rPr>
                  </w:pPr>
                  <w:r>
                    <w:rPr>
                      <w:rFonts w:hint="eastAsia" w:eastAsia="宋体"/>
                      <w:bCs/>
                      <w:sz w:val="18"/>
                      <w:szCs w:val="18"/>
                    </w:rPr>
                    <w:t>其他大气污染物排放管控要求</w:t>
                  </w:r>
                </w:p>
                <w:p w14:paraId="2CDF5B3D">
                  <w:pPr>
                    <w:pStyle w:val="113"/>
                    <w:spacing w:line="240" w:lineRule="auto"/>
                    <w:ind w:firstLine="0" w:firstLineChars="0"/>
                    <w:rPr>
                      <w:rFonts w:eastAsia="宋体"/>
                      <w:bCs/>
                      <w:sz w:val="18"/>
                      <w:szCs w:val="18"/>
                    </w:rPr>
                  </w:pPr>
                  <w:r>
                    <w:rPr>
                      <w:rFonts w:hint="eastAsia" w:eastAsia="宋体"/>
                      <w:bCs/>
                      <w:sz w:val="18"/>
                      <w:szCs w:val="18"/>
                    </w:rPr>
                    <w:t>减少工业化、城镇化对大气环境的影响，严格执行国家、省、市下达的相关大气污染防治要求。</w:t>
                  </w:r>
                </w:p>
              </w:tc>
              <w:tc>
                <w:tcPr>
                  <w:tcW w:w="1390" w:type="dxa"/>
                  <w:vAlign w:val="center"/>
                </w:tcPr>
                <w:p w14:paraId="6C87084C">
                  <w:pPr>
                    <w:adjustRightInd w:val="0"/>
                    <w:snapToGrid w:val="0"/>
                    <w:jc w:val="center"/>
                    <w:rPr>
                      <w:bCs/>
                      <w:sz w:val="18"/>
                      <w:szCs w:val="18"/>
                    </w:rPr>
                  </w:pPr>
                  <w:r>
                    <w:rPr>
                      <w:bCs/>
                      <w:sz w:val="18"/>
                      <w:szCs w:val="18"/>
                    </w:rPr>
                    <w:t>本项目为</w:t>
                  </w:r>
                  <w:r>
                    <w:rPr>
                      <w:rFonts w:hint="eastAsia"/>
                      <w:bCs/>
                      <w:sz w:val="18"/>
                      <w:szCs w:val="18"/>
                    </w:rPr>
                    <w:t>城市</w:t>
                  </w:r>
                  <w:r>
                    <w:rPr>
                      <w:bCs/>
                      <w:sz w:val="18"/>
                      <w:szCs w:val="18"/>
                    </w:rPr>
                    <w:t>道路建设项目</w:t>
                  </w:r>
                  <w:r>
                    <w:rPr>
                      <w:rFonts w:hint="eastAsia"/>
                      <w:bCs/>
                      <w:sz w:val="18"/>
                      <w:szCs w:val="18"/>
                    </w:rPr>
                    <w:t>，《环境空气质量标准》（GB3095-2012）执行二级标准；施工期施工工地扬尘防控措施；运营期无废气、废水产生。</w:t>
                  </w:r>
                </w:p>
              </w:tc>
              <w:tc>
                <w:tcPr>
                  <w:tcW w:w="637" w:type="dxa"/>
                  <w:vAlign w:val="center"/>
                </w:tcPr>
                <w:p w14:paraId="7F16A8AC">
                  <w:pPr>
                    <w:adjustRightInd w:val="0"/>
                    <w:snapToGrid w:val="0"/>
                    <w:jc w:val="center"/>
                    <w:rPr>
                      <w:bCs/>
                      <w:sz w:val="18"/>
                      <w:szCs w:val="18"/>
                    </w:rPr>
                  </w:pPr>
                  <w:r>
                    <w:rPr>
                      <w:bCs/>
                      <w:sz w:val="18"/>
                      <w:szCs w:val="18"/>
                    </w:rPr>
                    <w:t>符合</w:t>
                  </w:r>
                </w:p>
              </w:tc>
            </w:tr>
            <w:tr w14:paraId="2E7F2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2170F139">
                  <w:pPr>
                    <w:widowControl/>
                    <w:jc w:val="center"/>
                    <w:rPr>
                      <w:rStyle w:val="114"/>
                      <w:sz w:val="18"/>
                      <w:szCs w:val="18"/>
                    </w:rPr>
                  </w:pPr>
                </w:p>
              </w:tc>
              <w:tc>
                <w:tcPr>
                  <w:tcW w:w="236" w:type="dxa"/>
                  <w:vMerge w:val="continue"/>
                  <w:vAlign w:val="center"/>
                </w:tcPr>
                <w:p w14:paraId="7477F29D">
                  <w:pPr>
                    <w:widowControl/>
                    <w:jc w:val="center"/>
                    <w:rPr>
                      <w:bCs/>
                      <w:sz w:val="18"/>
                      <w:szCs w:val="18"/>
                    </w:rPr>
                  </w:pPr>
                </w:p>
              </w:tc>
              <w:tc>
                <w:tcPr>
                  <w:tcW w:w="790" w:type="dxa"/>
                  <w:vAlign w:val="center"/>
                </w:tcPr>
                <w:p w14:paraId="794D04CD">
                  <w:pPr>
                    <w:pStyle w:val="113"/>
                    <w:spacing w:line="240" w:lineRule="auto"/>
                    <w:ind w:firstLine="0" w:firstLineChars="0"/>
                    <w:jc w:val="center"/>
                    <w:rPr>
                      <w:rFonts w:eastAsia="宋体"/>
                      <w:bCs/>
                      <w:sz w:val="18"/>
                      <w:szCs w:val="18"/>
                    </w:rPr>
                  </w:pPr>
                  <w:r>
                    <w:rPr>
                      <w:rFonts w:eastAsia="宋体"/>
                      <w:bCs/>
                      <w:sz w:val="18"/>
                      <w:szCs w:val="18"/>
                    </w:rPr>
                    <w:t>环境风险防控</w:t>
                  </w:r>
                </w:p>
              </w:tc>
              <w:tc>
                <w:tcPr>
                  <w:tcW w:w="9242" w:type="dxa"/>
                  <w:vAlign w:val="center"/>
                </w:tcPr>
                <w:p w14:paraId="100012D7">
                  <w:pPr>
                    <w:pStyle w:val="113"/>
                    <w:widowControl/>
                    <w:shd w:val="clear" w:color="auto" w:fill="FFFFFF"/>
                    <w:spacing w:line="240" w:lineRule="auto"/>
                    <w:ind w:firstLine="0" w:firstLineChars="0"/>
                    <w:jc w:val="center"/>
                    <w:rPr>
                      <w:rFonts w:eastAsia="宋体"/>
                      <w:bCs/>
                      <w:sz w:val="18"/>
                      <w:szCs w:val="18"/>
                    </w:rPr>
                  </w:pPr>
                  <w:r>
                    <w:rPr>
                      <w:rStyle w:val="114"/>
                      <w:rFonts w:eastAsia="宋体"/>
                      <w:bCs/>
                      <w:sz w:val="18"/>
                      <w:szCs w:val="18"/>
                    </w:rPr>
                    <w:t>/</w:t>
                  </w:r>
                </w:p>
              </w:tc>
              <w:tc>
                <w:tcPr>
                  <w:tcW w:w="1390" w:type="dxa"/>
                  <w:vAlign w:val="center"/>
                </w:tcPr>
                <w:p w14:paraId="338ED2B3">
                  <w:pPr>
                    <w:pStyle w:val="113"/>
                    <w:widowControl/>
                    <w:shd w:val="clear" w:color="auto" w:fill="FFFFFF"/>
                    <w:spacing w:line="240" w:lineRule="auto"/>
                    <w:ind w:firstLine="0" w:firstLineChars="0"/>
                    <w:jc w:val="center"/>
                    <w:rPr>
                      <w:rFonts w:eastAsia="宋体"/>
                      <w:bCs/>
                      <w:sz w:val="18"/>
                      <w:szCs w:val="18"/>
                    </w:rPr>
                  </w:pPr>
                  <w:r>
                    <w:rPr>
                      <w:rStyle w:val="114"/>
                      <w:rFonts w:eastAsia="宋体"/>
                      <w:bCs/>
                      <w:sz w:val="18"/>
                      <w:szCs w:val="18"/>
                    </w:rPr>
                    <w:t>/</w:t>
                  </w:r>
                </w:p>
              </w:tc>
              <w:tc>
                <w:tcPr>
                  <w:tcW w:w="637" w:type="dxa"/>
                  <w:vAlign w:val="center"/>
                </w:tcPr>
                <w:p w14:paraId="17BFBC97">
                  <w:pPr>
                    <w:pStyle w:val="113"/>
                    <w:widowControl/>
                    <w:shd w:val="clear" w:color="auto" w:fill="FFFFFF"/>
                    <w:spacing w:line="240" w:lineRule="auto"/>
                    <w:ind w:firstLine="0" w:firstLineChars="0"/>
                    <w:jc w:val="center"/>
                    <w:rPr>
                      <w:rFonts w:eastAsia="宋体"/>
                      <w:bCs/>
                      <w:sz w:val="18"/>
                      <w:szCs w:val="18"/>
                    </w:rPr>
                  </w:pPr>
                  <w:r>
                    <w:rPr>
                      <w:rStyle w:val="114"/>
                      <w:rFonts w:eastAsia="宋体"/>
                      <w:bCs/>
                      <w:sz w:val="18"/>
                      <w:szCs w:val="18"/>
                    </w:rPr>
                    <w:t>/</w:t>
                  </w:r>
                </w:p>
              </w:tc>
            </w:tr>
            <w:tr w14:paraId="6EB36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720" w:type="dxa"/>
                  <w:vMerge w:val="continue"/>
                  <w:vAlign w:val="center"/>
                </w:tcPr>
                <w:p w14:paraId="257C236A">
                  <w:pPr>
                    <w:widowControl/>
                    <w:jc w:val="center"/>
                    <w:rPr>
                      <w:rStyle w:val="114"/>
                      <w:sz w:val="18"/>
                      <w:szCs w:val="18"/>
                    </w:rPr>
                  </w:pPr>
                </w:p>
              </w:tc>
              <w:tc>
                <w:tcPr>
                  <w:tcW w:w="236" w:type="dxa"/>
                  <w:vMerge w:val="continue"/>
                  <w:vAlign w:val="center"/>
                </w:tcPr>
                <w:p w14:paraId="16970344">
                  <w:pPr>
                    <w:widowControl/>
                    <w:jc w:val="center"/>
                    <w:rPr>
                      <w:bCs/>
                      <w:sz w:val="18"/>
                      <w:szCs w:val="18"/>
                    </w:rPr>
                  </w:pPr>
                </w:p>
              </w:tc>
              <w:tc>
                <w:tcPr>
                  <w:tcW w:w="790" w:type="dxa"/>
                  <w:vAlign w:val="center"/>
                </w:tcPr>
                <w:p w14:paraId="7C40B0C2">
                  <w:pPr>
                    <w:pStyle w:val="113"/>
                    <w:spacing w:line="240" w:lineRule="auto"/>
                    <w:ind w:firstLine="0" w:firstLineChars="0"/>
                    <w:jc w:val="center"/>
                    <w:rPr>
                      <w:rFonts w:eastAsia="宋体"/>
                      <w:bCs/>
                      <w:sz w:val="18"/>
                      <w:szCs w:val="18"/>
                    </w:rPr>
                  </w:pPr>
                  <w:r>
                    <w:rPr>
                      <w:rFonts w:eastAsia="宋体"/>
                      <w:bCs/>
                      <w:sz w:val="18"/>
                      <w:szCs w:val="18"/>
                    </w:rPr>
                    <w:t>资源开发效率要求</w:t>
                  </w:r>
                </w:p>
              </w:tc>
              <w:tc>
                <w:tcPr>
                  <w:tcW w:w="9242" w:type="dxa"/>
                  <w:vAlign w:val="center"/>
                </w:tcPr>
                <w:p w14:paraId="7519B2CF">
                  <w:pPr>
                    <w:pStyle w:val="113"/>
                    <w:widowControl/>
                    <w:shd w:val="clear" w:color="auto" w:fill="FFFFFF"/>
                    <w:spacing w:line="240" w:lineRule="auto"/>
                    <w:ind w:firstLine="0" w:firstLineChars="0"/>
                    <w:jc w:val="center"/>
                    <w:rPr>
                      <w:rFonts w:eastAsia="宋体"/>
                      <w:bCs/>
                      <w:sz w:val="18"/>
                      <w:szCs w:val="18"/>
                    </w:rPr>
                  </w:pPr>
                  <w:r>
                    <w:rPr>
                      <w:rStyle w:val="114"/>
                      <w:rFonts w:eastAsia="宋体"/>
                      <w:bCs/>
                      <w:sz w:val="18"/>
                      <w:szCs w:val="18"/>
                    </w:rPr>
                    <w:t>/</w:t>
                  </w:r>
                </w:p>
              </w:tc>
              <w:tc>
                <w:tcPr>
                  <w:tcW w:w="1390" w:type="dxa"/>
                  <w:vAlign w:val="center"/>
                </w:tcPr>
                <w:p w14:paraId="53855612">
                  <w:pPr>
                    <w:pStyle w:val="113"/>
                    <w:widowControl/>
                    <w:shd w:val="clear" w:color="auto" w:fill="FFFFFF"/>
                    <w:spacing w:line="240" w:lineRule="auto"/>
                    <w:ind w:firstLine="0" w:firstLineChars="0"/>
                    <w:jc w:val="center"/>
                    <w:rPr>
                      <w:rFonts w:eastAsia="宋体"/>
                      <w:bCs/>
                      <w:sz w:val="18"/>
                      <w:szCs w:val="18"/>
                    </w:rPr>
                  </w:pPr>
                  <w:r>
                    <w:rPr>
                      <w:rStyle w:val="114"/>
                      <w:rFonts w:eastAsia="宋体"/>
                      <w:bCs/>
                      <w:sz w:val="18"/>
                      <w:szCs w:val="18"/>
                    </w:rPr>
                    <w:t>/</w:t>
                  </w:r>
                </w:p>
              </w:tc>
              <w:tc>
                <w:tcPr>
                  <w:tcW w:w="637" w:type="dxa"/>
                  <w:vAlign w:val="center"/>
                </w:tcPr>
                <w:p w14:paraId="54501742">
                  <w:pPr>
                    <w:pStyle w:val="113"/>
                    <w:widowControl/>
                    <w:shd w:val="clear" w:color="auto" w:fill="FFFFFF"/>
                    <w:spacing w:line="240" w:lineRule="auto"/>
                    <w:ind w:firstLine="0" w:firstLineChars="0"/>
                    <w:jc w:val="center"/>
                    <w:rPr>
                      <w:rFonts w:eastAsia="宋体"/>
                      <w:bCs/>
                      <w:sz w:val="18"/>
                      <w:szCs w:val="18"/>
                    </w:rPr>
                  </w:pPr>
                  <w:r>
                    <w:rPr>
                      <w:rStyle w:val="114"/>
                      <w:rFonts w:eastAsia="宋体"/>
                      <w:bCs/>
                      <w:sz w:val="18"/>
                      <w:szCs w:val="18"/>
                    </w:rPr>
                    <w:t>/</w:t>
                  </w:r>
                </w:p>
              </w:tc>
            </w:tr>
          </w:tbl>
          <w:p w14:paraId="6957F182">
            <w:pPr>
              <w:spacing w:line="360" w:lineRule="auto"/>
              <w:contextualSpacing/>
              <w:rPr>
                <w:b/>
                <w:szCs w:val="21"/>
              </w:rPr>
            </w:pPr>
          </w:p>
        </w:tc>
      </w:tr>
    </w:tbl>
    <w:p w14:paraId="6B350456">
      <w:pPr>
        <w:spacing w:line="360" w:lineRule="auto"/>
        <w:rPr>
          <w:rFonts w:eastAsia="黑体"/>
          <w:sz w:val="30"/>
        </w:rPr>
      </w:pPr>
    </w:p>
    <w:p w14:paraId="5E86A3F7">
      <w:pPr>
        <w:pStyle w:val="20"/>
      </w:pPr>
    </w:p>
    <w:p w14:paraId="2630E464">
      <w:pPr>
        <w:pStyle w:val="21"/>
      </w:pPr>
    </w:p>
    <w:p w14:paraId="63213D54">
      <w:pPr>
        <w:pStyle w:val="22"/>
        <w:sectPr>
          <w:footerReference r:id="rId6" w:type="default"/>
          <w:pgSz w:w="16838" w:h="11906" w:orient="landscape"/>
          <w:pgMar w:top="1531" w:right="1701" w:bottom="1531" w:left="1701" w:header="851" w:footer="1077" w:gutter="0"/>
          <w:pgNumType w:start="1"/>
          <w:cols w:space="720" w:num="1"/>
          <w:docGrid w:linePitch="312" w:charSpace="0"/>
        </w:sectPr>
      </w:pPr>
    </w:p>
    <w:p w14:paraId="63F331DB">
      <w:pPr>
        <w:pStyle w:val="3"/>
        <w:numPr>
          <w:ilvl w:val="0"/>
          <w:numId w:val="0"/>
        </w:numPr>
        <w:jc w:val="center"/>
      </w:pPr>
      <w:bookmarkStart w:id="5" w:name="_Toc150173882"/>
      <w:r>
        <w:rPr>
          <w:rFonts w:hint="eastAsia"/>
        </w:rPr>
        <w:t>二、建设内容</w:t>
      </w:r>
      <w:bookmarkEnd w:id="5"/>
    </w:p>
    <w:tbl>
      <w:tblPr>
        <w:tblStyle w:val="33"/>
        <w:tblpPr w:leftFromText="180" w:rightFromText="180" w:vertAnchor="text" w:tblpXSpec="center" w:tblpY="1"/>
        <w:tblOverlap w:val="never"/>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605"/>
      </w:tblGrid>
      <w:tr w14:paraId="255BB0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7F02CD7">
            <w:pPr>
              <w:adjustRightInd w:val="0"/>
              <w:snapToGrid w:val="0"/>
              <w:jc w:val="center"/>
              <w:rPr>
                <w:rFonts w:ascii="宋体" w:hAnsi="宋体" w:cs="宋体"/>
                <w:kern w:val="0"/>
                <w:sz w:val="24"/>
              </w:rPr>
            </w:pPr>
            <w:r>
              <w:rPr>
                <w:rFonts w:hint="eastAsia" w:ascii="宋体" w:hAnsi="宋体" w:cs="宋体"/>
                <w:kern w:val="0"/>
                <w:sz w:val="24"/>
              </w:rPr>
              <w:t>地理位置</w:t>
            </w:r>
          </w:p>
        </w:tc>
        <w:tc>
          <w:tcPr>
            <w:tcW w:w="4748" w:type="pct"/>
            <w:vAlign w:val="center"/>
          </w:tcPr>
          <w:p w14:paraId="35094BBD">
            <w:pPr>
              <w:adjustRightInd w:val="0"/>
              <w:snapToGrid w:val="0"/>
              <w:spacing w:line="360" w:lineRule="auto"/>
              <w:ind w:firstLine="480" w:firstLineChars="200"/>
              <w:rPr>
                <w:sz w:val="24"/>
                <w:szCs w:val="20"/>
              </w:rPr>
            </w:pPr>
            <w:r>
              <w:rPr>
                <w:sz w:val="24"/>
                <w:szCs w:val="20"/>
              </w:rPr>
              <w:t>本项目位于遂宁市大英县中心城区西南侧，属于县国土空间规划的</w:t>
            </w:r>
            <w:r>
              <w:rPr>
                <w:rFonts w:hint="eastAsia"/>
                <w:sz w:val="24"/>
                <w:szCs w:val="20"/>
              </w:rPr>
              <w:t>中心城区文旅组团</w:t>
            </w:r>
            <w:r>
              <w:rPr>
                <w:sz w:val="24"/>
                <w:szCs w:val="20"/>
              </w:rPr>
              <w:t>。距大英县政府约1.5公里，距遂宁市政府约45公里。大英县——四川省遂宁市辖县，地处四川盆地中部，涪江中游以西，介于北纬30°29’-30°44’、东经105°15’-105°40’之间，总面积701.05平方公里。县境东南紧邻遂宁市船山</w:t>
            </w:r>
            <w:r>
              <w:rPr>
                <w:rFonts w:hint="eastAsia"/>
                <w:sz w:val="24"/>
                <w:szCs w:val="20"/>
              </w:rPr>
              <w:t>区和安居区，东与蓬溪县以涪江为界，北连射洪市与绵阳市三台县，西接德阳市中江县，西南与资阳市乐至县毗邻，是遂宁市西向与成都协同发展的重要门户。</w:t>
            </w:r>
          </w:p>
          <w:p w14:paraId="75A0A48A">
            <w:pPr>
              <w:adjustRightInd w:val="0"/>
              <w:snapToGrid w:val="0"/>
              <w:spacing w:line="360" w:lineRule="auto"/>
              <w:ind w:firstLine="480" w:firstLineChars="200"/>
            </w:pPr>
            <w:r>
              <w:rPr>
                <w:rFonts w:hint="eastAsia"/>
                <w:sz w:val="24"/>
                <w:szCs w:val="20"/>
              </w:rPr>
              <w:t>根据2024年05月29日发布的《大英县国土空间总体规划（2021-2035）》，项目作为文旅组团纳入规划。项目地理位置图见附图1。</w:t>
            </w:r>
          </w:p>
          <w:p w14:paraId="7B223EF4">
            <w:pPr>
              <w:pStyle w:val="20"/>
              <w:spacing w:after="0" w:line="240" w:lineRule="auto"/>
              <w:ind w:left="0" w:leftChars="0"/>
              <w:jc w:val="center"/>
            </w:pPr>
            <w:r>
              <w:drawing>
                <wp:inline distT="0" distB="0" distL="0" distR="0">
                  <wp:extent cx="5377815" cy="459549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5379248" cy="4596641"/>
                          </a:xfrm>
                          <a:prstGeom prst="rect">
                            <a:avLst/>
                          </a:prstGeom>
                        </pic:spPr>
                      </pic:pic>
                    </a:graphicData>
                  </a:graphic>
                </wp:inline>
              </w:drawing>
            </w:r>
          </w:p>
          <w:p w14:paraId="350F07DA">
            <w:pPr>
              <w:pStyle w:val="20"/>
              <w:spacing w:after="0" w:line="240" w:lineRule="auto"/>
              <w:ind w:left="0" w:leftChars="0"/>
              <w:jc w:val="center"/>
              <w:rPr>
                <w:rFonts w:eastAsia="黑体"/>
                <w:kern w:val="0"/>
                <w:szCs w:val="21"/>
              </w:rPr>
            </w:pPr>
            <w:r>
              <w:rPr>
                <w:rFonts w:eastAsia="黑体"/>
                <w:szCs w:val="21"/>
              </w:rPr>
              <w:t>图2-1   项目地理位置示意图</w:t>
            </w:r>
          </w:p>
        </w:tc>
      </w:tr>
      <w:tr w14:paraId="106800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2" w:type="pct"/>
            <w:vAlign w:val="center"/>
          </w:tcPr>
          <w:p w14:paraId="559B9EEF">
            <w:pPr>
              <w:adjustRightInd w:val="0"/>
              <w:snapToGrid w:val="0"/>
              <w:jc w:val="center"/>
              <w:rPr>
                <w:rFonts w:ascii="宋体" w:hAnsi="宋体" w:cs="宋体"/>
                <w:kern w:val="0"/>
                <w:sz w:val="24"/>
              </w:rPr>
            </w:pPr>
            <w:r>
              <w:rPr>
                <w:rFonts w:hint="eastAsia" w:ascii="宋体" w:hAnsi="宋体" w:cs="宋体"/>
                <w:kern w:val="0"/>
                <w:sz w:val="24"/>
              </w:rPr>
              <w:t>项目组成及规模</w:t>
            </w:r>
          </w:p>
        </w:tc>
        <w:tc>
          <w:tcPr>
            <w:tcW w:w="4748" w:type="pct"/>
            <w:tcBorders>
              <w:right w:val="single" w:color="auto" w:sz="4" w:space="0"/>
            </w:tcBorders>
            <w:vAlign w:val="center"/>
          </w:tcPr>
          <w:p w14:paraId="3DB2F2C0">
            <w:pPr>
              <w:pStyle w:val="69"/>
              <w:ind w:firstLine="0" w:firstLineChars="0"/>
              <w:rPr>
                <w:b/>
              </w:rPr>
            </w:pPr>
            <w:r>
              <w:rPr>
                <w:rFonts w:hint="eastAsia"/>
                <w:b/>
              </w:rPr>
              <w:t>一、工程内容及规模</w:t>
            </w:r>
          </w:p>
          <w:p w14:paraId="1854D5B6">
            <w:pPr>
              <w:pStyle w:val="69"/>
              <w:ind w:firstLine="482"/>
              <w:rPr>
                <w:b/>
                <w:bCs/>
              </w:rPr>
            </w:pPr>
            <w:r>
              <w:rPr>
                <w:b/>
                <w:bCs/>
              </w:rPr>
              <w:t>1</w:t>
            </w:r>
            <w:r>
              <w:rPr>
                <w:rFonts w:hint="eastAsia"/>
                <w:b/>
                <w:bCs/>
              </w:rPr>
              <w:t>、项目由来</w:t>
            </w:r>
          </w:p>
          <w:p w14:paraId="0A873896">
            <w:pPr>
              <w:adjustRightInd w:val="0"/>
              <w:snapToGrid w:val="0"/>
              <w:spacing w:line="360" w:lineRule="auto"/>
              <w:ind w:firstLine="480" w:firstLineChars="200"/>
              <w:rPr>
                <w:sz w:val="24"/>
                <w:szCs w:val="20"/>
              </w:rPr>
            </w:pPr>
            <w:r>
              <w:rPr>
                <w:rFonts w:hint="eastAsia"/>
                <w:sz w:val="24"/>
                <w:szCs w:val="20"/>
              </w:rPr>
              <w:t>2023年10月，贵州起航工程设计有限公司编制完成了《中国死海AAAA级景区配套旅游基础设施建设项目可行性研究报告（代项目建议书）》。2023年11月，大英县发展和改革局下发了《关于中国死海AAAA级景区配套旅游基础设施建设项目可行性研究报告（代项目建议书）的批复》（大发改许可〔2023〕341号，附件2），主要建设内容和规模包括：主要改造游客接待中心约5000m</w:t>
            </w:r>
            <w:r>
              <w:rPr>
                <w:rFonts w:hint="eastAsia"/>
                <w:sz w:val="24"/>
                <w:szCs w:val="20"/>
                <w:vertAlign w:val="superscript"/>
              </w:rPr>
              <w:t>2</w:t>
            </w:r>
            <w:r>
              <w:rPr>
                <w:rFonts w:hint="eastAsia"/>
                <w:sz w:val="24"/>
                <w:szCs w:val="20"/>
              </w:rPr>
              <w:t>、新建旅游服务驿站8处约8000m</w:t>
            </w:r>
            <w:r>
              <w:rPr>
                <w:rFonts w:hint="eastAsia"/>
                <w:sz w:val="24"/>
                <w:szCs w:val="20"/>
                <w:vertAlign w:val="superscript"/>
              </w:rPr>
              <w:t>2</w:t>
            </w:r>
            <w:r>
              <w:rPr>
                <w:rFonts w:hint="eastAsia"/>
                <w:sz w:val="24"/>
                <w:szCs w:val="20"/>
              </w:rPr>
              <w:t>、改造提升配套旅游节点12处；提升改造旅游廊道约8公里、建设旅游休闲步道8公里等；建设停车场6座约18000m</w:t>
            </w:r>
            <w:r>
              <w:rPr>
                <w:rFonts w:hint="eastAsia"/>
                <w:sz w:val="24"/>
                <w:szCs w:val="20"/>
                <w:vertAlign w:val="superscript"/>
              </w:rPr>
              <w:t>2</w:t>
            </w:r>
            <w:r>
              <w:rPr>
                <w:rFonts w:hint="eastAsia"/>
                <w:sz w:val="24"/>
                <w:szCs w:val="20"/>
              </w:rPr>
              <w:t>（配置充电桩）；</w:t>
            </w:r>
            <w:r>
              <w:rPr>
                <w:rFonts w:hint="eastAsia"/>
                <w:b/>
                <w:sz w:val="24"/>
                <w:szCs w:val="20"/>
              </w:rPr>
              <w:t>配套建设景点连接道路3公里、</w:t>
            </w:r>
            <w:r>
              <w:rPr>
                <w:rFonts w:hint="eastAsia"/>
                <w:sz w:val="24"/>
                <w:szCs w:val="20"/>
              </w:rPr>
              <w:t>完善旅游导视系统、旅游厕所4处约1000m</w:t>
            </w:r>
            <w:r>
              <w:rPr>
                <w:rFonts w:hint="eastAsia"/>
                <w:sz w:val="24"/>
                <w:szCs w:val="20"/>
                <w:vertAlign w:val="superscript"/>
              </w:rPr>
              <w:t>2</w:t>
            </w:r>
            <w:r>
              <w:rPr>
                <w:rFonts w:hint="eastAsia"/>
                <w:sz w:val="24"/>
                <w:szCs w:val="20"/>
              </w:rPr>
              <w:t>等其他基础设施。项目计划投资约45000万元，资金来源县级财政资金、专项债券资金及银行贷款。</w:t>
            </w:r>
          </w:p>
          <w:p w14:paraId="25BF1403">
            <w:pPr>
              <w:adjustRightInd w:val="0"/>
              <w:snapToGrid w:val="0"/>
              <w:spacing w:line="360" w:lineRule="auto"/>
              <w:ind w:firstLine="480" w:firstLineChars="200"/>
              <w:rPr>
                <w:b/>
                <w:sz w:val="24"/>
                <w:szCs w:val="20"/>
              </w:rPr>
            </w:pPr>
            <w:r>
              <w:rPr>
                <w:rFonts w:hint="eastAsia"/>
                <w:sz w:val="24"/>
                <w:szCs w:val="20"/>
              </w:rPr>
              <w:t>2024年11月19日，大英</w:t>
            </w:r>
            <w:r>
              <w:rPr>
                <w:rFonts w:hint="eastAsia"/>
                <w:sz w:val="24"/>
                <w:szCs w:val="20"/>
                <w:lang w:val="en-US" w:eastAsia="zh-CN"/>
              </w:rPr>
              <w:t>县</w:t>
            </w:r>
            <w:bookmarkStart w:id="50" w:name="_GoBack"/>
            <w:bookmarkEnd w:id="50"/>
            <w:r>
              <w:rPr>
                <w:rFonts w:hint="eastAsia"/>
                <w:sz w:val="24"/>
                <w:szCs w:val="20"/>
              </w:rPr>
              <w:t>住房和城乡建设局和大英发展和改革局出具关于《中国死海AAAA级景区旅游配套基础设施建设项目（一期）初步设计及概算审查的批复》（</w:t>
            </w:r>
            <w:r>
              <w:rPr>
                <w:sz w:val="24"/>
              </w:rPr>
              <w:t>大建许可〔2024〕7号</w:t>
            </w:r>
            <w:r>
              <w:rPr>
                <w:rFonts w:hint="eastAsia"/>
                <w:sz w:val="24"/>
                <w:szCs w:val="20"/>
              </w:rPr>
              <w:t>），</w:t>
            </w:r>
            <w:r>
              <w:rPr>
                <w:rFonts w:hint="eastAsia"/>
                <w:b/>
                <w:sz w:val="24"/>
                <w:szCs w:val="20"/>
              </w:rPr>
              <w:t>本项目初步设计范围：配套建设景点连接道路3公里。</w:t>
            </w:r>
          </w:p>
          <w:p w14:paraId="2543090E">
            <w:pPr>
              <w:pStyle w:val="69"/>
              <w:ind w:firstLine="480"/>
              <w:rPr>
                <w:bCs/>
              </w:rPr>
            </w:pPr>
            <w:r>
              <w:rPr>
                <w:rFonts w:hint="eastAsia"/>
                <w:bCs/>
              </w:rPr>
              <w:t>项目实施后有利于“形成快速系统、加强东西南北贯通、提升路网密度”的总体思路，有利于区域内道路路网布局规划的实施。目前区域规划业态较丰富，现状总体建设强度较低，迫切需要完善区域内道路交通网络，形成完善的基础配套设施，有利于大英县的建设和发展。结合道路沿线规划组团用地性质，打造公园城市，营造城市地标，优化城市品质，提升城市形象，为大英县建设提供有力抓手，将承载交通的道路与多种相关要素和谐而自然地统一起来。</w:t>
            </w:r>
          </w:p>
          <w:p w14:paraId="40927A57">
            <w:pPr>
              <w:pStyle w:val="69"/>
              <w:ind w:firstLine="480"/>
              <w:rPr>
                <w:bCs/>
              </w:rPr>
            </w:pPr>
            <w:r>
              <w:rPr>
                <w:rFonts w:hint="eastAsia"/>
                <w:bCs/>
              </w:rPr>
              <w:t>本项目涉及的拆迁安置由政府部门牵头完成，道路现状以林地、耕地（不涉及基本农田）、荒地等为主，地势平坦，场地宽阔，交通方便，适宜项目建设。</w:t>
            </w:r>
          </w:p>
          <w:p w14:paraId="403758D0">
            <w:pPr>
              <w:pStyle w:val="69"/>
              <w:ind w:firstLine="482"/>
              <w:rPr>
                <w:b/>
                <w:bCs/>
              </w:rPr>
            </w:pPr>
            <w:r>
              <w:rPr>
                <w:rFonts w:hint="eastAsia"/>
                <w:b/>
                <w:bCs/>
              </w:rPr>
              <w:t>2、建设规模及建设内容</w:t>
            </w:r>
          </w:p>
          <w:p w14:paraId="17ECCABF">
            <w:pPr>
              <w:adjustRightInd w:val="0"/>
              <w:snapToGrid w:val="0"/>
              <w:spacing w:line="360" w:lineRule="auto"/>
              <w:ind w:right="-86" w:rightChars="-41" w:firstLine="482"/>
              <w:rPr>
                <w:kern w:val="0"/>
                <w:sz w:val="24"/>
              </w:rPr>
            </w:pPr>
            <w:r>
              <w:rPr>
                <w:b/>
                <w:bCs/>
                <w:kern w:val="0"/>
                <w:sz w:val="24"/>
              </w:rPr>
              <w:t>项目名称：</w:t>
            </w:r>
            <w:r>
              <w:rPr>
                <w:rFonts w:hint="eastAsia"/>
                <w:kern w:val="0"/>
                <w:sz w:val="24"/>
              </w:rPr>
              <w:t>中国死海AAAA级景区配套旅游基础设施建设项目（一期）</w:t>
            </w:r>
          </w:p>
          <w:p w14:paraId="393850C9">
            <w:pPr>
              <w:adjustRightInd w:val="0"/>
              <w:snapToGrid w:val="0"/>
              <w:spacing w:line="360" w:lineRule="auto"/>
              <w:ind w:firstLine="482"/>
              <w:rPr>
                <w:kern w:val="0"/>
                <w:sz w:val="24"/>
              </w:rPr>
            </w:pPr>
            <w:r>
              <w:rPr>
                <w:b/>
                <w:bCs/>
                <w:kern w:val="0"/>
                <w:sz w:val="24"/>
              </w:rPr>
              <w:t>建设地点</w:t>
            </w:r>
            <w:r>
              <w:rPr>
                <w:kern w:val="0"/>
                <w:sz w:val="24"/>
              </w:rPr>
              <w:t>：</w:t>
            </w:r>
            <w:r>
              <w:rPr>
                <w:rFonts w:hint="eastAsia"/>
                <w:kern w:val="0"/>
                <w:sz w:val="24"/>
              </w:rPr>
              <w:t>项目位于遂宁市大英县盐井街道大吉片区。</w:t>
            </w:r>
          </w:p>
          <w:p w14:paraId="1C4EECB0">
            <w:pPr>
              <w:adjustRightInd w:val="0"/>
              <w:snapToGrid w:val="0"/>
              <w:spacing w:line="360" w:lineRule="auto"/>
              <w:ind w:firstLine="482"/>
              <w:rPr>
                <w:kern w:val="0"/>
                <w:sz w:val="24"/>
              </w:rPr>
            </w:pPr>
            <w:r>
              <w:rPr>
                <w:b/>
                <w:bCs/>
                <w:kern w:val="0"/>
                <w:sz w:val="24"/>
              </w:rPr>
              <w:t>项目性质：</w:t>
            </w:r>
            <w:r>
              <w:rPr>
                <w:rFonts w:hint="eastAsia"/>
                <w:kern w:val="0"/>
                <w:sz w:val="24"/>
              </w:rPr>
              <w:t>新建</w:t>
            </w:r>
          </w:p>
          <w:p w14:paraId="227A070D">
            <w:pPr>
              <w:adjustRightInd w:val="0"/>
              <w:snapToGrid w:val="0"/>
              <w:spacing w:line="360" w:lineRule="auto"/>
              <w:ind w:firstLine="482"/>
              <w:rPr>
                <w:kern w:val="0"/>
                <w:sz w:val="24"/>
              </w:rPr>
            </w:pPr>
            <w:r>
              <w:rPr>
                <w:b/>
                <w:bCs/>
                <w:kern w:val="0"/>
                <w:sz w:val="24"/>
              </w:rPr>
              <w:t>建设单位：</w:t>
            </w:r>
            <w:r>
              <w:rPr>
                <w:rFonts w:hint="eastAsia"/>
                <w:kern w:val="0"/>
                <w:sz w:val="24"/>
              </w:rPr>
              <w:t>大英县通源实业有限责任公司</w:t>
            </w:r>
          </w:p>
          <w:p w14:paraId="1DFE78C4">
            <w:pPr>
              <w:pStyle w:val="69"/>
              <w:ind w:firstLine="482"/>
              <w:rPr>
                <w:bCs/>
              </w:rPr>
            </w:pPr>
            <w:r>
              <w:rPr>
                <w:rFonts w:hint="eastAsia"/>
                <w:b/>
                <w:bCs/>
              </w:rPr>
              <w:t>建设时序：</w:t>
            </w:r>
            <w:r>
              <w:rPr>
                <w:rFonts w:hint="eastAsia"/>
                <w:bCs/>
              </w:rPr>
              <w:t>本项目预计2025年5月开工，2027年4月建成，工期24个月。</w:t>
            </w:r>
          </w:p>
          <w:p w14:paraId="24B531FA">
            <w:pPr>
              <w:pStyle w:val="69"/>
              <w:ind w:firstLine="482"/>
              <w:rPr>
                <w:bCs/>
              </w:rPr>
            </w:pPr>
            <w:r>
              <w:rPr>
                <w:rFonts w:hint="eastAsia"/>
                <w:b/>
                <w:bCs/>
              </w:rPr>
              <w:t>建设内容：</w:t>
            </w:r>
            <w:r>
              <w:rPr>
                <w:rFonts w:hint="eastAsia"/>
                <w:bCs/>
              </w:rPr>
              <w:t>本项目建设包括新建太吉大道西延线1段、太吉大道西延线2段、城南大道连接线1段3条城市主干路，设计长度分别为1310.563m、451.401m、1240.882m，沿线新建桥梁2座，同时配套交安工程、给排水工程、通信电力工程、照明工程、景观绿化工程等。</w:t>
            </w:r>
          </w:p>
          <w:p w14:paraId="514254FE">
            <w:pPr>
              <w:pStyle w:val="69"/>
              <w:ind w:firstLine="480"/>
              <w:rPr>
                <w:bCs/>
              </w:rPr>
            </w:pPr>
            <w:r>
              <w:rPr>
                <w:rFonts w:hint="eastAsia"/>
                <w:bCs/>
              </w:rPr>
              <w:t>（1）成南大道连接线1段为城市主干路：起点与高速公路连接线（在建）形成环岛，终点顺接规划成南大道（老成南高速公路），于AK1+137.326处平交成南大道连接线2段。线路全长1240.882m，道路红线宽度26米，双向6车道，设计速度40km/h。</w:t>
            </w:r>
          </w:p>
          <w:p w14:paraId="21CA88CD">
            <w:pPr>
              <w:pStyle w:val="69"/>
              <w:ind w:firstLine="480"/>
              <w:rPr>
                <w:bCs/>
              </w:rPr>
            </w:pPr>
            <w:r>
              <w:rPr>
                <w:rFonts w:hint="eastAsia"/>
                <w:bCs/>
              </w:rPr>
              <w:t>（2）太吉大道西延线1段为城市主干路，起点与太吉大道西延线2段形成平面交叉口，该交叉口远期将实施国道G350改道工程（规划），形成T字形线路；终点顺接太吉大道已建段和环城西路交叉口；沿线城西一路（规划）和城西二路（规划）与主线形成T字形交叉口。线路全长1310.563米，道路红线宽度40米，双向6车道，设计速度40km/h。CK1+215.5至CK1+254.5为一号桥梁。</w:t>
            </w:r>
          </w:p>
          <w:p w14:paraId="04E0C0AB">
            <w:pPr>
              <w:pStyle w:val="69"/>
              <w:ind w:firstLine="480"/>
              <w:rPr>
                <w:bCs/>
              </w:rPr>
            </w:pPr>
            <w:r>
              <w:rPr>
                <w:rFonts w:hint="eastAsia"/>
                <w:bCs/>
              </w:rPr>
              <w:t>（3）太吉大道西延线2段为城市主干路，起点顺接高速公路连接线（在建）和国道G350，终点与太吉大道西延线1段形成平面交叉口，该交叉口远期将实施国道G350改道工程（规划），形成T字形线路。线路全长451.401米，道路红线宽度40米，双向6车道，设计速度50km/h。DK0+040.5至DK0+079.5为太吉大道二号桥梁。</w:t>
            </w:r>
          </w:p>
          <w:p w14:paraId="6FAF4F0A">
            <w:pPr>
              <w:pStyle w:val="69"/>
              <w:ind w:firstLine="482"/>
              <w:rPr>
                <w:b/>
                <w:bCs/>
              </w:rPr>
            </w:pPr>
            <w:r>
              <w:rPr>
                <w:rFonts w:hint="eastAsia"/>
                <w:b/>
                <w:bCs/>
              </w:rPr>
              <w:t>3、主要技术指标及工程特性</w:t>
            </w:r>
          </w:p>
          <w:p w14:paraId="5528A660">
            <w:pPr>
              <w:pStyle w:val="69"/>
              <w:spacing w:line="240" w:lineRule="auto"/>
              <w:ind w:firstLine="0" w:firstLineChars="0"/>
              <w:jc w:val="center"/>
              <w:rPr>
                <w:rFonts w:eastAsia="黑体"/>
                <w:sz w:val="21"/>
                <w:szCs w:val="21"/>
              </w:rPr>
            </w:pPr>
            <w:r>
              <w:rPr>
                <w:rFonts w:eastAsia="黑体"/>
                <w:sz w:val="21"/>
                <w:szCs w:val="21"/>
              </w:rPr>
              <w:t>表</w:t>
            </w:r>
            <w:r>
              <w:rPr>
                <w:rFonts w:hint="eastAsia" w:eastAsia="黑体"/>
                <w:sz w:val="21"/>
                <w:szCs w:val="21"/>
              </w:rPr>
              <w:t>2-2.1  工程主要技术指标</w:t>
            </w:r>
          </w:p>
          <w:tbl>
            <w:tblPr>
              <w:tblStyle w:val="33"/>
              <w:tblW w:w="4999" w:type="pct"/>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46"/>
              <w:gridCol w:w="791"/>
              <w:gridCol w:w="3163"/>
              <w:gridCol w:w="3357"/>
            </w:tblGrid>
            <w:tr w14:paraId="4E38766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6CF5C649">
                  <w:pPr>
                    <w:pStyle w:val="115"/>
                    <w:rPr>
                      <w:b/>
                      <w:szCs w:val="21"/>
                    </w:rPr>
                  </w:pPr>
                  <w:r>
                    <w:rPr>
                      <w:rFonts w:hint="eastAsia"/>
                      <w:b/>
                      <w:szCs w:val="21"/>
                    </w:rPr>
                    <w:t>项目</w:t>
                  </w:r>
                </w:p>
              </w:tc>
              <w:tc>
                <w:tcPr>
                  <w:tcW w:w="473" w:type="pct"/>
                  <w:tcMar>
                    <w:top w:w="0" w:type="dxa"/>
                    <w:left w:w="108" w:type="dxa"/>
                    <w:bottom w:w="0" w:type="dxa"/>
                    <w:right w:w="108" w:type="dxa"/>
                  </w:tcMar>
                  <w:vAlign w:val="center"/>
                </w:tcPr>
                <w:p w14:paraId="0D625D77">
                  <w:pPr>
                    <w:pStyle w:val="115"/>
                    <w:rPr>
                      <w:b/>
                      <w:szCs w:val="21"/>
                    </w:rPr>
                  </w:pPr>
                  <w:r>
                    <w:rPr>
                      <w:rFonts w:hint="eastAsia"/>
                      <w:b/>
                      <w:szCs w:val="21"/>
                    </w:rPr>
                    <w:t>单位</w:t>
                  </w:r>
                </w:p>
              </w:tc>
              <w:tc>
                <w:tcPr>
                  <w:tcW w:w="1892" w:type="pct"/>
                  <w:tcMar>
                    <w:top w:w="0" w:type="dxa"/>
                    <w:left w:w="108" w:type="dxa"/>
                    <w:bottom w:w="0" w:type="dxa"/>
                    <w:right w:w="108" w:type="dxa"/>
                  </w:tcMar>
                  <w:vAlign w:val="center"/>
                </w:tcPr>
                <w:p w14:paraId="1F2CC737">
                  <w:pPr>
                    <w:pStyle w:val="115"/>
                    <w:rPr>
                      <w:b/>
                      <w:szCs w:val="21"/>
                    </w:rPr>
                  </w:pPr>
                  <w:r>
                    <w:rPr>
                      <w:rFonts w:hint="eastAsia"/>
                      <w:b/>
                      <w:szCs w:val="21"/>
                    </w:rPr>
                    <w:t>太吉大道西延线1段</w:t>
                  </w:r>
                </w:p>
              </w:tc>
              <w:tc>
                <w:tcPr>
                  <w:tcW w:w="2007" w:type="pct"/>
                  <w:tcMar>
                    <w:top w:w="0" w:type="dxa"/>
                    <w:left w:w="108" w:type="dxa"/>
                    <w:bottom w:w="0" w:type="dxa"/>
                    <w:right w:w="108" w:type="dxa"/>
                  </w:tcMar>
                  <w:vAlign w:val="center"/>
                </w:tcPr>
                <w:p w14:paraId="2081C904">
                  <w:pPr>
                    <w:pStyle w:val="115"/>
                    <w:rPr>
                      <w:b/>
                      <w:szCs w:val="21"/>
                    </w:rPr>
                  </w:pPr>
                  <w:r>
                    <w:rPr>
                      <w:rFonts w:hint="eastAsia"/>
                      <w:b/>
                      <w:szCs w:val="21"/>
                    </w:rPr>
                    <w:t>太吉大道西延线2段</w:t>
                  </w:r>
                </w:p>
              </w:tc>
            </w:tr>
            <w:tr w14:paraId="2FDEDCC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2" w:hRule="atLeast"/>
              </w:trPr>
              <w:tc>
                <w:tcPr>
                  <w:tcW w:w="626" w:type="pct"/>
                  <w:tcMar>
                    <w:top w:w="0" w:type="dxa"/>
                    <w:left w:w="108" w:type="dxa"/>
                    <w:bottom w:w="0" w:type="dxa"/>
                    <w:right w:w="108" w:type="dxa"/>
                  </w:tcMar>
                  <w:vAlign w:val="center"/>
                </w:tcPr>
                <w:p w14:paraId="2E35AE06">
                  <w:pPr>
                    <w:pStyle w:val="115"/>
                    <w:rPr>
                      <w:szCs w:val="21"/>
                    </w:rPr>
                  </w:pPr>
                  <w:r>
                    <w:rPr>
                      <w:rFonts w:hint="eastAsia"/>
                      <w:szCs w:val="21"/>
                    </w:rPr>
                    <w:t>道路等级</w:t>
                  </w:r>
                </w:p>
              </w:tc>
              <w:tc>
                <w:tcPr>
                  <w:tcW w:w="473" w:type="pct"/>
                  <w:tcMar>
                    <w:top w:w="0" w:type="dxa"/>
                    <w:left w:w="108" w:type="dxa"/>
                    <w:bottom w:w="0" w:type="dxa"/>
                    <w:right w:w="108" w:type="dxa"/>
                  </w:tcMar>
                  <w:vAlign w:val="center"/>
                </w:tcPr>
                <w:p w14:paraId="4DAF87D0">
                  <w:pPr>
                    <w:pStyle w:val="115"/>
                    <w:rPr>
                      <w:szCs w:val="21"/>
                    </w:rPr>
                  </w:pPr>
                  <w:r>
                    <w:rPr>
                      <w:rFonts w:hint="eastAsia"/>
                      <w:szCs w:val="21"/>
                    </w:rPr>
                    <w:t>/</w:t>
                  </w:r>
                </w:p>
              </w:tc>
              <w:tc>
                <w:tcPr>
                  <w:tcW w:w="1892" w:type="pct"/>
                  <w:tcMar>
                    <w:top w:w="0" w:type="dxa"/>
                    <w:left w:w="108" w:type="dxa"/>
                    <w:bottom w:w="0" w:type="dxa"/>
                    <w:right w:w="108" w:type="dxa"/>
                  </w:tcMar>
                  <w:vAlign w:val="center"/>
                </w:tcPr>
                <w:p w14:paraId="66FF93F9">
                  <w:pPr>
                    <w:pStyle w:val="115"/>
                    <w:rPr>
                      <w:szCs w:val="21"/>
                    </w:rPr>
                  </w:pPr>
                  <w:r>
                    <w:rPr>
                      <w:rFonts w:hint="eastAsia"/>
                      <w:szCs w:val="21"/>
                    </w:rPr>
                    <w:t>主干路</w:t>
                  </w:r>
                </w:p>
              </w:tc>
              <w:tc>
                <w:tcPr>
                  <w:tcW w:w="2007" w:type="pct"/>
                  <w:tcMar>
                    <w:top w:w="0" w:type="dxa"/>
                    <w:left w:w="108" w:type="dxa"/>
                    <w:bottom w:w="0" w:type="dxa"/>
                    <w:right w:w="108" w:type="dxa"/>
                  </w:tcMar>
                  <w:vAlign w:val="center"/>
                </w:tcPr>
                <w:p w14:paraId="513892F7">
                  <w:pPr>
                    <w:pStyle w:val="115"/>
                    <w:rPr>
                      <w:szCs w:val="21"/>
                    </w:rPr>
                  </w:pPr>
                  <w:r>
                    <w:rPr>
                      <w:rFonts w:hint="eastAsia"/>
                      <w:szCs w:val="21"/>
                    </w:rPr>
                    <w:t>主干路</w:t>
                  </w:r>
                </w:p>
              </w:tc>
            </w:tr>
            <w:tr w14:paraId="481C59E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07244F75">
                  <w:pPr>
                    <w:pStyle w:val="115"/>
                    <w:rPr>
                      <w:szCs w:val="21"/>
                    </w:rPr>
                  </w:pPr>
                  <w:r>
                    <w:rPr>
                      <w:rFonts w:hint="eastAsia"/>
                      <w:szCs w:val="21"/>
                    </w:rPr>
                    <w:t>设计车速</w:t>
                  </w:r>
                </w:p>
              </w:tc>
              <w:tc>
                <w:tcPr>
                  <w:tcW w:w="473" w:type="pct"/>
                  <w:tcMar>
                    <w:top w:w="0" w:type="dxa"/>
                    <w:left w:w="108" w:type="dxa"/>
                    <w:bottom w:w="0" w:type="dxa"/>
                    <w:right w:w="108" w:type="dxa"/>
                  </w:tcMar>
                  <w:vAlign w:val="center"/>
                </w:tcPr>
                <w:p w14:paraId="3BD4E568">
                  <w:pPr>
                    <w:pStyle w:val="115"/>
                    <w:rPr>
                      <w:szCs w:val="21"/>
                    </w:rPr>
                  </w:pPr>
                  <w:r>
                    <w:rPr>
                      <w:rFonts w:hint="eastAsia"/>
                      <w:szCs w:val="21"/>
                    </w:rPr>
                    <w:t>km/h</w:t>
                  </w:r>
                </w:p>
              </w:tc>
              <w:tc>
                <w:tcPr>
                  <w:tcW w:w="1892" w:type="pct"/>
                  <w:tcMar>
                    <w:top w:w="0" w:type="dxa"/>
                    <w:left w:w="108" w:type="dxa"/>
                    <w:bottom w:w="0" w:type="dxa"/>
                    <w:right w:w="108" w:type="dxa"/>
                  </w:tcMar>
                  <w:vAlign w:val="center"/>
                </w:tcPr>
                <w:p w14:paraId="4FDB919D">
                  <w:pPr>
                    <w:pStyle w:val="115"/>
                    <w:rPr>
                      <w:szCs w:val="21"/>
                    </w:rPr>
                  </w:pPr>
                  <w:r>
                    <w:rPr>
                      <w:rFonts w:hint="eastAsia"/>
                      <w:szCs w:val="21"/>
                    </w:rPr>
                    <w:t>40</w:t>
                  </w:r>
                </w:p>
              </w:tc>
              <w:tc>
                <w:tcPr>
                  <w:tcW w:w="2007" w:type="pct"/>
                  <w:tcMar>
                    <w:top w:w="0" w:type="dxa"/>
                    <w:left w:w="108" w:type="dxa"/>
                    <w:bottom w:w="0" w:type="dxa"/>
                    <w:right w:w="108" w:type="dxa"/>
                  </w:tcMar>
                  <w:vAlign w:val="center"/>
                </w:tcPr>
                <w:p w14:paraId="2D362B6A">
                  <w:pPr>
                    <w:pStyle w:val="115"/>
                    <w:rPr>
                      <w:szCs w:val="21"/>
                    </w:rPr>
                  </w:pPr>
                  <w:r>
                    <w:rPr>
                      <w:rFonts w:hint="eastAsia"/>
                      <w:szCs w:val="21"/>
                    </w:rPr>
                    <w:t>50</w:t>
                  </w:r>
                </w:p>
              </w:tc>
            </w:tr>
            <w:tr w14:paraId="553BE3E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7CF3A019">
                  <w:pPr>
                    <w:pStyle w:val="115"/>
                    <w:rPr>
                      <w:szCs w:val="21"/>
                    </w:rPr>
                  </w:pPr>
                  <w:r>
                    <w:rPr>
                      <w:rFonts w:hint="eastAsia"/>
                      <w:szCs w:val="21"/>
                    </w:rPr>
                    <w:t>车道数</w:t>
                  </w:r>
                </w:p>
              </w:tc>
              <w:tc>
                <w:tcPr>
                  <w:tcW w:w="473" w:type="pct"/>
                  <w:tcMar>
                    <w:top w:w="0" w:type="dxa"/>
                    <w:left w:w="108" w:type="dxa"/>
                    <w:bottom w:w="0" w:type="dxa"/>
                    <w:right w:w="108" w:type="dxa"/>
                  </w:tcMar>
                  <w:vAlign w:val="center"/>
                </w:tcPr>
                <w:p w14:paraId="6E3EFC59">
                  <w:pPr>
                    <w:pStyle w:val="115"/>
                    <w:rPr>
                      <w:szCs w:val="21"/>
                    </w:rPr>
                  </w:pPr>
                  <w:r>
                    <w:rPr>
                      <w:rFonts w:hint="eastAsia"/>
                      <w:szCs w:val="21"/>
                    </w:rPr>
                    <w:t>/</w:t>
                  </w:r>
                </w:p>
              </w:tc>
              <w:tc>
                <w:tcPr>
                  <w:tcW w:w="3900" w:type="pct"/>
                  <w:gridSpan w:val="2"/>
                  <w:tcMar>
                    <w:top w:w="0" w:type="dxa"/>
                    <w:left w:w="108" w:type="dxa"/>
                    <w:bottom w:w="0" w:type="dxa"/>
                    <w:right w:w="108" w:type="dxa"/>
                  </w:tcMar>
                  <w:vAlign w:val="center"/>
                </w:tcPr>
                <w:p w14:paraId="72E60E95">
                  <w:pPr>
                    <w:pStyle w:val="115"/>
                    <w:rPr>
                      <w:szCs w:val="21"/>
                    </w:rPr>
                  </w:pPr>
                  <w:r>
                    <w:rPr>
                      <w:rFonts w:hint="eastAsia"/>
                      <w:szCs w:val="21"/>
                    </w:rPr>
                    <w:t>双6</w:t>
                  </w:r>
                </w:p>
              </w:tc>
            </w:tr>
            <w:tr w14:paraId="6829C6F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1BF6B4A9">
                  <w:pPr>
                    <w:pStyle w:val="115"/>
                    <w:rPr>
                      <w:szCs w:val="21"/>
                    </w:rPr>
                  </w:pPr>
                  <w:r>
                    <w:rPr>
                      <w:rFonts w:hint="eastAsia"/>
                      <w:szCs w:val="21"/>
                    </w:rPr>
                    <w:t>道路长度</w:t>
                  </w:r>
                </w:p>
              </w:tc>
              <w:tc>
                <w:tcPr>
                  <w:tcW w:w="473" w:type="pct"/>
                  <w:tcMar>
                    <w:top w:w="0" w:type="dxa"/>
                    <w:left w:w="108" w:type="dxa"/>
                    <w:bottom w:w="0" w:type="dxa"/>
                    <w:right w:w="108" w:type="dxa"/>
                  </w:tcMar>
                  <w:vAlign w:val="center"/>
                </w:tcPr>
                <w:p w14:paraId="7F9C2184">
                  <w:pPr>
                    <w:pStyle w:val="115"/>
                    <w:rPr>
                      <w:szCs w:val="21"/>
                    </w:rPr>
                  </w:pPr>
                  <w:r>
                    <w:rPr>
                      <w:rFonts w:hint="eastAsia"/>
                      <w:szCs w:val="21"/>
                    </w:rPr>
                    <w:t>m</w:t>
                  </w:r>
                </w:p>
              </w:tc>
              <w:tc>
                <w:tcPr>
                  <w:tcW w:w="1892" w:type="pct"/>
                  <w:tcMar>
                    <w:top w:w="0" w:type="dxa"/>
                    <w:left w:w="108" w:type="dxa"/>
                    <w:bottom w:w="0" w:type="dxa"/>
                    <w:right w:w="108" w:type="dxa"/>
                  </w:tcMar>
                  <w:vAlign w:val="center"/>
                </w:tcPr>
                <w:p w14:paraId="163FB77D">
                  <w:pPr>
                    <w:pStyle w:val="115"/>
                    <w:rPr>
                      <w:szCs w:val="21"/>
                    </w:rPr>
                  </w:pPr>
                  <w:r>
                    <w:rPr>
                      <w:rFonts w:hint="eastAsia"/>
                      <w:szCs w:val="21"/>
                    </w:rPr>
                    <w:t>1310.563</w:t>
                  </w:r>
                </w:p>
              </w:tc>
              <w:tc>
                <w:tcPr>
                  <w:tcW w:w="2007" w:type="pct"/>
                  <w:tcMar>
                    <w:top w:w="0" w:type="dxa"/>
                    <w:left w:w="108" w:type="dxa"/>
                    <w:bottom w:w="0" w:type="dxa"/>
                    <w:right w:w="108" w:type="dxa"/>
                  </w:tcMar>
                  <w:vAlign w:val="center"/>
                </w:tcPr>
                <w:p w14:paraId="5BA6FD46">
                  <w:pPr>
                    <w:pStyle w:val="115"/>
                    <w:rPr>
                      <w:szCs w:val="21"/>
                    </w:rPr>
                  </w:pPr>
                  <w:r>
                    <w:rPr>
                      <w:rFonts w:hint="eastAsia"/>
                      <w:szCs w:val="21"/>
                    </w:rPr>
                    <w:t>451.401</w:t>
                  </w:r>
                </w:p>
              </w:tc>
            </w:tr>
            <w:tr w14:paraId="5A931A5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394A49CF">
                  <w:pPr>
                    <w:pStyle w:val="115"/>
                    <w:rPr>
                      <w:szCs w:val="21"/>
                    </w:rPr>
                  </w:pPr>
                  <w:r>
                    <w:rPr>
                      <w:rFonts w:hint="eastAsia"/>
                      <w:szCs w:val="21"/>
                    </w:rPr>
                    <w:t>红线宽度</w:t>
                  </w:r>
                </w:p>
              </w:tc>
              <w:tc>
                <w:tcPr>
                  <w:tcW w:w="473" w:type="pct"/>
                  <w:tcMar>
                    <w:top w:w="0" w:type="dxa"/>
                    <w:left w:w="108" w:type="dxa"/>
                    <w:bottom w:w="0" w:type="dxa"/>
                    <w:right w:w="108" w:type="dxa"/>
                  </w:tcMar>
                  <w:vAlign w:val="center"/>
                </w:tcPr>
                <w:p w14:paraId="2374D85D">
                  <w:pPr>
                    <w:pStyle w:val="115"/>
                    <w:rPr>
                      <w:szCs w:val="21"/>
                    </w:rPr>
                  </w:pPr>
                  <w:r>
                    <w:rPr>
                      <w:rFonts w:hint="eastAsia"/>
                      <w:szCs w:val="21"/>
                    </w:rPr>
                    <w:t>m</w:t>
                  </w:r>
                </w:p>
              </w:tc>
              <w:tc>
                <w:tcPr>
                  <w:tcW w:w="3900" w:type="pct"/>
                  <w:gridSpan w:val="2"/>
                  <w:tcMar>
                    <w:top w:w="0" w:type="dxa"/>
                    <w:left w:w="108" w:type="dxa"/>
                    <w:bottom w:w="0" w:type="dxa"/>
                    <w:right w:w="108" w:type="dxa"/>
                  </w:tcMar>
                  <w:vAlign w:val="center"/>
                </w:tcPr>
                <w:p w14:paraId="51706285">
                  <w:pPr>
                    <w:pStyle w:val="115"/>
                    <w:rPr>
                      <w:szCs w:val="21"/>
                    </w:rPr>
                  </w:pPr>
                  <w:r>
                    <w:rPr>
                      <w:rFonts w:hint="eastAsia"/>
                      <w:szCs w:val="21"/>
                    </w:rPr>
                    <w:t>40</w:t>
                  </w:r>
                </w:p>
              </w:tc>
            </w:tr>
            <w:tr w14:paraId="3C373F6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3E1EA28B">
                  <w:pPr>
                    <w:pStyle w:val="115"/>
                    <w:rPr>
                      <w:szCs w:val="21"/>
                    </w:rPr>
                  </w:pPr>
                  <w:r>
                    <w:rPr>
                      <w:rFonts w:hint="eastAsia"/>
                      <w:szCs w:val="21"/>
                    </w:rPr>
                    <w:t>单侧车行道路宽度</w:t>
                  </w:r>
                </w:p>
              </w:tc>
              <w:tc>
                <w:tcPr>
                  <w:tcW w:w="473" w:type="pct"/>
                  <w:tcMar>
                    <w:top w:w="0" w:type="dxa"/>
                    <w:left w:w="108" w:type="dxa"/>
                    <w:bottom w:w="0" w:type="dxa"/>
                    <w:right w:w="108" w:type="dxa"/>
                  </w:tcMar>
                  <w:vAlign w:val="center"/>
                </w:tcPr>
                <w:p w14:paraId="57DFBFBA">
                  <w:pPr>
                    <w:pStyle w:val="115"/>
                    <w:rPr>
                      <w:szCs w:val="21"/>
                    </w:rPr>
                  </w:pPr>
                  <w:r>
                    <w:rPr>
                      <w:rFonts w:hint="eastAsia"/>
                      <w:szCs w:val="21"/>
                    </w:rPr>
                    <w:t>m</w:t>
                  </w:r>
                </w:p>
              </w:tc>
              <w:tc>
                <w:tcPr>
                  <w:tcW w:w="3900" w:type="pct"/>
                  <w:gridSpan w:val="2"/>
                  <w:tcMar>
                    <w:top w:w="0" w:type="dxa"/>
                    <w:left w:w="108" w:type="dxa"/>
                    <w:bottom w:w="0" w:type="dxa"/>
                    <w:right w:w="108" w:type="dxa"/>
                  </w:tcMar>
                  <w:vAlign w:val="center"/>
                </w:tcPr>
                <w:p w14:paraId="543FC683">
                  <w:pPr>
                    <w:pStyle w:val="115"/>
                    <w:rPr>
                      <w:szCs w:val="21"/>
                    </w:rPr>
                  </w:pPr>
                  <w:r>
                    <w:rPr>
                      <w:rFonts w:hint="eastAsia"/>
                      <w:szCs w:val="21"/>
                    </w:rPr>
                    <w:t>15（含3.5米非机动车道）</w:t>
                  </w:r>
                </w:p>
              </w:tc>
            </w:tr>
            <w:tr w14:paraId="22A0019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43DAB99A">
                  <w:pPr>
                    <w:pStyle w:val="115"/>
                    <w:rPr>
                      <w:szCs w:val="21"/>
                    </w:rPr>
                  </w:pPr>
                  <w:r>
                    <w:rPr>
                      <w:rFonts w:hint="eastAsia"/>
                      <w:szCs w:val="21"/>
                    </w:rPr>
                    <w:t>单侧人行道宽度</w:t>
                  </w:r>
                </w:p>
              </w:tc>
              <w:tc>
                <w:tcPr>
                  <w:tcW w:w="473" w:type="pct"/>
                  <w:tcMar>
                    <w:top w:w="0" w:type="dxa"/>
                    <w:left w:w="108" w:type="dxa"/>
                    <w:bottom w:w="0" w:type="dxa"/>
                    <w:right w:w="108" w:type="dxa"/>
                  </w:tcMar>
                  <w:vAlign w:val="center"/>
                </w:tcPr>
                <w:p w14:paraId="23E40721">
                  <w:pPr>
                    <w:pStyle w:val="115"/>
                    <w:rPr>
                      <w:szCs w:val="21"/>
                    </w:rPr>
                  </w:pPr>
                  <w:r>
                    <w:rPr>
                      <w:rFonts w:hint="eastAsia"/>
                      <w:szCs w:val="21"/>
                    </w:rPr>
                    <w:t>m</w:t>
                  </w:r>
                </w:p>
              </w:tc>
              <w:tc>
                <w:tcPr>
                  <w:tcW w:w="3900" w:type="pct"/>
                  <w:gridSpan w:val="2"/>
                  <w:tcMar>
                    <w:top w:w="0" w:type="dxa"/>
                    <w:left w:w="108" w:type="dxa"/>
                    <w:bottom w:w="0" w:type="dxa"/>
                    <w:right w:w="108" w:type="dxa"/>
                  </w:tcMar>
                  <w:vAlign w:val="center"/>
                </w:tcPr>
                <w:p w14:paraId="3E0F1DDA">
                  <w:pPr>
                    <w:pStyle w:val="115"/>
                    <w:rPr>
                      <w:szCs w:val="21"/>
                    </w:rPr>
                  </w:pPr>
                  <w:r>
                    <w:rPr>
                      <w:rFonts w:hint="eastAsia"/>
                      <w:szCs w:val="21"/>
                    </w:rPr>
                    <w:t>5</w:t>
                  </w:r>
                </w:p>
              </w:tc>
            </w:tr>
            <w:tr w14:paraId="3B784B9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1A2050A9">
                  <w:pPr>
                    <w:pStyle w:val="115"/>
                    <w:rPr>
                      <w:szCs w:val="21"/>
                    </w:rPr>
                  </w:pPr>
                  <w:r>
                    <w:rPr>
                      <w:rFonts w:hint="eastAsia"/>
                      <w:szCs w:val="21"/>
                    </w:rPr>
                    <w:t>停车视距</w:t>
                  </w:r>
                </w:p>
              </w:tc>
              <w:tc>
                <w:tcPr>
                  <w:tcW w:w="473" w:type="pct"/>
                  <w:tcMar>
                    <w:top w:w="0" w:type="dxa"/>
                    <w:left w:w="108" w:type="dxa"/>
                    <w:bottom w:w="0" w:type="dxa"/>
                    <w:right w:w="108" w:type="dxa"/>
                  </w:tcMar>
                  <w:vAlign w:val="center"/>
                </w:tcPr>
                <w:p w14:paraId="6B84162F">
                  <w:pPr>
                    <w:pStyle w:val="115"/>
                    <w:rPr>
                      <w:szCs w:val="21"/>
                    </w:rPr>
                  </w:pPr>
                  <w:r>
                    <w:rPr>
                      <w:rFonts w:hint="eastAsia"/>
                      <w:szCs w:val="21"/>
                    </w:rPr>
                    <w:t>m</w:t>
                  </w:r>
                </w:p>
              </w:tc>
              <w:tc>
                <w:tcPr>
                  <w:tcW w:w="1892" w:type="pct"/>
                  <w:tcMar>
                    <w:top w:w="0" w:type="dxa"/>
                    <w:left w:w="108" w:type="dxa"/>
                    <w:bottom w:w="0" w:type="dxa"/>
                    <w:right w:w="108" w:type="dxa"/>
                  </w:tcMar>
                  <w:vAlign w:val="center"/>
                </w:tcPr>
                <w:p w14:paraId="46CADF61">
                  <w:pPr>
                    <w:pStyle w:val="115"/>
                    <w:rPr>
                      <w:szCs w:val="21"/>
                    </w:rPr>
                  </w:pPr>
                  <w:r>
                    <w:rPr>
                      <w:rFonts w:hint="eastAsia"/>
                      <w:szCs w:val="21"/>
                    </w:rPr>
                    <w:t>40</w:t>
                  </w:r>
                </w:p>
              </w:tc>
              <w:tc>
                <w:tcPr>
                  <w:tcW w:w="2007" w:type="pct"/>
                  <w:vAlign w:val="center"/>
                </w:tcPr>
                <w:p w14:paraId="5A05BE5B">
                  <w:pPr>
                    <w:pStyle w:val="115"/>
                    <w:rPr>
                      <w:szCs w:val="21"/>
                    </w:rPr>
                  </w:pPr>
                  <w:r>
                    <w:rPr>
                      <w:rFonts w:hint="eastAsia"/>
                      <w:szCs w:val="21"/>
                    </w:rPr>
                    <w:t>60</w:t>
                  </w:r>
                </w:p>
              </w:tc>
            </w:tr>
            <w:tr w14:paraId="25FC2BD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18612A22">
                  <w:pPr>
                    <w:pStyle w:val="115"/>
                    <w:rPr>
                      <w:szCs w:val="21"/>
                    </w:rPr>
                  </w:pPr>
                  <w:r>
                    <w:rPr>
                      <w:rFonts w:hint="eastAsia"/>
                      <w:szCs w:val="21"/>
                    </w:rPr>
                    <w:t>最小圆曲线半径</w:t>
                  </w:r>
                </w:p>
              </w:tc>
              <w:tc>
                <w:tcPr>
                  <w:tcW w:w="473" w:type="pct"/>
                  <w:tcMar>
                    <w:top w:w="0" w:type="dxa"/>
                    <w:left w:w="108" w:type="dxa"/>
                    <w:bottom w:w="0" w:type="dxa"/>
                    <w:right w:w="108" w:type="dxa"/>
                  </w:tcMar>
                  <w:vAlign w:val="center"/>
                </w:tcPr>
                <w:p w14:paraId="724CC5BF">
                  <w:pPr>
                    <w:pStyle w:val="115"/>
                    <w:rPr>
                      <w:szCs w:val="21"/>
                    </w:rPr>
                  </w:pPr>
                  <w:r>
                    <w:rPr>
                      <w:rFonts w:hint="eastAsia"/>
                      <w:szCs w:val="21"/>
                    </w:rPr>
                    <w:t>m</w:t>
                  </w:r>
                </w:p>
              </w:tc>
              <w:tc>
                <w:tcPr>
                  <w:tcW w:w="1892" w:type="pct"/>
                  <w:tcMar>
                    <w:top w:w="0" w:type="dxa"/>
                    <w:left w:w="108" w:type="dxa"/>
                    <w:bottom w:w="0" w:type="dxa"/>
                    <w:right w:w="108" w:type="dxa"/>
                  </w:tcMar>
                  <w:vAlign w:val="center"/>
                </w:tcPr>
                <w:p w14:paraId="1C46CFA9">
                  <w:pPr>
                    <w:pStyle w:val="115"/>
                    <w:rPr>
                      <w:szCs w:val="21"/>
                    </w:rPr>
                  </w:pPr>
                  <w:r>
                    <w:rPr>
                      <w:rFonts w:hint="eastAsia"/>
                      <w:szCs w:val="21"/>
                    </w:rPr>
                    <w:t>330</w:t>
                  </w:r>
                </w:p>
              </w:tc>
              <w:tc>
                <w:tcPr>
                  <w:tcW w:w="2007" w:type="pct"/>
                  <w:tcMar>
                    <w:top w:w="0" w:type="dxa"/>
                    <w:left w:w="108" w:type="dxa"/>
                    <w:bottom w:w="0" w:type="dxa"/>
                    <w:right w:w="108" w:type="dxa"/>
                  </w:tcMar>
                  <w:vAlign w:val="center"/>
                </w:tcPr>
                <w:p w14:paraId="6D524E8A">
                  <w:pPr>
                    <w:pStyle w:val="115"/>
                    <w:rPr>
                      <w:szCs w:val="21"/>
                    </w:rPr>
                  </w:pPr>
                  <w:r>
                    <w:rPr>
                      <w:rFonts w:hint="eastAsia"/>
                      <w:szCs w:val="21"/>
                    </w:rPr>
                    <w:t>1000</w:t>
                  </w:r>
                </w:p>
              </w:tc>
            </w:tr>
            <w:tr w14:paraId="428B6AC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4E14E7AC">
                  <w:pPr>
                    <w:pStyle w:val="115"/>
                    <w:rPr>
                      <w:szCs w:val="21"/>
                    </w:rPr>
                  </w:pPr>
                  <w:r>
                    <w:rPr>
                      <w:rFonts w:hint="eastAsia"/>
                      <w:szCs w:val="21"/>
                    </w:rPr>
                    <w:t>最大纵坡</w:t>
                  </w:r>
                </w:p>
              </w:tc>
              <w:tc>
                <w:tcPr>
                  <w:tcW w:w="473" w:type="pct"/>
                  <w:tcMar>
                    <w:top w:w="0" w:type="dxa"/>
                    <w:left w:w="108" w:type="dxa"/>
                    <w:bottom w:w="0" w:type="dxa"/>
                    <w:right w:w="108" w:type="dxa"/>
                  </w:tcMar>
                  <w:vAlign w:val="center"/>
                </w:tcPr>
                <w:p w14:paraId="25706605">
                  <w:pPr>
                    <w:pStyle w:val="115"/>
                    <w:rPr>
                      <w:szCs w:val="21"/>
                    </w:rPr>
                  </w:pPr>
                  <w:r>
                    <w:rPr>
                      <w:rFonts w:hint="eastAsia"/>
                      <w:szCs w:val="21"/>
                    </w:rPr>
                    <w:t>%</w:t>
                  </w:r>
                </w:p>
              </w:tc>
              <w:tc>
                <w:tcPr>
                  <w:tcW w:w="1892" w:type="pct"/>
                  <w:tcMar>
                    <w:top w:w="0" w:type="dxa"/>
                    <w:left w:w="108" w:type="dxa"/>
                    <w:bottom w:w="0" w:type="dxa"/>
                    <w:right w:w="108" w:type="dxa"/>
                  </w:tcMar>
                  <w:vAlign w:val="center"/>
                </w:tcPr>
                <w:p w14:paraId="623F697E">
                  <w:pPr>
                    <w:pStyle w:val="115"/>
                    <w:rPr>
                      <w:szCs w:val="21"/>
                    </w:rPr>
                  </w:pPr>
                  <w:r>
                    <w:rPr>
                      <w:rFonts w:hint="eastAsia"/>
                      <w:szCs w:val="21"/>
                    </w:rPr>
                    <w:t>2.5</w:t>
                  </w:r>
                </w:p>
              </w:tc>
              <w:tc>
                <w:tcPr>
                  <w:tcW w:w="2007" w:type="pct"/>
                  <w:tcMar>
                    <w:top w:w="0" w:type="dxa"/>
                    <w:left w:w="108" w:type="dxa"/>
                    <w:bottom w:w="0" w:type="dxa"/>
                    <w:right w:w="108" w:type="dxa"/>
                  </w:tcMar>
                  <w:vAlign w:val="center"/>
                </w:tcPr>
                <w:p w14:paraId="74C0D70B">
                  <w:pPr>
                    <w:pStyle w:val="115"/>
                    <w:rPr>
                      <w:szCs w:val="21"/>
                    </w:rPr>
                  </w:pPr>
                  <w:r>
                    <w:rPr>
                      <w:rFonts w:hint="eastAsia"/>
                      <w:szCs w:val="21"/>
                    </w:rPr>
                    <w:t>2.864</w:t>
                  </w:r>
                </w:p>
              </w:tc>
            </w:tr>
            <w:tr w14:paraId="0026875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564F61BA">
                  <w:pPr>
                    <w:pStyle w:val="115"/>
                  </w:pPr>
                  <w:r>
                    <w:rPr>
                      <w:rFonts w:hint="eastAsia"/>
                    </w:rPr>
                    <w:t>路面横坡</w:t>
                  </w:r>
                </w:p>
              </w:tc>
              <w:tc>
                <w:tcPr>
                  <w:tcW w:w="473" w:type="pct"/>
                  <w:tcMar>
                    <w:top w:w="0" w:type="dxa"/>
                    <w:left w:w="108" w:type="dxa"/>
                    <w:bottom w:w="0" w:type="dxa"/>
                    <w:right w:w="108" w:type="dxa"/>
                  </w:tcMar>
                  <w:vAlign w:val="center"/>
                </w:tcPr>
                <w:p w14:paraId="53B58EC1">
                  <w:pPr>
                    <w:pStyle w:val="115"/>
                  </w:pPr>
                  <w:r>
                    <w:rPr>
                      <w:rFonts w:hint="eastAsia"/>
                    </w:rPr>
                    <w:t>%</w:t>
                  </w:r>
                </w:p>
              </w:tc>
              <w:tc>
                <w:tcPr>
                  <w:tcW w:w="3900" w:type="pct"/>
                  <w:gridSpan w:val="2"/>
                  <w:tcMar>
                    <w:top w:w="0" w:type="dxa"/>
                    <w:left w:w="108" w:type="dxa"/>
                    <w:bottom w:w="0" w:type="dxa"/>
                    <w:right w:w="108" w:type="dxa"/>
                  </w:tcMar>
                  <w:vAlign w:val="center"/>
                </w:tcPr>
                <w:p w14:paraId="6D7CBDB6">
                  <w:pPr>
                    <w:pStyle w:val="115"/>
                  </w:pPr>
                  <w:r>
                    <w:rPr>
                      <w:rFonts w:hint="eastAsia"/>
                    </w:rPr>
                    <w:t>车行道横坡：1.5%（坡向外侧）；人行道横坡：2.0%（坡向内侧）</w:t>
                  </w:r>
                </w:p>
              </w:tc>
            </w:tr>
            <w:tr w14:paraId="748401B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18B437B9">
                  <w:pPr>
                    <w:pStyle w:val="115"/>
                  </w:pPr>
                  <w:r>
                    <w:rPr>
                      <w:rFonts w:hint="eastAsia"/>
                    </w:rPr>
                    <w:t>净空要求</w:t>
                  </w:r>
                </w:p>
              </w:tc>
              <w:tc>
                <w:tcPr>
                  <w:tcW w:w="473" w:type="pct"/>
                  <w:tcMar>
                    <w:top w:w="0" w:type="dxa"/>
                    <w:left w:w="108" w:type="dxa"/>
                    <w:bottom w:w="0" w:type="dxa"/>
                    <w:right w:w="108" w:type="dxa"/>
                  </w:tcMar>
                  <w:vAlign w:val="center"/>
                </w:tcPr>
                <w:p w14:paraId="4FA4BAFC">
                  <w:pPr>
                    <w:pStyle w:val="115"/>
                  </w:pPr>
                  <w:r>
                    <w:rPr>
                      <w:rFonts w:hint="eastAsia"/>
                    </w:rPr>
                    <w:t>m</w:t>
                  </w:r>
                </w:p>
              </w:tc>
              <w:tc>
                <w:tcPr>
                  <w:tcW w:w="3900" w:type="pct"/>
                  <w:gridSpan w:val="2"/>
                  <w:tcMar>
                    <w:top w:w="0" w:type="dxa"/>
                    <w:left w:w="108" w:type="dxa"/>
                    <w:bottom w:w="0" w:type="dxa"/>
                    <w:right w:w="108" w:type="dxa"/>
                  </w:tcMar>
                  <w:vAlign w:val="center"/>
                </w:tcPr>
                <w:p w14:paraId="39E2951B">
                  <w:pPr>
                    <w:pStyle w:val="115"/>
                    <w:rPr>
                      <w:szCs w:val="21"/>
                    </w:rPr>
                  </w:pPr>
                  <w:r>
                    <w:rPr>
                      <w:rFonts w:hint="eastAsia"/>
                    </w:rPr>
                    <w:t>车行道≥4.5m；人行道≥2.5m</w:t>
                  </w:r>
                </w:p>
              </w:tc>
            </w:tr>
            <w:tr w14:paraId="1D3E368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6D7D1E1B">
                  <w:pPr>
                    <w:pStyle w:val="115"/>
                  </w:pPr>
                  <w:r>
                    <w:rPr>
                      <w:rFonts w:hint="eastAsia"/>
                    </w:rPr>
                    <w:t>抗震设防标准</w:t>
                  </w:r>
                </w:p>
              </w:tc>
              <w:tc>
                <w:tcPr>
                  <w:tcW w:w="473" w:type="pct"/>
                  <w:tcMar>
                    <w:top w:w="0" w:type="dxa"/>
                    <w:left w:w="108" w:type="dxa"/>
                    <w:bottom w:w="0" w:type="dxa"/>
                    <w:right w:w="108" w:type="dxa"/>
                  </w:tcMar>
                  <w:vAlign w:val="center"/>
                </w:tcPr>
                <w:p w14:paraId="14E4679F">
                  <w:pPr>
                    <w:pStyle w:val="115"/>
                  </w:pPr>
                  <w:r>
                    <w:rPr>
                      <w:rFonts w:hint="eastAsia"/>
                    </w:rPr>
                    <w:t>/</w:t>
                  </w:r>
                </w:p>
              </w:tc>
              <w:tc>
                <w:tcPr>
                  <w:tcW w:w="3900" w:type="pct"/>
                  <w:gridSpan w:val="2"/>
                  <w:tcMar>
                    <w:top w:w="0" w:type="dxa"/>
                    <w:left w:w="108" w:type="dxa"/>
                    <w:bottom w:w="0" w:type="dxa"/>
                    <w:right w:w="108" w:type="dxa"/>
                  </w:tcMar>
                  <w:vAlign w:val="center"/>
                </w:tcPr>
                <w:p w14:paraId="1E20D240">
                  <w:pPr>
                    <w:pStyle w:val="115"/>
                    <w:rPr>
                      <w:szCs w:val="21"/>
                    </w:rPr>
                  </w:pPr>
                  <w:r>
                    <w:rPr>
                      <w:rFonts w:hint="eastAsia"/>
                    </w:rPr>
                    <w:t>抗震设防烈度6度，设计基本地震加速度0.05g</w:t>
                  </w:r>
                </w:p>
              </w:tc>
            </w:tr>
            <w:tr w14:paraId="160547B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Mar>
                    <w:top w:w="0" w:type="dxa"/>
                    <w:left w:w="108" w:type="dxa"/>
                    <w:bottom w:w="0" w:type="dxa"/>
                    <w:right w:w="108" w:type="dxa"/>
                  </w:tcMar>
                  <w:vAlign w:val="center"/>
                </w:tcPr>
                <w:p w14:paraId="6117AABA">
                  <w:pPr>
                    <w:pStyle w:val="115"/>
                  </w:pPr>
                  <w:r>
                    <w:rPr>
                      <w:rFonts w:hint="eastAsia"/>
                    </w:rPr>
                    <w:t>道路标准轴载</w:t>
                  </w:r>
                </w:p>
              </w:tc>
              <w:tc>
                <w:tcPr>
                  <w:tcW w:w="473" w:type="pct"/>
                  <w:tcMar>
                    <w:top w:w="0" w:type="dxa"/>
                    <w:left w:w="108" w:type="dxa"/>
                    <w:bottom w:w="0" w:type="dxa"/>
                    <w:right w:w="108" w:type="dxa"/>
                  </w:tcMar>
                  <w:vAlign w:val="center"/>
                </w:tcPr>
                <w:p w14:paraId="7D67F3CE">
                  <w:pPr>
                    <w:pStyle w:val="115"/>
                  </w:pPr>
                  <w:r>
                    <w:rPr>
                      <w:rFonts w:hint="eastAsia"/>
                    </w:rPr>
                    <w:t>/</w:t>
                  </w:r>
                </w:p>
              </w:tc>
              <w:tc>
                <w:tcPr>
                  <w:tcW w:w="3900" w:type="pct"/>
                  <w:gridSpan w:val="2"/>
                  <w:tcMar>
                    <w:top w:w="0" w:type="dxa"/>
                    <w:left w:w="108" w:type="dxa"/>
                    <w:bottom w:w="0" w:type="dxa"/>
                    <w:right w:w="108" w:type="dxa"/>
                  </w:tcMar>
                  <w:vAlign w:val="center"/>
                </w:tcPr>
                <w:p w14:paraId="4F335C7C">
                  <w:pPr>
                    <w:pStyle w:val="115"/>
                    <w:rPr>
                      <w:szCs w:val="21"/>
                    </w:rPr>
                  </w:pPr>
                  <w:r>
                    <w:rPr>
                      <w:rFonts w:hint="eastAsia"/>
                    </w:rPr>
                    <w:t>BZZ-100</w:t>
                  </w:r>
                </w:p>
              </w:tc>
            </w:tr>
            <w:tr w14:paraId="506C381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Borders>
                    <w:bottom w:val="single" w:color="auto" w:sz="4" w:space="0"/>
                  </w:tcBorders>
                  <w:tcMar>
                    <w:top w:w="0" w:type="dxa"/>
                    <w:left w:w="108" w:type="dxa"/>
                    <w:bottom w:w="0" w:type="dxa"/>
                    <w:right w:w="108" w:type="dxa"/>
                  </w:tcMar>
                  <w:vAlign w:val="center"/>
                </w:tcPr>
                <w:p w14:paraId="65FFDBC3">
                  <w:pPr>
                    <w:pStyle w:val="115"/>
                  </w:pPr>
                  <w:r>
                    <w:rPr>
                      <w:rFonts w:hint="eastAsia"/>
                    </w:rPr>
                    <w:t>设计年限</w:t>
                  </w:r>
                </w:p>
              </w:tc>
              <w:tc>
                <w:tcPr>
                  <w:tcW w:w="473" w:type="pct"/>
                  <w:tcBorders>
                    <w:bottom w:val="single" w:color="auto" w:sz="4" w:space="0"/>
                  </w:tcBorders>
                  <w:tcMar>
                    <w:top w:w="0" w:type="dxa"/>
                    <w:left w:w="108" w:type="dxa"/>
                    <w:bottom w:w="0" w:type="dxa"/>
                    <w:right w:w="108" w:type="dxa"/>
                  </w:tcMar>
                  <w:vAlign w:val="center"/>
                </w:tcPr>
                <w:p w14:paraId="1213F476">
                  <w:pPr>
                    <w:pStyle w:val="115"/>
                  </w:pPr>
                  <w:r>
                    <w:rPr>
                      <w:rFonts w:hint="eastAsia"/>
                    </w:rPr>
                    <w:t>年</w:t>
                  </w:r>
                </w:p>
              </w:tc>
              <w:tc>
                <w:tcPr>
                  <w:tcW w:w="3900" w:type="pct"/>
                  <w:gridSpan w:val="2"/>
                  <w:tcBorders>
                    <w:bottom w:val="single" w:color="auto" w:sz="4" w:space="0"/>
                  </w:tcBorders>
                  <w:tcMar>
                    <w:top w:w="0" w:type="dxa"/>
                    <w:left w:w="108" w:type="dxa"/>
                    <w:bottom w:w="0" w:type="dxa"/>
                    <w:right w:w="108" w:type="dxa"/>
                  </w:tcMar>
                  <w:vAlign w:val="center"/>
                </w:tcPr>
                <w:p w14:paraId="02EA8B52">
                  <w:pPr>
                    <w:pStyle w:val="115"/>
                  </w:pPr>
                  <w:r>
                    <w:rPr>
                      <w:rFonts w:hint="eastAsia"/>
                    </w:rPr>
                    <w:t>道路交通路达到饱和时的设计年限：20年</w:t>
                  </w:r>
                </w:p>
                <w:p w14:paraId="0F33CC18">
                  <w:pPr>
                    <w:pStyle w:val="115"/>
                    <w:rPr>
                      <w:szCs w:val="21"/>
                    </w:rPr>
                  </w:pPr>
                  <w:r>
                    <w:rPr>
                      <w:rFonts w:hint="eastAsia"/>
                    </w:rPr>
                    <w:t>路面结构达到临界状态的设计年限：15年</w:t>
                  </w:r>
                </w:p>
              </w:tc>
            </w:tr>
            <w:tr w14:paraId="137187A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Borders>
                    <w:top w:val="single" w:color="auto" w:sz="4" w:space="0"/>
                    <w:bottom w:val="single" w:color="auto" w:sz="4" w:space="0"/>
                  </w:tcBorders>
                  <w:tcMar>
                    <w:top w:w="0" w:type="dxa"/>
                    <w:left w:w="108" w:type="dxa"/>
                    <w:bottom w:w="0" w:type="dxa"/>
                    <w:right w:w="108" w:type="dxa"/>
                  </w:tcMar>
                  <w:vAlign w:val="center"/>
                </w:tcPr>
                <w:p w14:paraId="3889C96F">
                  <w:pPr>
                    <w:pStyle w:val="115"/>
                  </w:pPr>
                  <w:r>
                    <w:rPr>
                      <w:rFonts w:hint="eastAsia"/>
                    </w:rPr>
                    <w:t>路面结构形式</w:t>
                  </w:r>
                </w:p>
              </w:tc>
              <w:tc>
                <w:tcPr>
                  <w:tcW w:w="473" w:type="pct"/>
                  <w:tcBorders>
                    <w:top w:val="single" w:color="auto" w:sz="4" w:space="0"/>
                    <w:bottom w:val="single" w:color="auto" w:sz="4" w:space="0"/>
                  </w:tcBorders>
                  <w:tcMar>
                    <w:top w:w="0" w:type="dxa"/>
                    <w:left w:w="108" w:type="dxa"/>
                    <w:bottom w:w="0" w:type="dxa"/>
                    <w:right w:w="108" w:type="dxa"/>
                  </w:tcMar>
                  <w:vAlign w:val="center"/>
                </w:tcPr>
                <w:p w14:paraId="453F9E03">
                  <w:pPr>
                    <w:pStyle w:val="115"/>
                  </w:pPr>
                  <w:r>
                    <w:rPr>
                      <w:rFonts w:hint="eastAsia"/>
                    </w:rPr>
                    <w:t>/</w:t>
                  </w:r>
                </w:p>
              </w:tc>
              <w:tc>
                <w:tcPr>
                  <w:tcW w:w="3900" w:type="pct"/>
                  <w:gridSpan w:val="2"/>
                  <w:tcBorders>
                    <w:top w:val="single" w:color="auto" w:sz="4" w:space="0"/>
                    <w:bottom w:val="single" w:color="auto" w:sz="4" w:space="0"/>
                  </w:tcBorders>
                  <w:tcMar>
                    <w:top w:w="0" w:type="dxa"/>
                    <w:left w:w="108" w:type="dxa"/>
                    <w:bottom w:w="0" w:type="dxa"/>
                    <w:right w:w="108" w:type="dxa"/>
                  </w:tcMar>
                  <w:vAlign w:val="center"/>
                </w:tcPr>
                <w:p w14:paraId="3E393600">
                  <w:pPr>
                    <w:pStyle w:val="115"/>
                  </w:pPr>
                  <w:r>
                    <w:rPr>
                      <w:rFonts w:hint="eastAsia"/>
                    </w:rPr>
                    <w:t>车行道：沥青玛蹄脂碎石混合料</w:t>
                  </w:r>
                </w:p>
                <w:p w14:paraId="2955FDC0">
                  <w:pPr>
                    <w:pStyle w:val="115"/>
                    <w:rPr>
                      <w:szCs w:val="21"/>
                    </w:rPr>
                  </w:pPr>
                  <w:r>
                    <w:rPr>
                      <w:rFonts w:hint="eastAsia"/>
                    </w:rPr>
                    <w:t>人行道：彩色透水混凝土</w:t>
                  </w:r>
                </w:p>
              </w:tc>
            </w:tr>
            <w:tr w14:paraId="7D2C528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626" w:type="pct"/>
                  <w:tcBorders>
                    <w:top w:val="single" w:color="auto" w:sz="4" w:space="0"/>
                    <w:bottom w:val="double" w:color="auto" w:sz="4" w:space="0"/>
                  </w:tcBorders>
                  <w:tcMar>
                    <w:top w:w="0" w:type="dxa"/>
                    <w:left w:w="108" w:type="dxa"/>
                    <w:bottom w:w="0" w:type="dxa"/>
                    <w:right w:w="108" w:type="dxa"/>
                  </w:tcMar>
                  <w:vAlign w:val="center"/>
                </w:tcPr>
                <w:p w14:paraId="72D1BC1B">
                  <w:pPr>
                    <w:pStyle w:val="115"/>
                  </w:pPr>
                  <w:r>
                    <w:rPr>
                      <w:rFonts w:hint="eastAsia"/>
                    </w:rPr>
                    <w:t>排水系统</w:t>
                  </w:r>
                </w:p>
              </w:tc>
              <w:tc>
                <w:tcPr>
                  <w:tcW w:w="473" w:type="pct"/>
                  <w:tcBorders>
                    <w:top w:val="single" w:color="auto" w:sz="4" w:space="0"/>
                    <w:bottom w:val="double" w:color="auto" w:sz="4" w:space="0"/>
                  </w:tcBorders>
                  <w:tcMar>
                    <w:top w:w="0" w:type="dxa"/>
                    <w:left w:w="108" w:type="dxa"/>
                    <w:bottom w:w="0" w:type="dxa"/>
                    <w:right w:w="108" w:type="dxa"/>
                  </w:tcMar>
                  <w:vAlign w:val="center"/>
                </w:tcPr>
                <w:p w14:paraId="1AF71B25">
                  <w:pPr>
                    <w:pStyle w:val="115"/>
                  </w:pPr>
                  <w:r>
                    <w:rPr>
                      <w:rFonts w:hint="eastAsia"/>
                    </w:rPr>
                    <w:t>/</w:t>
                  </w:r>
                </w:p>
              </w:tc>
              <w:tc>
                <w:tcPr>
                  <w:tcW w:w="3900" w:type="pct"/>
                  <w:gridSpan w:val="2"/>
                  <w:tcBorders>
                    <w:top w:val="single" w:color="auto" w:sz="4" w:space="0"/>
                    <w:bottom w:val="double" w:color="auto" w:sz="4" w:space="0"/>
                  </w:tcBorders>
                  <w:tcMar>
                    <w:top w:w="0" w:type="dxa"/>
                    <w:left w:w="108" w:type="dxa"/>
                    <w:bottom w:w="0" w:type="dxa"/>
                    <w:right w:w="108" w:type="dxa"/>
                  </w:tcMar>
                  <w:vAlign w:val="center"/>
                </w:tcPr>
                <w:p w14:paraId="68F9AE01">
                  <w:pPr>
                    <w:pStyle w:val="115"/>
                    <w:rPr>
                      <w:szCs w:val="21"/>
                    </w:rPr>
                  </w:pPr>
                  <w:r>
                    <w:rPr>
                      <w:rFonts w:hint="eastAsia"/>
                    </w:rPr>
                    <w:t>雨污分流</w:t>
                  </w:r>
                </w:p>
              </w:tc>
            </w:tr>
          </w:tbl>
          <w:p w14:paraId="757CE682">
            <w:pPr>
              <w:pStyle w:val="69"/>
              <w:spacing w:line="240" w:lineRule="auto"/>
              <w:ind w:firstLine="0" w:firstLineChars="0"/>
              <w:jc w:val="center"/>
              <w:rPr>
                <w:rFonts w:eastAsia="黑体"/>
                <w:sz w:val="21"/>
                <w:szCs w:val="21"/>
              </w:rPr>
            </w:pPr>
            <w:r>
              <w:rPr>
                <w:rFonts w:eastAsia="黑体"/>
                <w:sz w:val="21"/>
                <w:szCs w:val="21"/>
              </w:rPr>
              <w:t>表</w:t>
            </w:r>
            <w:r>
              <w:rPr>
                <w:rFonts w:hint="eastAsia" w:eastAsia="黑体"/>
                <w:sz w:val="21"/>
                <w:szCs w:val="21"/>
              </w:rPr>
              <w:t>2-2.2  工程主要技术指标</w:t>
            </w:r>
          </w:p>
          <w:tbl>
            <w:tblPr>
              <w:tblStyle w:val="33"/>
              <w:tblW w:w="5000" w:type="pct"/>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44"/>
              <w:gridCol w:w="858"/>
              <w:gridCol w:w="5557"/>
            </w:tblGrid>
            <w:tr w14:paraId="67F7606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35F30F5E">
                  <w:pPr>
                    <w:pStyle w:val="115"/>
                    <w:rPr>
                      <w:b/>
                      <w:szCs w:val="21"/>
                    </w:rPr>
                  </w:pPr>
                  <w:r>
                    <w:rPr>
                      <w:rFonts w:hint="eastAsia"/>
                      <w:b/>
                      <w:szCs w:val="21"/>
                    </w:rPr>
                    <w:t>项目</w:t>
                  </w:r>
                </w:p>
              </w:tc>
              <w:tc>
                <w:tcPr>
                  <w:tcW w:w="513" w:type="pct"/>
                  <w:tcMar>
                    <w:top w:w="0" w:type="dxa"/>
                    <w:left w:w="108" w:type="dxa"/>
                    <w:bottom w:w="0" w:type="dxa"/>
                    <w:right w:w="108" w:type="dxa"/>
                  </w:tcMar>
                  <w:vAlign w:val="center"/>
                </w:tcPr>
                <w:p w14:paraId="7C1EC8F5">
                  <w:pPr>
                    <w:pStyle w:val="115"/>
                    <w:rPr>
                      <w:b/>
                      <w:szCs w:val="21"/>
                    </w:rPr>
                  </w:pPr>
                  <w:r>
                    <w:rPr>
                      <w:rFonts w:hint="eastAsia"/>
                      <w:b/>
                      <w:szCs w:val="21"/>
                    </w:rPr>
                    <w:t>单位</w:t>
                  </w:r>
                </w:p>
              </w:tc>
              <w:tc>
                <w:tcPr>
                  <w:tcW w:w="3325" w:type="pct"/>
                  <w:tcMar>
                    <w:top w:w="0" w:type="dxa"/>
                    <w:left w:w="108" w:type="dxa"/>
                    <w:bottom w:w="0" w:type="dxa"/>
                    <w:right w:w="108" w:type="dxa"/>
                  </w:tcMar>
                  <w:vAlign w:val="center"/>
                </w:tcPr>
                <w:p w14:paraId="06D83D95">
                  <w:pPr>
                    <w:pStyle w:val="115"/>
                    <w:rPr>
                      <w:b/>
                      <w:szCs w:val="21"/>
                    </w:rPr>
                  </w:pPr>
                  <w:r>
                    <w:rPr>
                      <w:rFonts w:hint="eastAsia"/>
                      <w:b/>
                      <w:szCs w:val="21"/>
                    </w:rPr>
                    <w:t>成南大道连接线1段</w:t>
                  </w:r>
                </w:p>
              </w:tc>
            </w:tr>
            <w:tr w14:paraId="0815B4E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2" w:hRule="atLeast"/>
              </w:trPr>
              <w:tc>
                <w:tcPr>
                  <w:tcW w:w="1163" w:type="pct"/>
                  <w:tcMar>
                    <w:top w:w="0" w:type="dxa"/>
                    <w:left w:w="108" w:type="dxa"/>
                    <w:bottom w:w="0" w:type="dxa"/>
                    <w:right w:w="108" w:type="dxa"/>
                  </w:tcMar>
                  <w:vAlign w:val="center"/>
                </w:tcPr>
                <w:p w14:paraId="38AF56B8">
                  <w:pPr>
                    <w:pStyle w:val="115"/>
                    <w:rPr>
                      <w:szCs w:val="21"/>
                    </w:rPr>
                  </w:pPr>
                  <w:r>
                    <w:rPr>
                      <w:rFonts w:hint="eastAsia"/>
                      <w:szCs w:val="21"/>
                    </w:rPr>
                    <w:t>道路等级</w:t>
                  </w:r>
                </w:p>
              </w:tc>
              <w:tc>
                <w:tcPr>
                  <w:tcW w:w="513" w:type="pct"/>
                  <w:tcMar>
                    <w:top w:w="0" w:type="dxa"/>
                    <w:left w:w="108" w:type="dxa"/>
                    <w:bottom w:w="0" w:type="dxa"/>
                    <w:right w:w="108" w:type="dxa"/>
                  </w:tcMar>
                  <w:vAlign w:val="center"/>
                </w:tcPr>
                <w:p w14:paraId="2BF262FD">
                  <w:pPr>
                    <w:pStyle w:val="115"/>
                    <w:rPr>
                      <w:szCs w:val="21"/>
                    </w:rPr>
                  </w:pPr>
                  <w:r>
                    <w:rPr>
                      <w:rFonts w:hint="eastAsia"/>
                      <w:szCs w:val="21"/>
                    </w:rPr>
                    <w:t>/</w:t>
                  </w:r>
                </w:p>
              </w:tc>
              <w:tc>
                <w:tcPr>
                  <w:tcW w:w="3325" w:type="pct"/>
                  <w:tcMar>
                    <w:top w:w="0" w:type="dxa"/>
                    <w:left w:w="108" w:type="dxa"/>
                    <w:bottom w:w="0" w:type="dxa"/>
                    <w:right w:w="108" w:type="dxa"/>
                  </w:tcMar>
                  <w:vAlign w:val="center"/>
                </w:tcPr>
                <w:p w14:paraId="586AEE26">
                  <w:pPr>
                    <w:pStyle w:val="115"/>
                    <w:rPr>
                      <w:szCs w:val="21"/>
                    </w:rPr>
                  </w:pPr>
                  <w:r>
                    <w:rPr>
                      <w:rFonts w:hint="eastAsia"/>
                      <w:szCs w:val="21"/>
                    </w:rPr>
                    <w:t>主干路</w:t>
                  </w:r>
                </w:p>
              </w:tc>
            </w:tr>
            <w:tr w14:paraId="64C9D54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1AD792DF">
                  <w:pPr>
                    <w:pStyle w:val="115"/>
                    <w:rPr>
                      <w:szCs w:val="21"/>
                    </w:rPr>
                  </w:pPr>
                  <w:r>
                    <w:rPr>
                      <w:rFonts w:hint="eastAsia"/>
                      <w:szCs w:val="21"/>
                    </w:rPr>
                    <w:t>设计车速</w:t>
                  </w:r>
                </w:p>
              </w:tc>
              <w:tc>
                <w:tcPr>
                  <w:tcW w:w="513" w:type="pct"/>
                  <w:tcMar>
                    <w:top w:w="0" w:type="dxa"/>
                    <w:left w:w="108" w:type="dxa"/>
                    <w:bottom w:w="0" w:type="dxa"/>
                    <w:right w:w="108" w:type="dxa"/>
                  </w:tcMar>
                  <w:vAlign w:val="center"/>
                </w:tcPr>
                <w:p w14:paraId="4B94304F">
                  <w:pPr>
                    <w:pStyle w:val="115"/>
                    <w:rPr>
                      <w:szCs w:val="21"/>
                    </w:rPr>
                  </w:pPr>
                  <w:r>
                    <w:rPr>
                      <w:rFonts w:hint="eastAsia"/>
                      <w:szCs w:val="21"/>
                    </w:rPr>
                    <w:t>km/h</w:t>
                  </w:r>
                </w:p>
              </w:tc>
              <w:tc>
                <w:tcPr>
                  <w:tcW w:w="3325" w:type="pct"/>
                  <w:tcMar>
                    <w:top w:w="0" w:type="dxa"/>
                    <w:left w:w="108" w:type="dxa"/>
                    <w:bottom w:w="0" w:type="dxa"/>
                    <w:right w:w="108" w:type="dxa"/>
                  </w:tcMar>
                  <w:vAlign w:val="center"/>
                </w:tcPr>
                <w:p w14:paraId="12292B4B">
                  <w:pPr>
                    <w:pStyle w:val="115"/>
                    <w:rPr>
                      <w:szCs w:val="21"/>
                    </w:rPr>
                  </w:pPr>
                  <w:r>
                    <w:rPr>
                      <w:rFonts w:hint="eastAsia"/>
                      <w:szCs w:val="21"/>
                    </w:rPr>
                    <w:t>40</w:t>
                  </w:r>
                </w:p>
              </w:tc>
            </w:tr>
            <w:tr w14:paraId="311ACBF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002B7161">
                  <w:pPr>
                    <w:pStyle w:val="115"/>
                    <w:rPr>
                      <w:szCs w:val="21"/>
                    </w:rPr>
                  </w:pPr>
                  <w:r>
                    <w:rPr>
                      <w:rFonts w:hint="eastAsia"/>
                      <w:szCs w:val="21"/>
                    </w:rPr>
                    <w:t>车道数</w:t>
                  </w:r>
                </w:p>
              </w:tc>
              <w:tc>
                <w:tcPr>
                  <w:tcW w:w="513" w:type="pct"/>
                  <w:tcMar>
                    <w:top w:w="0" w:type="dxa"/>
                    <w:left w:w="108" w:type="dxa"/>
                    <w:bottom w:w="0" w:type="dxa"/>
                    <w:right w:w="108" w:type="dxa"/>
                  </w:tcMar>
                  <w:vAlign w:val="center"/>
                </w:tcPr>
                <w:p w14:paraId="04C49128">
                  <w:pPr>
                    <w:pStyle w:val="115"/>
                    <w:rPr>
                      <w:szCs w:val="21"/>
                    </w:rPr>
                  </w:pPr>
                  <w:r>
                    <w:rPr>
                      <w:rFonts w:hint="eastAsia"/>
                      <w:szCs w:val="21"/>
                    </w:rPr>
                    <w:t>/</w:t>
                  </w:r>
                </w:p>
              </w:tc>
              <w:tc>
                <w:tcPr>
                  <w:tcW w:w="3325" w:type="pct"/>
                  <w:tcMar>
                    <w:top w:w="0" w:type="dxa"/>
                    <w:left w:w="108" w:type="dxa"/>
                    <w:bottom w:w="0" w:type="dxa"/>
                    <w:right w:w="108" w:type="dxa"/>
                  </w:tcMar>
                  <w:vAlign w:val="center"/>
                </w:tcPr>
                <w:p w14:paraId="6CAD8DA9">
                  <w:pPr>
                    <w:pStyle w:val="115"/>
                    <w:rPr>
                      <w:szCs w:val="21"/>
                    </w:rPr>
                  </w:pPr>
                  <w:r>
                    <w:rPr>
                      <w:rFonts w:hint="eastAsia"/>
                      <w:szCs w:val="21"/>
                    </w:rPr>
                    <w:t>双向6车道（其中最外侧车道为混行车道）</w:t>
                  </w:r>
                </w:p>
              </w:tc>
            </w:tr>
            <w:tr w14:paraId="69CA97A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5B922026">
                  <w:pPr>
                    <w:pStyle w:val="115"/>
                    <w:rPr>
                      <w:szCs w:val="21"/>
                    </w:rPr>
                  </w:pPr>
                  <w:r>
                    <w:rPr>
                      <w:rFonts w:hint="eastAsia"/>
                      <w:szCs w:val="21"/>
                    </w:rPr>
                    <w:t>道路长度</w:t>
                  </w:r>
                </w:p>
              </w:tc>
              <w:tc>
                <w:tcPr>
                  <w:tcW w:w="513" w:type="pct"/>
                  <w:tcMar>
                    <w:top w:w="0" w:type="dxa"/>
                    <w:left w:w="108" w:type="dxa"/>
                    <w:bottom w:w="0" w:type="dxa"/>
                    <w:right w:w="108" w:type="dxa"/>
                  </w:tcMar>
                  <w:vAlign w:val="center"/>
                </w:tcPr>
                <w:p w14:paraId="399BD14C">
                  <w:pPr>
                    <w:pStyle w:val="115"/>
                    <w:rPr>
                      <w:szCs w:val="21"/>
                    </w:rPr>
                  </w:pPr>
                  <w:r>
                    <w:rPr>
                      <w:rFonts w:hint="eastAsia"/>
                      <w:szCs w:val="21"/>
                    </w:rPr>
                    <w:t>m</w:t>
                  </w:r>
                </w:p>
              </w:tc>
              <w:tc>
                <w:tcPr>
                  <w:tcW w:w="3325" w:type="pct"/>
                  <w:tcMar>
                    <w:top w:w="0" w:type="dxa"/>
                    <w:left w:w="108" w:type="dxa"/>
                    <w:bottom w:w="0" w:type="dxa"/>
                    <w:right w:w="108" w:type="dxa"/>
                  </w:tcMar>
                  <w:vAlign w:val="center"/>
                </w:tcPr>
                <w:p w14:paraId="2330E47A">
                  <w:pPr>
                    <w:pStyle w:val="115"/>
                    <w:rPr>
                      <w:szCs w:val="21"/>
                    </w:rPr>
                  </w:pPr>
                  <w:r>
                    <w:rPr>
                      <w:rFonts w:hint="eastAsia"/>
                      <w:szCs w:val="21"/>
                    </w:rPr>
                    <w:t>1240.882</w:t>
                  </w:r>
                </w:p>
              </w:tc>
            </w:tr>
            <w:tr w14:paraId="5C2E997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0B0D6BCD">
                  <w:pPr>
                    <w:pStyle w:val="115"/>
                    <w:rPr>
                      <w:szCs w:val="21"/>
                    </w:rPr>
                  </w:pPr>
                  <w:r>
                    <w:rPr>
                      <w:rFonts w:hint="eastAsia"/>
                      <w:szCs w:val="21"/>
                    </w:rPr>
                    <w:t>红线宽度</w:t>
                  </w:r>
                </w:p>
              </w:tc>
              <w:tc>
                <w:tcPr>
                  <w:tcW w:w="513" w:type="pct"/>
                  <w:tcMar>
                    <w:top w:w="0" w:type="dxa"/>
                    <w:left w:w="108" w:type="dxa"/>
                    <w:bottom w:w="0" w:type="dxa"/>
                    <w:right w:w="108" w:type="dxa"/>
                  </w:tcMar>
                  <w:vAlign w:val="center"/>
                </w:tcPr>
                <w:p w14:paraId="68C73F39">
                  <w:pPr>
                    <w:pStyle w:val="115"/>
                    <w:rPr>
                      <w:szCs w:val="21"/>
                    </w:rPr>
                  </w:pPr>
                  <w:r>
                    <w:rPr>
                      <w:rFonts w:hint="eastAsia"/>
                      <w:szCs w:val="21"/>
                    </w:rPr>
                    <w:t>m</w:t>
                  </w:r>
                </w:p>
              </w:tc>
              <w:tc>
                <w:tcPr>
                  <w:tcW w:w="3325" w:type="pct"/>
                  <w:tcMar>
                    <w:top w:w="0" w:type="dxa"/>
                    <w:left w:w="108" w:type="dxa"/>
                    <w:bottom w:w="0" w:type="dxa"/>
                    <w:right w:w="108" w:type="dxa"/>
                  </w:tcMar>
                  <w:vAlign w:val="center"/>
                </w:tcPr>
                <w:p w14:paraId="431460BF">
                  <w:pPr>
                    <w:pStyle w:val="115"/>
                    <w:rPr>
                      <w:szCs w:val="21"/>
                    </w:rPr>
                  </w:pPr>
                  <w:r>
                    <w:rPr>
                      <w:rFonts w:hint="eastAsia"/>
                      <w:szCs w:val="21"/>
                    </w:rPr>
                    <w:t>26</w:t>
                  </w:r>
                </w:p>
              </w:tc>
            </w:tr>
            <w:tr w14:paraId="28C39E4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6BDC0E76">
                  <w:pPr>
                    <w:pStyle w:val="115"/>
                    <w:rPr>
                      <w:szCs w:val="21"/>
                    </w:rPr>
                  </w:pPr>
                  <w:r>
                    <w:rPr>
                      <w:rFonts w:hint="eastAsia"/>
                      <w:szCs w:val="21"/>
                    </w:rPr>
                    <w:t>单侧车行道路宽度</w:t>
                  </w:r>
                </w:p>
              </w:tc>
              <w:tc>
                <w:tcPr>
                  <w:tcW w:w="513" w:type="pct"/>
                  <w:tcMar>
                    <w:top w:w="0" w:type="dxa"/>
                    <w:left w:w="108" w:type="dxa"/>
                    <w:bottom w:w="0" w:type="dxa"/>
                    <w:right w:w="108" w:type="dxa"/>
                  </w:tcMar>
                  <w:vAlign w:val="center"/>
                </w:tcPr>
                <w:p w14:paraId="14A89301">
                  <w:pPr>
                    <w:pStyle w:val="115"/>
                    <w:rPr>
                      <w:szCs w:val="21"/>
                    </w:rPr>
                  </w:pPr>
                  <w:r>
                    <w:rPr>
                      <w:rFonts w:hint="eastAsia"/>
                      <w:szCs w:val="21"/>
                    </w:rPr>
                    <w:t>m</w:t>
                  </w:r>
                </w:p>
              </w:tc>
              <w:tc>
                <w:tcPr>
                  <w:tcW w:w="3325" w:type="pct"/>
                  <w:tcMar>
                    <w:top w:w="0" w:type="dxa"/>
                    <w:left w:w="108" w:type="dxa"/>
                    <w:bottom w:w="0" w:type="dxa"/>
                    <w:right w:w="108" w:type="dxa"/>
                  </w:tcMar>
                  <w:vAlign w:val="center"/>
                </w:tcPr>
                <w:p w14:paraId="362171B6">
                  <w:pPr>
                    <w:pStyle w:val="115"/>
                    <w:rPr>
                      <w:szCs w:val="21"/>
                    </w:rPr>
                  </w:pPr>
                  <w:r>
                    <w:rPr>
                      <w:rFonts w:hint="eastAsia"/>
                      <w:szCs w:val="21"/>
                    </w:rPr>
                    <w:t>11</w:t>
                  </w:r>
                </w:p>
              </w:tc>
            </w:tr>
            <w:tr w14:paraId="2D91CDE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2B0CE3F8">
                  <w:pPr>
                    <w:pStyle w:val="115"/>
                    <w:rPr>
                      <w:szCs w:val="21"/>
                    </w:rPr>
                  </w:pPr>
                  <w:r>
                    <w:rPr>
                      <w:rFonts w:hint="eastAsia"/>
                      <w:szCs w:val="21"/>
                    </w:rPr>
                    <w:t>单侧人行道宽度</w:t>
                  </w:r>
                </w:p>
              </w:tc>
              <w:tc>
                <w:tcPr>
                  <w:tcW w:w="513" w:type="pct"/>
                  <w:tcMar>
                    <w:top w:w="0" w:type="dxa"/>
                    <w:left w:w="108" w:type="dxa"/>
                    <w:bottom w:w="0" w:type="dxa"/>
                    <w:right w:w="108" w:type="dxa"/>
                  </w:tcMar>
                  <w:vAlign w:val="center"/>
                </w:tcPr>
                <w:p w14:paraId="6ACE2960">
                  <w:pPr>
                    <w:pStyle w:val="115"/>
                    <w:rPr>
                      <w:szCs w:val="21"/>
                    </w:rPr>
                  </w:pPr>
                  <w:r>
                    <w:rPr>
                      <w:rFonts w:hint="eastAsia"/>
                      <w:szCs w:val="21"/>
                    </w:rPr>
                    <w:t>m</w:t>
                  </w:r>
                </w:p>
              </w:tc>
              <w:tc>
                <w:tcPr>
                  <w:tcW w:w="3325" w:type="pct"/>
                  <w:tcMar>
                    <w:top w:w="0" w:type="dxa"/>
                    <w:left w:w="108" w:type="dxa"/>
                    <w:bottom w:w="0" w:type="dxa"/>
                    <w:right w:w="108" w:type="dxa"/>
                  </w:tcMar>
                  <w:vAlign w:val="center"/>
                </w:tcPr>
                <w:p w14:paraId="5D160796">
                  <w:pPr>
                    <w:pStyle w:val="115"/>
                    <w:rPr>
                      <w:szCs w:val="21"/>
                    </w:rPr>
                  </w:pPr>
                  <w:r>
                    <w:rPr>
                      <w:rFonts w:hint="eastAsia"/>
                      <w:szCs w:val="21"/>
                    </w:rPr>
                    <w:t>2</w:t>
                  </w:r>
                </w:p>
              </w:tc>
            </w:tr>
            <w:tr w14:paraId="056AB2F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0293A0DC">
                  <w:pPr>
                    <w:pStyle w:val="115"/>
                    <w:rPr>
                      <w:szCs w:val="21"/>
                    </w:rPr>
                  </w:pPr>
                  <w:r>
                    <w:rPr>
                      <w:rFonts w:hint="eastAsia"/>
                      <w:szCs w:val="21"/>
                    </w:rPr>
                    <w:t>停车视距</w:t>
                  </w:r>
                </w:p>
              </w:tc>
              <w:tc>
                <w:tcPr>
                  <w:tcW w:w="513" w:type="pct"/>
                  <w:tcMar>
                    <w:top w:w="0" w:type="dxa"/>
                    <w:left w:w="108" w:type="dxa"/>
                    <w:bottom w:w="0" w:type="dxa"/>
                    <w:right w:w="108" w:type="dxa"/>
                  </w:tcMar>
                  <w:vAlign w:val="center"/>
                </w:tcPr>
                <w:p w14:paraId="7443B61E">
                  <w:pPr>
                    <w:pStyle w:val="115"/>
                    <w:rPr>
                      <w:szCs w:val="21"/>
                    </w:rPr>
                  </w:pPr>
                  <w:r>
                    <w:rPr>
                      <w:rFonts w:hint="eastAsia"/>
                      <w:szCs w:val="21"/>
                    </w:rPr>
                    <w:t>m</w:t>
                  </w:r>
                </w:p>
              </w:tc>
              <w:tc>
                <w:tcPr>
                  <w:tcW w:w="3325" w:type="pct"/>
                  <w:tcMar>
                    <w:top w:w="0" w:type="dxa"/>
                    <w:left w:w="108" w:type="dxa"/>
                    <w:bottom w:w="0" w:type="dxa"/>
                    <w:right w:w="108" w:type="dxa"/>
                  </w:tcMar>
                  <w:vAlign w:val="center"/>
                </w:tcPr>
                <w:p w14:paraId="3814BE88">
                  <w:pPr>
                    <w:pStyle w:val="115"/>
                    <w:rPr>
                      <w:szCs w:val="21"/>
                    </w:rPr>
                  </w:pPr>
                  <w:r>
                    <w:rPr>
                      <w:rFonts w:hint="eastAsia"/>
                      <w:szCs w:val="21"/>
                    </w:rPr>
                    <w:t>40</w:t>
                  </w:r>
                </w:p>
              </w:tc>
            </w:tr>
            <w:tr w14:paraId="68F80043">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57DA91E3">
                  <w:pPr>
                    <w:pStyle w:val="115"/>
                    <w:rPr>
                      <w:szCs w:val="21"/>
                    </w:rPr>
                  </w:pPr>
                  <w:r>
                    <w:rPr>
                      <w:rFonts w:hint="eastAsia"/>
                      <w:szCs w:val="21"/>
                    </w:rPr>
                    <w:t>最小圆曲线半径</w:t>
                  </w:r>
                </w:p>
              </w:tc>
              <w:tc>
                <w:tcPr>
                  <w:tcW w:w="513" w:type="pct"/>
                  <w:tcMar>
                    <w:top w:w="0" w:type="dxa"/>
                    <w:left w:w="108" w:type="dxa"/>
                    <w:bottom w:w="0" w:type="dxa"/>
                    <w:right w:w="108" w:type="dxa"/>
                  </w:tcMar>
                  <w:vAlign w:val="center"/>
                </w:tcPr>
                <w:p w14:paraId="25B3AD2A">
                  <w:pPr>
                    <w:pStyle w:val="115"/>
                    <w:rPr>
                      <w:szCs w:val="21"/>
                    </w:rPr>
                  </w:pPr>
                  <w:r>
                    <w:rPr>
                      <w:rFonts w:hint="eastAsia"/>
                      <w:szCs w:val="21"/>
                    </w:rPr>
                    <w:t>m</w:t>
                  </w:r>
                </w:p>
              </w:tc>
              <w:tc>
                <w:tcPr>
                  <w:tcW w:w="3325" w:type="pct"/>
                  <w:tcMar>
                    <w:top w:w="0" w:type="dxa"/>
                    <w:left w:w="108" w:type="dxa"/>
                    <w:bottom w:w="0" w:type="dxa"/>
                    <w:right w:w="108" w:type="dxa"/>
                  </w:tcMar>
                  <w:vAlign w:val="center"/>
                </w:tcPr>
                <w:p w14:paraId="226815FC">
                  <w:pPr>
                    <w:pStyle w:val="115"/>
                    <w:rPr>
                      <w:szCs w:val="21"/>
                    </w:rPr>
                  </w:pPr>
                  <w:r>
                    <w:rPr>
                      <w:rFonts w:hint="eastAsia"/>
                      <w:szCs w:val="21"/>
                    </w:rPr>
                    <w:t>300</w:t>
                  </w:r>
                </w:p>
              </w:tc>
            </w:tr>
            <w:tr w14:paraId="201E46C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35895D7F">
                  <w:pPr>
                    <w:pStyle w:val="115"/>
                    <w:rPr>
                      <w:szCs w:val="21"/>
                    </w:rPr>
                  </w:pPr>
                  <w:r>
                    <w:rPr>
                      <w:rFonts w:hint="eastAsia"/>
                      <w:szCs w:val="21"/>
                    </w:rPr>
                    <w:t>最大纵坡</w:t>
                  </w:r>
                </w:p>
              </w:tc>
              <w:tc>
                <w:tcPr>
                  <w:tcW w:w="513" w:type="pct"/>
                  <w:tcMar>
                    <w:top w:w="0" w:type="dxa"/>
                    <w:left w:w="108" w:type="dxa"/>
                    <w:bottom w:w="0" w:type="dxa"/>
                    <w:right w:w="108" w:type="dxa"/>
                  </w:tcMar>
                  <w:vAlign w:val="center"/>
                </w:tcPr>
                <w:p w14:paraId="753C444B">
                  <w:pPr>
                    <w:pStyle w:val="115"/>
                    <w:rPr>
                      <w:szCs w:val="21"/>
                    </w:rPr>
                  </w:pPr>
                  <w:r>
                    <w:rPr>
                      <w:rFonts w:hint="eastAsia"/>
                      <w:szCs w:val="21"/>
                    </w:rPr>
                    <w:t>%</w:t>
                  </w:r>
                </w:p>
              </w:tc>
              <w:tc>
                <w:tcPr>
                  <w:tcW w:w="3325" w:type="pct"/>
                  <w:tcMar>
                    <w:top w:w="0" w:type="dxa"/>
                    <w:left w:w="108" w:type="dxa"/>
                    <w:bottom w:w="0" w:type="dxa"/>
                    <w:right w:w="108" w:type="dxa"/>
                  </w:tcMar>
                  <w:vAlign w:val="center"/>
                </w:tcPr>
                <w:p w14:paraId="39A005D1">
                  <w:pPr>
                    <w:pStyle w:val="115"/>
                    <w:rPr>
                      <w:szCs w:val="21"/>
                    </w:rPr>
                  </w:pPr>
                  <w:r>
                    <w:rPr>
                      <w:rFonts w:hint="eastAsia"/>
                      <w:szCs w:val="21"/>
                    </w:rPr>
                    <w:t>5</w:t>
                  </w:r>
                </w:p>
              </w:tc>
            </w:tr>
            <w:tr w14:paraId="36C6C1A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4E2F5342">
                  <w:pPr>
                    <w:pStyle w:val="115"/>
                  </w:pPr>
                  <w:r>
                    <w:rPr>
                      <w:rFonts w:hint="eastAsia"/>
                    </w:rPr>
                    <w:t>路面横坡</w:t>
                  </w:r>
                </w:p>
              </w:tc>
              <w:tc>
                <w:tcPr>
                  <w:tcW w:w="513" w:type="pct"/>
                  <w:tcMar>
                    <w:top w:w="0" w:type="dxa"/>
                    <w:left w:w="108" w:type="dxa"/>
                    <w:bottom w:w="0" w:type="dxa"/>
                    <w:right w:w="108" w:type="dxa"/>
                  </w:tcMar>
                  <w:vAlign w:val="center"/>
                </w:tcPr>
                <w:p w14:paraId="52600525">
                  <w:pPr>
                    <w:pStyle w:val="115"/>
                  </w:pPr>
                  <w:r>
                    <w:rPr>
                      <w:rFonts w:hint="eastAsia"/>
                    </w:rPr>
                    <w:t>%</w:t>
                  </w:r>
                </w:p>
              </w:tc>
              <w:tc>
                <w:tcPr>
                  <w:tcW w:w="3325" w:type="pct"/>
                  <w:tcMar>
                    <w:top w:w="0" w:type="dxa"/>
                    <w:left w:w="108" w:type="dxa"/>
                    <w:bottom w:w="0" w:type="dxa"/>
                    <w:right w:w="108" w:type="dxa"/>
                  </w:tcMar>
                  <w:vAlign w:val="center"/>
                </w:tcPr>
                <w:p w14:paraId="4159B72A">
                  <w:pPr>
                    <w:pStyle w:val="115"/>
                  </w:pPr>
                  <w:r>
                    <w:rPr>
                      <w:rFonts w:hint="eastAsia"/>
                    </w:rPr>
                    <w:t>车行道横坡：1.5%（坡向外侧）；人行道横坡：2.0%（坡向内侧）</w:t>
                  </w:r>
                </w:p>
              </w:tc>
            </w:tr>
            <w:tr w14:paraId="37D9FC2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44EB7905">
                  <w:pPr>
                    <w:pStyle w:val="115"/>
                  </w:pPr>
                  <w:r>
                    <w:rPr>
                      <w:rFonts w:hint="eastAsia"/>
                    </w:rPr>
                    <w:t>净空要求</w:t>
                  </w:r>
                </w:p>
              </w:tc>
              <w:tc>
                <w:tcPr>
                  <w:tcW w:w="513" w:type="pct"/>
                  <w:tcMar>
                    <w:top w:w="0" w:type="dxa"/>
                    <w:left w:w="108" w:type="dxa"/>
                    <w:bottom w:w="0" w:type="dxa"/>
                    <w:right w:w="108" w:type="dxa"/>
                  </w:tcMar>
                  <w:vAlign w:val="center"/>
                </w:tcPr>
                <w:p w14:paraId="0A8985AC">
                  <w:pPr>
                    <w:pStyle w:val="115"/>
                  </w:pPr>
                  <w:r>
                    <w:rPr>
                      <w:rFonts w:hint="eastAsia"/>
                    </w:rPr>
                    <w:t>m</w:t>
                  </w:r>
                </w:p>
              </w:tc>
              <w:tc>
                <w:tcPr>
                  <w:tcW w:w="3325" w:type="pct"/>
                  <w:tcMar>
                    <w:top w:w="0" w:type="dxa"/>
                    <w:left w:w="108" w:type="dxa"/>
                    <w:bottom w:w="0" w:type="dxa"/>
                    <w:right w:w="108" w:type="dxa"/>
                  </w:tcMar>
                  <w:vAlign w:val="center"/>
                </w:tcPr>
                <w:p w14:paraId="4431E3FD">
                  <w:pPr>
                    <w:pStyle w:val="115"/>
                    <w:rPr>
                      <w:szCs w:val="21"/>
                    </w:rPr>
                  </w:pPr>
                  <w:r>
                    <w:rPr>
                      <w:rFonts w:hint="eastAsia"/>
                    </w:rPr>
                    <w:t>车行道≥4.5m；人行道≥2.5m</w:t>
                  </w:r>
                </w:p>
              </w:tc>
            </w:tr>
            <w:tr w14:paraId="538FA5E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50572FF5">
                  <w:pPr>
                    <w:pStyle w:val="115"/>
                  </w:pPr>
                  <w:r>
                    <w:rPr>
                      <w:rFonts w:hint="eastAsia"/>
                    </w:rPr>
                    <w:t>抗震设防标准</w:t>
                  </w:r>
                </w:p>
              </w:tc>
              <w:tc>
                <w:tcPr>
                  <w:tcW w:w="513" w:type="pct"/>
                  <w:tcMar>
                    <w:top w:w="0" w:type="dxa"/>
                    <w:left w:w="108" w:type="dxa"/>
                    <w:bottom w:w="0" w:type="dxa"/>
                    <w:right w:w="108" w:type="dxa"/>
                  </w:tcMar>
                  <w:vAlign w:val="center"/>
                </w:tcPr>
                <w:p w14:paraId="7F1FC581">
                  <w:pPr>
                    <w:pStyle w:val="115"/>
                  </w:pPr>
                  <w:r>
                    <w:rPr>
                      <w:rFonts w:hint="eastAsia"/>
                    </w:rPr>
                    <w:t>/</w:t>
                  </w:r>
                </w:p>
              </w:tc>
              <w:tc>
                <w:tcPr>
                  <w:tcW w:w="3325" w:type="pct"/>
                  <w:tcMar>
                    <w:top w:w="0" w:type="dxa"/>
                    <w:left w:w="108" w:type="dxa"/>
                    <w:bottom w:w="0" w:type="dxa"/>
                    <w:right w:w="108" w:type="dxa"/>
                  </w:tcMar>
                  <w:vAlign w:val="center"/>
                </w:tcPr>
                <w:p w14:paraId="18BCD7D7">
                  <w:pPr>
                    <w:pStyle w:val="115"/>
                    <w:rPr>
                      <w:szCs w:val="21"/>
                    </w:rPr>
                  </w:pPr>
                  <w:r>
                    <w:rPr>
                      <w:rFonts w:hint="eastAsia"/>
                    </w:rPr>
                    <w:t>抗震设防烈度6度，设计基本地震加速度0.05g</w:t>
                  </w:r>
                </w:p>
              </w:tc>
            </w:tr>
            <w:tr w14:paraId="62DDD32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Mar>
                    <w:top w:w="0" w:type="dxa"/>
                    <w:left w:w="108" w:type="dxa"/>
                    <w:bottom w:w="0" w:type="dxa"/>
                    <w:right w:w="108" w:type="dxa"/>
                  </w:tcMar>
                  <w:vAlign w:val="center"/>
                </w:tcPr>
                <w:p w14:paraId="17CB0D31">
                  <w:pPr>
                    <w:pStyle w:val="115"/>
                  </w:pPr>
                  <w:r>
                    <w:rPr>
                      <w:rFonts w:hint="eastAsia"/>
                    </w:rPr>
                    <w:t>道路标准轴载</w:t>
                  </w:r>
                </w:p>
              </w:tc>
              <w:tc>
                <w:tcPr>
                  <w:tcW w:w="513" w:type="pct"/>
                  <w:tcMar>
                    <w:top w:w="0" w:type="dxa"/>
                    <w:left w:w="108" w:type="dxa"/>
                    <w:bottom w:w="0" w:type="dxa"/>
                    <w:right w:w="108" w:type="dxa"/>
                  </w:tcMar>
                  <w:vAlign w:val="center"/>
                </w:tcPr>
                <w:p w14:paraId="42876692">
                  <w:pPr>
                    <w:pStyle w:val="115"/>
                  </w:pPr>
                  <w:r>
                    <w:rPr>
                      <w:rFonts w:hint="eastAsia"/>
                    </w:rPr>
                    <w:t>/</w:t>
                  </w:r>
                </w:p>
              </w:tc>
              <w:tc>
                <w:tcPr>
                  <w:tcW w:w="3325" w:type="pct"/>
                  <w:tcMar>
                    <w:top w:w="0" w:type="dxa"/>
                    <w:left w:w="108" w:type="dxa"/>
                    <w:bottom w:w="0" w:type="dxa"/>
                    <w:right w:w="108" w:type="dxa"/>
                  </w:tcMar>
                  <w:vAlign w:val="center"/>
                </w:tcPr>
                <w:p w14:paraId="6018C920">
                  <w:pPr>
                    <w:pStyle w:val="115"/>
                    <w:rPr>
                      <w:szCs w:val="21"/>
                    </w:rPr>
                  </w:pPr>
                  <w:r>
                    <w:rPr>
                      <w:rFonts w:hint="eastAsia"/>
                    </w:rPr>
                    <w:t>BZZ-100</w:t>
                  </w:r>
                </w:p>
              </w:tc>
            </w:tr>
            <w:tr w14:paraId="4493919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Borders>
                    <w:bottom w:val="single" w:color="auto" w:sz="4" w:space="0"/>
                  </w:tcBorders>
                  <w:tcMar>
                    <w:top w:w="0" w:type="dxa"/>
                    <w:left w:w="108" w:type="dxa"/>
                    <w:bottom w:w="0" w:type="dxa"/>
                    <w:right w:w="108" w:type="dxa"/>
                  </w:tcMar>
                  <w:vAlign w:val="center"/>
                </w:tcPr>
                <w:p w14:paraId="57DC7D42">
                  <w:pPr>
                    <w:pStyle w:val="115"/>
                  </w:pPr>
                  <w:r>
                    <w:rPr>
                      <w:rFonts w:hint="eastAsia"/>
                    </w:rPr>
                    <w:t>设计年限</w:t>
                  </w:r>
                </w:p>
              </w:tc>
              <w:tc>
                <w:tcPr>
                  <w:tcW w:w="513" w:type="pct"/>
                  <w:tcBorders>
                    <w:bottom w:val="single" w:color="auto" w:sz="4" w:space="0"/>
                  </w:tcBorders>
                  <w:tcMar>
                    <w:top w:w="0" w:type="dxa"/>
                    <w:left w:w="108" w:type="dxa"/>
                    <w:bottom w:w="0" w:type="dxa"/>
                    <w:right w:w="108" w:type="dxa"/>
                  </w:tcMar>
                  <w:vAlign w:val="center"/>
                </w:tcPr>
                <w:p w14:paraId="0C634F4E">
                  <w:pPr>
                    <w:pStyle w:val="115"/>
                  </w:pPr>
                  <w:r>
                    <w:rPr>
                      <w:rFonts w:hint="eastAsia"/>
                    </w:rPr>
                    <w:t>年</w:t>
                  </w:r>
                </w:p>
              </w:tc>
              <w:tc>
                <w:tcPr>
                  <w:tcW w:w="3325" w:type="pct"/>
                  <w:tcBorders>
                    <w:bottom w:val="single" w:color="auto" w:sz="4" w:space="0"/>
                  </w:tcBorders>
                  <w:tcMar>
                    <w:top w:w="0" w:type="dxa"/>
                    <w:left w:w="108" w:type="dxa"/>
                    <w:bottom w:w="0" w:type="dxa"/>
                    <w:right w:w="108" w:type="dxa"/>
                  </w:tcMar>
                  <w:vAlign w:val="center"/>
                </w:tcPr>
                <w:p w14:paraId="516A8C39">
                  <w:pPr>
                    <w:pStyle w:val="115"/>
                  </w:pPr>
                  <w:r>
                    <w:rPr>
                      <w:rFonts w:hint="eastAsia"/>
                    </w:rPr>
                    <w:t>道路交通路达到饱和时的设计年限：20年</w:t>
                  </w:r>
                </w:p>
                <w:p w14:paraId="1AA9D360">
                  <w:pPr>
                    <w:pStyle w:val="115"/>
                    <w:rPr>
                      <w:szCs w:val="21"/>
                    </w:rPr>
                  </w:pPr>
                  <w:r>
                    <w:rPr>
                      <w:rFonts w:hint="eastAsia"/>
                    </w:rPr>
                    <w:t>路面结构达到临界状态的设计年限：15年</w:t>
                  </w:r>
                </w:p>
              </w:tc>
            </w:tr>
            <w:tr w14:paraId="15626D7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Borders>
                    <w:top w:val="single" w:color="auto" w:sz="4" w:space="0"/>
                    <w:bottom w:val="single" w:color="auto" w:sz="4" w:space="0"/>
                  </w:tcBorders>
                  <w:tcMar>
                    <w:top w:w="0" w:type="dxa"/>
                    <w:left w:w="108" w:type="dxa"/>
                    <w:bottom w:w="0" w:type="dxa"/>
                    <w:right w:w="108" w:type="dxa"/>
                  </w:tcMar>
                  <w:vAlign w:val="center"/>
                </w:tcPr>
                <w:p w14:paraId="6B645A6D">
                  <w:pPr>
                    <w:pStyle w:val="115"/>
                  </w:pPr>
                  <w:r>
                    <w:rPr>
                      <w:rFonts w:hint="eastAsia"/>
                    </w:rPr>
                    <w:t>路面结构形式</w:t>
                  </w:r>
                </w:p>
              </w:tc>
              <w:tc>
                <w:tcPr>
                  <w:tcW w:w="513" w:type="pct"/>
                  <w:tcBorders>
                    <w:top w:val="single" w:color="auto" w:sz="4" w:space="0"/>
                    <w:bottom w:val="single" w:color="auto" w:sz="4" w:space="0"/>
                  </w:tcBorders>
                  <w:tcMar>
                    <w:top w:w="0" w:type="dxa"/>
                    <w:left w:w="108" w:type="dxa"/>
                    <w:bottom w:w="0" w:type="dxa"/>
                    <w:right w:w="108" w:type="dxa"/>
                  </w:tcMar>
                  <w:vAlign w:val="center"/>
                </w:tcPr>
                <w:p w14:paraId="7A7A1D65">
                  <w:pPr>
                    <w:pStyle w:val="115"/>
                  </w:pPr>
                  <w:r>
                    <w:rPr>
                      <w:rFonts w:hint="eastAsia"/>
                    </w:rPr>
                    <w:t>/</w:t>
                  </w:r>
                </w:p>
              </w:tc>
              <w:tc>
                <w:tcPr>
                  <w:tcW w:w="3325" w:type="pct"/>
                  <w:tcBorders>
                    <w:top w:val="single" w:color="auto" w:sz="4" w:space="0"/>
                    <w:bottom w:val="single" w:color="auto" w:sz="4" w:space="0"/>
                  </w:tcBorders>
                  <w:tcMar>
                    <w:top w:w="0" w:type="dxa"/>
                    <w:left w:w="108" w:type="dxa"/>
                    <w:bottom w:w="0" w:type="dxa"/>
                    <w:right w:w="108" w:type="dxa"/>
                  </w:tcMar>
                  <w:vAlign w:val="center"/>
                </w:tcPr>
                <w:p w14:paraId="198333EE">
                  <w:pPr>
                    <w:pStyle w:val="115"/>
                  </w:pPr>
                  <w:r>
                    <w:rPr>
                      <w:rFonts w:hint="eastAsia"/>
                    </w:rPr>
                    <w:t>车行道：沥青玛蹄脂碎石混合料</w:t>
                  </w:r>
                </w:p>
                <w:p w14:paraId="0984645D">
                  <w:pPr>
                    <w:pStyle w:val="115"/>
                    <w:rPr>
                      <w:szCs w:val="21"/>
                    </w:rPr>
                  </w:pPr>
                  <w:r>
                    <w:rPr>
                      <w:rFonts w:hint="eastAsia"/>
                    </w:rPr>
                    <w:t>人行道：彩色透水混凝土</w:t>
                  </w:r>
                </w:p>
              </w:tc>
            </w:tr>
            <w:tr w14:paraId="77D4E2C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51" w:hRule="atLeast"/>
              </w:trPr>
              <w:tc>
                <w:tcPr>
                  <w:tcW w:w="1163" w:type="pct"/>
                  <w:tcBorders>
                    <w:top w:val="single" w:color="auto" w:sz="4" w:space="0"/>
                    <w:bottom w:val="double" w:color="auto" w:sz="4" w:space="0"/>
                  </w:tcBorders>
                  <w:tcMar>
                    <w:top w:w="0" w:type="dxa"/>
                    <w:left w:w="108" w:type="dxa"/>
                    <w:bottom w:w="0" w:type="dxa"/>
                    <w:right w:w="108" w:type="dxa"/>
                  </w:tcMar>
                  <w:vAlign w:val="center"/>
                </w:tcPr>
                <w:p w14:paraId="50C35E86">
                  <w:pPr>
                    <w:pStyle w:val="115"/>
                  </w:pPr>
                  <w:r>
                    <w:rPr>
                      <w:rFonts w:hint="eastAsia"/>
                    </w:rPr>
                    <w:t>排水系统</w:t>
                  </w:r>
                </w:p>
              </w:tc>
              <w:tc>
                <w:tcPr>
                  <w:tcW w:w="513" w:type="pct"/>
                  <w:tcBorders>
                    <w:top w:val="single" w:color="auto" w:sz="4" w:space="0"/>
                    <w:bottom w:val="double" w:color="auto" w:sz="4" w:space="0"/>
                  </w:tcBorders>
                  <w:tcMar>
                    <w:top w:w="0" w:type="dxa"/>
                    <w:left w:w="108" w:type="dxa"/>
                    <w:bottom w:w="0" w:type="dxa"/>
                    <w:right w:w="108" w:type="dxa"/>
                  </w:tcMar>
                  <w:vAlign w:val="center"/>
                </w:tcPr>
                <w:p w14:paraId="46037941">
                  <w:pPr>
                    <w:pStyle w:val="115"/>
                  </w:pPr>
                  <w:r>
                    <w:rPr>
                      <w:rFonts w:hint="eastAsia"/>
                    </w:rPr>
                    <w:t>/</w:t>
                  </w:r>
                </w:p>
              </w:tc>
              <w:tc>
                <w:tcPr>
                  <w:tcW w:w="3325" w:type="pct"/>
                  <w:tcBorders>
                    <w:top w:val="single" w:color="auto" w:sz="4" w:space="0"/>
                    <w:bottom w:val="double" w:color="auto" w:sz="4" w:space="0"/>
                  </w:tcBorders>
                  <w:tcMar>
                    <w:top w:w="0" w:type="dxa"/>
                    <w:left w:w="108" w:type="dxa"/>
                    <w:bottom w:w="0" w:type="dxa"/>
                    <w:right w:w="108" w:type="dxa"/>
                  </w:tcMar>
                  <w:vAlign w:val="center"/>
                </w:tcPr>
                <w:p w14:paraId="6B0E9A9F">
                  <w:pPr>
                    <w:pStyle w:val="115"/>
                    <w:rPr>
                      <w:szCs w:val="21"/>
                    </w:rPr>
                  </w:pPr>
                  <w:r>
                    <w:rPr>
                      <w:rFonts w:hint="eastAsia"/>
                    </w:rPr>
                    <w:t>雨污分流</w:t>
                  </w:r>
                </w:p>
              </w:tc>
            </w:tr>
          </w:tbl>
          <w:p w14:paraId="4E5C782B">
            <w:pPr>
              <w:pStyle w:val="69"/>
              <w:spacing w:line="240" w:lineRule="auto"/>
              <w:ind w:firstLine="0" w:firstLineChars="0"/>
              <w:jc w:val="center"/>
              <w:rPr>
                <w:rFonts w:eastAsia="黑体"/>
                <w:sz w:val="21"/>
                <w:szCs w:val="21"/>
              </w:rPr>
            </w:pPr>
            <w:r>
              <w:rPr>
                <w:rFonts w:eastAsia="黑体"/>
                <w:sz w:val="21"/>
                <w:szCs w:val="21"/>
              </w:rPr>
              <w:t>表</w:t>
            </w:r>
            <w:r>
              <w:rPr>
                <w:rFonts w:hint="eastAsia" w:eastAsia="黑体"/>
                <w:sz w:val="21"/>
                <w:szCs w:val="21"/>
              </w:rPr>
              <w:t>2-3   项目工程特性表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612"/>
              <w:gridCol w:w="144"/>
              <w:gridCol w:w="446"/>
              <w:gridCol w:w="248"/>
              <w:gridCol w:w="325"/>
              <w:gridCol w:w="540"/>
              <w:gridCol w:w="101"/>
              <w:gridCol w:w="399"/>
              <w:gridCol w:w="75"/>
              <w:gridCol w:w="318"/>
              <w:gridCol w:w="241"/>
              <w:gridCol w:w="226"/>
              <w:gridCol w:w="402"/>
              <w:gridCol w:w="402"/>
              <w:gridCol w:w="571"/>
              <w:gridCol w:w="96"/>
              <w:gridCol w:w="452"/>
              <w:gridCol w:w="442"/>
              <w:gridCol w:w="547"/>
              <w:gridCol w:w="784"/>
              <w:gridCol w:w="8"/>
            </w:tblGrid>
            <w:tr w14:paraId="70B85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5000" w:type="pct"/>
                  <w:gridSpan w:val="21"/>
                  <w:vAlign w:val="center"/>
                </w:tcPr>
                <w:p w14:paraId="37FF11C5">
                  <w:pPr>
                    <w:widowControl/>
                    <w:jc w:val="center"/>
                    <w:textAlignment w:val="center"/>
                    <w:rPr>
                      <w:b/>
                      <w:sz w:val="20"/>
                      <w:szCs w:val="20"/>
                    </w:rPr>
                  </w:pPr>
                  <w:r>
                    <w:rPr>
                      <w:b/>
                      <w:kern w:val="0"/>
                      <w:sz w:val="20"/>
                      <w:szCs w:val="20"/>
                      <w:lang w:bidi="ar"/>
                    </w:rPr>
                    <w:t>一、项目基本情况</w:t>
                  </w:r>
                </w:p>
              </w:tc>
            </w:tr>
            <w:tr w14:paraId="7AEE8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Align w:val="center"/>
                </w:tcPr>
                <w:p w14:paraId="274F75EB">
                  <w:pPr>
                    <w:widowControl/>
                    <w:ind w:firstLine="600" w:firstLineChars="300"/>
                    <w:textAlignment w:val="center"/>
                    <w:rPr>
                      <w:sz w:val="20"/>
                      <w:szCs w:val="20"/>
                    </w:rPr>
                  </w:pPr>
                  <w:r>
                    <w:rPr>
                      <w:kern w:val="0"/>
                      <w:sz w:val="20"/>
                      <w:szCs w:val="20"/>
                      <w:lang w:bidi="ar"/>
                    </w:rPr>
                    <w:t>项目名称</w:t>
                  </w:r>
                </w:p>
              </w:tc>
              <w:tc>
                <w:tcPr>
                  <w:tcW w:w="4038" w:type="pct"/>
                  <w:gridSpan w:val="20"/>
                  <w:vAlign w:val="center"/>
                </w:tcPr>
                <w:p w14:paraId="33DD7DB8">
                  <w:pPr>
                    <w:widowControl/>
                    <w:jc w:val="center"/>
                    <w:textAlignment w:val="center"/>
                    <w:rPr>
                      <w:sz w:val="20"/>
                      <w:szCs w:val="20"/>
                    </w:rPr>
                  </w:pPr>
                  <w:r>
                    <w:rPr>
                      <w:rFonts w:hint="eastAsia"/>
                      <w:kern w:val="0"/>
                      <w:sz w:val="20"/>
                      <w:szCs w:val="20"/>
                      <w:lang w:bidi="ar"/>
                    </w:rPr>
                    <w:t>中国死海AAAA级景区配套旅游基础设施建设项目</w:t>
                  </w:r>
                </w:p>
              </w:tc>
            </w:tr>
            <w:tr w14:paraId="592F1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Align w:val="center"/>
                </w:tcPr>
                <w:p w14:paraId="158D8067">
                  <w:pPr>
                    <w:widowControl/>
                    <w:ind w:firstLine="600" w:firstLineChars="300"/>
                    <w:textAlignment w:val="center"/>
                    <w:rPr>
                      <w:sz w:val="20"/>
                      <w:szCs w:val="20"/>
                    </w:rPr>
                  </w:pPr>
                  <w:r>
                    <w:rPr>
                      <w:kern w:val="0"/>
                      <w:sz w:val="20"/>
                      <w:szCs w:val="20"/>
                      <w:lang w:bidi="ar"/>
                    </w:rPr>
                    <w:t>建设地点</w:t>
                  </w:r>
                </w:p>
              </w:tc>
              <w:tc>
                <w:tcPr>
                  <w:tcW w:w="1314" w:type="pct"/>
                  <w:gridSpan w:val="7"/>
                  <w:vAlign w:val="center"/>
                </w:tcPr>
                <w:p w14:paraId="2E1D36DB">
                  <w:pPr>
                    <w:widowControl/>
                    <w:jc w:val="center"/>
                    <w:textAlignment w:val="center"/>
                    <w:rPr>
                      <w:sz w:val="20"/>
                      <w:szCs w:val="20"/>
                    </w:rPr>
                  </w:pPr>
                  <w:r>
                    <w:rPr>
                      <w:rFonts w:hint="eastAsia"/>
                      <w:kern w:val="0"/>
                      <w:sz w:val="20"/>
                      <w:szCs w:val="20"/>
                      <w:lang w:val="zh-CN" w:bidi="ar"/>
                    </w:rPr>
                    <w:t>大英县</w:t>
                  </w:r>
                  <w:r>
                    <w:rPr>
                      <w:rFonts w:hint="eastAsia"/>
                      <w:kern w:val="0"/>
                      <w:sz w:val="20"/>
                      <w:szCs w:val="20"/>
                      <w:lang w:bidi="ar"/>
                    </w:rPr>
                    <w:t>太吉片区</w:t>
                  </w:r>
                </w:p>
              </w:tc>
              <w:tc>
                <w:tcPr>
                  <w:tcW w:w="754" w:type="pct"/>
                  <w:gridSpan w:val="5"/>
                  <w:vAlign w:val="center"/>
                </w:tcPr>
                <w:p w14:paraId="2E2EB8D5">
                  <w:pPr>
                    <w:widowControl/>
                    <w:jc w:val="center"/>
                    <w:textAlignment w:val="center"/>
                    <w:rPr>
                      <w:sz w:val="20"/>
                      <w:szCs w:val="20"/>
                    </w:rPr>
                  </w:pPr>
                  <w:r>
                    <w:rPr>
                      <w:kern w:val="0"/>
                      <w:sz w:val="20"/>
                      <w:szCs w:val="20"/>
                      <w:lang w:bidi="ar"/>
                    </w:rPr>
                    <w:t>所属流域</w:t>
                  </w:r>
                </w:p>
              </w:tc>
              <w:tc>
                <w:tcPr>
                  <w:tcW w:w="1970" w:type="pct"/>
                  <w:gridSpan w:val="8"/>
                  <w:vAlign w:val="center"/>
                </w:tcPr>
                <w:p w14:paraId="6E8DA7E4">
                  <w:pPr>
                    <w:widowControl/>
                    <w:jc w:val="center"/>
                    <w:textAlignment w:val="center"/>
                    <w:rPr>
                      <w:sz w:val="20"/>
                      <w:szCs w:val="20"/>
                    </w:rPr>
                  </w:pPr>
                  <w:r>
                    <w:rPr>
                      <w:rFonts w:hint="eastAsia"/>
                      <w:kern w:val="0"/>
                      <w:sz w:val="20"/>
                      <w:szCs w:val="20"/>
                      <w:lang w:bidi="ar"/>
                    </w:rPr>
                    <w:t>长江</w:t>
                  </w:r>
                  <w:r>
                    <w:rPr>
                      <w:kern w:val="0"/>
                      <w:sz w:val="20"/>
                      <w:szCs w:val="20"/>
                      <w:lang w:bidi="ar"/>
                    </w:rPr>
                    <w:t>流域</w:t>
                  </w:r>
                </w:p>
              </w:tc>
            </w:tr>
            <w:tr w14:paraId="262B8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Align w:val="center"/>
                </w:tcPr>
                <w:p w14:paraId="2C20BB3E">
                  <w:pPr>
                    <w:widowControl/>
                    <w:ind w:firstLine="600" w:firstLineChars="300"/>
                    <w:textAlignment w:val="center"/>
                    <w:rPr>
                      <w:sz w:val="20"/>
                      <w:szCs w:val="20"/>
                    </w:rPr>
                  </w:pPr>
                  <w:r>
                    <w:rPr>
                      <w:kern w:val="0"/>
                      <w:sz w:val="20"/>
                      <w:szCs w:val="20"/>
                      <w:lang w:bidi="ar"/>
                    </w:rPr>
                    <w:t>工程性质</w:t>
                  </w:r>
                </w:p>
              </w:tc>
              <w:tc>
                <w:tcPr>
                  <w:tcW w:w="1314" w:type="pct"/>
                  <w:gridSpan w:val="7"/>
                  <w:vAlign w:val="center"/>
                </w:tcPr>
                <w:p w14:paraId="736111AE">
                  <w:pPr>
                    <w:widowControl/>
                    <w:jc w:val="center"/>
                    <w:textAlignment w:val="center"/>
                    <w:rPr>
                      <w:sz w:val="20"/>
                      <w:szCs w:val="20"/>
                    </w:rPr>
                  </w:pPr>
                  <w:r>
                    <w:rPr>
                      <w:rFonts w:hint="eastAsia"/>
                      <w:sz w:val="20"/>
                      <w:szCs w:val="20"/>
                    </w:rPr>
                    <w:t>新建</w:t>
                  </w:r>
                </w:p>
              </w:tc>
              <w:tc>
                <w:tcPr>
                  <w:tcW w:w="754" w:type="pct"/>
                  <w:gridSpan w:val="5"/>
                  <w:vAlign w:val="center"/>
                </w:tcPr>
                <w:p w14:paraId="7B256A0C">
                  <w:pPr>
                    <w:widowControl/>
                    <w:jc w:val="center"/>
                    <w:textAlignment w:val="center"/>
                    <w:rPr>
                      <w:sz w:val="20"/>
                      <w:szCs w:val="20"/>
                    </w:rPr>
                  </w:pPr>
                  <w:r>
                    <w:rPr>
                      <w:kern w:val="0"/>
                      <w:sz w:val="20"/>
                      <w:szCs w:val="20"/>
                      <w:lang w:bidi="ar"/>
                    </w:rPr>
                    <w:t>建设单位</w:t>
                  </w:r>
                </w:p>
              </w:tc>
              <w:tc>
                <w:tcPr>
                  <w:tcW w:w="1970" w:type="pct"/>
                  <w:gridSpan w:val="8"/>
                  <w:vAlign w:val="center"/>
                </w:tcPr>
                <w:p w14:paraId="755196C0">
                  <w:pPr>
                    <w:widowControl/>
                    <w:jc w:val="center"/>
                    <w:textAlignment w:val="center"/>
                    <w:rPr>
                      <w:sz w:val="20"/>
                      <w:szCs w:val="20"/>
                    </w:rPr>
                  </w:pPr>
                  <w:r>
                    <w:rPr>
                      <w:rFonts w:hint="eastAsia"/>
                      <w:kern w:val="0"/>
                      <w:sz w:val="20"/>
                      <w:szCs w:val="20"/>
                      <w:lang w:bidi="ar"/>
                    </w:rPr>
                    <w:t>大英县通源实业有限责任公司</w:t>
                  </w:r>
                </w:p>
              </w:tc>
            </w:tr>
            <w:tr w14:paraId="7C88B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Align w:val="center"/>
                </w:tcPr>
                <w:p w14:paraId="13A47036">
                  <w:pPr>
                    <w:widowControl/>
                    <w:jc w:val="center"/>
                    <w:textAlignment w:val="center"/>
                    <w:rPr>
                      <w:kern w:val="0"/>
                      <w:sz w:val="20"/>
                      <w:szCs w:val="20"/>
                      <w:lang w:val="zh-CN" w:bidi="ar"/>
                    </w:rPr>
                  </w:pPr>
                  <w:r>
                    <w:rPr>
                      <w:kern w:val="0"/>
                      <w:sz w:val="20"/>
                      <w:szCs w:val="20"/>
                      <w:lang w:val="zh-CN" w:bidi="ar"/>
                    </w:rPr>
                    <w:t>工程建设期</w:t>
                  </w:r>
                </w:p>
              </w:tc>
              <w:tc>
                <w:tcPr>
                  <w:tcW w:w="4038" w:type="pct"/>
                  <w:gridSpan w:val="20"/>
                  <w:vAlign w:val="center"/>
                </w:tcPr>
                <w:p w14:paraId="42084346">
                  <w:pPr>
                    <w:widowControl/>
                    <w:jc w:val="center"/>
                    <w:textAlignment w:val="center"/>
                    <w:rPr>
                      <w:kern w:val="0"/>
                      <w:sz w:val="20"/>
                      <w:szCs w:val="20"/>
                      <w:lang w:val="zh-CN" w:bidi="ar"/>
                    </w:rPr>
                  </w:pPr>
                  <w:r>
                    <w:rPr>
                      <w:kern w:val="0"/>
                      <w:sz w:val="20"/>
                      <w:szCs w:val="20"/>
                      <w:lang w:bidi="ar"/>
                    </w:rPr>
                    <w:t>202</w:t>
                  </w:r>
                  <w:r>
                    <w:rPr>
                      <w:rFonts w:hint="eastAsia"/>
                      <w:kern w:val="0"/>
                      <w:sz w:val="20"/>
                      <w:szCs w:val="20"/>
                      <w:lang w:bidi="ar"/>
                    </w:rPr>
                    <w:t>5</w:t>
                  </w:r>
                  <w:r>
                    <w:rPr>
                      <w:kern w:val="0"/>
                      <w:sz w:val="20"/>
                      <w:szCs w:val="20"/>
                      <w:lang w:bidi="ar"/>
                    </w:rPr>
                    <w:t>年</w:t>
                  </w:r>
                  <w:r>
                    <w:rPr>
                      <w:rFonts w:hint="eastAsia"/>
                      <w:kern w:val="0"/>
                      <w:sz w:val="20"/>
                      <w:szCs w:val="20"/>
                      <w:lang w:bidi="ar"/>
                    </w:rPr>
                    <w:t>5</w:t>
                  </w:r>
                  <w:r>
                    <w:rPr>
                      <w:kern w:val="0"/>
                      <w:sz w:val="20"/>
                      <w:szCs w:val="20"/>
                      <w:lang w:bidi="ar"/>
                    </w:rPr>
                    <w:t>月—202</w:t>
                  </w:r>
                  <w:r>
                    <w:rPr>
                      <w:rFonts w:hint="eastAsia"/>
                      <w:kern w:val="0"/>
                      <w:sz w:val="20"/>
                      <w:szCs w:val="20"/>
                      <w:lang w:bidi="ar"/>
                    </w:rPr>
                    <w:t>7</w:t>
                  </w:r>
                  <w:r>
                    <w:rPr>
                      <w:kern w:val="0"/>
                      <w:sz w:val="20"/>
                      <w:szCs w:val="20"/>
                      <w:lang w:bidi="ar"/>
                    </w:rPr>
                    <w:t>年</w:t>
                  </w:r>
                  <w:r>
                    <w:rPr>
                      <w:rFonts w:hint="eastAsia"/>
                      <w:kern w:val="0"/>
                      <w:sz w:val="20"/>
                      <w:szCs w:val="20"/>
                      <w:lang w:bidi="ar"/>
                    </w:rPr>
                    <w:t>4</w:t>
                  </w:r>
                  <w:r>
                    <w:rPr>
                      <w:kern w:val="0"/>
                      <w:sz w:val="20"/>
                      <w:szCs w:val="20"/>
                      <w:lang w:bidi="ar"/>
                    </w:rPr>
                    <w:t>月，共计</w:t>
                  </w:r>
                  <w:r>
                    <w:rPr>
                      <w:rFonts w:hint="eastAsia"/>
                      <w:kern w:val="0"/>
                      <w:sz w:val="20"/>
                      <w:szCs w:val="20"/>
                      <w:lang w:bidi="ar"/>
                    </w:rPr>
                    <w:t>24</w:t>
                  </w:r>
                  <w:r>
                    <w:rPr>
                      <w:kern w:val="0"/>
                      <w:sz w:val="20"/>
                      <w:szCs w:val="20"/>
                      <w:lang w:bidi="ar"/>
                    </w:rPr>
                    <w:t>个月</w:t>
                  </w:r>
                </w:p>
              </w:tc>
            </w:tr>
            <w:tr w14:paraId="063C5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832" w:hRule="atLeast"/>
                <w:jc w:val="center"/>
              </w:trPr>
              <w:tc>
                <w:tcPr>
                  <w:tcW w:w="962" w:type="pct"/>
                  <w:vAlign w:val="center"/>
                </w:tcPr>
                <w:p w14:paraId="3F219A29">
                  <w:pPr>
                    <w:widowControl/>
                    <w:ind w:firstLine="400"/>
                    <w:textAlignment w:val="center"/>
                    <w:rPr>
                      <w:kern w:val="0"/>
                      <w:sz w:val="20"/>
                      <w:szCs w:val="20"/>
                      <w:lang w:bidi="ar"/>
                    </w:rPr>
                  </w:pPr>
                  <w:r>
                    <w:rPr>
                      <w:kern w:val="0"/>
                      <w:sz w:val="20"/>
                      <w:szCs w:val="20"/>
                      <w:lang w:bidi="ar"/>
                    </w:rPr>
                    <w:t>建设规模</w:t>
                  </w:r>
                </w:p>
              </w:tc>
              <w:tc>
                <w:tcPr>
                  <w:tcW w:w="4038" w:type="pct"/>
                  <w:gridSpan w:val="20"/>
                  <w:vAlign w:val="center"/>
                </w:tcPr>
                <w:p w14:paraId="27286413">
                  <w:pPr>
                    <w:widowControl/>
                    <w:ind w:firstLine="400"/>
                    <w:textAlignment w:val="center"/>
                    <w:rPr>
                      <w:kern w:val="0"/>
                      <w:sz w:val="20"/>
                      <w:szCs w:val="20"/>
                      <w:lang w:bidi="ar"/>
                    </w:rPr>
                  </w:pPr>
                  <w:r>
                    <w:rPr>
                      <w:rFonts w:hint="eastAsia"/>
                      <w:kern w:val="0"/>
                      <w:sz w:val="20"/>
                      <w:szCs w:val="20"/>
                      <w:lang w:bidi="ar"/>
                    </w:rPr>
                    <w:t>新建太吉大道西延线1段、太吉大道西延线2段、城南大道连接线1段3条城市主干路，设计长度分别为1310.563m、451.401m、1240.882m，沿线新建桥梁2座，同时配套交安工程、给排水工程、通信电力工程、照明工程、景观绿化工程等。</w:t>
                  </w:r>
                </w:p>
              </w:tc>
            </w:tr>
            <w:tr w14:paraId="1BE8E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Align w:val="center"/>
                </w:tcPr>
                <w:p w14:paraId="4651CDE6">
                  <w:pPr>
                    <w:widowControl/>
                    <w:jc w:val="center"/>
                    <w:textAlignment w:val="center"/>
                    <w:rPr>
                      <w:sz w:val="20"/>
                      <w:szCs w:val="20"/>
                    </w:rPr>
                  </w:pPr>
                  <w:r>
                    <w:rPr>
                      <w:sz w:val="20"/>
                      <w:szCs w:val="20"/>
                      <w:lang w:val="zh-CN"/>
                    </w:rPr>
                    <w:t>工程总投资</w:t>
                  </w:r>
                </w:p>
              </w:tc>
              <w:tc>
                <w:tcPr>
                  <w:tcW w:w="1828" w:type="pct"/>
                  <w:gridSpan w:val="11"/>
                  <w:vAlign w:val="center"/>
                </w:tcPr>
                <w:p w14:paraId="5D1EACD3">
                  <w:pPr>
                    <w:widowControl/>
                    <w:jc w:val="center"/>
                    <w:textAlignment w:val="center"/>
                    <w:rPr>
                      <w:sz w:val="20"/>
                      <w:szCs w:val="20"/>
                    </w:rPr>
                  </w:pPr>
                  <w:r>
                    <w:rPr>
                      <w:rFonts w:hint="eastAsia"/>
                      <w:sz w:val="20"/>
                      <w:szCs w:val="20"/>
                    </w:rPr>
                    <w:t>23950.62万元</w:t>
                  </w:r>
                </w:p>
              </w:tc>
              <w:tc>
                <w:tcPr>
                  <w:tcW w:w="878" w:type="pct"/>
                  <w:gridSpan w:val="4"/>
                  <w:vAlign w:val="center"/>
                </w:tcPr>
                <w:p w14:paraId="0FDEBF7A">
                  <w:pPr>
                    <w:widowControl/>
                    <w:jc w:val="center"/>
                    <w:textAlignment w:val="center"/>
                    <w:rPr>
                      <w:sz w:val="20"/>
                      <w:szCs w:val="20"/>
                    </w:rPr>
                  </w:pPr>
                  <w:r>
                    <w:rPr>
                      <w:sz w:val="20"/>
                      <w:szCs w:val="20"/>
                    </w:rPr>
                    <w:t>土建投资</w:t>
                  </w:r>
                </w:p>
              </w:tc>
              <w:tc>
                <w:tcPr>
                  <w:tcW w:w="1333" w:type="pct"/>
                  <w:gridSpan w:val="5"/>
                  <w:vAlign w:val="center"/>
                </w:tcPr>
                <w:p w14:paraId="27A7D115">
                  <w:pPr>
                    <w:widowControl/>
                    <w:jc w:val="center"/>
                    <w:textAlignment w:val="center"/>
                    <w:rPr>
                      <w:sz w:val="20"/>
                      <w:szCs w:val="20"/>
                    </w:rPr>
                  </w:pPr>
                  <w:r>
                    <w:rPr>
                      <w:rFonts w:hint="eastAsia"/>
                      <w:sz w:val="20"/>
                      <w:szCs w:val="20"/>
                    </w:rPr>
                    <w:t>21035.3万元</w:t>
                  </w:r>
                </w:p>
              </w:tc>
            </w:tr>
            <w:tr w14:paraId="7999E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5000" w:type="pct"/>
                  <w:gridSpan w:val="21"/>
                  <w:vAlign w:val="center"/>
                </w:tcPr>
                <w:p w14:paraId="141B98EC">
                  <w:pPr>
                    <w:widowControl/>
                    <w:jc w:val="center"/>
                    <w:textAlignment w:val="center"/>
                    <w:rPr>
                      <w:b/>
                      <w:sz w:val="20"/>
                      <w:szCs w:val="20"/>
                    </w:rPr>
                  </w:pPr>
                  <w:r>
                    <w:rPr>
                      <w:rFonts w:hint="eastAsia"/>
                      <w:b/>
                      <w:kern w:val="0"/>
                      <w:sz w:val="20"/>
                      <w:szCs w:val="20"/>
                      <w:lang w:bidi="ar"/>
                    </w:rPr>
                    <w:t>二</w:t>
                  </w:r>
                  <w:r>
                    <w:rPr>
                      <w:b/>
                      <w:kern w:val="0"/>
                      <w:sz w:val="20"/>
                      <w:szCs w:val="20"/>
                      <w:lang w:bidi="ar"/>
                    </w:rPr>
                    <w:t>、项目组成及占地情况</w:t>
                  </w:r>
                </w:p>
              </w:tc>
            </w:tr>
            <w:tr w14:paraId="2A124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Merge w:val="restart"/>
                  <w:vAlign w:val="center"/>
                </w:tcPr>
                <w:p w14:paraId="535744BC">
                  <w:pPr>
                    <w:widowControl/>
                    <w:jc w:val="center"/>
                    <w:textAlignment w:val="center"/>
                    <w:rPr>
                      <w:kern w:val="0"/>
                      <w:sz w:val="20"/>
                      <w:szCs w:val="20"/>
                      <w:lang w:bidi="ar"/>
                    </w:rPr>
                  </w:pPr>
                  <w:r>
                    <w:rPr>
                      <w:kern w:val="0"/>
                      <w:sz w:val="20"/>
                      <w:szCs w:val="20"/>
                      <w:lang w:val="zh-CN" w:bidi="ar"/>
                    </w:rPr>
                    <w:t>项目组成</w:t>
                  </w:r>
                </w:p>
              </w:tc>
              <w:tc>
                <w:tcPr>
                  <w:tcW w:w="4038" w:type="pct"/>
                  <w:gridSpan w:val="20"/>
                  <w:vAlign w:val="center"/>
                </w:tcPr>
                <w:p w14:paraId="605B2014">
                  <w:pPr>
                    <w:widowControl/>
                    <w:jc w:val="center"/>
                    <w:textAlignment w:val="center"/>
                    <w:rPr>
                      <w:kern w:val="0"/>
                      <w:sz w:val="20"/>
                      <w:szCs w:val="20"/>
                      <w:lang w:bidi="ar"/>
                    </w:rPr>
                  </w:pPr>
                  <w:r>
                    <w:rPr>
                      <w:kern w:val="0"/>
                      <w:sz w:val="20"/>
                      <w:szCs w:val="20"/>
                      <w:lang w:val="zh-CN" w:bidi="ar"/>
                    </w:rPr>
                    <w:t>占地面积</w:t>
                  </w:r>
                  <w:r>
                    <w:rPr>
                      <w:kern w:val="0"/>
                      <w:sz w:val="20"/>
                      <w:szCs w:val="20"/>
                      <w:lang w:bidi="ar"/>
                    </w:rPr>
                    <w:t>（hm²）</w:t>
                  </w:r>
                </w:p>
              </w:tc>
            </w:tr>
            <w:tr w14:paraId="44050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Merge w:val="continue"/>
                  <w:vAlign w:val="center"/>
                </w:tcPr>
                <w:p w14:paraId="4D1BE482">
                  <w:pPr>
                    <w:widowControl/>
                    <w:jc w:val="center"/>
                    <w:textAlignment w:val="center"/>
                    <w:rPr>
                      <w:kern w:val="0"/>
                      <w:sz w:val="20"/>
                      <w:szCs w:val="20"/>
                      <w:lang w:bidi="ar"/>
                    </w:rPr>
                  </w:pPr>
                </w:p>
              </w:tc>
              <w:tc>
                <w:tcPr>
                  <w:tcW w:w="500" w:type="pct"/>
                  <w:gridSpan w:val="3"/>
                  <w:vAlign w:val="center"/>
                </w:tcPr>
                <w:p w14:paraId="7709565D">
                  <w:pPr>
                    <w:widowControl/>
                    <w:jc w:val="center"/>
                    <w:textAlignment w:val="center"/>
                    <w:rPr>
                      <w:kern w:val="0"/>
                      <w:sz w:val="20"/>
                      <w:szCs w:val="20"/>
                      <w:lang w:bidi="ar"/>
                    </w:rPr>
                  </w:pPr>
                  <w:r>
                    <w:rPr>
                      <w:kern w:val="0"/>
                      <w:sz w:val="20"/>
                      <w:szCs w:val="20"/>
                      <w:lang w:val="zh-CN" w:bidi="ar"/>
                    </w:rPr>
                    <w:t>合计</w:t>
                  </w:r>
                </w:p>
              </w:tc>
              <w:tc>
                <w:tcPr>
                  <w:tcW w:w="516" w:type="pct"/>
                  <w:gridSpan w:val="2"/>
                  <w:vAlign w:val="center"/>
                </w:tcPr>
                <w:p w14:paraId="00EB404A">
                  <w:pPr>
                    <w:widowControl/>
                    <w:jc w:val="center"/>
                    <w:textAlignment w:val="center"/>
                    <w:rPr>
                      <w:kern w:val="0"/>
                      <w:sz w:val="20"/>
                      <w:szCs w:val="20"/>
                      <w:lang w:bidi="ar"/>
                    </w:rPr>
                  </w:pPr>
                  <w:r>
                    <w:rPr>
                      <w:rFonts w:hint="eastAsia"/>
                      <w:kern w:val="0"/>
                      <w:sz w:val="20"/>
                      <w:szCs w:val="20"/>
                      <w:lang w:bidi="ar"/>
                    </w:rPr>
                    <w:t>永久</w:t>
                  </w:r>
                  <w:r>
                    <w:rPr>
                      <w:rFonts w:hint="eastAsia"/>
                      <w:kern w:val="0"/>
                      <w:sz w:val="20"/>
                      <w:szCs w:val="20"/>
                      <w:lang w:val="zh-CN" w:bidi="ar"/>
                    </w:rPr>
                    <w:t>占地</w:t>
                  </w:r>
                </w:p>
              </w:tc>
              <w:tc>
                <w:tcPr>
                  <w:tcW w:w="533" w:type="pct"/>
                  <w:gridSpan w:val="4"/>
                  <w:vAlign w:val="center"/>
                </w:tcPr>
                <w:p w14:paraId="673ACFEE">
                  <w:pPr>
                    <w:widowControl/>
                    <w:jc w:val="center"/>
                    <w:textAlignment w:val="center"/>
                    <w:rPr>
                      <w:kern w:val="0"/>
                      <w:sz w:val="20"/>
                      <w:szCs w:val="20"/>
                      <w:lang w:bidi="ar"/>
                    </w:rPr>
                  </w:pPr>
                  <w:r>
                    <w:rPr>
                      <w:rFonts w:hint="eastAsia"/>
                      <w:kern w:val="0"/>
                      <w:sz w:val="20"/>
                      <w:szCs w:val="20"/>
                      <w:lang w:bidi="ar"/>
                    </w:rPr>
                    <w:t>临时</w:t>
                  </w:r>
                  <w:r>
                    <w:rPr>
                      <w:kern w:val="0"/>
                      <w:sz w:val="20"/>
                      <w:szCs w:val="20"/>
                      <w:lang w:val="zh-CN" w:bidi="ar"/>
                    </w:rPr>
                    <w:t>占地</w:t>
                  </w:r>
                </w:p>
              </w:tc>
              <w:tc>
                <w:tcPr>
                  <w:tcW w:w="2489" w:type="pct"/>
                  <w:gridSpan w:val="11"/>
                  <w:vAlign w:val="center"/>
                </w:tcPr>
                <w:p w14:paraId="110C895D">
                  <w:pPr>
                    <w:widowControl/>
                    <w:jc w:val="center"/>
                    <w:textAlignment w:val="center"/>
                    <w:rPr>
                      <w:kern w:val="0"/>
                      <w:sz w:val="20"/>
                      <w:szCs w:val="20"/>
                      <w:lang w:bidi="ar"/>
                    </w:rPr>
                  </w:pPr>
                  <w:r>
                    <w:rPr>
                      <w:rFonts w:hint="eastAsia"/>
                      <w:kern w:val="0"/>
                      <w:sz w:val="20"/>
                      <w:szCs w:val="20"/>
                      <w:lang w:bidi="ar"/>
                    </w:rPr>
                    <w:t>路段</w:t>
                  </w:r>
                  <w:r>
                    <w:rPr>
                      <w:kern w:val="0"/>
                      <w:sz w:val="20"/>
                      <w:szCs w:val="20"/>
                      <w:lang w:bidi="ar"/>
                    </w:rPr>
                    <w:t>建设内容</w:t>
                  </w:r>
                </w:p>
              </w:tc>
            </w:tr>
            <w:tr w14:paraId="23D05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Align w:val="center"/>
                </w:tcPr>
                <w:p w14:paraId="3C0BB184">
                  <w:pPr>
                    <w:widowControl/>
                    <w:jc w:val="center"/>
                    <w:textAlignment w:val="center"/>
                    <w:rPr>
                      <w:kern w:val="0"/>
                      <w:sz w:val="20"/>
                      <w:szCs w:val="20"/>
                      <w:lang w:bidi="ar"/>
                    </w:rPr>
                  </w:pPr>
                  <w:r>
                    <w:rPr>
                      <w:rFonts w:hint="eastAsia"/>
                      <w:kern w:val="0"/>
                      <w:sz w:val="20"/>
                      <w:szCs w:val="20"/>
                      <w:lang w:bidi="ar"/>
                    </w:rPr>
                    <w:t>太吉大道西延线</w:t>
                  </w:r>
                </w:p>
                <w:p w14:paraId="052927AC">
                  <w:pPr>
                    <w:widowControl/>
                    <w:jc w:val="center"/>
                    <w:textAlignment w:val="center"/>
                    <w:rPr>
                      <w:kern w:val="0"/>
                      <w:sz w:val="20"/>
                      <w:szCs w:val="20"/>
                      <w:lang w:bidi="ar"/>
                    </w:rPr>
                  </w:pPr>
                  <w:r>
                    <w:rPr>
                      <w:rFonts w:hint="eastAsia"/>
                      <w:kern w:val="0"/>
                      <w:sz w:val="20"/>
                      <w:szCs w:val="20"/>
                      <w:lang w:bidi="ar"/>
                    </w:rPr>
                    <w:t>1段</w:t>
                  </w:r>
                </w:p>
              </w:tc>
              <w:tc>
                <w:tcPr>
                  <w:tcW w:w="500" w:type="pct"/>
                  <w:gridSpan w:val="3"/>
                  <w:vAlign w:val="center"/>
                </w:tcPr>
                <w:p w14:paraId="78CE27FF">
                  <w:pPr>
                    <w:widowControl/>
                    <w:jc w:val="center"/>
                    <w:textAlignment w:val="center"/>
                    <w:rPr>
                      <w:kern w:val="0"/>
                      <w:sz w:val="20"/>
                      <w:szCs w:val="20"/>
                      <w:lang w:bidi="ar"/>
                    </w:rPr>
                  </w:pPr>
                  <w:r>
                    <w:rPr>
                      <w:rFonts w:hint="eastAsia"/>
                      <w:kern w:val="0"/>
                      <w:sz w:val="20"/>
                      <w:szCs w:val="20"/>
                      <w:lang w:bidi="ar"/>
                    </w:rPr>
                    <w:t>5.24</w:t>
                  </w:r>
                </w:p>
              </w:tc>
              <w:tc>
                <w:tcPr>
                  <w:tcW w:w="516" w:type="pct"/>
                  <w:gridSpan w:val="2"/>
                  <w:vAlign w:val="center"/>
                </w:tcPr>
                <w:p w14:paraId="73E9D8CC">
                  <w:pPr>
                    <w:widowControl/>
                    <w:jc w:val="center"/>
                    <w:textAlignment w:val="center"/>
                    <w:rPr>
                      <w:kern w:val="0"/>
                      <w:sz w:val="20"/>
                      <w:szCs w:val="20"/>
                      <w:lang w:bidi="ar"/>
                    </w:rPr>
                  </w:pPr>
                  <w:r>
                    <w:rPr>
                      <w:rFonts w:hint="eastAsia"/>
                      <w:kern w:val="0"/>
                      <w:sz w:val="20"/>
                      <w:szCs w:val="20"/>
                      <w:lang w:bidi="ar"/>
                    </w:rPr>
                    <w:t>5.24</w:t>
                  </w:r>
                </w:p>
              </w:tc>
              <w:tc>
                <w:tcPr>
                  <w:tcW w:w="533" w:type="pct"/>
                  <w:gridSpan w:val="4"/>
                  <w:vAlign w:val="center"/>
                </w:tcPr>
                <w:p w14:paraId="4DE6B3B6">
                  <w:pPr>
                    <w:widowControl/>
                    <w:jc w:val="center"/>
                    <w:textAlignment w:val="center"/>
                    <w:rPr>
                      <w:kern w:val="0"/>
                      <w:sz w:val="20"/>
                      <w:szCs w:val="20"/>
                      <w:lang w:bidi="ar"/>
                    </w:rPr>
                  </w:pPr>
                  <w:r>
                    <w:rPr>
                      <w:rFonts w:hint="eastAsia"/>
                      <w:kern w:val="0"/>
                      <w:sz w:val="20"/>
                      <w:szCs w:val="20"/>
                      <w:lang w:bidi="ar"/>
                    </w:rPr>
                    <w:t>0</w:t>
                  </w:r>
                </w:p>
              </w:tc>
              <w:tc>
                <w:tcPr>
                  <w:tcW w:w="2489" w:type="pct"/>
                  <w:gridSpan w:val="11"/>
                  <w:vAlign w:val="center"/>
                </w:tcPr>
                <w:p w14:paraId="499C85AD">
                  <w:pPr>
                    <w:widowControl/>
                    <w:jc w:val="center"/>
                    <w:textAlignment w:val="center"/>
                    <w:rPr>
                      <w:kern w:val="0"/>
                      <w:sz w:val="20"/>
                      <w:szCs w:val="20"/>
                      <w:lang w:bidi="ar"/>
                    </w:rPr>
                  </w:pPr>
                  <w:r>
                    <w:rPr>
                      <w:rFonts w:hint="eastAsia"/>
                      <w:kern w:val="0"/>
                      <w:sz w:val="20"/>
                      <w:szCs w:val="20"/>
                      <w:lang w:bidi="ar"/>
                    </w:rPr>
                    <w:t>新建太吉大道西延线1段城市主干路（含太吉大道1号桥梁工程），设计长度1310.563m，同时配套交安工程、给排水工程、通信电力工程、照明工程、景观绿化工程等。</w:t>
                  </w:r>
                </w:p>
              </w:tc>
            </w:tr>
            <w:tr w14:paraId="115F9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Align w:val="center"/>
                </w:tcPr>
                <w:p w14:paraId="3ADB5875">
                  <w:pPr>
                    <w:widowControl/>
                    <w:jc w:val="center"/>
                    <w:textAlignment w:val="center"/>
                    <w:rPr>
                      <w:kern w:val="0"/>
                      <w:sz w:val="20"/>
                      <w:szCs w:val="20"/>
                      <w:lang w:bidi="ar"/>
                    </w:rPr>
                  </w:pPr>
                  <w:r>
                    <w:rPr>
                      <w:rFonts w:hint="eastAsia"/>
                      <w:kern w:val="0"/>
                      <w:sz w:val="20"/>
                      <w:szCs w:val="20"/>
                      <w:lang w:bidi="ar"/>
                    </w:rPr>
                    <w:t>太吉大道西延线</w:t>
                  </w:r>
                </w:p>
                <w:p w14:paraId="6BED509B">
                  <w:pPr>
                    <w:widowControl/>
                    <w:jc w:val="center"/>
                    <w:textAlignment w:val="center"/>
                    <w:rPr>
                      <w:kern w:val="0"/>
                      <w:sz w:val="20"/>
                      <w:szCs w:val="20"/>
                      <w:lang w:bidi="ar"/>
                    </w:rPr>
                  </w:pPr>
                  <w:r>
                    <w:rPr>
                      <w:rFonts w:hint="eastAsia"/>
                      <w:kern w:val="0"/>
                      <w:sz w:val="20"/>
                      <w:szCs w:val="20"/>
                      <w:lang w:bidi="ar"/>
                    </w:rPr>
                    <w:t>2段</w:t>
                  </w:r>
                </w:p>
              </w:tc>
              <w:tc>
                <w:tcPr>
                  <w:tcW w:w="500" w:type="pct"/>
                  <w:gridSpan w:val="3"/>
                  <w:vAlign w:val="center"/>
                </w:tcPr>
                <w:p w14:paraId="30097570">
                  <w:pPr>
                    <w:widowControl/>
                    <w:jc w:val="center"/>
                    <w:textAlignment w:val="center"/>
                    <w:rPr>
                      <w:kern w:val="0"/>
                      <w:sz w:val="20"/>
                      <w:szCs w:val="20"/>
                      <w:lang w:bidi="ar"/>
                    </w:rPr>
                  </w:pPr>
                  <w:r>
                    <w:rPr>
                      <w:rFonts w:hint="eastAsia"/>
                      <w:kern w:val="0"/>
                      <w:sz w:val="20"/>
                      <w:szCs w:val="20"/>
                      <w:lang w:bidi="ar"/>
                    </w:rPr>
                    <w:t>1.8</w:t>
                  </w:r>
                </w:p>
              </w:tc>
              <w:tc>
                <w:tcPr>
                  <w:tcW w:w="516" w:type="pct"/>
                  <w:gridSpan w:val="2"/>
                  <w:vAlign w:val="center"/>
                </w:tcPr>
                <w:p w14:paraId="6CD8F2DE">
                  <w:pPr>
                    <w:widowControl/>
                    <w:jc w:val="center"/>
                    <w:textAlignment w:val="center"/>
                    <w:rPr>
                      <w:kern w:val="0"/>
                      <w:sz w:val="20"/>
                      <w:szCs w:val="20"/>
                      <w:lang w:bidi="ar"/>
                    </w:rPr>
                  </w:pPr>
                  <w:r>
                    <w:rPr>
                      <w:rFonts w:hint="eastAsia"/>
                      <w:kern w:val="0"/>
                      <w:sz w:val="20"/>
                      <w:szCs w:val="20"/>
                      <w:lang w:bidi="ar"/>
                    </w:rPr>
                    <w:t>1.8</w:t>
                  </w:r>
                </w:p>
              </w:tc>
              <w:tc>
                <w:tcPr>
                  <w:tcW w:w="533" w:type="pct"/>
                  <w:gridSpan w:val="4"/>
                  <w:vAlign w:val="center"/>
                </w:tcPr>
                <w:p w14:paraId="32C42DF0">
                  <w:pPr>
                    <w:widowControl/>
                    <w:jc w:val="center"/>
                    <w:textAlignment w:val="center"/>
                    <w:rPr>
                      <w:kern w:val="0"/>
                      <w:sz w:val="20"/>
                      <w:szCs w:val="20"/>
                      <w:lang w:bidi="ar"/>
                    </w:rPr>
                  </w:pPr>
                  <w:r>
                    <w:rPr>
                      <w:rFonts w:hint="eastAsia"/>
                      <w:kern w:val="0"/>
                      <w:sz w:val="20"/>
                      <w:szCs w:val="20"/>
                      <w:lang w:bidi="ar"/>
                    </w:rPr>
                    <w:t>0</w:t>
                  </w:r>
                </w:p>
              </w:tc>
              <w:tc>
                <w:tcPr>
                  <w:tcW w:w="2489" w:type="pct"/>
                  <w:gridSpan w:val="11"/>
                  <w:vAlign w:val="center"/>
                </w:tcPr>
                <w:p w14:paraId="60F7A0CE">
                  <w:pPr>
                    <w:widowControl/>
                    <w:jc w:val="center"/>
                    <w:textAlignment w:val="center"/>
                    <w:rPr>
                      <w:kern w:val="0"/>
                      <w:sz w:val="20"/>
                      <w:szCs w:val="20"/>
                      <w:lang w:bidi="ar"/>
                    </w:rPr>
                  </w:pPr>
                  <w:r>
                    <w:rPr>
                      <w:rFonts w:hint="eastAsia"/>
                      <w:kern w:val="0"/>
                      <w:sz w:val="20"/>
                      <w:szCs w:val="20"/>
                      <w:lang w:bidi="ar"/>
                    </w:rPr>
                    <w:t>新建太吉大道西延线2段城市主干路（含太吉大道2号桥梁工程），设计长度451.401m，同时配套交安工程、给排水工程、通信电力工程、照明工程、景观绿化工程等</w:t>
                  </w:r>
                </w:p>
              </w:tc>
            </w:tr>
            <w:tr w14:paraId="1C354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962" w:type="pct"/>
                  <w:vAlign w:val="center"/>
                </w:tcPr>
                <w:p w14:paraId="46F022CA">
                  <w:pPr>
                    <w:widowControl/>
                    <w:jc w:val="center"/>
                    <w:textAlignment w:val="center"/>
                    <w:rPr>
                      <w:kern w:val="0"/>
                      <w:sz w:val="20"/>
                      <w:szCs w:val="20"/>
                      <w:lang w:bidi="ar"/>
                    </w:rPr>
                  </w:pPr>
                  <w:r>
                    <w:rPr>
                      <w:rFonts w:hint="eastAsia"/>
                      <w:kern w:val="0"/>
                      <w:sz w:val="20"/>
                      <w:szCs w:val="20"/>
                      <w:lang w:bidi="ar"/>
                    </w:rPr>
                    <w:t>成南大道连接线</w:t>
                  </w:r>
                </w:p>
                <w:p w14:paraId="4E1472A1">
                  <w:pPr>
                    <w:widowControl/>
                    <w:jc w:val="center"/>
                    <w:textAlignment w:val="center"/>
                    <w:rPr>
                      <w:kern w:val="0"/>
                      <w:sz w:val="20"/>
                      <w:szCs w:val="20"/>
                      <w:lang w:bidi="ar"/>
                    </w:rPr>
                  </w:pPr>
                  <w:r>
                    <w:rPr>
                      <w:rFonts w:hint="eastAsia"/>
                      <w:kern w:val="0"/>
                      <w:sz w:val="20"/>
                      <w:szCs w:val="20"/>
                      <w:lang w:bidi="ar"/>
                    </w:rPr>
                    <w:t>1段</w:t>
                  </w:r>
                </w:p>
              </w:tc>
              <w:tc>
                <w:tcPr>
                  <w:tcW w:w="500" w:type="pct"/>
                  <w:gridSpan w:val="3"/>
                  <w:vAlign w:val="center"/>
                </w:tcPr>
                <w:p w14:paraId="3ECC7356">
                  <w:pPr>
                    <w:widowControl/>
                    <w:jc w:val="center"/>
                    <w:textAlignment w:val="center"/>
                    <w:rPr>
                      <w:kern w:val="0"/>
                      <w:sz w:val="20"/>
                      <w:szCs w:val="20"/>
                      <w:lang w:bidi="ar"/>
                    </w:rPr>
                  </w:pPr>
                  <w:r>
                    <w:rPr>
                      <w:rFonts w:hint="eastAsia"/>
                      <w:kern w:val="0"/>
                      <w:sz w:val="20"/>
                      <w:szCs w:val="20"/>
                      <w:lang w:bidi="ar"/>
                    </w:rPr>
                    <w:t>3.23</w:t>
                  </w:r>
                </w:p>
              </w:tc>
              <w:tc>
                <w:tcPr>
                  <w:tcW w:w="516" w:type="pct"/>
                  <w:gridSpan w:val="2"/>
                  <w:vAlign w:val="center"/>
                </w:tcPr>
                <w:p w14:paraId="4BD03A49">
                  <w:pPr>
                    <w:widowControl/>
                    <w:jc w:val="center"/>
                    <w:textAlignment w:val="center"/>
                    <w:rPr>
                      <w:kern w:val="0"/>
                      <w:sz w:val="20"/>
                      <w:szCs w:val="20"/>
                      <w:lang w:bidi="ar"/>
                    </w:rPr>
                  </w:pPr>
                  <w:r>
                    <w:rPr>
                      <w:rFonts w:hint="eastAsia"/>
                      <w:kern w:val="0"/>
                      <w:sz w:val="20"/>
                      <w:szCs w:val="20"/>
                      <w:lang w:bidi="ar"/>
                    </w:rPr>
                    <w:t>3.23</w:t>
                  </w:r>
                </w:p>
              </w:tc>
              <w:tc>
                <w:tcPr>
                  <w:tcW w:w="533" w:type="pct"/>
                  <w:gridSpan w:val="4"/>
                  <w:vAlign w:val="center"/>
                </w:tcPr>
                <w:p w14:paraId="1DE5AB3C">
                  <w:pPr>
                    <w:widowControl/>
                    <w:jc w:val="center"/>
                    <w:textAlignment w:val="center"/>
                    <w:rPr>
                      <w:kern w:val="0"/>
                      <w:sz w:val="20"/>
                      <w:szCs w:val="20"/>
                      <w:lang w:bidi="ar"/>
                    </w:rPr>
                  </w:pPr>
                  <w:r>
                    <w:rPr>
                      <w:rFonts w:hint="eastAsia"/>
                      <w:kern w:val="0"/>
                      <w:sz w:val="20"/>
                      <w:szCs w:val="20"/>
                      <w:lang w:bidi="ar"/>
                    </w:rPr>
                    <w:t>0</w:t>
                  </w:r>
                </w:p>
              </w:tc>
              <w:tc>
                <w:tcPr>
                  <w:tcW w:w="2489" w:type="pct"/>
                  <w:gridSpan w:val="11"/>
                  <w:vAlign w:val="center"/>
                </w:tcPr>
                <w:p w14:paraId="0B2563E2">
                  <w:pPr>
                    <w:widowControl/>
                    <w:jc w:val="center"/>
                    <w:textAlignment w:val="center"/>
                    <w:rPr>
                      <w:kern w:val="0"/>
                      <w:sz w:val="20"/>
                      <w:szCs w:val="20"/>
                      <w:lang w:bidi="ar"/>
                    </w:rPr>
                  </w:pPr>
                  <w:r>
                    <w:rPr>
                      <w:rFonts w:hint="eastAsia"/>
                      <w:kern w:val="0"/>
                      <w:sz w:val="20"/>
                      <w:szCs w:val="20"/>
                      <w:lang w:bidi="ar"/>
                    </w:rPr>
                    <w:t>新建城南大道连接线1段城市主干路，设计长度1240.882m，同时配套交安工程、给排水工程、通信电力工程、照明工程、景观绿化工程等</w:t>
                  </w:r>
                </w:p>
              </w:tc>
            </w:tr>
            <w:tr w14:paraId="6A671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962" w:type="pct"/>
                  <w:vAlign w:val="center"/>
                </w:tcPr>
                <w:p w14:paraId="181BA7D7">
                  <w:pPr>
                    <w:widowControl/>
                    <w:jc w:val="center"/>
                    <w:textAlignment w:val="center"/>
                    <w:rPr>
                      <w:kern w:val="0"/>
                      <w:sz w:val="20"/>
                      <w:szCs w:val="20"/>
                      <w:lang w:bidi="ar"/>
                    </w:rPr>
                  </w:pPr>
                  <w:r>
                    <w:rPr>
                      <w:rFonts w:hint="eastAsia"/>
                      <w:kern w:val="0"/>
                      <w:sz w:val="20"/>
                      <w:szCs w:val="20"/>
                      <w:lang w:bidi="ar"/>
                    </w:rPr>
                    <w:t>施工临时占地工程</w:t>
                  </w:r>
                </w:p>
              </w:tc>
              <w:tc>
                <w:tcPr>
                  <w:tcW w:w="500" w:type="pct"/>
                  <w:gridSpan w:val="3"/>
                  <w:vAlign w:val="center"/>
                </w:tcPr>
                <w:p w14:paraId="2504584D">
                  <w:pPr>
                    <w:widowControl/>
                    <w:jc w:val="center"/>
                    <w:textAlignment w:val="center"/>
                    <w:rPr>
                      <w:kern w:val="0"/>
                      <w:sz w:val="20"/>
                      <w:szCs w:val="20"/>
                      <w:lang w:bidi="ar"/>
                    </w:rPr>
                  </w:pPr>
                  <w:r>
                    <w:rPr>
                      <w:rFonts w:hint="eastAsia"/>
                      <w:kern w:val="0"/>
                      <w:sz w:val="20"/>
                      <w:szCs w:val="20"/>
                      <w:lang w:bidi="ar"/>
                    </w:rPr>
                    <w:t>1</w:t>
                  </w:r>
                </w:p>
              </w:tc>
              <w:tc>
                <w:tcPr>
                  <w:tcW w:w="516" w:type="pct"/>
                  <w:gridSpan w:val="2"/>
                  <w:vAlign w:val="center"/>
                </w:tcPr>
                <w:p w14:paraId="3957859A">
                  <w:pPr>
                    <w:widowControl/>
                    <w:jc w:val="center"/>
                    <w:textAlignment w:val="center"/>
                    <w:rPr>
                      <w:kern w:val="0"/>
                      <w:sz w:val="20"/>
                      <w:szCs w:val="20"/>
                      <w:lang w:bidi="ar"/>
                    </w:rPr>
                  </w:pPr>
                  <w:r>
                    <w:rPr>
                      <w:rFonts w:hint="eastAsia"/>
                      <w:kern w:val="0"/>
                      <w:sz w:val="20"/>
                      <w:szCs w:val="20"/>
                      <w:lang w:bidi="ar"/>
                    </w:rPr>
                    <w:t>0</w:t>
                  </w:r>
                </w:p>
              </w:tc>
              <w:tc>
                <w:tcPr>
                  <w:tcW w:w="533" w:type="pct"/>
                  <w:gridSpan w:val="4"/>
                  <w:vAlign w:val="center"/>
                </w:tcPr>
                <w:p w14:paraId="49ADAA87">
                  <w:pPr>
                    <w:widowControl/>
                    <w:jc w:val="center"/>
                    <w:textAlignment w:val="center"/>
                    <w:rPr>
                      <w:kern w:val="0"/>
                      <w:sz w:val="20"/>
                      <w:szCs w:val="20"/>
                      <w:lang w:bidi="ar"/>
                    </w:rPr>
                  </w:pPr>
                  <w:r>
                    <w:rPr>
                      <w:rFonts w:hint="eastAsia"/>
                      <w:kern w:val="0"/>
                      <w:sz w:val="20"/>
                      <w:szCs w:val="20"/>
                      <w:lang w:bidi="ar"/>
                    </w:rPr>
                    <w:t>1</w:t>
                  </w:r>
                </w:p>
              </w:tc>
              <w:tc>
                <w:tcPr>
                  <w:tcW w:w="2489" w:type="pct"/>
                  <w:gridSpan w:val="11"/>
                  <w:vAlign w:val="center"/>
                </w:tcPr>
                <w:p w14:paraId="182FFAB3">
                  <w:pPr>
                    <w:widowControl/>
                    <w:jc w:val="center"/>
                    <w:textAlignment w:val="center"/>
                    <w:rPr>
                      <w:kern w:val="0"/>
                      <w:sz w:val="20"/>
                      <w:szCs w:val="20"/>
                      <w:lang w:bidi="ar"/>
                    </w:rPr>
                  </w:pPr>
                  <w:r>
                    <w:rPr>
                      <w:rFonts w:hint="eastAsia"/>
                      <w:kern w:val="0"/>
                      <w:sz w:val="20"/>
                      <w:szCs w:val="20"/>
                      <w:lang w:bidi="ar"/>
                    </w:rPr>
                    <w:t>主要为太吉大道西延线1段、太吉大道西延线2段、城南大道连接线1段回填土、表土堆场及施工便道临时占地工程</w:t>
                  </w:r>
                </w:p>
              </w:tc>
            </w:tr>
            <w:tr w14:paraId="7BAA9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962" w:type="pct"/>
                  <w:vAlign w:val="center"/>
                </w:tcPr>
                <w:p w14:paraId="08144048">
                  <w:pPr>
                    <w:widowControl/>
                    <w:jc w:val="center"/>
                    <w:textAlignment w:val="center"/>
                    <w:rPr>
                      <w:kern w:val="0"/>
                      <w:sz w:val="20"/>
                      <w:szCs w:val="20"/>
                      <w:lang w:bidi="ar"/>
                    </w:rPr>
                  </w:pPr>
                  <w:r>
                    <w:rPr>
                      <w:kern w:val="0"/>
                      <w:sz w:val="20"/>
                      <w:szCs w:val="20"/>
                      <w:lang w:bidi="ar"/>
                    </w:rPr>
                    <w:t>合计</w:t>
                  </w:r>
                </w:p>
              </w:tc>
              <w:tc>
                <w:tcPr>
                  <w:tcW w:w="500" w:type="pct"/>
                  <w:gridSpan w:val="3"/>
                  <w:vAlign w:val="center"/>
                </w:tcPr>
                <w:p w14:paraId="2F5B1718">
                  <w:pPr>
                    <w:widowControl/>
                    <w:jc w:val="center"/>
                    <w:textAlignment w:val="center"/>
                    <w:rPr>
                      <w:kern w:val="0"/>
                      <w:sz w:val="20"/>
                      <w:szCs w:val="20"/>
                      <w:lang w:bidi="ar"/>
                    </w:rPr>
                  </w:pPr>
                  <w:r>
                    <w:rPr>
                      <w:rFonts w:hint="eastAsia"/>
                      <w:kern w:val="0"/>
                      <w:sz w:val="20"/>
                      <w:szCs w:val="20"/>
                      <w:lang w:bidi="ar"/>
                    </w:rPr>
                    <w:t>11.27</w:t>
                  </w:r>
                </w:p>
              </w:tc>
              <w:tc>
                <w:tcPr>
                  <w:tcW w:w="516" w:type="pct"/>
                  <w:gridSpan w:val="2"/>
                  <w:vAlign w:val="center"/>
                </w:tcPr>
                <w:p w14:paraId="7E391F75">
                  <w:pPr>
                    <w:widowControl/>
                    <w:jc w:val="center"/>
                    <w:textAlignment w:val="center"/>
                    <w:rPr>
                      <w:kern w:val="0"/>
                      <w:sz w:val="20"/>
                      <w:szCs w:val="20"/>
                      <w:lang w:bidi="ar"/>
                    </w:rPr>
                  </w:pPr>
                  <w:r>
                    <w:rPr>
                      <w:rFonts w:hint="eastAsia"/>
                      <w:kern w:val="0"/>
                      <w:sz w:val="20"/>
                      <w:szCs w:val="20"/>
                      <w:lang w:bidi="ar"/>
                    </w:rPr>
                    <w:t>10.27</w:t>
                  </w:r>
                </w:p>
              </w:tc>
              <w:tc>
                <w:tcPr>
                  <w:tcW w:w="533" w:type="pct"/>
                  <w:gridSpan w:val="4"/>
                  <w:vAlign w:val="center"/>
                </w:tcPr>
                <w:p w14:paraId="453DABA5">
                  <w:pPr>
                    <w:widowControl/>
                    <w:jc w:val="center"/>
                    <w:textAlignment w:val="center"/>
                    <w:rPr>
                      <w:kern w:val="0"/>
                      <w:sz w:val="20"/>
                      <w:szCs w:val="20"/>
                      <w:lang w:bidi="ar"/>
                    </w:rPr>
                  </w:pPr>
                  <w:r>
                    <w:rPr>
                      <w:rFonts w:hint="eastAsia"/>
                      <w:kern w:val="0"/>
                      <w:sz w:val="20"/>
                      <w:szCs w:val="20"/>
                      <w:lang w:bidi="ar"/>
                    </w:rPr>
                    <w:t>1</w:t>
                  </w:r>
                </w:p>
              </w:tc>
              <w:tc>
                <w:tcPr>
                  <w:tcW w:w="2489" w:type="pct"/>
                  <w:gridSpan w:val="11"/>
                  <w:vAlign w:val="center"/>
                </w:tcPr>
                <w:p w14:paraId="1397F2B3">
                  <w:pPr>
                    <w:widowControl/>
                    <w:jc w:val="center"/>
                    <w:textAlignment w:val="center"/>
                    <w:rPr>
                      <w:kern w:val="0"/>
                      <w:sz w:val="20"/>
                      <w:szCs w:val="20"/>
                      <w:lang w:bidi="ar"/>
                    </w:rPr>
                  </w:pPr>
                  <w:r>
                    <w:rPr>
                      <w:kern w:val="0"/>
                      <w:sz w:val="20"/>
                      <w:szCs w:val="20"/>
                      <w:lang w:bidi="ar"/>
                    </w:rPr>
                    <w:t>/</w:t>
                  </w:r>
                </w:p>
              </w:tc>
            </w:tr>
            <w:tr w14:paraId="12F2F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jc w:val="center"/>
              </w:trPr>
              <w:tc>
                <w:tcPr>
                  <w:tcW w:w="5000" w:type="pct"/>
                  <w:gridSpan w:val="21"/>
                  <w:vAlign w:val="center"/>
                </w:tcPr>
                <w:p w14:paraId="34023556">
                  <w:pPr>
                    <w:widowControl/>
                    <w:jc w:val="center"/>
                    <w:textAlignment w:val="center"/>
                    <w:rPr>
                      <w:b/>
                      <w:sz w:val="20"/>
                      <w:szCs w:val="20"/>
                    </w:rPr>
                  </w:pPr>
                  <w:r>
                    <w:rPr>
                      <w:b/>
                      <w:kern w:val="0"/>
                      <w:sz w:val="20"/>
                      <w:szCs w:val="20"/>
                      <w:lang w:bidi="ar"/>
                    </w:rPr>
                    <w:t>四、土石方（均为自然方，其中“-代表调出，“+”调入”）</w:t>
                  </w:r>
                </w:p>
              </w:tc>
            </w:tr>
            <w:tr w14:paraId="1776C2E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300" w:hRule="atLeast"/>
                <w:jc w:val="center"/>
              </w:trPr>
              <w:tc>
                <w:tcPr>
                  <w:tcW w:w="1048" w:type="pct"/>
                  <w:gridSpan w:val="2"/>
                  <w:vMerge w:val="restart"/>
                  <w:tcBorders>
                    <w:top w:val="single" w:color="000000" w:sz="4" w:space="0"/>
                    <w:left w:val="single" w:color="000000" w:sz="4" w:space="0"/>
                    <w:right w:val="single" w:color="auto" w:sz="4" w:space="0"/>
                  </w:tcBorders>
                  <w:tcMar>
                    <w:top w:w="15" w:type="dxa"/>
                    <w:left w:w="15" w:type="dxa"/>
                    <w:right w:w="15" w:type="dxa"/>
                  </w:tcMar>
                  <w:vAlign w:val="center"/>
                </w:tcPr>
                <w:p w14:paraId="126F7CC5">
                  <w:pPr>
                    <w:widowControl/>
                    <w:jc w:val="center"/>
                    <w:textAlignment w:val="center"/>
                    <w:rPr>
                      <w:kern w:val="0"/>
                      <w:sz w:val="20"/>
                      <w:szCs w:val="20"/>
                      <w:lang w:bidi="ar"/>
                    </w:rPr>
                  </w:pPr>
                  <w:r>
                    <w:rPr>
                      <w:kern w:val="0"/>
                      <w:sz w:val="20"/>
                      <w:szCs w:val="20"/>
                      <w:lang w:bidi="ar"/>
                    </w:rPr>
                    <w:t>项目分区</w:t>
                  </w:r>
                </w:p>
              </w:tc>
              <w:tc>
                <w:tcPr>
                  <w:tcW w:w="990" w:type="pct"/>
                  <w:gridSpan w:val="5"/>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70E48EAB">
                  <w:pPr>
                    <w:widowControl/>
                    <w:jc w:val="center"/>
                    <w:textAlignment w:val="center"/>
                    <w:rPr>
                      <w:kern w:val="0"/>
                      <w:sz w:val="20"/>
                      <w:szCs w:val="20"/>
                      <w:lang w:bidi="ar"/>
                    </w:rPr>
                  </w:pPr>
                  <w:r>
                    <w:rPr>
                      <w:kern w:val="0"/>
                      <w:sz w:val="20"/>
                      <w:szCs w:val="20"/>
                      <w:lang w:bidi="ar"/>
                    </w:rPr>
                    <w:t>开挖量（万m³）</w:t>
                  </w:r>
                </w:p>
              </w:tc>
              <w:tc>
                <w:tcPr>
                  <w:tcW w:w="992" w:type="pct"/>
                  <w:gridSpan w:val="6"/>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55D61AF">
                  <w:pPr>
                    <w:widowControl/>
                    <w:jc w:val="center"/>
                    <w:textAlignment w:val="center"/>
                    <w:rPr>
                      <w:sz w:val="20"/>
                      <w:szCs w:val="20"/>
                    </w:rPr>
                  </w:pPr>
                  <w:r>
                    <w:rPr>
                      <w:kern w:val="0"/>
                      <w:sz w:val="20"/>
                      <w:szCs w:val="20"/>
                      <w:lang w:bidi="ar"/>
                    </w:rPr>
                    <w:t>回填量（万m³）</w:t>
                  </w:r>
                </w:p>
              </w:tc>
              <w:tc>
                <w:tcPr>
                  <w:tcW w:w="1172" w:type="pct"/>
                  <w:gridSpan w:val="5"/>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2DDA34A">
                  <w:pPr>
                    <w:widowControl/>
                    <w:jc w:val="center"/>
                    <w:textAlignment w:val="center"/>
                    <w:rPr>
                      <w:sz w:val="20"/>
                      <w:szCs w:val="20"/>
                    </w:rPr>
                  </w:pPr>
                  <w:r>
                    <w:rPr>
                      <w:kern w:val="0"/>
                      <w:sz w:val="20"/>
                      <w:szCs w:val="20"/>
                      <w:lang w:bidi="ar"/>
                    </w:rPr>
                    <w:t>调运（万m³）</w:t>
                  </w:r>
                </w:p>
              </w:tc>
              <w:tc>
                <w:tcPr>
                  <w:tcW w:w="798" w:type="pct"/>
                  <w:gridSpan w:val="3"/>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437625">
                  <w:pPr>
                    <w:widowControl/>
                    <w:jc w:val="center"/>
                    <w:textAlignment w:val="center"/>
                    <w:rPr>
                      <w:kern w:val="0"/>
                      <w:sz w:val="20"/>
                      <w:szCs w:val="20"/>
                      <w:lang w:bidi="ar"/>
                    </w:rPr>
                  </w:pPr>
                  <w:r>
                    <w:rPr>
                      <w:rFonts w:hint="eastAsia"/>
                      <w:kern w:val="0"/>
                      <w:sz w:val="20"/>
                      <w:szCs w:val="20"/>
                      <w:lang w:bidi="ar"/>
                    </w:rPr>
                    <w:t>弃</w:t>
                  </w:r>
                  <w:r>
                    <w:rPr>
                      <w:kern w:val="0"/>
                      <w:sz w:val="20"/>
                      <w:szCs w:val="20"/>
                      <w:lang w:bidi="ar"/>
                    </w:rPr>
                    <w:t>、借方</w:t>
                  </w:r>
                </w:p>
                <w:p w14:paraId="6EBE2C0A">
                  <w:pPr>
                    <w:widowControl/>
                    <w:jc w:val="center"/>
                    <w:textAlignment w:val="center"/>
                    <w:rPr>
                      <w:sz w:val="20"/>
                      <w:szCs w:val="20"/>
                    </w:rPr>
                  </w:pPr>
                  <w:r>
                    <w:rPr>
                      <w:kern w:val="0"/>
                      <w:sz w:val="20"/>
                      <w:szCs w:val="20"/>
                      <w:lang w:bidi="ar"/>
                    </w:rPr>
                    <w:t>（万m³）</w:t>
                  </w:r>
                </w:p>
              </w:tc>
            </w:tr>
            <w:tr w14:paraId="7971811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4" w:type="pct"/>
                <w:trHeight w:val="300" w:hRule="atLeast"/>
                <w:jc w:val="center"/>
              </w:trPr>
              <w:tc>
                <w:tcPr>
                  <w:tcW w:w="1048" w:type="pct"/>
                  <w:gridSpan w:val="2"/>
                  <w:vMerge w:val="continue"/>
                  <w:tcBorders>
                    <w:left w:val="single" w:color="000000" w:sz="4" w:space="0"/>
                    <w:bottom w:val="single" w:color="000000" w:sz="4" w:space="0"/>
                    <w:right w:val="single" w:color="auto" w:sz="4" w:space="0"/>
                  </w:tcBorders>
                  <w:tcMar>
                    <w:top w:w="15" w:type="dxa"/>
                    <w:left w:w="15" w:type="dxa"/>
                    <w:right w:w="15" w:type="dxa"/>
                  </w:tcMar>
                  <w:vAlign w:val="center"/>
                </w:tcPr>
                <w:p w14:paraId="3708DB2C">
                  <w:pPr>
                    <w:widowControl/>
                    <w:jc w:val="center"/>
                    <w:textAlignment w:val="center"/>
                    <w:rPr>
                      <w:kern w:val="0"/>
                      <w:sz w:val="20"/>
                      <w:szCs w:val="20"/>
                      <w:lang w:bidi="ar"/>
                    </w:rPr>
                  </w:pPr>
                </w:p>
              </w:tc>
              <w:tc>
                <w:tcPr>
                  <w:tcW w:w="266"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35B00233">
                  <w:pPr>
                    <w:widowControl/>
                    <w:jc w:val="center"/>
                    <w:textAlignment w:val="center"/>
                    <w:rPr>
                      <w:sz w:val="20"/>
                      <w:szCs w:val="20"/>
                    </w:rPr>
                  </w:pPr>
                  <w:r>
                    <w:rPr>
                      <w:kern w:val="0"/>
                      <w:sz w:val="20"/>
                      <w:szCs w:val="20"/>
                      <w:lang w:bidi="ar"/>
                    </w:rPr>
                    <w:t>表土</w:t>
                  </w:r>
                </w:p>
              </w:tc>
              <w:tc>
                <w:tcPr>
                  <w:tcW w:w="342"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96A116F">
                  <w:pPr>
                    <w:widowControl/>
                    <w:jc w:val="center"/>
                    <w:textAlignment w:val="center"/>
                    <w:rPr>
                      <w:sz w:val="20"/>
                      <w:szCs w:val="20"/>
                    </w:rPr>
                  </w:pPr>
                  <w:r>
                    <w:rPr>
                      <w:kern w:val="0"/>
                      <w:sz w:val="20"/>
                      <w:szCs w:val="20"/>
                      <w:lang w:bidi="ar"/>
                    </w:rPr>
                    <w:t>土石方</w:t>
                  </w:r>
                </w:p>
              </w:tc>
              <w:tc>
                <w:tcPr>
                  <w:tcW w:w="382"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717D85">
                  <w:pPr>
                    <w:widowControl/>
                    <w:jc w:val="center"/>
                    <w:textAlignment w:val="center"/>
                    <w:rPr>
                      <w:sz w:val="20"/>
                      <w:szCs w:val="20"/>
                    </w:rPr>
                  </w:pPr>
                  <w:r>
                    <w:rPr>
                      <w:kern w:val="0"/>
                      <w:sz w:val="20"/>
                      <w:szCs w:val="20"/>
                      <w:lang w:bidi="ar"/>
                    </w:rPr>
                    <w:t>合计</w:t>
                  </w:r>
                </w:p>
              </w:tc>
              <w:tc>
                <w:tcPr>
                  <w:tcW w:w="283"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4F5492B">
                  <w:pPr>
                    <w:widowControl/>
                    <w:jc w:val="center"/>
                    <w:textAlignment w:val="center"/>
                    <w:rPr>
                      <w:sz w:val="20"/>
                      <w:szCs w:val="20"/>
                    </w:rPr>
                  </w:pPr>
                  <w:r>
                    <w:rPr>
                      <w:kern w:val="0"/>
                      <w:sz w:val="20"/>
                      <w:szCs w:val="20"/>
                      <w:lang w:bidi="ar"/>
                    </w:rPr>
                    <w:t>表土</w:t>
                  </w:r>
                </w:p>
              </w:tc>
              <w:tc>
                <w:tcPr>
                  <w:tcW w:w="334"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6E68505">
                  <w:pPr>
                    <w:widowControl/>
                    <w:jc w:val="center"/>
                    <w:textAlignment w:val="center"/>
                    <w:rPr>
                      <w:sz w:val="20"/>
                      <w:szCs w:val="20"/>
                    </w:rPr>
                  </w:pPr>
                  <w:r>
                    <w:rPr>
                      <w:kern w:val="0"/>
                      <w:sz w:val="20"/>
                      <w:szCs w:val="20"/>
                      <w:lang w:bidi="ar"/>
                    </w:rPr>
                    <w:t>土石方</w:t>
                  </w:r>
                </w:p>
              </w:tc>
              <w:tc>
                <w:tcPr>
                  <w:tcW w:w="375"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F6C94F0">
                  <w:pPr>
                    <w:widowControl/>
                    <w:jc w:val="center"/>
                    <w:textAlignment w:val="center"/>
                    <w:rPr>
                      <w:sz w:val="20"/>
                      <w:szCs w:val="20"/>
                    </w:rPr>
                  </w:pPr>
                  <w:r>
                    <w:rPr>
                      <w:kern w:val="0"/>
                      <w:sz w:val="20"/>
                      <w:szCs w:val="20"/>
                      <w:lang w:bidi="ar"/>
                    </w:rPr>
                    <w:t>合计</w:t>
                  </w:r>
                </w:p>
              </w:tc>
              <w:tc>
                <w:tcPr>
                  <w:tcW w:w="240" w:type="pct"/>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794D05AF">
                  <w:pPr>
                    <w:widowControl/>
                    <w:jc w:val="center"/>
                    <w:textAlignment w:val="center"/>
                    <w:rPr>
                      <w:sz w:val="20"/>
                      <w:szCs w:val="20"/>
                    </w:rPr>
                  </w:pPr>
                  <w:r>
                    <w:rPr>
                      <w:kern w:val="0"/>
                      <w:sz w:val="20"/>
                      <w:szCs w:val="20"/>
                      <w:lang w:bidi="ar"/>
                    </w:rPr>
                    <w:t>表土</w:t>
                  </w:r>
                </w:p>
              </w:tc>
              <w:tc>
                <w:tcPr>
                  <w:tcW w:w="341"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140D6927">
                  <w:pPr>
                    <w:widowControl/>
                    <w:jc w:val="center"/>
                    <w:textAlignment w:val="center"/>
                    <w:rPr>
                      <w:kern w:val="0"/>
                      <w:sz w:val="20"/>
                      <w:szCs w:val="20"/>
                      <w:lang w:bidi="ar"/>
                    </w:rPr>
                  </w:pPr>
                  <w:r>
                    <w:rPr>
                      <w:kern w:val="0"/>
                      <w:sz w:val="20"/>
                      <w:szCs w:val="20"/>
                      <w:lang w:bidi="ar"/>
                    </w:rPr>
                    <w:t>去向/来源</w:t>
                  </w:r>
                </w:p>
              </w:tc>
              <w:tc>
                <w:tcPr>
                  <w:tcW w:w="327" w:type="pct"/>
                  <w:gridSpan w:val="2"/>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5D92B0D0">
                  <w:pPr>
                    <w:widowControl/>
                    <w:jc w:val="center"/>
                    <w:textAlignment w:val="center"/>
                    <w:rPr>
                      <w:sz w:val="20"/>
                      <w:szCs w:val="20"/>
                    </w:rPr>
                  </w:pPr>
                  <w:r>
                    <w:rPr>
                      <w:kern w:val="0"/>
                      <w:sz w:val="20"/>
                      <w:szCs w:val="20"/>
                      <w:lang w:bidi="ar"/>
                    </w:rPr>
                    <w:t>土石方</w:t>
                  </w:r>
                </w:p>
              </w:tc>
              <w:tc>
                <w:tcPr>
                  <w:tcW w:w="264"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2EF04289">
                  <w:pPr>
                    <w:widowControl/>
                    <w:jc w:val="center"/>
                    <w:textAlignment w:val="center"/>
                    <w:rPr>
                      <w:kern w:val="0"/>
                      <w:sz w:val="20"/>
                      <w:szCs w:val="20"/>
                      <w:lang w:bidi="ar"/>
                    </w:rPr>
                  </w:pPr>
                  <w:r>
                    <w:rPr>
                      <w:kern w:val="0"/>
                      <w:sz w:val="20"/>
                      <w:szCs w:val="20"/>
                      <w:lang w:bidi="ar"/>
                    </w:rPr>
                    <w:t>去向/来源</w:t>
                  </w:r>
                </w:p>
              </w:tc>
              <w:tc>
                <w:tcPr>
                  <w:tcW w:w="32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78F2420">
                  <w:pPr>
                    <w:widowControl/>
                    <w:jc w:val="center"/>
                    <w:textAlignment w:val="center"/>
                    <w:rPr>
                      <w:sz w:val="20"/>
                      <w:szCs w:val="20"/>
                    </w:rPr>
                  </w:pPr>
                  <w:r>
                    <w:rPr>
                      <w:kern w:val="0"/>
                      <w:sz w:val="20"/>
                      <w:szCs w:val="20"/>
                      <w:lang w:bidi="ar"/>
                    </w:rPr>
                    <w:t>（表土）土石方</w:t>
                  </w:r>
                </w:p>
              </w:tc>
              <w:tc>
                <w:tcPr>
                  <w:tcW w:w="46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6B99D71">
                  <w:pPr>
                    <w:widowControl/>
                    <w:jc w:val="center"/>
                    <w:textAlignment w:val="center"/>
                    <w:rPr>
                      <w:sz w:val="20"/>
                      <w:szCs w:val="20"/>
                    </w:rPr>
                  </w:pPr>
                  <w:r>
                    <w:rPr>
                      <w:kern w:val="0"/>
                      <w:sz w:val="20"/>
                      <w:szCs w:val="20"/>
                      <w:lang w:bidi="ar"/>
                    </w:rPr>
                    <w:t>去向</w:t>
                  </w:r>
                </w:p>
              </w:tc>
            </w:tr>
            <w:tr w14:paraId="411DAD1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4" w:type="pct"/>
                <w:trHeight w:val="959" w:hRule="atLeast"/>
                <w:jc w:val="center"/>
              </w:trPr>
              <w:tc>
                <w:tcPr>
                  <w:tcW w:w="1048" w:type="pct"/>
                  <w:gridSpan w:val="2"/>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64463593">
                  <w:pPr>
                    <w:widowControl/>
                    <w:jc w:val="center"/>
                    <w:rPr>
                      <w:sz w:val="20"/>
                      <w:szCs w:val="20"/>
                    </w:rPr>
                  </w:pPr>
                  <w:r>
                    <w:rPr>
                      <w:rFonts w:hint="eastAsia" w:ascii="宋体" w:hAnsi="宋体" w:cs="宋体"/>
                      <w:sz w:val="20"/>
                      <w:szCs w:val="20"/>
                    </w:rPr>
                    <w:t>①</w:t>
                  </w:r>
                  <w:r>
                    <w:rPr>
                      <w:rFonts w:hint="eastAsia"/>
                      <w:sz w:val="20"/>
                      <w:szCs w:val="20"/>
                    </w:rPr>
                    <w:t>太吉大道西延线</w:t>
                  </w:r>
                </w:p>
                <w:p w14:paraId="3F3F3D15">
                  <w:pPr>
                    <w:widowControl/>
                    <w:jc w:val="center"/>
                    <w:rPr>
                      <w:kern w:val="0"/>
                      <w:sz w:val="20"/>
                      <w:szCs w:val="20"/>
                      <w:lang w:bidi="ar"/>
                    </w:rPr>
                  </w:pPr>
                  <w:r>
                    <w:rPr>
                      <w:rFonts w:hint="eastAsia"/>
                      <w:sz w:val="20"/>
                      <w:szCs w:val="20"/>
                    </w:rPr>
                    <w:t>1段</w:t>
                  </w:r>
                </w:p>
              </w:tc>
              <w:tc>
                <w:tcPr>
                  <w:tcW w:w="266" w:type="pct"/>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3F5C8E89">
                  <w:pPr>
                    <w:widowControl/>
                    <w:jc w:val="center"/>
                    <w:textAlignment w:val="center"/>
                    <w:rPr>
                      <w:kern w:val="0"/>
                      <w:sz w:val="20"/>
                      <w:szCs w:val="20"/>
                      <w:lang w:bidi="ar"/>
                    </w:rPr>
                  </w:pPr>
                  <w:r>
                    <w:rPr>
                      <w:kern w:val="0"/>
                      <w:sz w:val="20"/>
                      <w:szCs w:val="20"/>
                      <w:lang w:bidi="ar"/>
                    </w:rPr>
                    <w:t>1.14</w:t>
                  </w:r>
                </w:p>
              </w:tc>
              <w:tc>
                <w:tcPr>
                  <w:tcW w:w="342" w:type="pct"/>
                  <w:gridSpan w:val="2"/>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640CF834">
                  <w:pPr>
                    <w:widowControl/>
                    <w:jc w:val="center"/>
                    <w:textAlignment w:val="center"/>
                    <w:rPr>
                      <w:kern w:val="0"/>
                      <w:sz w:val="20"/>
                      <w:szCs w:val="20"/>
                      <w:lang w:bidi="ar"/>
                    </w:rPr>
                  </w:pPr>
                  <w:r>
                    <w:rPr>
                      <w:rFonts w:hint="eastAsia"/>
                      <w:kern w:val="0"/>
                      <w:sz w:val="20"/>
                      <w:szCs w:val="20"/>
                      <w:lang w:bidi="ar"/>
                    </w:rPr>
                    <w:t>58.16</w:t>
                  </w:r>
                </w:p>
              </w:tc>
              <w:tc>
                <w:tcPr>
                  <w:tcW w:w="382" w:type="pct"/>
                  <w:gridSpan w:val="2"/>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6A2B4BD5">
                  <w:pPr>
                    <w:widowControl/>
                    <w:jc w:val="center"/>
                    <w:textAlignment w:val="center"/>
                    <w:rPr>
                      <w:kern w:val="0"/>
                      <w:sz w:val="20"/>
                      <w:szCs w:val="20"/>
                      <w:lang w:bidi="ar"/>
                    </w:rPr>
                  </w:pPr>
                  <w:r>
                    <w:rPr>
                      <w:kern w:val="0"/>
                      <w:sz w:val="20"/>
                      <w:szCs w:val="20"/>
                      <w:lang w:bidi="ar"/>
                    </w:rPr>
                    <w:t>59.3</w:t>
                  </w:r>
                </w:p>
              </w:tc>
              <w:tc>
                <w:tcPr>
                  <w:tcW w:w="283" w:type="pct"/>
                  <w:gridSpan w:val="2"/>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6CE17ED6">
                  <w:pPr>
                    <w:widowControl/>
                    <w:jc w:val="center"/>
                    <w:textAlignment w:val="center"/>
                    <w:rPr>
                      <w:kern w:val="0"/>
                      <w:sz w:val="20"/>
                      <w:szCs w:val="20"/>
                      <w:lang w:bidi="ar"/>
                    </w:rPr>
                  </w:pPr>
                  <w:r>
                    <w:rPr>
                      <w:kern w:val="0"/>
                      <w:sz w:val="20"/>
                      <w:szCs w:val="20"/>
                      <w:lang w:bidi="ar"/>
                    </w:rPr>
                    <w:t>1.14</w:t>
                  </w:r>
                </w:p>
              </w:tc>
              <w:tc>
                <w:tcPr>
                  <w:tcW w:w="334" w:type="pct"/>
                  <w:gridSpan w:val="2"/>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2A21111C">
                  <w:pPr>
                    <w:widowControl/>
                    <w:jc w:val="center"/>
                    <w:textAlignment w:val="center"/>
                    <w:rPr>
                      <w:kern w:val="0"/>
                      <w:sz w:val="20"/>
                      <w:szCs w:val="20"/>
                      <w:lang w:bidi="ar"/>
                    </w:rPr>
                  </w:pPr>
                  <w:r>
                    <w:rPr>
                      <w:kern w:val="0"/>
                      <w:sz w:val="20"/>
                      <w:szCs w:val="20"/>
                      <w:lang w:bidi="ar"/>
                    </w:rPr>
                    <w:t>28.27</w:t>
                  </w:r>
                </w:p>
              </w:tc>
              <w:tc>
                <w:tcPr>
                  <w:tcW w:w="375" w:type="pct"/>
                  <w:gridSpan w:val="2"/>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172D43F2">
                  <w:pPr>
                    <w:widowControl/>
                    <w:jc w:val="center"/>
                    <w:textAlignment w:val="center"/>
                    <w:rPr>
                      <w:kern w:val="0"/>
                      <w:sz w:val="20"/>
                      <w:szCs w:val="20"/>
                      <w:lang w:bidi="ar"/>
                    </w:rPr>
                  </w:pPr>
                  <w:r>
                    <w:rPr>
                      <w:kern w:val="0"/>
                      <w:sz w:val="20"/>
                      <w:szCs w:val="20"/>
                      <w:lang w:bidi="ar"/>
                    </w:rPr>
                    <w:t>29.41</w:t>
                  </w:r>
                </w:p>
              </w:tc>
              <w:tc>
                <w:tcPr>
                  <w:tcW w:w="240" w:type="pct"/>
                  <w:tcBorders>
                    <w:top w:val="single" w:color="000000" w:sz="4" w:space="0"/>
                    <w:left w:val="single" w:color="000000" w:sz="4" w:space="0"/>
                    <w:bottom w:val="single" w:color="auto" w:sz="4" w:space="0"/>
                    <w:right w:val="single" w:color="auto" w:sz="4" w:space="0"/>
                  </w:tcBorders>
                  <w:tcMar>
                    <w:top w:w="15" w:type="dxa"/>
                    <w:left w:w="15" w:type="dxa"/>
                    <w:right w:w="15" w:type="dxa"/>
                  </w:tcMar>
                  <w:vAlign w:val="center"/>
                </w:tcPr>
                <w:p w14:paraId="2F5FE89E">
                  <w:pPr>
                    <w:widowControl/>
                    <w:jc w:val="center"/>
                    <w:rPr>
                      <w:kern w:val="0"/>
                      <w:sz w:val="20"/>
                      <w:szCs w:val="20"/>
                      <w:lang w:bidi="ar"/>
                    </w:rPr>
                  </w:pPr>
                  <w:r>
                    <w:rPr>
                      <w:rFonts w:hint="eastAsia"/>
                      <w:kern w:val="0"/>
                      <w:sz w:val="20"/>
                      <w:szCs w:val="20"/>
                      <w:lang w:bidi="ar"/>
                    </w:rPr>
                    <w:t>/</w:t>
                  </w:r>
                </w:p>
              </w:tc>
              <w:tc>
                <w:tcPr>
                  <w:tcW w:w="341" w:type="pct"/>
                  <w:tcBorders>
                    <w:top w:val="single" w:color="000000" w:sz="4" w:space="0"/>
                    <w:left w:val="single" w:color="auto" w:sz="4" w:space="0"/>
                    <w:bottom w:val="single" w:color="auto" w:sz="4" w:space="0"/>
                    <w:right w:val="single" w:color="000000" w:sz="4" w:space="0"/>
                  </w:tcBorders>
                  <w:tcMar>
                    <w:top w:w="15" w:type="dxa"/>
                    <w:left w:w="15" w:type="dxa"/>
                    <w:right w:w="15" w:type="dxa"/>
                  </w:tcMar>
                  <w:vAlign w:val="center"/>
                </w:tcPr>
                <w:p w14:paraId="0D02B4C3">
                  <w:pPr>
                    <w:widowControl/>
                    <w:jc w:val="center"/>
                    <w:textAlignment w:val="center"/>
                    <w:rPr>
                      <w:kern w:val="0"/>
                      <w:sz w:val="20"/>
                      <w:szCs w:val="20"/>
                      <w:lang w:bidi="ar"/>
                    </w:rPr>
                  </w:pPr>
                  <w:r>
                    <w:rPr>
                      <w:rFonts w:hint="eastAsia"/>
                      <w:kern w:val="0"/>
                      <w:sz w:val="20"/>
                      <w:szCs w:val="20"/>
                      <w:lang w:bidi="ar"/>
                    </w:rPr>
                    <w:t>/</w:t>
                  </w:r>
                </w:p>
              </w:tc>
              <w:tc>
                <w:tcPr>
                  <w:tcW w:w="327" w:type="pct"/>
                  <w:gridSpan w:val="2"/>
                  <w:tcBorders>
                    <w:top w:val="single" w:color="000000" w:sz="4" w:space="0"/>
                    <w:left w:val="single" w:color="000000" w:sz="4" w:space="0"/>
                    <w:bottom w:val="single" w:color="auto" w:sz="4" w:space="0"/>
                    <w:right w:val="single" w:color="auto" w:sz="4" w:space="0"/>
                  </w:tcBorders>
                  <w:tcMar>
                    <w:top w:w="15" w:type="dxa"/>
                    <w:left w:w="15" w:type="dxa"/>
                    <w:right w:w="15" w:type="dxa"/>
                  </w:tcMar>
                  <w:vAlign w:val="center"/>
                </w:tcPr>
                <w:p w14:paraId="7E3286AF">
                  <w:pPr>
                    <w:widowControl/>
                    <w:jc w:val="center"/>
                    <w:textAlignment w:val="center"/>
                    <w:rPr>
                      <w:kern w:val="0"/>
                      <w:sz w:val="20"/>
                      <w:szCs w:val="20"/>
                      <w:lang w:bidi="ar"/>
                    </w:rPr>
                  </w:pPr>
                  <w:r>
                    <w:rPr>
                      <w:rFonts w:hint="eastAsia"/>
                      <w:kern w:val="0"/>
                      <w:sz w:val="20"/>
                      <w:szCs w:val="20"/>
                      <w:lang w:bidi="ar"/>
                    </w:rPr>
                    <w:t>-29.89</w:t>
                  </w:r>
                </w:p>
              </w:tc>
              <w:tc>
                <w:tcPr>
                  <w:tcW w:w="264" w:type="pct"/>
                  <w:tcBorders>
                    <w:top w:val="single" w:color="000000" w:sz="4" w:space="0"/>
                    <w:left w:val="single" w:color="auto" w:sz="4" w:space="0"/>
                    <w:bottom w:val="single" w:color="auto" w:sz="4" w:space="0"/>
                    <w:right w:val="single" w:color="000000" w:sz="4" w:space="0"/>
                  </w:tcBorders>
                  <w:tcMar>
                    <w:top w:w="15" w:type="dxa"/>
                    <w:left w:w="15" w:type="dxa"/>
                    <w:right w:w="15" w:type="dxa"/>
                  </w:tcMar>
                  <w:vAlign w:val="center"/>
                </w:tcPr>
                <w:p w14:paraId="1F5F50A8">
                  <w:pPr>
                    <w:widowControl/>
                    <w:jc w:val="center"/>
                    <w:rPr>
                      <w:kern w:val="0"/>
                      <w:sz w:val="20"/>
                      <w:szCs w:val="20"/>
                      <w:lang w:bidi="ar"/>
                    </w:rPr>
                  </w:pPr>
                  <w:r>
                    <w:rPr>
                      <w:rFonts w:hint="eastAsia"/>
                      <w:kern w:val="0"/>
                      <w:sz w:val="20"/>
                      <w:szCs w:val="20"/>
                      <w:lang w:bidi="ar"/>
                    </w:rPr>
                    <w:t>利用点</w:t>
                  </w:r>
                </w:p>
              </w:tc>
              <w:tc>
                <w:tcPr>
                  <w:tcW w:w="326" w:type="pct"/>
                  <w:vMerge w:val="restart"/>
                  <w:tcBorders>
                    <w:top w:val="single" w:color="000000" w:sz="4" w:space="0"/>
                    <w:left w:val="single" w:color="000000" w:sz="4" w:space="0"/>
                    <w:right w:val="single" w:color="000000" w:sz="4" w:space="0"/>
                  </w:tcBorders>
                  <w:tcMar>
                    <w:top w:w="15" w:type="dxa"/>
                    <w:left w:w="15" w:type="dxa"/>
                    <w:right w:w="15" w:type="dxa"/>
                  </w:tcMar>
                  <w:vAlign w:val="center"/>
                </w:tcPr>
                <w:p w14:paraId="321A6329">
                  <w:pPr>
                    <w:widowControl/>
                    <w:jc w:val="center"/>
                    <w:textAlignment w:val="center"/>
                    <w:rPr>
                      <w:kern w:val="0"/>
                      <w:sz w:val="20"/>
                      <w:szCs w:val="20"/>
                      <w:lang w:bidi="ar"/>
                    </w:rPr>
                  </w:pPr>
                  <w:r>
                    <w:rPr>
                      <w:rFonts w:hint="eastAsia"/>
                      <w:kern w:val="0"/>
                      <w:sz w:val="20"/>
                      <w:szCs w:val="20"/>
                      <w:lang w:bidi="ar"/>
                    </w:rPr>
                    <w:t>-37.21</w:t>
                  </w:r>
                </w:p>
              </w:tc>
              <w:tc>
                <w:tcPr>
                  <w:tcW w:w="468" w:type="pct"/>
                  <w:vMerge w:val="restart"/>
                  <w:tcBorders>
                    <w:top w:val="single" w:color="000000" w:sz="4" w:space="0"/>
                    <w:left w:val="single" w:color="000000" w:sz="4" w:space="0"/>
                    <w:right w:val="single" w:color="000000" w:sz="4" w:space="0"/>
                  </w:tcBorders>
                  <w:tcMar>
                    <w:top w:w="15" w:type="dxa"/>
                    <w:left w:w="15" w:type="dxa"/>
                    <w:right w:w="15" w:type="dxa"/>
                  </w:tcMar>
                  <w:vAlign w:val="center"/>
                </w:tcPr>
                <w:p w14:paraId="2CAC7180">
                  <w:pPr>
                    <w:widowControl/>
                    <w:jc w:val="center"/>
                    <w:textAlignment w:val="center"/>
                    <w:rPr>
                      <w:kern w:val="0"/>
                      <w:sz w:val="20"/>
                      <w:szCs w:val="20"/>
                      <w:lang w:bidi="ar"/>
                    </w:rPr>
                  </w:pPr>
                  <w:r>
                    <w:rPr>
                      <w:rFonts w:hint="eastAsia"/>
                      <w:kern w:val="0"/>
                      <w:sz w:val="20"/>
                      <w:szCs w:val="20"/>
                      <w:lang w:bidi="ar"/>
                    </w:rPr>
                    <w:t>蓬莱镇新犀牛村（原新苗村）指定地块回填利用</w:t>
                  </w:r>
                </w:p>
              </w:tc>
            </w:tr>
            <w:tr w14:paraId="3BB2A436">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4" w:type="pct"/>
                <w:trHeight w:val="90" w:hRule="atLeast"/>
                <w:jc w:val="center"/>
              </w:trPr>
              <w:tc>
                <w:tcPr>
                  <w:tcW w:w="1048" w:type="pct"/>
                  <w:gridSpan w:val="2"/>
                  <w:tcBorders>
                    <w:top w:val="single" w:color="auto" w:sz="4" w:space="0"/>
                    <w:left w:val="single" w:color="000000" w:sz="4" w:space="0"/>
                    <w:bottom w:val="single" w:color="auto" w:sz="4" w:space="0"/>
                    <w:right w:val="single" w:color="000000" w:sz="4" w:space="0"/>
                  </w:tcBorders>
                  <w:tcMar>
                    <w:top w:w="15" w:type="dxa"/>
                    <w:left w:w="15" w:type="dxa"/>
                    <w:right w:w="15" w:type="dxa"/>
                  </w:tcMar>
                  <w:vAlign w:val="center"/>
                </w:tcPr>
                <w:p w14:paraId="6094F34B">
                  <w:pPr>
                    <w:widowControl/>
                    <w:jc w:val="center"/>
                    <w:rPr>
                      <w:sz w:val="20"/>
                      <w:szCs w:val="20"/>
                    </w:rPr>
                  </w:pPr>
                  <w:r>
                    <w:rPr>
                      <w:rFonts w:hint="eastAsia"/>
                      <w:sz w:val="20"/>
                      <w:szCs w:val="20"/>
                    </w:rPr>
                    <w:t>②太吉大道西延线</w:t>
                  </w:r>
                </w:p>
                <w:p w14:paraId="040217CC">
                  <w:pPr>
                    <w:widowControl/>
                    <w:jc w:val="center"/>
                    <w:rPr>
                      <w:kern w:val="0"/>
                      <w:sz w:val="20"/>
                      <w:szCs w:val="20"/>
                      <w:lang w:bidi="ar"/>
                    </w:rPr>
                  </w:pPr>
                  <w:r>
                    <w:rPr>
                      <w:rFonts w:hint="eastAsia"/>
                      <w:sz w:val="20"/>
                      <w:szCs w:val="20"/>
                    </w:rPr>
                    <w:t>2段</w:t>
                  </w:r>
                </w:p>
              </w:tc>
              <w:tc>
                <w:tcPr>
                  <w:tcW w:w="266" w:type="pct"/>
                  <w:tcBorders>
                    <w:top w:val="single" w:color="auto" w:sz="4" w:space="0"/>
                    <w:left w:val="single" w:color="000000" w:sz="4" w:space="0"/>
                    <w:bottom w:val="single" w:color="000000" w:sz="4" w:space="0"/>
                    <w:right w:val="single" w:color="000000" w:sz="4" w:space="0"/>
                  </w:tcBorders>
                  <w:tcMar>
                    <w:top w:w="15" w:type="dxa"/>
                    <w:left w:w="15" w:type="dxa"/>
                    <w:right w:w="15" w:type="dxa"/>
                  </w:tcMar>
                  <w:vAlign w:val="center"/>
                </w:tcPr>
                <w:p w14:paraId="56916EF9">
                  <w:pPr>
                    <w:widowControl/>
                    <w:jc w:val="center"/>
                    <w:textAlignment w:val="center"/>
                    <w:rPr>
                      <w:kern w:val="0"/>
                      <w:sz w:val="20"/>
                      <w:szCs w:val="20"/>
                      <w:lang w:bidi="ar"/>
                    </w:rPr>
                  </w:pPr>
                  <w:r>
                    <w:rPr>
                      <w:kern w:val="0"/>
                      <w:sz w:val="20"/>
                      <w:szCs w:val="20"/>
                      <w:lang w:bidi="ar"/>
                    </w:rPr>
                    <w:t>0.3</w:t>
                  </w:r>
                </w:p>
              </w:tc>
              <w:tc>
                <w:tcPr>
                  <w:tcW w:w="342" w:type="pct"/>
                  <w:gridSpan w:val="2"/>
                  <w:tcBorders>
                    <w:top w:val="single" w:color="auto" w:sz="4" w:space="0"/>
                    <w:left w:val="single" w:color="000000" w:sz="4" w:space="0"/>
                    <w:bottom w:val="single" w:color="000000" w:sz="4" w:space="0"/>
                    <w:right w:val="single" w:color="000000" w:sz="4" w:space="0"/>
                  </w:tcBorders>
                  <w:tcMar>
                    <w:top w:w="15" w:type="dxa"/>
                    <w:left w:w="15" w:type="dxa"/>
                    <w:right w:w="15" w:type="dxa"/>
                  </w:tcMar>
                  <w:vAlign w:val="center"/>
                </w:tcPr>
                <w:p w14:paraId="02DE43DC">
                  <w:pPr>
                    <w:widowControl/>
                    <w:jc w:val="center"/>
                    <w:textAlignment w:val="center"/>
                    <w:rPr>
                      <w:kern w:val="0"/>
                      <w:sz w:val="20"/>
                      <w:szCs w:val="20"/>
                      <w:lang w:bidi="ar"/>
                    </w:rPr>
                  </w:pPr>
                  <w:r>
                    <w:rPr>
                      <w:rFonts w:hint="eastAsia"/>
                      <w:kern w:val="0"/>
                      <w:sz w:val="20"/>
                      <w:szCs w:val="20"/>
                      <w:lang w:bidi="ar"/>
                    </w:rPr>
                    <w:t>10.62</w:t>
                  </w:r>
                </w:p>
              </w:tc>
              <w:tc>
                <w:tcPr>
                  <w:tcW w:w="382" w:type="pct"/>
                  <w:gridSpan w:val="2"/>
                  <w:tcBorders>
                    <w:top w:val="single" w:color="auto" w:sz="4" w:space="0"/>
                    <w:left w:val="single" w:color="000000" w:sz="4" w:space="0"/>
                    <w:bottom w:val="single" w:color="000000" w:sz="4" w:space="0"/>
                    <w:right w:val="single" w:color="000000" w:sz="4" w:space="0"/>
                  </w:tcBorders>
                  <w:tcMar>
                    <w:top w:w="15" w:type="dxa"/>
                    <w:left w:w="15" w:type="dxa"/>
                    <w:right w:w="15" w:type="dxa"/>
                  </w:tcMar>
                  <w:vAlign w:val="center"/>
                </w:tcPr>
                <w:p w14:paraId="7A2415DD">
                  <w:pPr>
                    <w:widowControl/>
                    <w:jc w:val="center"/>
                    <w:textAlignment w:val="center"/>
                    <w:rPr>
                      <w:kern w:val="0"/>
                      <w:sz w:val="20"/>
                      <w:szCs w:val="20"/>
                      <w:lang w:bidi="ar"/>
                    </w:rPr>
                  </w:pPr>
                  <w:r>
                    <w:rPr>
                      <w:kern w:val="0"/>
                      <w:sz w:val="20"/>
                      <w:szCs w:val="20"/>
                      <w:lang w:bidi="ar"/>
                    </w:rPr>
                    <w:t>10.92</w:t>
                  </w:r>
                </w:p>
              </w:tc>
              <w:tc>
                <w:tcPr>
                  <w:tcW w:w="283" w:type="pct"/>
                  <w:gridSpan w:val="2"/>
                  <w:tcBorders>
                    <w:top w:val="single" w:color="auto" w:sz="4" w:space="0"/>
                    <w:left w:val="single" w:color="000000" w:sz="4" w:space="0"/>
                    <w:bottom w:val="single" w:color="000000" w:sz="4" w:space="0"/>
                    <w:right w:val="single" w:color="000000" w:sz="4" w:space="0"/>
                  </w:tcBorders>
                  <w:tcMar>
                    <w:top w:w="15" w:type="dxa"/>
                    <w:left w:w="15" w:type="dxa"/>
                    <w:right w:w="15" w:type="dxa"/>
                  </w:tcMar>
                  <w:vAlign w:val="center"/>
                </w:tcPr>
                <w:p w14:paraId="5255B450">
                  <w:pPr>
                    <w:widowControl/>
                    <w:jc w:val="center"/>
                    <w:textAlignment w:val="center"/>
                    <w:rPr>
                      <w:kern w:val="0"/>
                      <w:sz w:val="20"/>
                      <w:szCs w:val="20"/>
                      <w:lang w:bidi="ar"/>
                    </w:rPr>
                  </w:pPr>
                  <w:r>
                    <w:rPr>
                      <w:kern w:val="0"/>
                      <w:sz w:val="20"/>
                      <w:szCs w:val="20"/>
                      <w:lang w:bidi="ar"/>
                    </w:rPr>
                    <w:t>0.3</w:t>
                  </w:r>
                </w:p>
              </w:tc>
              <w:tc>
                <w:tcPr>
                  <w:tcW w:w="334" w:type="pct"/>
                  <w:gridSpan w:val="2"/>
                  <w:tcBorders>
                    <w:top w:val="single" w:color="auto" w:sz="4" w:space="0"/>
                    <w:left w:val="single" w:color="000000" w:sz="4" w:space="0"/>
                    <w:bottom w:val="single" w:color="000000" w:sz="4" w:space="0"/>
                    <w:right w:val="single" w:color="000000" w:sz="4" w:space="0"/>
                  </w:tcBorders>
                  <w:tcMar>
                    <w:top w:w="15" w:type="dxa"/>
                    <w:left w:w="15" w:type="dxa"/>
                    <w:right w:w="15" w:type="dxa"/>
                  </w:tcMar>
                  <w:vAlign w:val="center"/>
                </w:tcPr>
                <w:p w14:paraId="4C0A8ED1">
                  <w:pPr>
                    <w:widowControl/>
                    <w:jc w:val="center"/>
                    <w:textAlignment w:val="center"/>
                    <w:rPr>
                      <w:kern w:val="0"/>
                      <w:sz w:val="20"/>
                      <w:szCs w:val="20"/>
                      <w:lang w:bidi="ar"/>
                    </w:rPr>
                  </w:pPr>
                  <w:r>
                    <w:rPr>
                      <w:kern w:val="0"/>
                      <w:sz w:val="20"/>
                      <w:szCs w:val="20"/>
                      <w:lang w:bidi="ar"/>
                    </w:rPr>
                    <w:t>5.54</w:t>
                  </w:r>
                </w:p>
              </w:tc>
              <w:tc>
                <w:tcPr>
                  <w:tcW w:w="375" w:type="pct"/>
                  <w:gridSpan w:val="2"/>
                  <w:tcBorders>
                    <w:top w:val="single" w:color="auto" w:sz="4" w:space="0"/>
                    <w:left w:val="single" w:color="000000" w:sz="4" w:space="0"/>
                    <w:bottom w:val="single" w:color="000000" w:sz="4" w:space="0"/>
                    <w:right w:val="single" w:color="000000" w:sz="4" w:space="0"/>
                  </w:tcBorders>
                  <w:tcMar>
                    <w:top w:w="15" w:type="dxa"/>
                    <w:left w:w="15" w:type="dxa"/>
                    <w:right w:w="15" w:type="dxa"/>
                  </w:tcMar>
                  <w:vAlign w:val="center"/>
                </w:tcPr>
                <w:p w14:paraId="6B81B4D8">
                  <w:pPr>
                    <w:widowControl/>
                    <w:jc w:val="center"/>
                    <w:textAlignment w:val="center"/>
                    <w:rPr>
                      <w:kern w:val="0"/>
                      <w:sz w:val="20"/>
                      <w:szCs w:val="20"/>
                      <w:lang w:bidi="ar"/>
                    </w:rPr>
                  </w:pPr>
                  <w:r>
                    <w:rPr>
                      <w:kern w:val="0"/>
                      <w:sz w:val="20"/>
                      <w:szCs w:val="20"/>
                      <w:lang w:bidi="ar"/>
                    </w:rPr>
                    <w:t>5.84</w:t>
                  </w:r>
                </w:p>
              </w:tc>
              <w:tc>
                <w:tcPr>
                  <w:tcW w:w="240" w:type="pct"/>
                  <w:tcBorders>
                    <w:top w:val="single" w:color="auto" w:sz="4" w:space="0"/>
                    <w:left w:val="single" w:color="000000" w:sz="4" w:space="0"/>
                    <w:bottom w:val="single" w:color="000000" w:sz="4" w:space="0"/>
                    <w:right w:val="single" w:color="auto" w:sz="4" w:space="0"/>
                  </w:tcBorders>
                  <w:tcMar>
                    <w:top w:w="15" w:type="dxa"/>
                    <w:left w:w="15" w:type="dxa"/>
                    <w:right w:w="15" w:type="dxa"/>
                  </w:tcMar>
                  <w:vAlign w:val="center"/>
                </w:tcPr>
                <w:p w14:paraId="3A5826A9">
                  <w:pPr>
                    <w:widowControl/>
                    <w:jc w:val="center"/>
                    <w:rPr>
                      <w:kern w:val="0"/>
                      <w:sz w:val="20"/>
                      <w:szCs w:val="20"/>
                      <w:lang w:bidi="ar"/>
                    </w:rPr>
                  </w:pPr>
                  <w:r>
                    <w:rPr>
                      <w:rFonts w:hint="eastAsia"/>
                      <w:kern w:val="0"/>
                      <w:sz w:val="20"/>
                      <w:szCs w:val="20"/>
                      <w:lang w:bidi="ar"/>
                    </w:rPr>
                    <w:t>/</w:t>
                  </w:r>
                </w:p>
              </w:tc>
              <w:tc>
                <w:tcPr>
                  <w:tcW w:w="341" w:type="pct"/>
                  <w:tcBorders>
                    <w:top w:val="single" w:color="auto" w:sz="4" w:space="0"/>
                    <w:left w:val="single" w:color="auto" w:sz="4" w:space="0"/>
                    <w:bottom w:val="single" w:color="000000" w:sz="4" w:space="0"/>
                    <w:right w:val="single" w:color="000000" w:sz="4" w:space="0"/>
                  </w:tcBorders>
                  <w:tcMar>
                    <w:top w:w="15" w:type="dxa"/>
                    <w:left w:w="15" w:type="dxa"/>
                    <w:right w:w="15" w:type="dxa"/>
                  </w:tcMar>
                  <w:vAlign w:val="center"/>
                </w:tcPr>
                <w:p w14:paraId="5D960CDE">
                  <w:pPr>
                    <w:widowControl/>
                    <w:jc w:val="center"/>
                    <w:textAlignment w:val="center"/>
                    <w:rPr>
                      <w:kern w:val="0"/>
                      <w:sz w:val="20"/>
                      <w:szCs w:val="20"/>
                      <w:lang w:bidi="ar"/>
                    </w:rPr>
                  </w:pPr>
                  <w:r>
                    <w:rPr>
                      <w:rFonts w:hint="eastAsia"/>
                      <w:kern w:val="0"/>
                      <w:sz w:val="20"/>
                      <w:szCs w:val="20"/>
                      <w:lang w:bidi="ar"/>
                    </w:rPr>
                    <w:t>/</w:t>
                  </w:r>
                </w:p>
              </w:tc>
              <w:tc>
                <w:tcPr>
                  <w:tcW w:w="327" w:type="pct"/>
                  <w:gridSpan w:val="2"/>
                  <w:tcBorders>
                    <w:top w:val="single" w:color="auto" w:sz="4" w:space="0"/>
                    <w:left w:val="single" w:color="000000" w:sz="4" w:space="0"/>
                    <w:bottom w:val="single" w:color="000000" w:sz="4" w:space="0"/>
                    <w:right w:val="single" w:color="auto" w:sz="4" w:space="0"/>
                  </w:tcBorders>
                  <w:tcMar>
                    <w:top w:w="15" w:type="dxa"/>
                    <w:left w:w="15" w:type="dxa"/>
                    <w:right w:w="15" w:type="dxa"/>
                  </w:tcMar>
                  <w:vAlign w:val="center"/>
                </w:tcPr>
                <w:p w14:paraId="040C8C68">
                  <w:pPr>
                    <w:widowControl/>
                    <w:jc w:val="center"/>
                    <w:textAlignment w:val="center"/>
                    <w:rPr>
                      <w:kern w:val="0"/>
                      <w:sz w:val="20"/>
                      <w:szCs w:val="20"/>
                      <w:lang w:bidi="ar"/>
                    </w:rPr>
                  </w:pPr>
                  <w:r>
                    <w:rPr>
                      <w:rFonts w:hint="eastAsia"/>
                      <w:kern w:val="0"/>
                      <w:sz w:val="20"/>
                      <w:szCs w:val="20"/>
                      <w:lang w:bidi="ar"/>
                    </w:rPr>
                    <w:t>-5.08</w:t>
                  </w:r>
                </w:p>
              </w:tc>
              <w:tc>
                <w:tcPr>
                  <w:tcW w:w="264" w:type="pct"/>
                  <w:tcBorders>
                    <w:top w:val="single" w:color="auto" w:sz="4" w:space="0"/>
                    <w:left w:val="single" w:color="auto" w:sz="4" w:space="0"/>
                    <w:bottom w:val="single" w:color="000000" w:sz="4" w:space="0"/>
                    <w:right w:val="single" w:color="000000" w:sz="4" w:space="0"/>
                  </w:tcBorders>
                  <w:tcMar>
                    <w:top w:w="15" w:type="dxa"/>
                    <w:left w:w="15" w:type="dxa"/>
                    <w:right w:w="15" w:type="dxa"/>
                  </w:tcMar>
                  <w:vAlign w:val="center"/>
                </w:tcPr>
                <w:p w14:paraId="13A7DCB8">
                  <w:pPr>
                    <w:widowControl/>
                    <w:jc w:val="center"/>
                    <w:rPr>
                      <w:kern w:val="0"/>
                      <w:sz w:val="20"/>
                      <w:szCs w:val="20"/>
                      <w:lang w:bidi="ar"/>
                    </w:rPr>
                  </w:pPr>
                  <w:r>
                    <w:rPr>
                      <w:rFonts w:hint="eastAsia"/>
                      <w:kern w:val="0"/>
                      <w:sz w:val="20"/>
                      <w:szCs w:val="20"/>
                      <w:lang w:bidi="ar"/>
                    </w:rPr>
                    <w:t>利用点</w:t>
                  </w:r>
                </w:p>
              </w:tc>
              <w:tc>
                <w:tcPr>
                  <w:tcW w:w="326" w:type="pct"/>
                  <w:vMerge w:val="continue"/>
                  <w:tcBorders>
                    <w:left w:val="single" w:color="000000" w:sz="4" w:space="0"/>
                    <w:right w:val="single" w:color="000000" w:sz="4" w:space="0"/>
                  </w:tcBorders>
                  <w:tcMar>
                    <w:top w:w="15" w:type="dxa"/>
                    <w:left w:w="15" w:type="dxa"/>
                    <w:right w:w="15" w:type="dxa"/>
                  </w:tcMar>
                  <w:vAlign w:val="center"/>
                </w:tcPr>
                <w:p w14:paraId="790CDAC4">
                  <w:pPr>
                    <w:widowControl/>
                    <w:jc w:val="center"/>
                    <w:textAlignment w:val="center"/>
                    <w:rPr>
                      <w:kern w:val="0"/>
                      <w:sz w:val="20"/>
                      <w:szCs w:val="20"/>
                      <w:lang w:bidi="ar"/>
                    </w:rPr>
                  </w:pPr>
                </w:p>
              </w:tc>
              <w:tc>
                <w:tcPr>
                  <w:tcW w:w="468" w:type="pct"/>
                  <w:vMerge w:val="continue"/>
                  <w:tcBorders>
                    <w:left w:val="single" w:color="000000" w:sz="4" w:space="0"/>
                    <w:right w:val="single" w:color="000000" w:sz="4" w:space="0"/>
                  </w:tcBorders>
                  <w:tcMar>
                    <w:top w:w="15" w:type="dxa"/>
                    <w:left w:w="15" w:type="dxa"/>
                    <w:right w:w="15" w:type="dxa"/>
                  </w:tcMar>
                  <w:vAlign w:val="center"/>
                </w:tcPr>
                <w:p w14:paraId="50687110">
                  <w:pPr>
                    <w:widowControl/>
                    <w:jc w:val="center"/>
                    <w:textAlignment w:val="center"/>
                    <w:rPr>
                      <w:kern w:val="0"/>
                      <w:sz w:val="20"/>
                      <w:szCs w:val="20"/>
                      <w:lang w:bidi="ar"/>
                    </w:rPr>
                  </w:pPr>
                </w:p>
              </w:tc>
            </w:tr>
            <w:tr w14:paraId="6D2B0386">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4" w:type="pct"/>
                <w:trHeight w:val="300" w:hRule="atLeast"/>
                <w:jc w:val="center"/>
              </w:trPr>
              <w:tc>
                <w:tcPr>
                  <w:tcW w:w="1048" w:type="pct"/>
                  <w:gridSpan w:val="2"/>
                  <w:tcBorders>
                    <w:top w:val="single" w:color="auto" w:sz="4" w:space="0"/>
                    <w:left w:val="single" w:color="000000" w:sz="4" w:space="0"/>
                    <w:bottom w:val="single" w:color="auto" w:sz="4" w:space="0"/>
                    <w:right w:val="single" w:color="000000" w:sz="4" w:space="0"/>
                  </w:tcBorders>
                  <w:tcMar>
                    <w:top w:w="15" w:type="dxa"/>
                    <w:left w:w="15" w:type="dxa"/>
                    <w:right w:w="15" w:type="dxa"/>
                  </w:tcMar>
                  <w:vAlign w:val="center"/>
                </w:tcPr>
                <w:p w14:paraId="1F9FA26F">
                  <w:pPr>
                    <w:widowControl/>
                    <w:jc w:val="center"/>
                    <w:rPr>
                      <w:sz w:val="20"/>
                      <w:szCs w:val="20"/>
                    </w:rPr>
                  </w:pPr>
                  <w:r>
                    <w:rPr>
                      <w:rFonts w:hint="eastAsia" w:ascii="宋体" w:hAnsi="宋体" w:cs="宋体"/>
                      <w:sz w:val="20"/>
                      <w:szCs w:val="20"/>
                    </w:rPr>
                    <w:t>③</w:t>
                  </w:r>
                  <w:r>
                    <w:rPr>
                      <w:rFonts w:hint="eastAsia"/>
                      <w:sz w:val="20"/>
                      <w:szCs w:val="20"/>
                    </w:rPr>
                    <w:t>成南大道连接线</w:t>
                  </w:r>
                </w:p>
                <w:p w14:paraId="58EAB9A2">
                  <w:pPr>
                    <w:widowControl/>
                    <w:jc w:val="center"/>
                    <w:rPr>
                      <w:kern w:val="0"/>
                      <w:sz w:val="20"/>
                      <w:szCs w:val="20"/>
                      <w:lang w:bidi="ar"/>
                    </w:rPr>
                  </w:pPr>
                  <w:r>
                    <w:rPr>
                      <w:rFonts w:hint="eastAsia"/>
                      <w:sz w:val="20"/>
                      <w:szCs w:val="20"/>
                    </w:rPr>
                    <w:t>1段</w:t>
                  </w:r>
                </w:p>
              </w:tc>
              <w:tc>
                <w:tcPr>
                  <w:tcW w:w="26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EE8E14E">
                  <w:pPr>
                    <w:widowControl/>
                    <w:jc w:val="center"/>
                    <w:textAlignment w:val="center"/>
                    <w:rPr>
                      <w:kern w:val="0"/>
                      <w:sz w:val="20"/>
                      <w:szCs w:val="20"/>
                      <w:lang w:bidi="ar"/>
                    </w:rPr>
                  </w:pPr>
                  <w:r>
                    <w:rPr>
                      <w:kern w:val="0"/>
                      <w:sz w:val="20"/>
                      <w:szCs w:val="20"/>
                      <w:lang w:bidi="ar"/>
                    </w:rPr>
                    <w:t>0.9</w:t>
                  </w:r>
                </w:p>
              </w:tc>
              <w:tc>
                <w:tcPr>
                  <w:tcW w:w="342"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211C9A2">
                  <w:pPr>
                    <w:widowControl/>
                    <w:jc w:val="center"/>
                    <w:textAlignment w:val="center"/>
                    <w:rPr>
                      <w:kern w:val="0"/>
                      <w:sz w:val="20"/>
                      <w:szCs w:val="20"/>
                      <w:lang w:bidi="ar"/>
                    </w:rPr>
                  </w:pPr>
                  <w:r>
                    <w:rPr>
                      <w:rFonts w:hint="eastAsia"/>
                      <w:kern w:val="0"/>
                      <w:sz w:val="20"/>
                      <w:szCs w:val="20"/>
                      <w:lang w:bidi="ar"/>
                    </w:rPr>
                    <w:t>30.77</w:t>
                  </w:r>
                </w:p>
              </w:tc>
              <w:tc>
                <w:tcPr>
                  <w:tcW w:w="382"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EF82327">
                  <w:pPr>
                    <w:widowControl/>
                    <w:jc w:val="center"/>
                    <w:textAlignment w:val="center"/>
                    <w:rPr>
                      <w:kern w:val="0"/>
                      <w:sz w:val="20"/>
                      <w:szCs w:val="20"/>
                      <w:lang w:bidi="ar"/>
                    </w:rPr>
                  </w:pPr>
                  <w:r>
                    <w:rPr>
                      <w:kern w:val="0"/>
                      <w:sz w:val="20"/>
                      <w:szCs w:val="20"/>
                      <w:lang w:bidi="ar"/>
                    </w:rPr>
                    <w:t>31.67</w:t>
                  </w:r>
                </w:p>
              </w:tc>
              <w:tc>
                <w:tcPr>
                  <w:tcW w:w="283"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2300893">
                  <w:pPr>
                    <w:widowControl/>
                    <w:jc w:val="center"/>
                    <w:textAlignment w:val="center"/>
                    <w:rPr>
                      <w:kern w:val="0"/>
                      <w:sz w:val="20"/>
                      <w:szCs w:val="20"/>
                      <w:lang w:bidi="ar"/>
                    </w:rPr>
                  </w:pPr>
                  <w:r>
                    <w:rPr>
                      <w:kern w:val="0"/>
                      <w:sz w:val="20"/>
                      <w:szCs w:val="20"/>
                      <w:lang w:bidi="ar"/>
                    </w:rPr>
                    <w:t>0.9</w:t>
                  </w:r>
                </w:p>
              </w:tc>
              <w:tc>
                <w:tcPr>
                  <w:tcW w:w="334"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2492AEF">
                  <w:pPr>
                    <w:widowControl/>
                    <w:jc w:val="center"/>
                    <w:textAlignment w:val="center"/>
                    <w:rPr>
                      <w:kern w:val="0"/>
                      <w:sz w:val="20"/>
                      <w:szCs w:val="20"/>
                      <w:lang w:bidi="ar"/>
                    </w:rPr>
                  </w:pPr>
                  <w:r>
                    <w:rPr>
                      <w:kern w:val="0"/>
                      <w:sz w:val="20"/>
                      <w:szCs w:val="20"/>
                      <w:lang w:bidi="ar"/>
                    </w:rPr>
                    <w:t>28.53</w:t>
                  </w:r>
                </w:p>
              </w:tc>
              <w:tc>
                <w:tcPr>
                  <w:tcW w:w="375"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A595A1D">
                  <w:pPr>
                    <w:widowControl/>
                    <w:jc w:val="center"/>
                    <w:textAlignment w:val="center"/>
                    <w:rPr>
                      <w:kern w:val="0"/>
                      <w:sz w:val="20"/>
                      <w:szCs w:val="20"/>
                      <w:lang w:bidi="ar"/>
                    </w:rPr>
                  </w:pPr>
                  <w:r>
                    <w:rPr>
                      <w:kern w:val="0"/>
                      <w:sz w:val="20"/>
                      <w:szCs w:val="20"/>
                      <w:lang w:bidi="ar"/>
                    </w:rPr>
                    <w:t>29.43</w:t>
                  </w:r>
                </w:p>
              </w:tc>
              <w:tc>
                <w:tcPr>
                  <w:tcW w:w="240" w:type="pct"/>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0F3489E5">
                  <w:pPr>
                    <w:widowControl/>
                    <w:jc w:val="center"/>
                    <w:rPr>
                      <w:kern w:val="0"/>
                      <w:sz w:val="20"/>
                      <w:szCs w:val="20"/>
                      <w:lang w:bidi="ar"/>
                    </w:rPr>
                  </w:pPr>
                  <w:r>
                    <w:rPr>
                      <w:rFonts w:hint="eastAsia"/>
                      <w:kern w:val="0"/>
                      <w:sz w:val="20"/>
                      <w:szCs w:val="20"/>
                      <w:lang w:bidi="ar"/>
                    </w:rPr>
                    <w:t>/</w:t>
                  </w:r>
                </w:p>
              </w:tc>
              <w:tc>
                <w:tcPr>
                  <w:tcW w:w="341"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73F693AA">
                  <w:pPr>
                    <w:widowControl/>
                    <w:jc w:val="center"/>
                    <w:textAlignment w:val="center"/>
                    <w:rPr>
                      <w:kern w:val="0"/>
                      <w:sz w:val="20"/>
                      <w:szCs w:val="20"/>
                      <w:lang w:bidi="ar"/>
                    </w:rPr>
                  </w:pPr>
                  <w:r>
                    <w:rPr>
                      <w:rFonts w:hint="eastAsia"/>
                      <w:kern w:val="0"/>
                      <w:sz w:val="20"/>
                      <w:szCs w:val="20"/>
                      <w:lang w:bidi="ar"/>
                    </w:rPr>
                    <w:t>/</w:t>
                  </w:r>
                </w:p>
              </w:tc>
              <w:tc>
                <w:tcPr>
                  <w:tcW w:w="327" w:type="pct"/>
                  <w:gridSpan w:val="2"/>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60E2F612">
                  <w:pPr>
                    <w:widowControl/>
                    <w:jc w:val="center"/>
                    <w:textAlignment w:val="center"/>
                    <w:rPr>
                      <w:kern w:val="0"/>
                      <w:sz w:val="20"/>
                      <w:szCs w:val="20"/>
                      <w:lang w:bidi="ar"/>
                    </w:rPr>
                  </w:pPr>
                  <w:r>
                    <w:rPr>
                      <w:rFonts w:hint="eastAsia"/>
                      <w:kern w:val="0"/>
                      <w:sz w:val="20"/>
                      <w:szCs w:val="20"/>
                      <w:lang w:bidi="ar"/>
                    </w:rPr>
                    <w:t>-2.24</w:t>
                  </w:r>
                </w:p>
              </w:tc>
              <w:tc>
                <w:tcPr>
                  <w:tcW w:w="264"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77FA4569">
                  <w:pPr>
                    <w:widowControl/>
                    <w:jc w:val="center"/>
                    <w:rPr>
                      <w:kern w:val="0"/>
                      <w:sz w:val="20"/>
                      <w:szCs w:val="20"/>
                      <w:lang w:bidi="ar"/>
                    </w:rPr>
                  </w:pPr>
                  <w:r>
                    <w:rPr>
                      <w:rFonts w:hint="eastAsia"/>
                      <w:kern w:val="0"/>
                      <w:sz w:val="20"/>
                      <w:szCs w:val="20"/>
                      <w:lang w:bidi="ar"/>
                    </w:rPr>
                    <w:t>利用点</w:t>
                  </w:r>
                </w:p>
              </w:tc>
              <w:tc>
                <w:tcPr>
                  <w:tcW w:w="326" w:type="pct"/>
                  <w:vMerge w:val="continue"/>
                  <w:tcBorders>
                    <w:left w:val="single" w:color="000000" w:sz="4" w:space="0"/>
                    <w:right w:val="single" w:color="000000" w:sz="4" w:space="0"/>
                  </w:tcBorders>
                  <w:tcMar>
                    <w:top w:w="15" w:type="dxa"/>
                    <w:left w:w="15" w:type="dxa"/>
                    <w:right w:w="15" w:type="dxa"/>
                  </w:tcMar>
                  <w:vAlign w:val="center"/>
                </w:tcPr>
                <w:p w14:paraId="0C578B3D">
                  <w:pPr>
                    <w:widowControl/>
                    <w:jc w:val="center"/>
                    <w:textAlignment w:val="center"/>
                    <w:rPr>
                      <w:kern w:val="0"/>
                      <w:sz w:val="20"/>
                      <w:szCs w:val="20"/>
                      <w:lang w:bidi="ar"/>
                    </w:rPr>
                  </w:pPr>
                </w:p>
              </w:tc>
              <w:tc>
                <w:tcPr>
                  <w:tcW w:w="468" w:type="pct"/>
                  <w:vMerge w:val="continue"/>
                  <w:tcBorders>
                    <w:left w:val="single" w:color="000000" w:sz="4" w:space="0"/>
                    <w:right w:val="single" w:color="000000" w:sz="4" w:space="0"/>
                  </w:tcBorders>
                  <w:tcMar>
                    <w:top w:w="15" w:type="dxa"/>
                    <w:left w:w="15" w:type="dxa"/>
                    <w:right w:w="15" w:type="dxa"/>
                  </w:tcMar>
                  <w:vAlign w:val="center"/>
                </w:tcPr>
                <w:p w14:paraId="0F36164C">
                  <w:pPr>
                    <w:widowControl/>
                    <w:jc w:val="center"/>
                    <w:textAlignment w:val="center"/>
                    <w:rPr>
                      <w:kern w:val="0"/>
                      <w:sz w:val="20"/>
                      <w:szCs w:val="20"/>
                      <w:lang w:bidi="ar"/>
                    </w:rPr>
                  </w:pPr>
                </w:p>
              </w:tc>
            </w:tr>
            <w:tr w14:paraId="68E8FF1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4" w:type="pct"/>
                <w:trHeight w:val="300" w:hRule="atLeast"/>
                <w:jc w:val="center"/>
              </w:trPr>
              <w:tc>
                <w:tcPr>
                  <w:tcW w:w="1048" w:type="pct"/>
                  <w:gridSpan w:val="2"/>
                  <w:tcBorders>
                    <w:top w:val="single" w:color="auto" w:sz="4" w:space="0"/>
                    <w:left w:val="single" w:color="000000" w:sz="4" w:space="0"/>
                    <w:bottom w:val="single" w:color="auto" w:sz="4" w:space="0"/>
                    <w:right w:val="single" w:color="000000" w:sz="4" w:space="0"/>
                  </w:tcBorders>
                  <w:tcMar>
                    <w:top w:w="15" w:type="dxa"/>
                    <w:left w:w="15" w:type="dxa"/>
                    <w:right w:w="15" w:type="dxa"/>
                  </w:tcMar>
                  <w:vAlign w:val="center"/>
                </w:tcPr>
                <w:p w14:paraId="02C03A80">
                  <w:pPr>
                    <w:widowControl/>
                    <w:jc w:val="center"/>
                    <w:rPr>
                      <w:sz w:val="20"/>
                      <w:szCs w:val="20"/>
                    </w:rPr>
                  </w:pPr>
                  <w:r>
                    <w:rPr>
                      <w:rFonts w:hint="eastAsia" w:ascii="宋体" w:hAnsi="宋体" w:cs="宋体"/>
                      <w:sz w:val="20"/>
                      <w:szCs w:val="20"/>
                    </w:rPr>
                    <w:t>④</w:t>
                  </w:r>
                  <w:r>
                    <w:rPr>
                      <w:rFonts w:hint="eastAsia"/>
                      <w:sz w:val="20"/>
                      <w:szCs w:val="20"/>
                    </w:rPr>
                    <w:t>施工临时占地区</w:t>
                  </w:r>
                </w:p>
              </w:tc>
              <w:tc>
                <w:tcPr>
                  <w:tcW w:w="26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AE6C308">
                  <w:pPr>
                    <w:widowControl/>
                    <w:jc w:val="center"/>
                    <w:textAlignment w:val="center"/>
                    <w:rPr>
                      <w:sz w:val="20"/>
                      <w:szCs w:val="20"/>
                    </w:rPr>
                  </w:pPr>
                  <w:r>
                    <w:rPr>
                      <w:kern w:val="0"/>
                      <w:sz w:val="20"/>
                      <w:szCs w:val="20"/>
                      <w:lang w:bidi="ar"/>
                    </w:rPr>
                    <w:t>0.15</w:t>
                  </w:r>
                </w:p>
              </w:tc>
              <w:tc>
                <w:tcPr>
                  <w:tcW w:w="342"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5655E5">
                  <w:pPr>
                    <w:widowControl/>
                    <w:jc w:val="center"/>
                    <w:textAlignment w:val="center"/>
                    <w:rPr>
                      <w:sz w:val="20"/>
                      <w:szCs w:val="20"/>
                    </w:rPr>
                  </w:pPr>
                  <w:r>
                    <w:rPr>
                      <w:rFonts w:hint="eastAsia"/>
                      <w:kern w:val="0"/>
                      <w:sz w:val="20"/>
                      <w:szCs w:val="20"/>
                      <w:lang w:bidi="ar"/>
                    </w:rPr>
                    <w:t>0</w:t>
                  </w:r>
                </w:p>
              </w:tc>
              <w:tc>
                <w:tcPr>
                  <w:tcW w:w="382"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AA5602C">
                  <w:pPr>
                    <w:widowControl/>
                    <w:jc w:val="center"/>
                    <w:textAlignment w:val="center"/>
                    <w:rPr>
                      <w:sz w:val="20"/>
                      <w:szCs w:val="20"/>
                    </w:rPr>
                  </w:pPr>
                  <w:r>
                    <w:rPr>
                      <w:kern w:val="0"/>
                      <w:sz w:val="20"/>
                      <w:szCs w:val="20"/>
                      <w:lang w:bidi="ar"/>
                    </w:rPr>
                    <w:t>0.15</w:t>
                  </w:r>
                </w:p>
              </w:tc>
              <w:tc>
                <w:tcPr>
                  <w:tcW w:w="283"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2D853D8">
                  <w:pPr>
                    <w:widowControl/>
                    <w:jc w:val="center"/>
                    <w:textAlignment w:val="center"/>
                    <w:rPr>
                      <w:sz w:val="20"/>
                      <w:szCs w:val="20"/>
                    </w:rPr>
                  </w:pPr>
                  <w:r>
                    <w:rPr>
                      <w:kern w:val="0"/>
                      <w:sz w:val="20"/>
                      <w:szCs w:val="20"/>
                      <w:lang w:bidi="ar"/>
                    </w:rPr>
                    <w:t>0.15</w:t>
                  </w:r>
                </w:p>
              </w:tc>
              <w:tc>
                <w:tcPr>
                  <w:tcW w:w="334"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1FCFF41">
                  <w:pPr>
                    <w:widowControl/>
                    <w:jc w:val="center"/>
                    <w:textAlignment w:val="center"/>
                    <w:rPr>
                      <w:sz w:val="20"/>
                      <w:szCs w:val="20"/>
                    </w:rPr>
                  </w:pPr>
                  <w:r>
                    <w:rPr>
                      <w:kern w:val="0"/>
                      <w:sz w:val="20"/>
                      <w:szCs w:val="20"/>
                      <w:lang w:bidi="ar"/>
                    </w:rPr>
                    <w:t>0</w:t>
                  </w:r>
                </w:p>
              </w:tc>
              <w:tc>
                <w:tcPr>
                  <w:tcW w:w="375"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C44B990">
                  <w:pPr>
                    <w:widowControl/>
                    <w:jc w:val="center"/>
                    <w:textAlignment w:val="center"/>
                    <w:rPr>
                      <w:sz w:val="20"/>
                      <w:szCs w:val="20"/>
                    </w:rPr>
                  </w:pPr>
                  <w:r>
                    <w:rPr>
                      <w:kern w:val="0"/>
                      <w:sz w:val="20"/>
                      <w:szCs w:val="20"/>
                      <w:lang w:bidi="ar"/>
                    </w:rPr>
                    <w:t>0.15</w:t>
                  </w:r>
                </w:p>
              </w:tc>
              <w:tc>
                <w:tcPr>
                  <w:tcW w:w="240" w:type="pct"/>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7B526D0F">
                  <w:pPr>
                    <w:widowControl/>
                    <w:jc w:val="center"/>
                    <w:rPr>
                      <w:kern w:val="0"/>
                      <w:sz w:val="20"/>
                      <w:szCs w:val="20"/>
                      <w:lang w:bidi="ar"/>
                    </w:rPr>
                  </w:pPr>
                  <w:r>
                    <w:rPr>
                      <w:rFonts w:hint="eastAsia"/>
                      <w:kern w:val="0"/>
                      <w:sz w:val="20"/>
                      <w:szCs w:val="20"/>
                      <w:lang w:bidi="ar"/>
                    </w:rPr>
                    <w:t>/</w:t>
                  </w:r>
                </w:p>
              </w:tc>
              <w:tc>
                <w:tcPr>
                  <w:tcW w:w="341"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56A14D66">
                  <w:pPr>
                    <w:widowControl/>
                    <w:jc w:val="center"/>
                    <w:textAlignment w:val="center"/>
                    <w:rPr>
                      <w:kern w:val="0"/>
                      <w:sz w:val="20"/>
                      <w:szCs w:val="20"/>
                      <w:lang w:bidi="ar"/>
                    </w:rPr>
                  </w:pPr>
                  <w:r>
                    <w:rPr>
                      <w:rFonts w:hint="eastAsia"/>
                      <w:kern w:val="0"/>
                      <w:sz w:val="20"/>
                      <w:szCs w:val="20"/>
                      <w:lang w:bidi="ar"/>
                    </w:rPr>
                    <w:t>/</w:t>
                  </w:r>
                </w:p>
              </w:tc>
              <w:tc>
                <w:tcPr>
                  <w:tcW w:w="327" w:type="pct"/>
                  <w:gridSpan w:val="2"/>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0C290267">
                  <w:pPr>
                    <w:widowControl/>
                    <w:jc w:val="center"/>
                    <w:rPr>
                      <w:kern w:val="0"/>
                      <w:sz w:val="20"/>
                      <w:szCs w:val="20"/>
                      <w:lang w:bidi="ar"/>
                    </w:rPr>
                  </w:pPr>
                  <w:r>
                    <w:rPr>
                      <w:rFonts w:hint="eastAsia"/>
                      <w:kern w:val="0"/>
                      <w:sz w:val="20"/>
                      <w:szCs w:val="20"/>
                      <w:lang w:bidi="ar"/>
                    </w:rPr>
                    <w:t>/</w:t>
                  </w:r>
                </w:p>
              </w:tc>
              <w:tc>
                <w:tcPr>
                  <w:tcW w:w="264"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47CB010C">
                  <w:pPr>
                    <w:widowControl/>
                    <w:jc w:val="center"/>
                    <w:textAlignment w:val="center"/>
                    <w:rPr>
                      <w:sz w:val="20"/>
                      <w:szCs w:val="20"/>
                    </w:rPr>
                  </w:pPr>
                  <w:r>
                    <w:rPr>
                      <w:rFonts w:hint="eastAsia"/>
                      <w:kern w:val="0"/>
                      <w:sz w:val="20"/>
                      <w:szCs w:val="20"/>
                      <w:lang w:bidi="ar"/>
                    </w:rPr>
                    <w:t>/</w:t>
                  </w:r>
                </w:p>
              </w:tc>
              <w:tc>
                <w:tcPr>
                  <w:tcW w:w="326" w:type="pct"/>
                  <w:vMerge w:val="continue"/>
                  <w:tcBorders>
                    <w:left w:val="single" w:color="000000" w:sz="4" w:space="0"/>
                    <w:right w:val="single" w:color="000000" w:sz="4" w:space="0"/>
                  </w:tcBorders>
                  <w:tcMar>
                    <w:top w:w="15" w:type="dxa"/>
                    <w:left w:w="15" w:type="dxa"/>
                    <w:right w:w="15" w:type="dxa"/>
                  </w:tcMar>
                  <w:vAlign w:val="center"/>
                </w:tcPr>
                <w:p w14:paraId="24692BDB">
                  <w:pPr>
                    <w:widowControl/>
                    <w:jc w:val="center"/>
                    <w:textAlignment w:val="center"/>
                    <w:rPr>
                      <w:kern w:val="0"/>
                      <w:sz w:val="20"/>
                      <w:szCs w:val="20"/>
                      <w:lang w:bidi="ar"/>
                    </w:rPr>
                  </w:pPr>
                </w:p>
              </w:tc>
              <w:tc>
                <w:tcPr>
                  <w:tcW w:w="468" w:type="pct"/>
                  <w:vMerge w:val="continue"/>
                  <w:tcBorders>
                    <w:left w:val="single" w:color="000000" w:sz="4" w:space="0"/>
                    <w:right w:val="single" w:color="000000" w:sz="4" w:space="0"/>
                  </w:tcBorders>
                  <w:tcMar>
                    <w:top w:w="15" w:type="dxa"/>
                    <w:left w:w="15" w:type="dxa"/>
                    <w:right w:w="15" w:type="dxa"/>
                  </w:tcMar>
                  <w:vAlign w:val="center"/>
                </w:tcPr>
                <w:p w14:paraId="7DF13FF9">
                  <w:pPr>
                    <w:widowControl/>
                    <w:jc w:val="center"/>
                    <w:textAlignment w:val="center"/>
                    <w:rPr>
                      <w:kern w:val="0"/>
                      <w:sz w:val="20"/>
                      <w:szCs w:val="20"/>
                      <w:lang w:bidi="ar"/>
                    </w:rPr>
                  </w:pPr>
                </w:p>
              </w:tc>
            </w:tr>
            <w:tr w14:paraId="410E2914">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4" w:type="pct"/>
                <w:trHeight w:val="300" w:hRule="atLeast"/>
                <w:jc w:val="center"/>
              </w:trPr>
              <w:tc>
                <w:tcPr>
                  <w:tcW w:w="1048"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E07867F">
                  <w:pPr>
                    <w:widowControl/>
                    <w:jc w:val="center"/>
                    <w:rPr>
                      <w:kern w:val="0"/>
                      <w:sz w:val="20"/>
                      <w:szCs w:val="20"/>
                      <w:lang w:bidi="ar"/>
                    </w:rPr>
                  </w:pPr>
                  <w:r>
                    <w:rPr>
                      <w:sz w:val="20"/>
                      <w:szCs w:val="20"/>
                    </w:rPr>
                    <w:t>合计</w:t>
                  </w:r>
                </w:p>
              </w:tc>
              <w:tc>
                <w:tcPr>
                  <w:tcW w:w="26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AA8C6AF">
                  <w:pPr>
                    <w:widowControl/>
                    <w:jc w:val="center"/>
                    <w:textAlignment w:val="center"/>
                    <w:rPr>
                      <w:kern w:val="0"/>
                      <w:sz w:val="20"/>
                      <w:szCs w:val="20"/>
                      <w:lang w:bidi="ar"/>
                    </w:rPr>
                  </w:pPr>
                  <w:r>
                    <w:rPr>
                      <w:kern w:val="0"/>
                      <w:sz w:val="20"/>
                      <w:szCs w:val="20"/>
                      <w:lang w:bidi="ar"/>
                    </w:rPr>
                    <w:t>2.49</w:t>
                  </w:r>
                </w:p>
              </w:tc>
              <w:tc>
                <w:tcPr>
                  <w:tcW w:w="342"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E1A35E2">
                  <w:pPr>
                    <w:widowControl/>
                    <w:jc w:val="center"/>
                    <w:textAlignment w:val="center"/>
                    <w:rPr>
                      <w:kern w:val="0"/>
                      <w:sz w:val="20"/>
                      <w:szCs w:val="20"/>
                      <w:lang w:bidi="ar"/>
                    </w:rPr>
                  </w:pPr>
                  <w:r>
                    <w:rPr>
                      <w:kern w:val="0"/>
                      <w:sz w:val="20"/>
                      <w:szCs w:val="20"/>
                      <w:lang w:bidi="ar"/>
                    </w:rPr>
                    <w:t>99.55</w:t>
                  </w:r>
                </w:p>
              </w:tc>
              <w:tc>
                <w:tcPr>
                  <w:tcW w:w="382"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9BBFC89">
                  <w:pPr>
                    <w:widowControl/>
                    <w:jc w:val="center"/>
                    <w:textAlignment w:val="center"/>
                    <w:rPr>
                      <w:kern w:val="0"/>
                      <w:sz w:val="20"/>
                      <w:szCs w:val="20"/>
                      <w:lang w:bidi="ar"/>
                    </w:rPr>
                  </w:pPr>
                  <w:r>
                    <w:rPr>
                      <w:kern w:val="0"/>
                      <w:sz w:val="20"/>
                      <w:szCs w:val="20"/>
                      <w:lang w:bidi="ar"/>
                    </w:rPr>
                    <w:t>102.04</w:t>
                  </w:r>
                </w:p>
              </w:tc>
              <w:tc>
                <w:tcPr>
                  <w:tcW w:w="283"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AADE299">
                  <w:pPr>
                    <w:widowControl/>
                    <w:jc w:val="center"/>
                    <w:textAlignment w:val="center"/>
                    <w:rPr>
                      <w:kern w:val="0"/>
                      <w:sz w:val="20"/>
                      <w:szCs w:val="20"/>
                      <w:lang w:bidi="ar"/>
                    </w:rPr>
                  </w:pPr>
                  <w:r>
                    <w:rPr>
                      <w:kern w:val="0"/>
                      <w:sz w:val="20"/>
                      <w:szCs w:val="20"/>
                      <w:lang w:bidi="ar"/>
                    </w:rPr>
                    <w:t>2.49</w:t>
                  </w:r>
                </w:p>
              </w:tc>
              <w:tc>
                <w:tcPr>
                  <w:tcW w:w="334"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622DB41">
                  <w:pPr>
                    <w:widowControl/>
                    <w:jc w:val="center"/>
                    <w:textAlignment w:val="center"/>
                    <w:rPr>
                      <w:kern w:val="0"/>
                      <w:sz w:val="20"/>
                      <w:szCs w:val="20"/>
                      <w:lang w:bidi="ar"/>
                    </w:rPr>
                  </w:pPr>
                  <w:r>
                    <w:rPr>
                      <w:kern w:val="0"/>
                      <w:sz w:val="20"/>
                      <w:szCs w:val="20"/>
                      <w:lang w:bidi="ar"/>
                    </w:rPr>
                    <w:t>62.34</w:t>
                  </w:r>
                </w:p>
              </w:tc>
              <w:tc>
                <w:tcPr>
                  <w:tcW w:w="375" w:type="pct"/>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909DC7B">
                  <w:pPr>
                    <w:widowControl/>
                    <w:jc w:val="center"/>
                    <w:textAlignment w:val="center"/>
                    <w:rPr>
                      <w:kern w:val="0"/>
                      <w:sz w:val="20"/>
                      <w:szCs w:val="20"/>
                      <w:lang w:bidi="ar"/>
                    </w:rPr>
                  </w:pPr>
                  <w:r>
                    <w:rPr>
                      <w:kern w:val="0"/>
                      <w:sz w:val="20"/>
                      <w:szCs w:val="20"/>
                      <w:lang w:bidi="ar"/>
                    </w:rPr>
                    <w:t>64.83</w:t>
                  </w:r>
                </w:p>
              </w:tc>
              <w:tc>
                <w:tcPr>
                  <w:tcW w:w="240" w:type="pct"/>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4E6EC269">
                  <w:pPr>
                    <w:widowControl/>
                    <w:jc w:val="center"/>
                    <w:rPr>
                      <w:kern w:val="0"/>
                      <w:sz w:val="20"/>
                      <w:szCs w:val="20"/>
                      <w:lang w:bidi="ar"/>
                    </w:rPr>
                  </w:pPr>
                  <w:r>
                    <w:rPr>
                      <w:rFonts w:hint="eastAsia"/>
                      <w:kern w:val="0"/>
                      <w:sz w:val="20"/>
                      <w:szCs w:val="20"/>
                      <w:lang w:bidi="ar"/>
                    </w:rPr>
                    <w:t>/</w:t>
                  </w:r>
                </w:p>
              </w:tc>
              <w:tc>
                <w:tcPr>
                  <w:tcW w:w="341"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7469A1BC">
                  <w:pPr>
                    <w:widowControl/>
                    <w:jc w:val="center"/>
                    <w:textAlignment w:val="center"/>
                    <w:rPr>
                      <w:kern w:val="0"/>
                      <w:sz w:val="20"/>
                      <w:szCs w:val="20"/>
                      <w:lang w:bidi="ar"/>
                    </w:rPr>
                  </w:pPr>
                  <w:r>
                    <w:rPr>
                      <w:rFonts w:hint="eastAsia"/>
                      <w:kern w:val="0"/>
                      <w:sz w:val="20"/>
                      <w:szCs w:val="20"/>
                      <w:lang w:bidi="ar"/>
                    </w:rPr>
                    <w:t>/</w:t>
                  </w:r>
                </w:p>
              </w:tc>
              <w:tc>
                <w:tcPr>
                  <w:tcW w:w="327" w:type="pct"/>
                  <w:gridSpan w:val="2"/>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3FF898F0">
                  <w:pPr>
                    <w:widowControl/>
                    <w:jc w:val="center"/>
                    <w:rPr>
                      <w:kern w:val="0"/>
                      <w:sz w:val="20"/>
                      <w:szCs w:val="20"/>
                      <w:lang w:bidi="ar"/>
                    </w:rPr>
                  </w:pPr>
                  <w:r>
                    <w:rPr>
                      <w:sz w:val="20"/>
                      <w:szCs w:val="20"/>
                    </w:rPr>
                    <w:t>/</w:t>
                  </w:r>
                </w:p>
              </w:tc>
              <w:tc>
                <w:tcPr>
                  <w:tcW w:w="264"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316780F9">
                  <w:pPr>
                    <w:widowControl/>
                    <w:jc w:val="center"/>
                    <w:rPr>
                      <w:kern w:val="0"/>
                      <w:sz w:val="20"/>
                      <w:szCs w:val="20"/>
                      <w:lang w:bidi="ar"/>
                    </w:rPr>
                  </w:pPr>
                  <w:r>
                    <w:rPr>
                      <w:sz w:val="20"/>
                      <w:szCs w:val="20"/>
                    </w:rPr>
                    <w:t>/</w:t>
                  </w:r>
                </w:p>
              </w:tc>
              <w:tc>
                <w:tcPr>
                  <w:tcW w:w="326" w:type="pct"/>
                  <w:vMerge w:val="continue"/>
                  <w:tcBorders>
                    <w:left w:val="single" w:color="000000" w:sz="4" w:space="0"/>
                    <w:bottom w:val="single" w:color="000000" w:sz="4" w:space="0"/>
                    <w:right w:val="single" w:color="000000" w:sz="4" w:space="0"/>
                  </w:tcBorders>
                  <w:tcMar>
                    <w:top w:w="15" w:type="dxa"/>
                    <w:left w:w="15" w:type="dxa"/>
                    <w:right w:w="15" w:type="dxa"/>
                  </w:tcMar>
                  <w:vAlign w:val="center"/>
                </w:tcPr>
                <w:p w14:paraId="2306263E">
                  <w:pPr>
                    <w:widowControl/>
                    <w:jc w:val="center"/>
                    <w:textAlignment w:val="center"/>
                    <w:rPr>
                      <w:kern w:val="0"/>
                      <w:sz w:val="20"/>
                      <w:szCs w:val="20"/>
                      <w:lang w:bidi="ar"/>
                    </w:rPr>
                  </w:pPr>
                </w:p>
              </w:tc>
              <w:tc>
                <w:tcPr>
                  <w:tcW w:w="468" w:type="pct"/>
                  <w:vMerge w:val="continue"/>
                  <w:tcBorders>
                    <w:left w:val="single" w:color="000000" w:sz="4" w:space="0"/>
                    <w:bottom w:val="single" w:color="000000" w:sz="4" w:space="0"/>
                    <w:right w:val="single" w:color="000000" w:sz="4" w:space="0"/>
                  </w:tcBorders>
                  <w:tcMar>
                    <w:top w:w="15" w:type="dxa"/>
                    <w:left w:w="15" w:type="dxa"/>
                    <w:right w:w="15" w:type="dxa"/>
                  </w:tcMar>
                  <w:vAlign w:val="center"/>
                </w:tcPr>
                <w:p w14:paraId="4F149C2B">
                  <w:pPr>
                    <w:widowControl/>
                    <w:jc w:val="center"/>
                    <w:textAlignment w:val="center"/>
                    <w:rPr>
                      <w:kern w:val="0"/>
                      <w:sz w:val="20"/>
                      <w:szCs w:val="20"/>
                      <w:lang w:bidi="ar"/>
                    </w:rPr>
                  </w:pPr>
                </w:p>
              </w:tc>
            </w:tr>
          </w:tbl>
          <w:p w14:paraId="562393BE">
            <w:pPr>
              <w:pStyle w:val="69"/>
              <w:ind w:firstLine="482"/>
              <w:rPr>
                <w:b/>
                <w:bCs/>
              </w:rPr>
            </w:pPr>
            <w:r>
              <w:rPr>
                <w:rFonts w:hint="eastAsia"/>
                <w:b/>
                <w:bCs/>
              </w:rPr>
              <w:t>4、交通量预测</w:t>
            </w:r>
          </w:p>
          <w:p w14:paraId="2FAC7568">
            <w:pPr>
              <w:pStyle w:val="69"/>
              <w:ind w:firstLine="480"/>
              <w:rPr>
                <w:bCs/>
              </w:rPr>
            </w:pPr>
            <w:r>
              <w:rPr>
                <w:rFonts w:hint="eastAsia"/>
                <w:bCs/>
              </w:rPr>
              <w:t>根据设计单位提供资料，本项目为城市主干路，故本项目预测基准年为2027年，近、中、远期交通量预测特征年分别为2027年、2032年和2041年。</w:t>
            </w:r>
          </w:p>
          <w:p w14:paraId="6AE7CB3E">
            <w:pPr>
              <w:pStyle w:val="69"/>
              <w:spacing w:line="240" w:lineRule="auto"/>
              <w:ind w:firstLine="0" w:firstLineChars="0"/>
              <w:jc w:val="center"/>
              <w:rPr>
                <w:rFonts w:eastAsia="黑体"/>
                <w:sz w:val="21"/>
                <w:szCs w:val="21"/>
              </w:rPr>
            </w:pPr>
            <w:r>
              <w:rPr>
                <w:rFonts w:eastAsia="黑体"/>
                <w:sz w:val="21"/>
                <w:szCs w:val="21"/>
              </w:rPr>
              <w:t>表</w:t>
            </w:r>
            <w:r>
              <w:rPr>
                <w:rFonts w:hint="eastAsia" w:eastAsia="黑体"/>
                <w:sz w:val="21"/>
                <w:szCs w:val="21"/>
              </w:rPr>
              <w:t xml:space="preserve">2-4-1 </w:t>
            </w:r>
            <w:r>
              <w:rPr>
                <w:rFonts w:eastAsia="黑体"/>
                <w:sz w:val="21"/>
                <w:szCs w:val="21"/>
              </w:rPr>
              <w:t xml:space="preserve"> 预测</w:t>
            </w:r>
            <w:r>
              <w:rPr>
                <w:rFonts w:hint="eastAsia" w:eastAsia="黑体"/>
                <w:sz w:val="21"/>
                <w:szCs w:val="21"/>
              </w:rPr>
              <w:t>目标年交通量预测表   （单位：辆/h）</w:t>
            </w:r>
          </w:p>
          <w:tbl>
            <w:tblPr>
              <w:tblStyle w:val="34"/>
              <w:tblW w:w="0" w:type="auto"/>
              <w:tblInd w:w="0" w:type="dxa"/>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47"/>
              <w:gridCol w:w="1097"/>
              <w:gridCol w:w="1454"/>
              <w:gridCol w:w="1701"/>
              <w:gridCol w:w="1450"/>
            </w:tblGrid>
            <w:tr w14:paraId="1B829063">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7" w:type="dxa"/>
                  <w:tcBorders>
                    <w:top w:val="single" w:color="auto" w:sz="6" w:space="0"/>
                    <w:left w:val="single" w:color="auto" w:sz="4" w:space="0"/>
                    <w:bottom w:val="single" w:color="auto" w:sz="4" w:space="0"/>
                    <w:tl2br w:val="single" w:color="auto" w:sz="4" w:space="0"/>
                  </w:tcBorders>
                </w:tcPr>
                <w:p w14:paraId="17C6BE08">
                  <w:pPr>
                    <w:pStyle w:val="69"/>
                    <w:spacing w:line="240" w:lineRule="auto"/>
                    <w:ind w:firstLine="0" w:firstLineChars="0"/>
                    <w:jc w:val="right"/>
                    <w:rPr>
                      <w:b/>
                      <w:bCs/>
                      <w:sz w:val="21"/>
                      <w:szCs w:val="21"/>
                    </w:rPr>
                  </w:pPr>
                  <w:r>
                    <w:rPr>
                      <w:b/>
                      <w:bCs/>
                      <w:sz w:val="21"/>
                      <w:szCs w:val="21"/>
                    </w:rPr>
                    <w:t>预测年</w:t>
                  </w:r>
                </w:p>
                <w:p w14:paraId="2C21BD0F">
                  <w:pPr>
                    <w:pStyle w:val="69"/>
                    <w:spacing w:line="240" w:lineRule="auto"/>
                    <w:ind w:firstLine="0" w:firstLineChars="0"/>
                    <w:jc w:val="left"/>
                    <w:rPr>
                      <w:b/>
                      <w:bCs/>
                      <w:sz w:val="21"/>
                      <w:szCs w:val="21"/>
                    </w:rPr>
                  </w:pPr>
                  <w:r>
                    <w:rPr>
                      <w:rFonts w:hint="eastAsia"/>
                      <w:b/>
                      <w:bCs/>
                      <w:sz w:val="21"/>
                      <w:szCs w:val="21"/>
                    </w:rPr>
                    <w:t>路段</w:t>
                  </w:r>
                </w:p>
              </w:tc>
              <w:tc>
                <w:tcPr>
                  <w:tcW w:w="1097" w:type="dxa"/>
                  <w:tcBorders>
                    <w:top w:val="single" w:color="auto" w:sz="6" w:space="0"/>
                    <w:bottom w:val="single" w:color="auto" w:sz="4" w:space="0"/>
                  </w:tcBorders>
                  <w:vAlign w:val="center"/>
                </w:tcPr>
                <w:p w14:paraId="61B5F069">
                  <w:pPr>
                    <w:pStyle w:val="69"/>
                    <w:spacing w:line="240" w:lineRule="auto"/>
                    <w:ind w:firstLine="0" w:firstLineChars="0"/>
                    <w:jc w:val="center"/>
                    <w:rPr>
                      <w:b/>
                      <w:bCs/>
                      <w:sz w:val="21"/>
                      <w:szCs w:val="21"/>
                    </w:rPr>
                  </w:pPr>
                  <w:r>
                    <w:rPr>
                      <w:b/>
                      <w:bCs/>
                      <w:sz w:val="21"/>
                      <w:szCs w:val="21"/>
                    </w:rPr>
                    <w:t>车道</w:t>
                  </w:r>
                </w:p>
              </w:tc>
              <w:tc>
                <w:tcPr>
                  <w:tcW w:w="1454" w:type="dxa"/>
                  <w:tcBorders>
                    <w:top w:val="single" w:color="auto" w:sz="6" w:space="0"/>
                    <w:bottom w:val="single" w:color="auto" w:sz="4" w:space="0"/>
                  </w:tcBorders>
                  <w:vAlign w:val="center"/>
                </w:tcPr>
                <w:p w14:paraId="008135B1">
                  <w:pPr>
                    <w:pStyle w:val="69"/>
                    <w:spacing w:line="240" w:lineRule="auto"/>
                    <w:ind w:firstLine="0" w:firstLineChars="0"/>
                    <w:jc w:val="center"/>
                    <w:rPr>
                      <w:b/>
                      <w:bCs/>
                      <w:sz w:val="21"/>
                      <w:szCs w:val="21"/>
                    </w:rPr>
                  </w:pPr>
                  <w:r>
                    <w:rPr>
                      <w:rFonts w:hint="eastAsia"/>
                      <w:b/>
                      <w:bCs/>
                      <w:sz w:val="21"/>
                      <w:szCs w:val="21"/>
                    </w:rPr>
                    <w:t>2027年</w:t>
                  </w:r>
                </w:p>
              </w:tc>
              <w:tc>
                <w:tcPr>
                  <w:tcW w:w="1701" w:type="dxa"/>
                  <w:tcBorders>
                    <w:top w:val="single" w:color="auto" w:sz="6" w:space="0"/>
                    <w:bottom w:val="single" w:color="auto" w:sz="4" w:space="0"/>
                  </w:tcBorders>
                  <w:vAlign w:val="center"/>
                </w:tcPr>
                <w:p w14:paraId="7C931C6D">
                  <w:pPr>
                    <w:pStyle w:val="69"/>
                    <w:spacing w:line="240" w:lineRule="auto"/>
                    <w:ind w:firstLine="0" w:firstLineChars="0"/>
                    <w:jc w:val="center"/>
                    <w:rPr>
                      <w:b/>
                      <w:bCs/>
                      <w:sz w:val="21"/>
                      <w:szCs w:val="21"/>
                    </w:rPr>
                  </w:pPr>
                  <w:r>
                    <w:rPr>
                      <w:rFonts w:hint="eastAsia"/>
                      <w:b/>
                      <w:bCs/>
                      <w:sz w:val="21"/>
                      <w:szCs w:val="21"/>
                    </w:rPr>
                    <w:t>2032年</w:t>
                  </w:r>
                </w:p>
              </w:tc>
              <w:tc>
                <w:tcPr>
                  <w:tcW w:w="1450" w:type="dxa"/>
                  <w:tcBorders>
                    <w:top w:val="single" w:color="auto" w:sz="6" w:space="0"/>
                    <w:bottom w:val="single" w:color="auto" w:sz="4" w:space="0"/>
                    <w:right w:val="single" w:color="auto" w:sz="4" w:space="0"/>
                  </w:tcBorders>
                  <w:vAlign w:val="center"/>
                </w:tcPr>
                <w:p w14:paraId="531C3FB8">
                  <w:pPr>
                    <w:pStyle w:val="69"/>
                    <w:spacing w:line="240" w:lineRule="auto"/>
                    <w:ind w:firstLine="0" w:firstLineChars="0"/>
                    <w:jc w:val="center"/>
                    <w:rPr>
                      <w:b/>
                      <w:bCs/>
                      <w:sz w:val="21"/>
                      <w:szCs w:val="21"/>
                    </w:rPr>
                  </w:pPr>
                  <w:r>
                    <w:rPr>
                      <w:rFonts w:hint="eastAsia"/>
                      <w:b/>
                      <w:bCs/>
                      <w:sz w:val="21"/>
                      <w:szCs w:val="21"/>
                    </w:rPr>
                    <w:t>2041年</w:t>
                  </w:r>
                </w:p>
              </w:tc>
            </w:tr>
            <w:tr w14:paraId="6F7F1522">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7" w:type="dxa"/>
                  <w:tcBorders>
                    <w:top w:val="single" w:color="auto" w:sz="4" w:space="0"/>
                    <w:left w:val="single" w:color="auto" w:sz="4" w:space="0"/>
                  </w:tcBorders>
                  <w:vAlign w:val="center"/>
                </w:tcPr>
                <w:p w14:paraId="12F511F5">
                  <w:pPr>
                    <w:widowControl/>
                    <w:adjustRightInd w:val="0"/>
                    <w:snapToGrid w:val="0"/>
                    <w:jc w:val="center"/>
                    <w:rPr>
                      <w:kern w:val="0"/>
                      <w:sz w:val="20"/>
                      <w:szCs w:val="20"/>
                      <w:lang w:bidi="ar"/>
                    </w:rPr>
                  </w:pPr>
                  <w:r>
                    <w:rPr>
                      <w:rFonts w:hint="eastAsia"/>
                      <w:sz w:val="20"/>
                      <w:szCs w:val="20"/>
                    </w:rPr>
                    <w:t>成南大道连接线1段</w:t>
                  </w:r>
                </w:p>
              </w:tc>
              <w:tc>
                <w:tcPr>
                  <w:tcW w:w="1097" w:type="dxa"/>
                  <w:tcBorders>
                    <w:top w:val="single" w:color="auto" w:sz="4" w:space="0"/>
                    <w:bottom w:val="single" w:color="auto" w:sz="4" w:space="0"/>
                  </w:tcBorders>
                  <w:vAlign w:val="center"/>
                </w:tcPr>
                <w:p w14:paraId="6625B3CA">
                  <w:pPr>
                    <w:pStyle w:val="69"/>
                    <w:spacing w:line="240" w:lineRule="auto"/>
                    <w:ind w:firstLine="0" w:firstLineChars="0"/>
                    <w:jc w:val="center"/>
                    <w:rPr>
                      <w:bCs/>
                      <w:sz w:val="21"/>
                      <w:szCs w:val="21"/>
                    </w:rPr>
                  </w:pPr>
                  <w:r>
                    <w:rPr>
                      <w:bCs/>
                      <w:sz w:val="21"/>
                      <w:szCs w:val="21"/>
                    </w:rPr>
                    <w:t>主线</w:t>
                  </w:r>
                </w:p>
              </w:tc>
              <w:tc>
                <w:tcPr>
                  <w:tcW w:w="1454" w:type="dxa"/>
                  <w:tcBorders>
                    <w:top w:val="single" w:color="auto" w:sz="4" w:space="0"/>
                    <w:bottom w:val="single" w:color="auto" w:sz="4" w:space="0"/>
                  </w:tcBorders>
                  <w:vAlign w:val="center"/>
                </w:tcPr>
                <w:p w14:paraId="6D0FC5B9">
                  <w:pPr>
                    <w:pStyle w:val="69"/>
                    <w:spacing w:line="240" w:lineRule="auto"/>
                    <w:ind w:firstLine="0" w:firstLineChars="0"/>
                    <w:jc w:val="center"/>
                    <w:rPr>
                      <w:bCs/>
                      <w:sz w:val="21"/>
                      <w:szCs w:val="21"/>
                    </w:rPr>
                  </w:pPr>
                  <w:r>
                    <w:rPr>
                      <w:rFonts w:hint="eastAsia"/>
                      <w:bCs/>
                      <w:sz w:val="21"/>
                      <w:szCs w:val="21"/>
                    </w:rPr>
                    <w:t>796</w:t>
                  </w:r>
                </w:p>
              </w:tc>
              <w:tc>
                <w:tcPr>
                  <w:tcW w:w="1701" w:type="dxa"/>
                  <w:tcBorders>
                    <w:top w:val="single" w:color="auto" w:sz="4" w:space="0"/>
                    <w:bottom w:val="single" w:color="auto" w:sz="4" w:space="0"/>
                  </w:tcBorders>
                  <w:vAlign w:val="center"/>
                </w:tcPr>
                <w:p w14:paraId="42F49E5F">
                  <w:pPr>
                    <w:pStyle w:val="69"/>
                    <w:spacing w:line="240" w:lineRule="auto"/>
                    <w:ind w:firstLine="0" w:firstLineChars="0"/>
                    <w:jc w:val="center"/>
                    <w:rPr>
                      <w:bCs/>
                      <w:sz w:val="21"/>
                      <w:szCs w:val="21"/>
                    </w:rPr>
                  </w:pPr>
                  <w:r>
                    <w:rPr>
                      <w:rFonts w:hint="eastAsia"/>
                      <w:bCs/>
                      <w:sz w:val="21"/>
                      <w:szCs w:val="21"/>
                    </w:rPr>
                    <w:t>1149</w:t>
                  </w:r>
                </w:p>
              </w:tc>
              <w:tc>
                <w:tcPr>
                  <w:tcW w:w="1450" w:type="dxa"/>
                  <w:tcBorders>
                    <w:top w:val="single" w:color="auto" w:sz="4" w:space="0"/>
                    <w:bottom w:val="single" w:color="auto" w:sz="4" w:space="0"/>
                    <w:right w:val="single" w:color="auto" w:sz="4" w:space="0"/>
                  </w:tcBorders>
                  <w:vAlign w:val="center"/>
                </w:tcPr>
                <w:p w14:paraId="0F780AB2">
                  <w:pPr>
                    <w:pStyle w:val="69"/>
                    <w:spacing w:line="240" w:lineRule="auto"/>
                    <w:ind w:firstLine="0" w:firstLineChars="0"/>
                    <w:jc w:val="center"/>
                    <w:rPr>
                      <w:bCs/>
                      <w:sz w:val="21"/>
                      <w:szCs w:val="21"/>
                    </w:rPr>
                  </w:pPr>
                  <w:r>
                    <w:rPr>
                      <w:rFonts w:hint="eastAsia"/>
                      <w:bCs/>
                      <w:sz w:val="21"/>
                      <w:szCs w:val="21"/>
                    </w:rPr>
                    <w:t>1658</w:t>
                  </w:r>
                </w:p>
              </w:tc>
            </w:tr>
            <w:tr w14:paraId="0B115FD7">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7" w:type="dxa"/>
                  <w:tcBorders>
                    <w:left w:val="single" w:color="auto" w:sz="4" w:space="0"/>
                  </w:tcBorders>
                  <w:vAlign w:val="center"/>
                </w:tcPr>
                <w:p w14:paraId="1DA69344">
                  <w:pPr>
                    <w:widowControl/>
                    <w:adjustRightInd w:val="0"/>
                    <w:snapToGrid w:val="0"/>
                    <w:jc w:val="center"/>
                    <w:rPr>
                      <w:kern w:val="0"/>
                      <w:sz w:val="20"/>
                      <w:szCs w:val="20"/>
                      <w:lang w:bidi="ar"/>
                    </w:rPr>
                  </w:pPr>
                  <w:r>
                    <w:rPr>
                      <w:rFonts w:hint="eastAsia"/>
                      <w:sz w:val="20"/>
                      <w:szCs w:val="20"/>
                    </w:rPr>
                    <w:t>太吉大道西延线1段</w:t>
                  </w:r>
                </w:p>
              </w:tc>
              <w:tc>
                <w:tcPr>
                  <w:tcW w:w="1097" w:type="dxa"/>
                  <w:tcBorders>
                    <w:top w:val="single" w:color="auto" w:sz="4" w:space="0"/>
                    <w:bottom w:val="single" w:color="auto" w:sz="4" w:space="0"/>
                  </w:tcBorders>
                  <w:vAlign w:val="center"/>
                </w:tcPr>
                <w:p w14:paraId="33947FF3">
                  <w:pPr>
                    <w:pStyle w:val="69"/>
                    <w:spacing w:line="240" w:lineRule="auto"/>
                    <w:ind w:firstLine="0" w:firstLineChars="0"/>
                    <w:jc w:val="center"/>
                    <w:rPr>
                      <w:bCs/>
                      <w:sz w:val="21"/>
                      <w:szCs w:val="21"/>
                    </w:rPr>
                  </w:pPr>
                  <w:r>
                    <w:rPr>
                      <w:rFonts w:hint="eastAsia"/>
                      <w:bCs/>
                      <w:sz w:val="21"/>
                      <w:szCs w:val="21"/>
                    </w:rPr>
                    <w:t>主线</w:t>
                  </w:r>
                </w:p>
              </w:tc>
              <w:tc>
                <w:tcPr>
                  <w:tcW w:w="1454" w:type="dxa"/>
                  <w:tcBorders>
                    <w:top w:val="single" w:color="auto" w:sz="4" w:space="0"/>
                    <w:bottom w:val="single" w:color="auto" w:sz="4" w:space="0"/>
                  </w:tcBorders>
                  <w:vAlign w:val="center"/>
                </w:tcPr>
                <w:p w14:paraId="148C50B4">
                  <w:pPr>
                    <w:pStyle w:val="69"/>
                    <w:spacing w:line="240" w:lineRule="auto"/>
                    <w:ind w:firstLine="0" w:firstLineChars="0"/>
                    <w:jc w:val="center"/>
                    <w:rPr>
                      <w:bCs/>
                      <w:sz w:val="21"/>
                      <w:szCs w:val="21"/>
                    </w:rPr>
                  </w:pPr>
                  <w:r>
                    <w:rPr>
                      <w:rFonts w:hint="eastAsia"/>
                      <w:bCs/>
                      <w:sz w:val="21"/>
                      <w:szCs w:val="21"/>
                    </w:rPr>
                    <w:t>890</w:t>
                  </w:r>
                </w:p>
              </w:tc>
              <w:tc>
                <w:tcPr>
                  <w:tcW w:w="1701" w:type="dxa"/>
                  <w:tcBorders>
                    <w:top w:val="single" w:color="auto" w:sz="4" w:space="0"/>
                    <w:bottom w:val="single" w:color="auto" w:sz="4" w:space="0"/>
                  </w:tcBorders>
                  <w:vAlign w:val="center"/>
                </w:tcPr>
                <w:p w14:paraId="3EDE83ED">
                  <w:pPr>
                    <w:pStyle w:val="69"/>
                    <w:spacing w:line="240" w:lineRule="auto"/>
                    <w:ind w:firstLine="0" w:firstLineChars="0"/>
                    <w:jc w:val="center"/>
                    <w:rPr>
                      <w:bCs/>
                      <w:sz w:val="21"/>
                      <w:szCs w:val="21"/>
                    </w:rPr>
                  </w:pPr>
                  <w:r>
                    <w:rPr>
                      <w:rFonts w:hint="eastAsia"/>
                      <w:bCs/>
                      <w:sz w:val="21"/>
                      <w:szCs w:val="21"/>
                    </w:rPr>
                    <w:t>1473</w:t>
                  </w:r>
                </w:p>
              </w:tc>
              <w:tc>
                <w:tcPr>
                  <w:tcW w:w="1450" w:type="dxa"/>
                  <w:tcBorders>
                    <w:top w:val="single" w:color="auto" w:sz="4" w:space="0"/>
                    <w:bottom w:val="single" w:color="auto" w:sz="4" w:space="0"/>
                    <w:right w:val="single" w:color="auto" w:sz="4" w:space="0"/>
                  </w:tcBorders>
                  <w:vAlign w:val="center"/>
                </w:tcPr>
                <w:p w14:paraId="34429E71">
                  <w:pPr>
                    <w:pStyle w:val="69"/>
                    <w:spacing w:line="240" w:lineRule="auto"/>
                    <w:ind w:firstLine="0" w:firstLineChars="0"/>
                    <w:jc w:val="center"/>
                    <w:rPr>
                      <w:bCs/>
                      <w:sz w:val="21"/>
                      <w:szCs w:val="21"/>
                    </w:rPr>
                  </w:pPr>
                  <w:r>
                    <w:rPr>
                      <w:rFonts w:hint="eastAsia"/>
                      <w:bCs/>
                      <w:sz w:val="21"/>
                      <w:szCs w:val="21"/>
                    </w:rPr>
                    <w:t>2168</w:t>
                  </w:r>
                </w:p>
              </w:tc>
            </w:tr>
            <w:tr w14:paraId="60EF3CEC">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7" w:type="dxa"/>
                  <w:tcBorders>
                    <w:left w:val="single" w:color="auto" w:sz="4" w:space="0"/>
                    <w:bottom w:val="single" w:color="auto" w:sz="4" w:space="0"/>
                  </w:tcBorders>
                  <w:vAlign w:val="center"/>
                </w:tcPr>
                <w:p w14:paraId="6BC0A655">
                  <w:pPr>
                    <w:widowControl/>
                    <w:adjustRightInd w:val="0"/>
                    <w:snapToGrid w:val="0"/>
                    <w:jc w:val="center"/>
                    <w:rPr>
                      <w:kern w:val="0"/>
                      <w:sz w:val="20"/>
                      <w:szCs w:val="20"/>
                      <w:lang w:bidi="ar"/>
                    </w:rPr>
                  </w:pPr>
                  <w:r>
                    <w:rPr>
                      <w:rFonts w:hint="eastAsia"/>
                      <w:sz w:val="20"/>
                      <w:szCs w:val="20"/>
                    </w:rPr>
                    <w:t>太吉大道西延线2段</w:t>
                  </w:r>
                </w:p>
              </w:tc>
              <w:tc>
                <w:tcPr>
                  <w:tcW w:w="1097" w:type="dxa"/>
                  <w:tcBorders>
                    <w:top w:val="single" w:color="auto" w:sz="4" w:space="0"/>
                    <w:bottom w:val="single" w:color="auto" w:sz="4" w:space="0"/>
                  </w:tcBorders>
                  <w:vAlign w:val="center"/>
                </w:tcPr>
                <w:p w14:paraId="20FBB0AB">
                  <w:pPr>
                    <w:pStyle w:val="69"/>
                    <w:spacing w:line="240" w:lineRule="auto"/>
                    <w:ind w:firstLine="0" w:firstLineChars="0"/>
                    <w:jc w:val="center"/>
                    <w:rPr>
                      <w:bCs/>
                      <w:sz w:val="21"/>
                      <w:szCs w:val="21"/>
                    </w:rPr>
                  </w:pPr>
                  <w:r>
                    <w:rPr>
                      <w:rFonts w:hint="eastAsia"/>
                      <w:bCs/>
                      <w:sz w:val="21"/>
                      <w:szCs w:val="21"/>
                    </w:rPr>
                    <w:t>主线</w:t>
                  </w:r>
                </w:p>
              </w:tc>
              <w:tc>
                <w:tcPr>
                  <w:tcW w:w="1454" w:type="dxa"/>
                  <w:tcBorders>
                    <w:top w:val="single" w:color="auto" w:sz="4" w:space="0"/>
                    <w:bottom w:val="single" w:color="auto" w:sz="4" w:space="0"/>
                  </w:tcBorders>
                  <w:vAlign w:val="center"/>
                </w:tcPr>
                <w:p w14:paraId="445EB5A2">
                  <w:pPr>
                    <w:pStyle w:val="69"/>
                    <w:spacing w:line="240" w:lineRule="auto"/>
                    <w:ind w:firstLine="0" w:firstLineChars="0"/>
                    <w:jc w:val="center"/>
                    <w:rPr>
                      <w:bCs/>
                      <w:sz w:val="21"/>
                      <w:szCs w:val="21"/>
                    </w:rPr>
                  </w:pPr>
                  <w:r>
                    <w:rPr>
                      <w:rFonts w:hint="eastAsia"/>
                      <w:bCs/>
                      <w:sz w:val="21"/>
                      <w:szCs w:val="21"/>
                    </w:rPr>
                    <w:t>902</w:t>
                  </w:r>
                </w:p>
              </w:tc>
              <w:tc>
                <w:tcPr>
                  <w:tcW w:w="1701" w:type="dxa"/>
                  <w:tcBorders>
                    <w:top w:val="single" w:color="auto" w:sz="4" w:space="0"/>
                    <w:bottom w:val="single" w:color="auto" w:sz="4" w:space="0"/>
                  </w:tcBorders>
                  <w:vAlign w:val="center"/>
                </w:tcPr>
                <w:p w14:paraId="05A6F5A0">
                  <w:pPr>
                    <w:pStyle w:val="69"/>
                    <w:spacing w:line="240" w:lineRule="auto"/>
                    <w:ind w:firstLine="0" w:firstLineChars="0"/>
                    <w:jc w:val="center"/>
                    <w:rPr>
                      <w:bCs/>
                      <w:sz w:val="21"/>
                      <w:szCs w:val="21"/>
                    </w:rPr>
                  </w:pPr>
                  <w:r>
                    <w:rPr>
                      <w:rFonts w:hint="eastAsia"/>
                      <w:bCs/>
                      <w:sz w:val="21"/>
                      <w:szCs w:val="21"/>
                    </w:rPr>
                    <w:t>1356</w:t>
                  </w:r>
                </w:p>
              </w:tc>
              <w:tc>
                <w:tcPr>
                  <w:tcW w:w="1450" w:type="dxa"/>
                  <w:tcBorders>
                    <w:top w:val="single" w:color="auto" w:sz="4" w:space="0"/>
                    <w:bottom w:val="single" w:color="auto" w:sz="4" w:space="0"/>
                    <w:right w:val="single" w:color="auto" w:sz="4" w:space="0"/>
                  </w:tcBorders>
                  <w:vAlign w:val="center"/>
                </w:tcPr>
                <w:p w14:paraId="3F731DCE">
                  <w:pPr>
                    <w:pStyle w:val="69"/>
                    <w:spacing w:line="240" w:lineRule="auto"/>
                    <w:ind w:firstLine="0" w:firstLineChars="0"/>
                    <w:jc w:val="center"/>
                    <w:rPr>
                      <w:bCs/>
                      <w:sz w:val="21"/>
                      <w:szCs w:val="21"/>
                    </w:rPr>
                  </w:pPr>
                  <w:r>
                    <w:rPr>
                      <w:rFonts w:hint="eastAsia"/>
                      <w:bCs/>
                      <w:sz w:val="21"/>
                      <w:szCs w:val="21"/>
                    </w:rPr>
                    <w:t>1926</w:t>
                  </w:r>
                </w:p>
              </w:tc>
            </w:tr>
          </w:tbl>
          <w:p w14:paraId="71C34FE6">
            <w:pPr>
              <w:pStyle w:val="69"/>
              <w:spacing w:line="240" w:lineRule="auto"/>
              <w:ind w:firstLine="0" w:firstLineChars="0"/>
              <w:jc w:val="center"/>
              <w:rPr>
                <w:rFonts w:eastAsia="黑体"/>
                <w:sz w:val="21"/>
                <w:szCs w:val="21"/>
              </w:rPr>
            </w:pPr>
            <w:r>
              <w:rPr>
                <w:rFonts w:eastAsia="黑体"/>
                <w:sz w:val="21"/>
                <w:szCs w:val="21"/>
              </w:rPr>
              <w:t>表</w:t>
            </w:r>
            <w:r>
              <w:rPr>
                <w:rFonts w:hint="eastAsia" w:eastAsia="黑体"/>
                <w:sz w:val="21"/>
                <w:szCs w:val="21"/>
              </w:rPr>
              <w:t>2-4-2</w:t>
            </w:r>
            <w:r>
              <w:rPr>
                <w:rFonts w:eastAsia="黑体"/>
                <w:sz w:val="21"/>
                <w:szCs w:val="21"/>
              </w:rPr>
              <w:t xml:space="preserve"> </w:t>
            </w:r>
            <w:r>
              <w:rPr>
                <w:rFonts w:hint="eastAsia" w:eastAsia="黑体"/>
                <w:sz w:val="21"/>
                <w:szCs w:val="21"/>
              </w:rPr>
              <w:t xml:space="preserve">  道路车型比预测结果   </w:t>
            </w:r>
          </w:p>
          <w:tbl>
            <w:tblPr>
              <w:tblStyle w:val="34"/>
              <w:tblW w:w="5000" w:type="pct"/>
              <w:jc w:val="center"/>
              <w:tblBorders>
                <w:top w:val="single" w:color="auto" w:sz="6" w:space="0"/>
                <w:left w:val="single" w:color="auto" w:sz="4" w:space="0"/>
                <w:bottom w:val="single" w:color="auto" w:sz="6"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3"/>
              <w:gridCol w:w="1860"/>
              <w:gridCol w:w="1833"/>
              <w:gridCol w:w="1681"/>
              <w:gridCol w:w="1502"/>
            </w:tblGrid>
            <w:tr w14:paraId="01E856E0">
              <w:tblPrEx>
                <w:tblBorders>
                  <w:top w:val="single" w:color="auto" w:sz="6"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897" w:type="pct"/>
                  <w:vAlign w:val="center"/>
                </w:tcPr>
                <w:p w14:paraId="3D482591">
                  <w:pPr>
                    <w:pStyle w:val="69"/>
                    <w:spacing w:line="240" w:lineRule="auto"/>
                    <w:ind w:firstLine="0" w:firstLineChars="0"/>
                    <w:jc w:val="center"/>
                    <w:rPr>
                      <w:b/>
                      <w:bCs/>
                      <w:sz w:val="21"/>
                      <w:szCs w:val="21"/>
                    </w:rPr>
                  </w:pPr>
                  <w:r>
                    <w:rPr>
                      <w:rFonts w:hint="eastAsia"/>
                      <w:b/>
                      <w:bCs/>
                      <w:sz w:val="21"/>
                      <w:szCs w:val="21"/>
                    </w:rPr>
                    <w:t>预测特征年</w:t>
                  </w:r>
                </w:p>
              </w:tc>
              <w:tc>
                <w:tcPr>
                  <w:tcW w:w="1110" w:type="pct"/>
                  <w:vAlign w:val="center"/>
                </w:tcPr>
                <w:p w14:paraId="064012A6">
                  <w:pPr>
                    <w:pStyle w:val="69"/>
                    <w:spacing w:line="240" w:lineRule="auto"/>
                    <w:ind w:firstLine="0" w:firstLineChars="0"/>
                    <w:jc w:val="center"/>
                    <w:rPr>
                      <w:b/>
                      <w:bCs/>
                      <w:sz w:val="21"/>
                      <w:szCs w:val="21"/>
                    </w:rPr>
                  </w:pPr>
                  <w:r>
                    <w:rPr>
                      <w:rFonts w:hint="eastAsia"/>
                      <w:b/>
                      <w:bCs/>
                      <w:sz w:val="21"/>
                      <w:szCs w:val="21"/>
                    </w:rPr>
                    <w:t>小型车</w:t>
                  </w:r>
                </w:p>
              </w:tc>
              <w:tc>
                <w:tcPr>
                  <w:tcW w:w="1094" w:type="pct"/>
                  <w:vAlign w:val="center"/>
                </w:tcPr>
                <w:p w14:paraId="2761F42C">
                  <w:pPr>
                    <w:pStyle w:val="69"/>
                    <w:spacing w:line="240" w:lineRule="auto"/>
                    <w:ind w:firstLine="0" w:firstLineChars="0"/>
                    <w:jc w:val="center"/>
                    <w:rPr>
                      <w:b/>
                      <w:bCs/>
                      <w:sz w:val="21"/>
                      <w:szCs w:val="21"/>
                    </w:rPr>
                  </w:pPr>
                  <w:r>
                    <w:rPr>
                      <w:b/>
                      <w:bCs/>
                      <w:sz w:val="21"/>
                      <w:szCs w:val="21"/>
                    </w:rPr>
                    <w:t>中型车</w:t>
                  </w:r>
                </w:p>
              </w:tc>
              <w:tc>
                <w:tcPr>
                  <w:tcW w:w="1003" w:type="pct"/>
                  <w:vAlign w:val="center"/>
                </w:tcPr>
                <w:p w14:paraId="2E20905B">
                  <w:pPr>
                    <w:pStyle w:val="69"/>
                    <w:spacing w:line="240" w:lineRule="auto"/>
                    <w:ind w:firstLine="0" w:firstLineChars="0"/>
                    <w:jc w:val="center"/>
                    <w:rPr>
                      <w:b/>
                      <w:bCs/>
                      <w:sz w:val="21"/>
                      <w:szCs w:val="21"/>
                    </w:rPr>
                  </w:pPr>
                  <w:r>
                    <w:rPr>
                      <w:rFonts w:hint="eastAsia"/>
                      <w:b/>
                      <w:bCs/>
                      <w:sz w:val="21"/>
                      <w:szCs w:val="21"/>
                    </w:rPr>
                    <w:t>大型车</w:t>
                  </w:r>
                </w:p>
              </w:tc>
              <w:tc>
                <w:tcPr>
                  <w:tcW w:w="897" w:type="pct"/>
                  <w:vAlign w:val="center"/>
                </w:tcPr>
                <w:p w14:paraId="25343074">
                  <w:pPr>
                    <w:pStyle w:val="69"/>
                    <w:spacing w:line="240" w:lineRule="auto"/>
                    <w:ind w:firstLine="0" w:firstLineChars="0"/>
                    <w:jc w:val="center"/>
                    <w:rPr>
                      <w:b/>
                      <w:bCs/>
                      <w:sz w:val="21"/>
                      <w:szCs w:val="21"/>
                    </w:rPr>
                  </w:pPr>
                  <w:r>
                    <w:rPr>
                      <w:b/>
                      <w:bCs/>
                      <w:sz w:val="21"/>
                      <w:szCs w:val="21"/>
                    </w:rPr>
                    <w:t>昼夜</w:t>
                  </w:r>
                  <w:r>
                    <w:rPr>
                      <w:rFonts w:hint="eastAsia"/>
                      <w:b/>
                      <w:bCs/>
                      <w:sz w:val="21"/>
                      <w:szCs w:val="21"/>
                    </w:rPr>
                    <w:t>车型</w:t>
                  </w:r>
                  <w:r>
                    <w:rPr>
                      <w:b/>
                      <w:bCs/>
                      <w:sz w:val="21"/>
                      <w:szCs w:val="21"/>
                    </w:rPr>
                    <w:t>比</w:t>
                  </w:r>
                </w:p>
              </w:tc>
            </w:tr>
            <w:tr w14:paraId="6127124E">
              <w:tblPrEx>
                <w:tblBorders>
                  <w:top w:val="single" w:color="auto" w:sz="6"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97" w:type="pct"/>
                  <w:vAlign w:val="center"/>
                </w:tcPr>
                <w:p w14:paraId="7C3580CA">
                  <w:pPr>
                    <w:pStyle w:val="69"/>
                    <w:spacing w:line="240" w:lineRule="auto"/>
                    <w:ind w:firstLine="0" w:firstLineChars="0"/>
                    <w:jc w:val="center"/>
                    <w:rPr>
                      <w:bCs/>
                      <w:sz w:val="21"/>
                      <w:szCs w:val="21"/>
                    </w:rPr>
                  </w:pPr>
                  <w:r>
                    <w:rPr>
                      <w:rFonts w:hint="eastAsia"/>
                      <w:bCs/>
                      <w:sz w:val="21"/>
                      <w:szCs w:val="21"/>
                    </w:rPr>
                    <w:t>2027</w:t>
                  </w:r>
                </w:p>
              </w:tc>
              <w:tc>
                <w:tcPr>
                  <w:tcW w:w="1110" w:type="pct"/>
                  <w:vAlign w:val="center"/>
                </w:tcPr>
                <w:p w14:paraId="5AE137FE">
                  <w:pPr>
                    <w:pStyle w:val="69"/>
                    <w:spacing w:line="240" w:lineRule="auto"/>
                    <w:ind w:firstLine="0" w:firstLineChars="0"/>
                    <w:jc w:val="center"/>
                    <w:rPr>
                      <w:bCs/>
                      <w:sz w:val="21"/>
                      <w:szCs w:val="21"/>
                    </w:rPr>
                  </w:pPr>
                  <w:r>
                    <w:rPr>
                      <w:rFonts w:hint="eastAsia"/>
                      <w:bCs/>
                      <w:sz w:val="21"/>
                      <w:szCs w:val="21"/>
                    </w:rPr>
                    <w:t>79.7</w:t>
                  </w:r>
                </w:p>
              </w:tc>
              <w:tc>
                <w:tcPr>
                  <w:tcW w:w="1094" w:type="pct"/>
                  <w:vAlign w:val="center"/>
                </w:tcPr>
                <w:p w14:paraId="3C44B093">
                  <w:pPr>
                    <w:pStyle w:val="69"/>
                    <w:spacing w:line="240" w:lineRule="auto"/>
                    <w:ind w:firstLine="0" w:firstLineChars="0"/>
                    <w:jc w:val="center"/>
                    <w:rPr>
                      <w:bCs/>
                      <w:sz w:val="21"/>
                      <w:szCs w:val="21"/>
                    </w:rPr>
                  </w:pPr>
                  <w:r>
                    <w:rPr>
                      <w:rFonts w:hint="eastAsia"/>
                      <w:bCs/>
                      <w:sz w:val="21"/>
                      <w:szCs w:val="21"/>
                    </w:rPr>
                    <w:t>16.5</w:t>
                  </w:r>
                </w:p>
              </w:tc>
              <w:tc>
                <w:tcPr>
                  <w:tcW w:w="1003" w:type="pct"/>
                  <w:vAlign w:val="center"/>
                </w:tcPr>
                <w:p w14:paraId="5AA7F33A">
                  <w:pPr>
                    <w:pStyle w:val="69"/>
                    <w:spacing w:line="240" w:lineRule="auto"/>
                    <w:ind w:firstLine="0" w:firstLineChars="0"/>
                    <w:jc w:val="center"/>
                    <w:rPr>
                      <w:bCs/>
                      <w:sz w:val="21"/>
                      <w:szCs w:val="21"/>
                    </w:rPr>
                  </w:pPr>
                  <w:r>
                    <w:rPr>
                      <w:rFonts w:hint="eastAsia"/>
                      <w:bCs/>
                      <w:sz w:val="21"/>
                      <w:szCs w:val="21"/>
                    </w:rPr>
                    <w:t>3.8</w:t>
                  </w:r>
                </w:p>
              </w:tc>
              <w:tc>
                <w:tcPr>
                  <w:tcW w:w="897" w:type="pct"/>
                  <w:vAlign w:val="center"/>
                </w:tcPr>
                <w:p w14:paraId="48DB1B69">
                  <w:pPr>
                    <w:pStyle w:val="69"/>
                    <w:spacing w:line="240" w:lineRule="auto"/>
                    <w:ind w:firstLine="0" w:firstLineChars="0"/>
                    <w:jc w:val="center"/>
                    <w:rPr>
                      <w:bCs/>
                      <w:sz w:val="21"/>
                      <w:szCs w:val="21"/>
                    </w:rPr>
                  </w:pPr>
                  <w:r>
                    <w:rPr>
                      <w:rFonts w:hint="eastAsia"/>
                      <w:bCs/>
                      <w:sz w:val="21"/>
                      <w:szCs w:val="21"/>
                    </w:rPr>
                    <w:t>8:1</w:t>
                  </w:r>
                </w:p>
              </w:tc>
            </w:tr>
            <w:tr w14:paraId="2CD692D5">
              <w:tblPrEx>
                <w:tblBorders>
                  <w:top w:val="single" w:color="auto" w:sz="6"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897" w:type="pct"/>
                  <w:vAlign w:val="center"/>
                </w:tcPr>
                <w:p w14:paraId="6C5E6A15">
                  <w:pPr>
                    <w:pStyle w:val="69"/>
                    <w:spacing w:line="240" w:lineRule="auto"/>
                    <w:ind w:firstLine="0" w:firstLineChars="0"/>
                    <w:jc w:val="center"/>
                    <w:rPr>
                      <w:bCs/>
                      <w:sz w:val="21"/>
                      <w:szCs w:val="21"/>
                    </w:rPr>
                  </w:pPr>
                  <w:r>
                    <w:rPr>
                      <w:rFonts w:hint="eastAsia"/>
                      <w:bCs/>
                      <w:sz w:val="21"/>
                      <w:szCs w:val="21"/>
                    </w:rPr>
                    <w:t>2032</w:t>
                  </w:r>
                </w:p>
              </w:tc>
              <w:tc>
                <w:tcPr>
                  <w:tcW w:w="1110" w:type="pct"/>
                  <w:vAlign w:val="center"/>
                </w:tcPr>
                <w:p w14:paraId="6B1FE915">
                  <w:pPr>
                    <w:pStyle w:val="69"/>
                    <w:spacing w:line="240" w:lineRule="auto"/>
                    <w:ind w:firstLine="0" w:firstLineChars="0"/>
                    <w:jc w:val="center"/>
                    <w:rPr>
                      <w:bCs/>
                      <w:sz w:val="21"/>
                      <w:szCs w:val="21"/>
                    </w:rPr>
                  </w:pPr>
                  <w:r>
                    <w:rPr>
                      <w:rFonts w:hint="eastAsia"/>
                      <w:bCs/>
                      <w:sz w:val="21"/>
                      <w:szCs w:val="21"/>
                    </w:rPr>
                    <w:t>83.2</w:t>
                  </w:r>
                </w:p>
              </w:tc>
              <w:tc>
                <w:tcPr>
                  <w:tcW w:w="1094" w:type="pct"/>
                  <w:vAlign w:val="center"/>
                </w:tcPr>
                <w:p w14:paraId="46D72022">
                  <w:pPr>
                    <w:pStyle w:val="69"/>
                    <w:spacing w:line="240" w:lineRule="auto"/>
                    <w:ind w:firstLine="0" w:firstLineChars="0"/>
                    <w:jc w:val="center"/>
                    <w:rPr>
                      <w:bCs/>
                      <w:sz w:val="21"/>
                      <w:szCs w:val="21"/>
                    </w:rPr>
                  </w:pPr>
                  <w:r>
                    <w:rPr>
                      <w:rFonts w:hint="eastAsia"/>
                      <w:bCs/>
                      <w:sz w:val="21"/>
                      <w:szCs w:val="21"/>
                    </w:rPr>
                    <w:t>14.4</w:t>
                  </w:r>
                </w:p>
              </w:tc>
              <w:tc>
                <w:tcPr>
                  <w:tcW w:w="1003" w:type="pct"/>
                  <w:vAlign w:val="center"/>
                </w:tcPr>
                <w:p w14:paraId="21A7962D">
                  <w:pPr>
                    <w:pStyle w:val="69"/>
                    <w:spacing w:line="240" w:lineRule="auto"/>
                    <w:ind w:firstLine="0" w:firstLineChars="0"/>
                    <w:jc w:val="center"/>
                    <w:rPr>
                      <w:bCs/>
                      <w:sz w:val="21"/>
                      <w:szCs w:val="21"/>
                    </w:rPr>
                  </w:pPr>
                  <w:r>
                    <w:rPr>
                      <w:rFonts w:hint="eastAsia"/>
                      <w:bCs/>
                      <w:sz w:val="21"/>
                      <w:szCs w:val="21"/>
                    </w:rPr>
                    <w:t>2.4</w:t>
                  </w:r>
                </w:p>
              </w:tc>
              <w:tc>
                <w:tcPr>
                  <w:tcW w:w="897" w:type="pct"/>
                  <w:vAlign w:val="center"/>
                </w:tcPr>
                <w:p w14:paraId="2C9A07DC">
                  <w:pPr>
                    <w:pStyle w:val="69"/>
                    <w:spacing w:line="240" w:lineRule="auto"/>
                    <w:ind w:firstLine="0" w:firstLineChars="0"/>
                    <w:jc w:val="center"/>
                    <w:rPr>
                      <w:bCs/>
                      <w:sz w:val="21"/>
                      <w:szCs w:val="21"/>
                    </w:rPr>
                  </w:pPr>
                  <w:r>
                    <w:rPr>
                      <w:rFonts w:hint="eastAsia"/>
                      <w:bCs/>
                      <w:sz w:val="21"/>
                      <w:szCs w:val="21"/>
                    </w:rPr>
                    <w:t>8:1</w:t>
                  </w:r>
                </w:p>
              </w:tc>
            </w:tr>
            <w:tr w14:paraId="4AA83A7F">
              <w:tblPrEx>
                <w:tblBorders>
                  <w:top w:val="single" w:color="auto" w:sz="6"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97" w:type="pct"/>
                  <w:vAlign w:val="center"/>
                </w:tcPr>
                <w:p w14:paraId="669E4D9B">
                  <w:pPr>
                    <w:pStyle w:val="69"/>
                    <w:spacing w:line="240" w:lineRule="auto"/>
                    <w:ind w:firstLine="0" w:firstLineChars="0"/>
                    <w:jc w:val="center"/>
                    <w:rPr>
                      <w:bCs/>
                      <w:sz w:val="21"/>
                      <w:szCs w:val="21"/>
                    </w:rPr>
                  </w:pPr>
                  <w:r>
                    <w:rPr>
                      <w:rFonts w:hint="eastAsia"/>
                      <w:bCs/>
                      <w:sz w:val="21"/>
                      <w:szCs w:val="21"/>
                    </w:rPr>
                    <w:t>2041</w:t>
                  </w:r>
                </w:p>
              </w:tc>
              <w:tc>
                <w:tcPr>
                  <w:tcW w:w="1110" w:type="pct"/>
                  <w:vAlign w:val="center"/>
                </w:tcPr>
                <w:p w14:paraId="56EBD7D7">
                  <w:pPr>
                    <w:pStyle w:val="69"/>
                    <w:spacing w:line="240" w:lineRule="auto"/>
                    <w:ind w:firstLine="0" w:firstLineChars="0"/>
                    <w:jc w:val="center"/>
                    <w:rPr>
                      <w:bCs/>
                      <w:sz w:val="21"/>
                      <w:szCs w:val="21"/>
                    </w:rPr>
                  </w:pPr>
                  <w:r>
                    <w:rPr>
                      <w:rFonts w:hint="eastAsia"/>
                      <w:bCs/>
                      <w:sz w:val="21"/>
                      <w:szCs w:val="21"/>
                    </w:rPr>
                    <w:t>85.5</w:t>
                  </w:r>
                </w:p>
              </w:tc>
              <w:tc>
                <w:tcPr>
                  <w:tcW w:w="1094" w:type="pct"/>
                  <w:vAlign w:val="center"/>
                </w:tcPr>
                <w:p w14:paraId="57EC1CCC">
                  <w:pPr>
                    <w:pStyle w:val="69"/>
                    <w:spacing w:line="240" w:lineRule="auto"/>
                    <w:ind w:firstLine="0" w:firstLineChars="0"/>
                    <w:jc w:val="center"/>
                    <w:rPr>
                      <w:bCs/>
                      <w:sz w:val="21"/>
                      <w:szCs w:val="21"/>
                    </w:rPr>
                  </w:pPr>
                  <w:r>
                    <w:rPr>
                      <w:rFonts w:hint="eastAsia"/>
                      <w:bCs/>
                      <w:sz w:val="21"/>
                      <w:szCs w:val="21"/>
                    </w:rPr>
                    <w:t>13.3</w:t>
                  </w:r>
                </w:p>
              </w:tc>
              <w:tc>
                <w:tcPr>
                  <w:tcW w:w="1003" w:type="pct"/>
                  <w:vAlign w:val="center"/>
                </w:tcPr>
                <w:p w14:paraId="7E1C1BCC">
                  <w:pPr>
                    <w:pStyle w:val="69"/>
                    <w:spacing w:line="240" w:lineRule="auto"/>
                    <w:ind w:firstLine="0" w:firstLineChars="0"/>
                    <w:jc w:val="center"/>
                    <w:rPr>
                      <w:bCs/>
                      <w:sz w:val="21"/>
                      <w:szCs w:val="21"/>
                    </w:rPr>
                  </w:pPr>
                  <w:r>
                    <w:rPr>
                      <w:rFonts w:hint="eastAsia"/>
                      <w:bCs/>
                      <w:sz w:val="21"/>
                      <w:szCs w:val="21"/>
                    </w:rPr>
                    <w:t>1.4</w:t>
                  </w:r>
                </w:p>
              </w:tc>
              <w:tc>
                <w:tcPr>
                  <w:tcW w:w="897" w:type="pct"/>
                  <w:vAlign w:val="center"/>
                </w:tcPr>
                <w:p w14:paraId="6B3648F5">
                  <w:pPr>
                    <w:pStyle w:val="69"/>
                    <w:spacing w:line="240" w:lineRule="auto"/>
                    <w:ind w:firstLine="0" w:firstLineChars="0"/>
                    <w:jc w:val="center"/>
                    <w:rPr>
                      <w:bCs/>
                      <w:sz w:val="21"/>
                      <w:szCs w:val="21"/>
                    </w:rPr>
                  </w:pPr>
                  <w:r>
                    <w:rPr>
                      <w:rFonts w:hint="eastAsia"/>
                      <w:bCs/>
                      <w:sz w:val="21"/>
                      <w:szCs w:val="21"/>
                    </w:rPr>
                    <w:t>8:1</w:t>
                  </w:r>
                </w:p>
              </w:tc>
            </w:tr>
          </w:tbl>
          <w:p w14:paraId="7D24839B">
            <w:pPr>
              <w:pStyle w:val="69"/>
              <w:ind w:firstLine="480"/>
              <w:rPr>
                <w:rFonts w:eastAsia="黑体"/>
                <w:sz w:val="21"/>
                <w:szCs w:val="21"/>
              </w:rPr>
            </w:pPr>
            <w:r>
              <w:rPr>
                <w:rFonts w:hint="eastAsia"/>
                <w:bCs/>
              </w:rPr>
              <w:t>根据交通量分析及预测的需要，对通道内运输车辆的车型按照《环境影响评价技术导则 声环境》（HJ2.4-2021）附录B，车型分类及交通量折算系数的规定，将机动车折算为小、中、大型车。车型划分情况见下表。</w:t>
            </w:r>
          </w:p>
          <w:p w14:paraId="0D61F581">
            <w:pPr>
              <w:pStyle w:val="69"/>
              <w:spacing w:line="240" w:lineRule="auto"/>
              <w:ind w:firstLine="0" w:firstLineChars="0"/>
              <w:jc w:val="center"/>
              <w:rPr>
                <w:rFonts w:eastAsia="黑体"/>
                <w:sz w:val="21"/>
                <w:szCs w:val="21"/>
              </w:rPr>
            </w:pPr>
            <w:r>
              <w:rPr>
                <w:rFonts w:eastAsia="黑体"/>
                <w:sz w:val="21"/>
                <w:szCs w:val="21"/>
              </w:rPr>
              <w:t>表</w:t>
            </w:r>
            <w:r>
              <w:rPr>
                <w:rFonts w:hint="eastAsia" w:eastAsia="黑体"/>
                <w:sz w:val="21"/>
                <w:szCs w:val="21"/>
              </w:rPr>
              <w:t>2-</w:t>
            </w:r>
            <w:r>
              <w:rPr>
                <w:rFonts w:hint="eastAsia"/>
                <w:bCs/>
                <w:sz w:val="21"/>
                <w:szCs w:val="21"/>
              </w:rPr>
              <w:t>5</w:t>
            </w:r>
            <w:r>
              <w:rPr>
                <w:rFonts w:hint="eastAsia" w:eastAsia="黑体"/>
                <w:sz w:val="21"/>
                <w:szCs w:val="21"/>
              </w:rPr>
              <w:t xml:space="preserve"> </w:t>
            </w:r>
            <w:r>
              <w:rPr>
                <w:rFonts w:eastAsia="黑体"/>
                <w:sz w:val="21"/>
                <w:szCs w:val="21"/>
              </w:rPr>
              <w:t xml:space="preserve"> </w:t>
            </w:r>
            <w:r>
              <w:rPr>
                <w:rFonts w:hint="eastAsia" w:eastAsia="黑体"/>
                <w:sz w:val="21"/>
                <w:szCs w:val="21"/>
              </w:rPr>
              <w:t xml:space="preserve"> 调查车型分类及车辆折算系数</w:t>
            </w:r>
          </w:p>
          <w:tbl>
            <w:tblPr>
              <w:tblStyle w:val="34"/>
              <w:tblW w:w="8011" w:type="dxa"/>
              <w:jc w:val="center"/>
              <w:tblBorders>
                <w:top w:val="single" w:color="auto" w:sz="6" w:space="0"/>
                <w:left w:val="single" w:color="auto" w:sz="4" w:space="0"/>
                <w:bottom w:val="single" w:color="auto" w:sz="6"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2268"/>
              <w:gridCol w:w="1843"/>
              <w:gridCol w:w="1842"/>
            </w:tblGrid>
            <w:tr w14:paraId="12C0808F">
              <w:tblPrEx>
                <w:tblBorders>
                  <w:top w:val="single" w:color="auto" w:sz="6"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8" w:type="dxa"/>
                  <w:vAlign w:val="center"/>
                </w:tcPr>
                <w:p w14:paraId="182CB10D">
                  <w:pPr>
                    <w:pStyle w:val="69"/>
                    <w:spacing w:line="240" w:lineRule="auto"/>
                    <w:ind w:firstLine="0" w:firstLineChars="0"/>
                    <w:jc w:val="center"/>
                    <w:rPr>
                      <w:b/>
                      <w:bCs/>
                      <w:sz w:val="21"/>
                      <w:szCs w:val="21"/>
                    </w:rPr>
                  </w:pPr>
                  <w:r>
                    <w:rPr>
                      <w:rFonts w:hint="eastAsia"/>
                      <w:b/>
                      <w:bCs/>
                      <w:sz w:val="21"/>
                      <w:szCs w:val="21"/>
                    </w:rPr>
                    <w:t>车辆类型</w:t>
                  </w:r>
                </w:p>
              </w:tc>
              <w:tc>
                <w:tcPr>
                  <w:tcW w:w="2268" w:type="dxa"/>
                  <w:vAlign w:val="center"/>
                </w:tcPr>
                <w:p w14:paraId="7B1A1CCC">
                  <w:pPr>
                    <w:pStyle w:val="69"/>
                    <w:spacing w:line="240" w:lineRule="auto"/>
                    <w:ind w:firstLine="0" w:firstLineChars="0"/>
                    <w:jc w:val="center"/>
                    <w:rPr>
                      <w:b/>
                      <w:bCs/>
                      <w:sz w:val="21"/>
                      <w:szCs w:val="21"/>
                    </w:rPr>
                  </w:pPr>
                  <w:r>
                    <w:rPr>
                      <w:rFonts w:hint="eastAsia"/>
                      <w:b/>
                      <w:bCs/>
                      <w:sz w:val="21"/>
                      <w:szCs w:val="21"/>
                    </w:rPr>
                    <w:t>小型车</w:t>
                  </w:r>
                </w:p>
              </w:tc>
              <w:tc>
                <w:tcPr>
                  <w:tcW w:w="1843" w:type="dxa"/>
                  <w:vAlign w:val="center"/>
                </w:tcPr>
                <w:p w14:paraId="5527B364">
                  <w:pPr>
                    <w:pStyle w:val="69"/>
                    <w:spacing w:line="240" w:lineRule="auto"/>
                    <w:ind w:firstLine="0" w:firstLineChars="0"/>
                    <w:jc w:val="center"/>
                    <w:rPr>
                      <w:b/>
                      <w:bCs/>
                      <w:sz w:val="21"/>
                      <w:szCs w:val="21"/>
                    </w:rPr>
                  </w:pPr>
                  <w:r>
                    <w:rPr>
                      <w:b/>
                      <w:bCs/>
                      <w:sz w:val="21"/>
                      <w:szCs w:val="21"/>
                    </w:rPr>
                    <w:t>中型车</w:t>
                  </w:r>
                </w:p>
              </w:tc>
              <w:tc>
                <w:tcPr>
                  <w:tcW w:w="1842" w:type="dxa"/>
                  <w:vAlign w:val="center"/>
                </w:tcPr>
                <w:p w14:paraId="0A38BC9B">
                  <w:pPr>
                    <w:pStyle w:val="69"/>
                    <w:spacing w:line="240" w:lineRule="auto"/>
                    <w:ind w:firstLine="0" w:firstLineChars="0"/>
                    <w:jc w:val="center"/>
                    <w:rPr>
                      <w:b/>
                      <w:bCs/>
                      <w:sz w:val="21"/>
                      <w:szCs w:val="21"/>
                    </w:rPr>
                  </w:pPr>
                  <w:r>
                    <w:rPr>
                      <w:rFonts w:hint="eastAsia"/>
                      <w:b/>
                      <w:bCs/>
                      <w:sz w:val="21"/>
                      <w:szCs w:val="21"/>
                    </w:rPr>
                    <w:t>大型车</w:t>
                  </w:r>
                </w:p>
              </w:tc>
            </w:tr>
            <w:tr w14:paraId="043843FD">
              <w:tblPrEx>
                <w:tblBorders>
                  <w:top w:val="single" w:color="auto" w:sz="6"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8" w:type="dxa"/>
                  <w:vAlign w:val="center"/>
                </w:tcPr>
                <w:p w14:paraId="231F5EC2">
                  <w:pPr>
                    <w:pStyle w:val="69"/>
                    <w:spacing w:line="240" w:lineRule="auto"/>
                    <w:ind w:firstLine="0" w:firstLineChars="0"/>
                    <w:jc w:val="center"/>
                    <w:rPr>
                      <w:b/>
                      <w:bCs/>
                      <w:sz w:val="21"/>
                      <w:szCs w:val="21"/>
                    </w:rPr>
                  </w:pPr>
                  <w:r>
                    <w:rPr>
                      <w:rFonts w:hint="eastAsia"/>
                      <w:b/>
                      <w:bCs/>
                      <w:sz w:val="21"/>
                      <w:szCs w:val="21"/>
                    </w:rPr>
                    <w:t>折算系数</w:t>
                  </w:r>
                </w:p>
              </w:tc>
              <w:tc>
                <w:tcPr>
                  <w:tcW w:w="2268" w:type="dxa"/>
                  <w:vAlign w:val="center"/>
                </w:tcPr>
                <w:p w14:paraId="52688521">
                  <w:pPr>
                    <w:pStyle w:val="69"/>
                    <w:spacing w:line="240" w:lineRule="auto"/>
                    <w:ind w:firstLine="0" w:firstLineChars="0"/>
                    <w:jc w:val="center"/>
                    <w:rPr>
                      <w:bCs/>
                      <w:sz w:val="21"/>
                      <w:szCs w:val="21"/>
                    </w:rPr>
                  </w:pPr>
                  <w:r>
                    <w:rPr>
                      <w:rFonts w:hint="eastAsia"/>
                      <w:bCs/>
                      <w:sz w:val="21"/>
                      <w:szCs w:val="21"/>
                    </w:rPr>
                    <w:t>1.0</w:t>
                  </w:r>
                </w:p>
              </w:tc>
              <w:tc>
                <w:tcPr>
                  <w:tcW w:w="1843" w:type="dxa"/>
                  <w:vAlign w:val="center"/>
                </w:tcPr>
                <w:p w14:paraId="0391DD0A">
                  <w:pPr>
                    <w:pStyle w:val="69"/>
                    <w:spacing w:line="240" w:lineRule="auto"/>
                    <w:ind w:firstLine="0" w:firstLineChars="0"/>
                    <w:jc w:val="center"/>
                    <w:rPr>
                      <w:bCs/>
                      <w:sz w:val="21"/>
                      <w:szCs w:val="21"/>
                    </w:rPr>
                  </w:pPr>
                  <w:r>
                    <w:rPr>
                      <w:rFonts w:hint="eastAsia"/>
                      <w:bCs/>
                      <w:sz w:val="21"/>
                      <w:szCs w:val="21"/>
                    </w:rPr>
                    <w:t>1.5</w:t>
                  </w:r>
                </w:p>
              </w:tc>
              <w:tc>
                <w:tcPr>
                  <w:tcW w:w="1842" w:type="dxa"/>
                  <w:vAlign w:val="center"/>
                </w:tcPr>
                <w:p w14:paraId="73091C1C">
                  <w:pPr>
                    <w:pStyle w:val="69"/>
                    <w:spacing w:line="240" w:lineRule="auto"/>
                    <w:ind w:firstLine="0" w:firstLineChars="0"/>
                    <w:jc w:val="center"/>
                    <w:rPr>
                      <w:bCs/>
                      <w:sz w:val="21"/>
                      <w:szCs w:val="21"/>
                    </w:rPr>
                  </w:pPr>
                  <w:r>
                    <w:rPr>
                      <w:rFonts w:hint="eastAsia"/>
                      <w:bCs/>
                      <w:sz w:val="21"/>
                      <w:szCs w:val="21"/>
                    </w:rPr>
                    <w:t>2.5</w:t>
                  </w:r>
                </w:p>
              </w:tc>
            </w:tr>
          </w:tbl>
          <w:p w14:paraId="2AACD3B5">
            <w:pPr>
              <w:pStyle w:val="69"/>
              <w:ind w:firstLine="480"/>
              <w:rPr>
                <w:bCs/>
              </w:rPr>
            </w:pPr>
            <w:r>
              <w:rPr>
                <w:rFonts w:hint="eastAsia"/>
                <w:bCs/>
              </w:rPr>
              <w:t>本项目各预测年、各车型的昼间、夜间交通量预测结果见下表。</w:t>
            </w:r>
          </w:p>
          <w:p w14:paraId="54F07629">
            <w:pPr>
              <w:snapToGrid w:val="0"/>
              <w:ind w:firstLine="14" w:firstLineChars="7"/>
              <w:jc w:val="center"/>
              <w:rPr>
                <w:rFonts w:eastAsia="黑体"/>
              </w:rPr>
            </w:pPr>
            <w:r>
              <w:rPr>
                <w:rFonts w:eastAsia="黑体"/>
              </w:rPr>
              <w:t>表</w:t>
            </w:r>
            <w:r>
              <w:rPr>
                <w:rFonts w:hint="eastAsia" w:eastAsia="黑体"/>
              </w:rPr>
              <w:t>2.2-5   项目</w:t>
            </w:r>
            <w:r>
              <w:rPr>
                <w:rFonts w:eastAsia="黑体"/>
              </w:rPr>
              <w:t>预测绝对车流量及车型分布</w:t>
            </w:r>
          </w:p>
          <w:tbl>
            <w:tblPr>
              <w:tblStyle w:val="33"/>
              <w:tblW w:w="491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594"/>
              <w:gridCol w:w="773"/>
              <w:gridCol w:w="661"/>
              <w:gridCol w:w="897"/>
              <w:gridCol w:w="907"/>
              <w:gridCol w:w="897"/>
              <w:gridCol w:w="907"/>
              <w:gridCol w:w="897"/>
              <w:gridCol w:w="975"/>
            </w:tblGrid>
            <w:tr w14:paraId="06CE2B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restart"/>
                  <w:tcMar>
                    <w:left w:w="11" w:type="dxa"/>
                    <w:right w:w="11" w:type="dxa"/>
                  </w:tcMar>
                  <w:vAlign w:val="center"/>
                </w:tcPr>
                <w:p w14:paraId="2F05229A">
                  <w:pPr>
                    <w:pStyle w:val="116"/>
                    <w:rPr>
                      <w:b/>
                    </w:rPr>
                  </w:pPr>
                  <w:r>
                    <w:rPr>
                      <w:rFonts w:hint="eastAsia"/>
                      <w:b/>
                    </w:rPr>
                    <w:t>路段</w:t>
                  </w:r>
                </w:p>
              </w:tc>
              <w:tc>
                <w:tcPr>
                  <w:tcW w:w="360" w:type="pct"/>
                  <w:vMerge w:val="restart"/>
                  <w:tcMar>
                    <w:left w:w="11" w:type="dxa"/>
                    <w:right w:w="11" w:type="dxa"/>
                  </w:tcMar>
                  <w:vAlign w:val="center"/>
                </w:tcPr>
                <w:p w14:paraId="2CD3F1CF">
                  <w:pPr>
                    <w:pStyle w:val="116"/>
                    <w:rPr>
                      <w:b/>
                    </w:rPr>
                  </w:pPr>
                  <w:r>
                    <w:rPr>
                      <w:rFonts w:hint="eastAsia"/>
                      <w:b/>
                    </w:rPr>
                    <w:t>时期</w:t>
                  </w:r>
                </w:p>
              </w:tc>
              <w:tc>
                <w:tcPr>
                  <w:tcW w:w="4192" w:type="pct"/>
                  <w:gridSpan w:val="8"/>
                  <w:tcMar>
                    <w:left w:w="11" w:type="dxa"/>
                    <w:right w:w="11" w:type="dxa"/>
                  </w:tcMar>
                  <w:vAlign w:val="center"/>
                </w:tcPr>
                <w:p w14:paraId="02D7A5F6">
                  <w:pPr>
                    <w:pStyle w:val="116"/>
                    <w:rPr>
                      <w:b/>
                    </w:rPr>
                  </w:pPr>
                  <w:r>
                    <w:rPr>
                      <w:rFonts w:hint="eastAsia"/>
                      <w:b/>
                    </w:rPr>
                    <w:t>预测绝对车流量/（辆/h）</w:t>
                  </w:r>
                </w:p>
              </w:tc>
            </w:tr>
            <w:tr w14:paraId="348115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Mar>
                    <w:left w:w="11" w:type="dxa"/>
                    <w:right w:w="11" w:type="dxa"/>
                  </w:tcMar>
                  <w:vAlign w:val="center"/>
                </w:tcPr>
                <w:p w14:paraId="0791305E">
                  <w:pPr>
                    <w:pStyle w:val="116"/>
                  </w:pPr>
                </w:p>
              </w:tc>
              <w:tc>
                <w:tcPr>
                  <w:tcW w:w="360" w:type="pct"/>
                  <w:vMerge w:val="continue"/>
                  <w:tcMar>
                    <w:left w:w="11" w:type="dxa"/>
                    <w:right w:w="11" w:type="dxa"/>
                  </w:tcMar>
                  <w:vAlign w:val="center"/>
                </w:tcPr>
                <w:p w14:paraId="79D1F1E0">
                  <w:pPr>
                    <w:pStyle w:val="116"/>
                  </w:pPr>
                </w:p>
              </w:tc>
              <w:tc>
                <w:tcPr>
                  <w:tcW w:w="870" w:type="pct"/>
                  <w:gridSpan w:val="2"/>
                  <w:tcMar>
                    <w:left w:w="11" w:type="dxa"/>
                    <w:right w:w="11" w:type="dxa"/>
                  </w:tcMar>
                  <w:vAlign w:val="center"/>
                </w:tcPr>
                <w:p w14:paraId="27C6325A">
                  <w:pPr>
                    <w:pStyle w:val="116"/>
                    <w:rPr>
                      <w:b/>
                    </w:rPr>
                  </w:pPr>
                  <w:r>
                    <w:rPr>
                      <w:rFonts w:hint="eastAsia"/>
                      <w:b/>
                    </w:rPr>
                    <w:t>小型车</w:t>
                  </w:r>
                </w:p>
              </w:tc>
              <w:tc>
                <w:tcPr>
                  <w:tcW w:w="1094" w:type="pct"/>
                  <w:gridSpan w:val="2"/>
                  <w:tcMar>
                    <w:left w:w="11" w:type="dxa"/>
                    <w:right w:w="11" w:type="dxa"/>
                  </w:tcMar>
                  <w:vAlign w:val="center"/>
                </w:tcPr>
                <w:p w14:paraId="2DAA7ACF">
                  <w:pPr>
                    <w:pStyle w:val="116"/>
                    <w:rPr>
                      <w:b/>
                    </w:rPr>
                  </w:pPr>
                  <w:r>
                    <w:rPr>
                      <w:rFonts w:hint="eastAsia"/>
                      <w:b/>
                    </w:rPr>
                    <w:t>中型车</w:t>
                  </w:r>
                </w:p>
              </w:tc>
              <w:tc>
                <w:tcPr>
                  <w:tcW w:w="1094" w:type="pct"/>
                  <w:gridSpan w:val="2"/>
                  <w:tcMar>
                    <w:left w:w="11" w:type="dxa"/>
                    <w:right w:w="11" w:type="dxa"/>
                  </w:tcMar>
                  <w:vAlign w:val="center"/>
                </w:tcPr>
                <w:p w14:paraId="77E591FD">
                  <w:pPr>
                    <w:pStyle w:val="116"/>
                    <w:rPr>
                      <w:b/>
                    </w:rPr>
                  </w:pPr>
                  <w:r>
                    <w:rPr>
                      <w:rFonts w:hint="eastAsia"/>
                      <w:b/>
                    </w:rPr>
                    <w:t>大型车</w:t>
                  </w:r>
                </w:p>
              </w:tc>
              <w:tc>
                <w:tcPr>
                  <w:tcW w:w="1135" w:type="pct"/>
                  <w:gridSpan w:val="2"/>
                  <w:tcMar>
                    <w:left w:w="11" w:type="dxa"/>
                    <w:right w:w="11" w:type="dxa"/>
                  </w:tcMar>
                  <w:vAlign w:val="center"/>
                </w:tcPr>
                <w:p w14:paraId="79BFD321">
                  <w:pPr>
                    <w:pStyle w:val="116"/>
                    <w:rPr>
                      <w:b/>
                    </w:rPr>
                  </w:pPr>
                  <w:r>
                    <w:rPr>
                      <w:rFonts w:hint="eastAsia"/>
                      <w:b/>
                    </w:rPr>
                    <w:t>合计</w:t>
                  </w:r>
                </w:p>
              </w:tc>
            </w:tr>
            <w:tr w14:paraId="26E337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Mar>
                    <w:left w:w="11" w:type="dxa"/>
                    <w:right w:w="11" w:type="dxa"/>
                  </w:tcMar>
                  <w:vAlign w:val="center"/>
                </w:tcPr>
                <w:p w14:paraId="2B981BF9">
                  <w:pPr>
                    <w:pStyle w:val="116"/>
                  </w:pPr>
                </w:p>
              </w:tc>
              <w:tc>
                <w:tcPr>
                  <w:tcW w:w="360" w:type="pct"/>
                  <w:vMerge w:val="continue"/>
                  <w:tcMar>
                    <w:left w:w="11" w:type="dxa"/>
                    <w:right w:w="11" w:type="dxa"/>
                  </w:tcMar>
                  <w:vAlign w:val="center"/>
                </w:tcPr>
                <w:p w14:paraId="2CEEC04E">
                  <w:pPr>
                    <w:pStyle w:val="116"/>
                  </w:pPr>
                </w:p>
              </w:tc>
              <w:tc>
                <w:tcPr>
                  <w:tcW w:w="469" w:type="pct"/>
                  <w:tcMar>
                    <w:left w:w="11" w:type="dxa"/>
                    <w:right w:w="11" w:type="dxa"/>
                  </w:tcMar>
                  <w:vAlign w:val="center"/>
                </w:tcPr>
                <w:p w14:paraId="59C86DE4">
                  <w:pPr>
                    <w:pStyle w:val="116"/>
                    <w:rPr>
                      <w:b/>
                    </w:rPr>
                  </w:pPr>
                  <w:r>
                    <w:rPr>
                      <w:rFonts w:hint="eastAsia"/>
                      <w:b/>
                    </w:rPr>
                    <w:t>昼间</w:t>
                  </w:r>
                </w:p>
              </w:tc>
              <w:tc>
                <w:tcPr>
                  <w:tcW w:w="401" w:type="pct"/>
                  <w:tcMar>
                    <w:left w:w="11" w:type="dxa"/>
                    <w:right w:w="11" w:type="dxa"/>
                  </w:tcMar>
                  <w:vAlign w:val="center"/>
                </w:tcPr>
                <w:p w14:paraId="4D3B01F5">
                  <w:pPr>
                    <w:pStyle w:val="116"/>
                    <w:rPr>
                      <w:b/>
                    </w:rPr>
                  </w:pPr>
                  <w:r>
                    <w:rPr>
                      <w:rFonts w:hint="eastAsia"/>
                      <w:b/>
                    </w:rPr>
                    <w:t>夜间</w:t>
                  </w:r>
                </w:p>
              </w:tc>
              <w:tc>
                <w:tcPr>
                  <w:tcW w:w="544" w:type="pct"/>
                  <w:tcMar>
                    <w:left w:w="11" w:type="dxa"/>
                    <w:right w:w="11" w:type="dxa"/>
                  </w:tcMar>
                  <w:vAlign w:val="center"/>
                </w:tcPr>
                <w:p w14:paraId="6683AFE1">
                  <w:pPr>
                    <w:pStyle w:val="116"/>
                    <w:rPr>
                      <w:b/>
                    </w:rPr>
                  </w:pPr>
                  <w:r>
                    <w:rPr>
                      <w:rFonts w:hint="eastAsia"/>
                      <w:b/>
                    </w:rPr>
                    <w:t>昼间</w:t>
                  </w:r>
                </w:p>
              </w:tc>
              <w:tc>
                <w:tcPr>
                  <w:tcW w:w="550" w:type="pct"/>
                  <w:tcMar>
                    <w:left w:w="11" w:type="dxa"/>
                    <w:right w:w="11" w:type="dxa"/>
                  </w:tcMar>
                  <w:vAlign w:val="center"/>
                </w:tcPr>
                <w:p w14:paraId="761DBA94">
                  <w:pPr>
                    <w:pStyle w:val="116"/>
                    <w:rPr>
                      <w:b/>
                    </w:rPr>
                  </w:pPr>
                  <w:r>
                    <w:rPr>
                      <w:rFonts w:hint="eastAsia"/>
                      <w:b/>
                    </w:rPr>
                    <w:t>夜间</w:t>
                  </w:r>
                </w:p>
              </w:tc>
              <w:tc>
                <w:tcPr>
                  <w:tcW w:w="544" w:type="pct"/>
                  <w:tcMar>
                    <w:left w:w="11" w:type="dxa"/>
                    <w:right w:w="11" w:type="dxa"/>
                  </w:tcMar>
                  <w:vAlign w:val="center"/>
                </w:tcPr>
                <w:p w14:paraId="5F2C9394">
                  <w:pPr>
                    <w:pStyle w:val="116"/>
                    <w:rPr>
                      <w:b/>
                    </w:rPr>
                  </w:pPr>
                  <w:r>
                    <w:rPr>
                      <w:rFonts w:hint="eastAsia"/>
                      <w:b/>
                    </w:rPr>
                    <w:t>昼间</w:t>
                  </w:r>
                </w:p>
              </w:tc>
              <w:tc>
                <w:tcPr>
                  <w:tcW w:w="550" w:type="pct"/>
                  <w:tcMar>
                    <w:left w:w="11" w:type="dxa"/>
                    <w:right w:w="11" w:type="dxa"/>
                  </w:tcMar>
                  <w:vAlign w:val="center"/>
                </w:tcPr>
                <w:p w14:paraId="5A08D588">
                  <w:pPr>
                    <w:pStyle w:val="116"/>
                    <w:rPr>
                      <w:b/>
                    </w:rPr>
                  </w:pPr>
                  <w:r>
                    <w:rPr>
                      <w:rFonts w:hint="eastAsia"/>
                      <w:b/>
                    </w:rPr>
                    <w:t>夜间</w:t>
                  </w:r>
                </w:p>
              </w:tc>
              <w:tc>
                <w:tcPr>
                  <w:tcW w:w="544" w:type="pct"/>
                  <w:tcMar>
                    <w:left w:w="11" w:type="dxa"/>
                    <w:right w:w="11" w:type="dxa"/>
                  </w:tcMar>
                  <w:vAlign w:val="center"/>
                </w:tcPr>
                <w:p w14:paraId="44E06289">
                  <w:pPr>
                    <w:pStyle w:val="116"/>
                    <w:rPr>
                      <w:b/>
                    </w:rPr>
                  </w:pPr>
                  <w:r>
                    <w:rPr>
                      <w:rFonts w:hint="eastAsia"/>
                      <w:b/>
                    </w:rPr>
                    <w:t>昼间</w:t>
                  </w:r>
                </w:p>
              </w:tc>
              <w:tc>
                <w:tcPr>
                  <w:tcW w:w="591" w:type="pct"/>
                  <w:tcMar>
                    <w:left w:w="11" w:type="dxa"/>
                    <w:right w:w="11" w:type="dxa"/>
                  </w:tcMar>
                  <w:vAlign w:val="center"/>
                </w:tcPr>
                <w:p w14:paraId="5C81D181">
                  <w:pPr>
                    <w:pStyle w:val="116"/>
                    <w:rPr>
                      <w:b/>
                    </w:rPr>
                  </w:pPr>
                  <w:r>
                    <w:rPr>
                      <w:rFonts w:hint="eastAsia"/>
                      <w:b/>
                    </w:rPr>
                    <w:t>夜间</w:t>
                  </w:r>
                </w:p>
              </w:tc>
            </w:tr>
            <w:tr w14:paraId="2AA038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restart"/>
                  <w:tcMar>
                    <w:left w:w="11" w:type="dxa"/>
                    <w:right w:w="11" w:type="dxa"/>
                  </w:tcMar>
                  <w:vAlign w:val="center"/>
                </w:tcPr>
                <w:p w14:paraId="10B40368">
                  <w:pPr>
                    <w:widowControl/>
                    <w:jc w:val="center"/>
                  </w:pPr>
                  <w:r>
                    <w:rPr>
                      <w:rFonts w:hint="eastAsia"/>
                      <w:sz w:val="20"/>
                      <w:szCs w:val="20"/>
                    </w:rPr>
                    <w:t>成南大道连接线1段</w:t>
                  </w:r>
                </w:p>
              </w:tc>
              <w:tc>
                <w:tcPr>
                  <w:tcW w:w="360" w:type="pct"/>
                  <w:tcMar>
                    <w:left w:w="11" w:type="dxa"/>
                    <w:right w:w="11" w:type="dxa"/>
                  </w:tcMar>
                  <w:vAlign w:val="center"/>
                </w:tcPr>
                <w:p w14:paraId="6A6E9AFE">
                  <w:pPr>
                    <w:pStyle w:val="116"/>
                  </w:pPr>
                  <w:r>
                    <w:rPr>
                      <w:rFonts w:hint="eastAsia"/>
                    </w:rPr>
                    <w:t>近期</w:t>
                  </w:r>
                </w:p>
              </w:tc>
              <w:tc>
                <w:tcPr>
                  <w:tcW w:w="469" w:type="pct"/>
                  <w:tcMar>
                    <w:left w:w="11" w:type="dxa"/>
                    <w:right w:w="11" w:type="dxa"/>
                  </w:tcMar>
                  <w:vAlign w:val="center"/>
                </w:tcPr>
                <w:p w14:paraId="6ADFC992">
                  <w:pPr>
                    <w:pStyle w:val="116"/>
                  </w:pPr>
                  <w:r>
                    <w:rPr>
                      <w:rFonts w:hint="eastAsia"/>
                    </w:rPr>
                    <w:t>31</w:t>
                  </w:r>
                </w:p>
              </w:tc>
              <w:tc>
                <w:tcPr>
                  <w:tcW w:w="401" w:type="pct"/>
                  <w:tcMar>
                    <w:left w:w="11" w:type="dxa"/>
                    <w:right w:w="11" w:type="dxa"/>
                  </w:tcMar>
                  <w:vAlign w:val="center"/>
                </w:tcPr>
                <w:p w14:paraId="50CB1F14">
                  <w:pPr>
                    <w:pStyle w:val="116"/>
                  </w:pPr>
                  <w:r>
                    <w:rPr>
                      <w:rFonts w:hint="eastAsia"/>
                    </w:rPr>
                    <w:t>6</w:t>
                  </w:r>
                </w:p>
              </w:tc>
              <w:tc>
                <w:tcPr>
                  <w:tcW w:w="544" w:type="pct"/>
                  <w:tcMar>
                    <w:left w:w="11" w:type="dxa"/>
                    <w:right w:w="11" w:type="dxa"/>
                  </w:tcMar>
                  <w:vAlign w:val="center"/>
                </w:tcPr>
                <w:p w14:paraId="529304CE">
                  <w:pPr>
                    <w:pStyle w:val="116"/>
                  </w:pPr>
                  <w:r>
                    <w:rPr>
                      <w:rFonts w:hint="eastAsia"/>
                    </w:rPr>
                    <w:t>45</w:t>
                  </w:r>
                </w:p>
              </w:tc>
              <w:tc>
                <w:tcPr>
                  <w:tcW w:w="550" w:type="pct"/>
                  <w:tcMar>
                    <w:left w:w="11" w:type="dxa"/>
                    <w:right w:w="11" w:type="dxa"/>
                  </w:tcMar>
                  <w:vAlign w:val="center"/>
                </w:tcPr>
                <w:p w14:paraId="52CD7898">
                  <w:pPr>
                    <w:pStyle w:val="116"/>
                  </w:pPr>
                  <w:r>
                    <w:rPr>
                      <w:rFonts w:hint="eastAsia"/>
                    </w:rPr>
                    <w:t>8</w:t>
                  </w:r>
                </w:p>
              </w:tc>
              <w:tc>
                <w:tcPr>
                  <w:tcW w:w="544" w:type="pct"/>
                  <w:tcMar>
                    <w:left w:w="11" w:type="dxa"/>
                    <w:right w:w="11" w:type="dxa"/>
                  </w:tcMar>
                  <w:vAlign w:val="center"/>
                </w:tcPr>
                <w:p w14:paraId="59406A55">
                  <w:pPr>
                    <w:pStyle w:val="116"/>
                  </w:pPr>
                  <w:r>
                    <w:rPr>
                      <w:rFonts w:hint="eastAsia"/>
                    </w:rPr>
                    <w:t>6</w:t>
                  </w:r>
                </w:p>
              </w:tc>
              <w:tc>
                <w:tcPr>
                  <w:tcW w:w="550" w:type="pct"/>
                  <w:tcMar>
                    <w:left w:w="11" w:type="dxa"/>
                    <w:right w:w="11" w:type="dxa"/>
                  </w:tcMar>
                  <w:vAlign w:val="center"/>
                </w:tcPr>
                <w:p w14:paraId="29128E4C">
                  <w:pPr>
                    <w:pStyle w:val="116"/>
                  </w:pPr>
                  <w:r>
                    <w:rPr>
                      <w:rFonts w:hint="eastAsia"/>
                    </w:rPr>
                    <w:t>1</w:t>
                  </w:r>
                </w:p>
              </w:tc>
              <w:tc>
                <w:tcPr>
                  <w:tcW w:w="544" w:type="pct"/>
                  <w:tcMar>
                    <w:left w:w="11" w:type="dxa"/>
                    <w:right w:w="11" w:type="dxa"/>
                  </w:tcMar>
                  <w:vAlign w:val="center"/>
                </w:tcPr>
                <w:p w14:paraId="5E293C6C">
                  <w:pPr>
                    <w:pStyle w:val="116"/>
                  </w:pPr>
                  <w:r>
                    <w:rPr>
                      <w:rFonts w:hint="eastAsia"/>
                    </w:rPr>
                    <w:t>82</w:t>
                  </w:r>
                </w:p>
              </w:tc>
              <w:tc>
                <w:tcPr>
                  <w:tcW w:w="591" w:type="pct"/>
                  <w:tcMar>
                    <w:left w:w="11" w:type="dxa"/>
                    <w:right w:w="11" w:type="dxa"/>
                  </w:tcMar>
                  <w:vAlign w:val="center"/>
                </w:tcPr>
                <w:p w14:paraId="05959157">
                  <w:pPr>
                    <w:pStyle w:val="116"/>
                  </w:pPr>
                  <w:r>
                    <w:rPr>
                      <w:rFonts w:hint="eastAsia"/>
                    </w:rPr>
                    <w:t>15</w:t>
                  </w:r>
                </w:p>
              </w:tc>
            </w:tr>
            <w:tr w14:paraId="3724FF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Mar>
                    <w:left w:w="11" w:type="dxa"/>
                    <w:right w:w="11" w:type="dxa"/>
                  </w:tcMar>
                  <w:vAlign w:val="center"/>
                </w:tcPr>
                <w:p w14:paraId="6C23F4C8">
                  <w:pPr>
                    <w:pStyle w:val="116"/>
                  </w:pPr>
                </w:p>
              </w:tc>
              <w:tc>
                <w:tcPr>
                  <w:tcW w:w="360" w:type="pct"/>
                  <w:tcMar>
                    <w:left w:w="11" w:type="dxa"/>
                    <w:right w:w="11" w:type="dxa"/>
                  </w:tcMar>
                  <w:vAlign w:val="center"/>
                </w:tcPr>
                <w:p w14:paraId="20B712BC">
                  <w:pPr>
                    <w:pStyle w:val="116"/>
                  </w:pPr>
                  <w:r>
                    <w:rPr>
                      <w:rFonts w:hint="eastAsia"/>
                    </w:rPr>
                    <w:t>中期</w:t>
                  </w:r>
                </w:p>
              </w:tc>
              <w:tc>
                <w:tcPr>
                  <w:tcW w:w="469" w:type="pct"/>
                  <w:tcMar>
                    <w:left w:w="11" w:type="dxa"/>
                    <w:right w:w="11" w:type="dxa"/>
                  </w:tcMar>
                  <w:vAlign w:val="center"/>
                </w:tcPr>
                <w:p w14:paraId="084FC0FB">
                  <w:pPr>
                    <w:pStyle w:val="116"/>
                  </w:pPr>
                  <w:r>
                    <w:rPr>
                      <w:rFonts w:hint="eastAsia"/>
                    </w:rPr>
                    <w:t>40</w:t>
                  </w:r>
                </w:p>
              </w:tc>
              <w:tc>
                <w:tcPr>
                  <w:tcW w:w="401" w:type="pct"/>
                  <w:tcMar>
                    <w:left w:w="11" w:type="dxa"/>
                    <w:right w:w="11" w:type="dxa"/>
                  </w:tcMar>
                  <w:vAlign w:val="center"/>
                </w:tcPr>
                <w:p w14:paraId="77C9C6AA">
                  <w:pPr>
                    <w:pStyle w:val="116"/>
                  </w:pPr>
                  <w:r>
                    <w:rPr>
                      <w:rFonts w:hint="eastAsia"/>
                    </w:rPr>
                    <w:t>7</w:t>
                  </w:r>
                </w:p>
              </w:tc>
              <w:tc>
                <w:tcPr>
                  <w:tcW w:w="544" w:type="pct"/>
                  <w:tcMar>
                    <w:left w:w="11" w:type="dxa"/>
                    <w:right w:w="11" w:type="dxa"/>
                  </w:tcMar>
                  <w:vAlign w:val="center"/>
                </w:tcPr>
                <w:p w14:paraId="6CB1C505">
                  <w:pPr>
                    <w:pStyle w:val="116"/>
                  </w:pPr>
                  <w:r>
                    <w:rPr>
                      <w:rFonts w:hint="eastAsia"/>
                    </w:rPr>
                    <w:t>58</w:t>
                  </w:r>
                </w:p>
              </w:tc>
              <w:tc>
                <w:tcPr>
                  <w:tcW w:w="550" w:type="pct"/>
                  <w:tcMar>
                    <w:left w:w="11" w:type="dxa"/>
                    <w:right w:w="11" w:type="dxa"/>
                  </w:tcMar>
                  <w:vAlign w:val="center"/>
                </w:tcPr>
                <w:p w14:paraId="1E0D790D">
                  <w:pPr>
                    <w:pStyle w:val="116"/>
                  </w:pPr>
                  <w:r>
                    <w:rPr>
                      <w:rFonts w:hint="eastAsia"/>
                    </w:rPr>
                    <w:t>11</w:t>
                  </w:r>
                </w:p>
              </w:tc>
              <w:tc>
                <w:tcPr>
                  <w:tcW w:w="544" w:type="pct"/>
                  <w:tcMar>
                    <w:left w:w="11" w:type="dxa"/>
                    <w:right w:w="11" w:type="dxa"/>
                  </w:tcMar>
                  <w:vAlign w:val="center"/>
                </w:tcPr>
                <w:p w14:paraId="1F5E569B">
                  <w:pPr>
                    <w:pStyle w:val="116"/>
                  </w:pPr>
                  <w:r>
                    <w:rPr>
                      <w:rFonts w:hint="eastAsia"/>
                    </w:rPr>
                    <w:t>8</w:t>
                  </w:r>
                </w:p>
              </w:tc>
              <w:tc>
                <w:tcPr>
                  <w:tcW w:w="550" w:type="pct"/>
                  <w:tcMar>
                    <w:left w:w="11" w:type="dxa"/>
                    <w:right w:w="11" w:type="dxa"/>
                  </w:tcMar>
                  <w:vAlign w:val="center"/>
                </w:tcPr>
                <w:p w14:paraId="00729FE4">
                  <w:pPr>
                    <w:pStyle w:val="116"/>
                  </w:pPr>
                  <w:r>
                    <w:rPr>
                      <w:rFonts w:hint="eastAsia"/>
                    </w:rPr>
                    <w:t>1</w:t>
                  </w:r>
                </w:p>
              </w:tc>
              <w:tc>
                <w:tcPr>
                  <w:tcW w:w="544" w:type="pct"/>
                  <w:tcMar>
                    <w:left w:w="11" w:type="dxa"/>
                    <w:right w:w="11" w:type="dxa"/>
                  </w:tcMar>
                  <w:vAlign w:val="center"/>
                </w:tcPr>
                <w:p w14:paraId="72887E68">
                  <w:pPr>
                    <w:pStyle w:val="116"/>
                  </w:pPr>
                  <w:r>
                    <w:rPr>
                      <w:rFonts w:hint="eastAsia"/>
                    </w:rPr>
                    <w:t>106</w:t>
                  </w:r>
                </w:p>
              </w:tc>
              <w:tc>
                <w:tcPr>
                  <w:tcW w:w="591" w:type="pct"/>
                  <w:tcMar>
                    <w:left w:w="11" w:type="dxa"/>
                    <w:right w:w="11" w:type="dxa"/>
                  </w:tcMar>
                  <w:vAlign w:val="center"/>
                </w:tcPr>
                <w:p w14:paraId="68639BE1">
                  <w:pPr>
                    <w:pStyle w:val="116"/>
                  </w:pPr>
                  <w:r>
                    <w:rPr>
                      <w:rFonts w:hint="eastAsia"/>
                    </w:rPr>
                    <w:t>19</w:t>
                  </w:r>
                </w:p>
              </w:tc>
            </w:tr>
            <w:tr w14:paraId="2AB460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Mar>
                    <w:left w:w="11" w:type="dxa"/>
                    <w:right w:w="11" w:type="dxa"/>
                  </w:tcMar>
                  <w:vAlign w:val="center"/>
                </w:tcPr>
                <w:p w14:paraId="03D4E053">
                  <w:pPr>
                    <w:pStyle w:val="116"/>
                  </w:pPr>
                </w:p>
              </w:tc>
              <w:tc>
                <w:tcPr>
                  <w:tcW w:w="360" w:type="pct"/>
                  <w:tcMar>
                    <w:left w:w="11" w:type="dxa"/>
                    <w:right w:w="11" w:type="dxa"/>
                  </w:tcMar>
                  <w:vAlign w:val="center"/>
                </w:tcPr>
                <w:p w14:paraId="02F84E45">
                  <w:pPr>
                    <w:pStyle w:val="116"/>
                  </w:pPr>
                  <w:r>
                    <w:rPr>
                      <w:rFonts w:hint="eastAsia"/>
                    </w:rPr>
                    <w:t>远期</w:t>
                  </w:r>
                </w:p>
              </w:tc>
              <w:tc>
                <w:tcPr>
                  <w:tcW w:w="469" w:type="pct"/>
                  <w:tcMar>
                    <w:left w:w="11" w:type="dxa"/>
                    <w:right w:w="11" w:type="dxa"/>
                  </w:tcMar>
                  <w:vAlign w:val="center"/>
                </w:tcPr>
                <w:p w14:paraId="452D782E">
                  <w:pPr>
                    <w:pStyle w:val="116"/>
                  </w:pPr>
                  <w:r>
                    <w:rPr>
                      <w:rFonts w:hint="eastAsia"/>
                    </w:rPr>
                    <w:t>57</w:t>
                  </w:r>
                </w:p>
              </w:tc>
              <w:tc>
                <w:tcPr>
                  <w:tcW w:w="401" w:type="pct"/>
                  <w:tcMar>
                    <w:left w:w="11" w:type="dxa"/>
                    <w:right w:w="11" w:type="dxa"/>
                  </w:tcMar>
                  <w:vAlign w:val="center"/>
                </w:tcPr>
                <w:p w14:paraId="4ED77445">
                  <w:pPr>
                    <w:pStyle w:val="116"/>
                  </w:pPr>
                  <w:r>
                    <w:rPr>
                      <w:rFonts w:hint="eastAsia"/>
                    </w:rPr>
                    <w:t>10</w:t>
                  </w:r>
                </w:p>
              </w:tc>
              <w:tc>
                <w:tcPr>
                  <w:tcW w:w="544" w:type="pct"/>
                  <w:tcMar>
                    <w:left w:w="11" w:type="dxa"/>
                    <w:right w:w="11" w:type="dxa"/>
                  </w:tcMar>
                  <w:vAlign w:val="center"/>
                </w:tcPr>
                <w:p w14:paraId="7010A223">
                  <w:pPr>
                    <w:pStyle w:val="116"/>
                  </w:pPr>
                  <w:r>
                    <w:rPr>
                      <w:rFonts w:hint="eastAsia"/>
                    </w:rPr>
                    <w:t>85</w:t>
                  </w:r>
                </w:p>
              </w:tc>
              <w:tc>
                <w:tcPr>
                  <w:tcW w:w="550" w:type="pct"/>
                  <w:tcMar>
                    <w:left w:w="11" w:type="dxa"/>
                    <w:right w:w="11" w:type="dxa"/>
                  </w:tcMar>
                  <w:vAlign w:val="center"/>
                </w:tcPr>
                <w:p w14:paraId="2F47A2AF">
                  <w:pPr>
                    <w:pStyle w:val="116"/>
                  </w:pPr>
                  <w:r>
                    <w:rPr>
                      <w:rFonts w:hint="eastAsia"/>
                    </w:rPr>
                    <w:t>15</w:t>
                  </w:r>
                </w:p>
              </w:tc>
              <w:tc>
                <w:tcPr>
                  <w:tcW w:w="544" w:type="pct"/>
                  <w:tcMar>
                    <w:left w:w="11" w:type="dxa"/>
                    <w:right w:w="11" w:type="dxa"/>
                  </w:tcMar>
                  <w:vAlign w:val="center"/>
                </w:tcPr>
                <w:p w14:paraId="3C5B39DC">
                  <w:pPr>
                    <w:pStyle w:val="116"/>
                  </w:pPr>
                  <w:r>
                    <w:rPr>
                      <w:rFonts w:hint="eastAsia"/>
                    </w:rPr>
                    <w:t>12</w:t>
                  </w:r>
                </w:p>
              </w:tc>
              <w:tc>
                <w:tcPr>
                  <w:tcW w:w="550" w:type="pct"/>
                  <w:tcMar>
                    <w:left w:w="11" w:type="dxa"/>
                    <w:right w:w="11" w:type="dxa"/>
                  </w:tcMar>
                  <w:vAlign w:val="center"/>
                </w:tcPr>
                <w:p w14:paraId="27A34EE8">
                  <w:pPr>
                    <w:pStyle w:val="116"/>
                  </w:pPr>
                  <w:r>
                    <w:rPr>
                      <w:rFonts w:hint="eastAsia"/>
                    </w:rPr>
                    <w:t>2</w:t>
                  </w:r>
                </w:p>
              </w:tc>
              <w:tc>
                <w:tcPr>
                  <w:tcW w:w="544" w:type="pct"/>
                  <w:tcMar>
                    <w:left w:w="11" w:type="dxa"/>
                    <w:right w:w="11" w:type="dxa"/>
                  </w:tcMar>
                  <w:vAlign w:val="center"/>
                </w:tcPr>
                <w:p w14:paraId="33AD88E8">
                  <w:pPr>
                    <w:pStyle w:val="116"/>
                  </w:pPr>
                  <w:r>
                    <w:rPr>
                      <w:rFonts w:hint="eastAsia"/>
                    </w:rPr>
                    <w:t>154</w:t>
                  </w:r>
                </w:p>
              </w:tc>
              <w:tc>
                <w:tcPr>
                  <w:tcW w:w="591" w:type="pct"/>
                  <w:tcMar>
                    <w:left w:w="11" w:type="dxa"/>
                    <w:right w:w="11" w:type="dxa"/>
                  </w:tcMar>
                  <w:vAlign w:val="center"/>
                </w:tcPr>
                <w:p w14:paraId="160DC566">
                  <w:pPr>
                    <w:pStyle w:val="116"/>
                  </w:pPr>
                  <w:r>
                    <w:rPr>
                      <w:rFonts w:hint="eastAsia"/>
                    </w:rPr>
                    <w:t>28</w:t>
                  </w:r>
                </w:p>
              </w:tc>
            </w:tr>
            <w:tr w14:paraId="58D2ED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restart"/>
                  <w:tcMar>
                    <w:left w:w="11" w:type="dxa"/>
                    <w:right w:w="11" w:type="dxa"/>
                  </w:tcMar>
                  <w:vAlign w:val="center"/>
                </w:tcPr>
                <w:p w14:paraId="15DB5567">
                  <w:pPr>
                    <w:widowControl/>
                    <w:jc w:val="center"/>
                  </w:pPr>
                  <w:r>
                    <w:rPr>
                      <w:rFonts w:hint="eastAsia"/>
                      <w:sz w:val="20"/>
                      <w:szCs w:val="20"/>
                    </w:rPr>
                    <w:t>成南大道连接线1段</w:t>
                  </w:r>
                </w:p>
              </w:tc>
              <w:tc>
                <w:tcPr>
                  <w:tcW w:w="360" w:type="pct"/>
                  <w:tcMar>
                    <w:left w:w="11" w:type="dxa"/>
                    <w:right w:w="11" w:type="dxa"/>
                  </w:tcMar>
                  <w:vAlign w:val="center"/>
                </w:tcPr>
                <w:p w14:paraId="3415B4BC">
                  <w:pPr>
                    <w:pStyle w:val="116"/>
                  </w:pPr>
                  <w:r>
                    <w:rPr>
                      <w:rFonts w:hint="eastAsia"/>
                    </w:rPr>
                    <w:t>近期</w:t>
                  </w:r>
                </w:p>
              </w:tc>
              <w:tc>
                <w:tcPr>
                  <w:tcW w:w="469" w:type="pct"/>
                  <w:tcMar>
                    <w:left w:w="11" w:type="dxa"/>
                    <w:right w:w="11" w:type="dxa"/>
                  </w:tcMar>
                  <w:vAlign w:val="center"/>
                </w:tcPr>
                <w:p w14:paraId="4DA642A3">
                  <w:pPr>
                    <w:pStyle w:val="116"/>
                  </w:pPr>
                  <w:r>
                    <w:rPr>
                      <w:rFonts w:hint="eastAsia"/>
                    </w:rPr>
                    <w:t>31</w:t>
                  </w:r>
                </w:p>
              </w:tc>
              <w:tc>
                <w:tcPr>
                  <w:tcW w:w="401" w:type="pct"/>
                  <w:tcMar>
                    <w:left w:w="11" w:type="dxa"/>
                    <w:right w:w="11" w:type="dxa"/>
                  </w:tcMar>
                  <w:vAlign w:val="center"/>
                </w:tcPr>
                <w:p w14:paraId="4135C905">
                  <w:pPr>
                    <w:pStyle w:val="116"/>
                  </w:pPr>
                  <w:r>
                    <w:rPr>
                      <w:rFonts w:hint="eastAsia"/>
                    </w:rPr>
                    <w:t>6</w:t>
                  </w:r>
                </w:p>
              </w:tc>
              <w:tc>
                <w:tcPr>
                  <w:tcW w:w="544" w:type="pct"/>
                  <w:tcMar>
                    <w:left w:w="11" w:type="dxa"/>
                    <w:right w:w="11" w:type="dxa"/>
                  </w:tcMar>
                  <w:vAlign w:val="center"/>
                </w:tcPr>
                <w:p w14:paraId="38590A6F">
                  <w:pPr>
                    <w:pStyle w:val="116"/>
                  </w:pPr>
                  <w:r>
                    <w:rPr>
                      <w:rFonts w:hint="eastAsia"/>
                    </w:rPr>
                    <w:t>45</w:t>
                  </w:r>
                </w:p>
              </w:tc>
              <w:tc>
                <w:tcPr>
                  <w:tcW w:w="550" w:type="pct"/>
                  <w:tcMar>
                    <w:left w:w="11" w:type="dxa"/>
                    <w:right w:w="11" w:type="dxa"/>
                  </w:tcMar>
                  <w:vAlign w:val="center"/>
                </w:tcPr>
                <w:p w14:paraId="72DE2E77">
                  <w:pPr>
                    <w:pStyle w:val="116"/>
                  </w:pPr>
                  <w:r>
                    <w:rPr>
                      <w:rFonts w:hint="eastAsia"/>
                    </w:rPr>
                    <w:t>8</w:t>
                  </w:r>
                </w:p>
              </w:tc>
              <w:tc>
                <w:tcPr>
                  <w:tcW w:w="544" w:type="pct"/>
                  <w:tcMar>
                    <w:left w:w="11" w:type="dxa"/>
                    <w:right w:w="11" w:type="dxa"/>
                  </w:tcMar>
                  <w:vAlign w:val="center"/>
                </w:tcPr>
                <w:p w14:paraId="0EDCEB1C">
                  <w:pPr>
                    <w:pStyle w:val="116"/>
                  </w:pPr>
                  <w:r>
                    <w:rPr>
                      <w:rFonts w:hint="eastAsia"/>
                    </w:rPr>
                    <w:t>6</w:t>
                  </w:r>
                </w:p>
              </w:tc>
              <w:tc>
                <w:tcPr>
                  <w:tcW w:w="550" w:type="pct"/>
                  <w:tcMar>
                    <w:left w:w="11" w:type="dxa"/>
                    <w:right w:w="11" w:type="dxa"/>
                  </w:tcMar>
                  <w:vAlign w:val="center"/>
                </w:tcPr>
                <w:p w14:paraId="400D7270">
                  <w:pPr>
                    <w:pStyle w:val="116"/>
                  </w:pPr>
                  <w:r>
                    <w:rPr>
                      <w:rFonts w:hint="eastAsia"/>
                    </w:rPr>
                    <w:t>1</w:t>
                  </w:r>
                </w:p>
              </w:tc>
              <w:tc>
                <w:tcPr>
                  <w:tcW w:w="544" w:type="pct"/>
                  <w:tcMar>
                    <w:left w:w="11" w:type="dxa"/>
                    <w:right w:w="11" w:type="dxa"/>
                  </w:tcMar>
                  <w:vAlign w:val="center"/>
                </w:tcPr>
                <w:p w14:paraId="3CF04B96">
                  <w:pPr>
                    <w:pStyle w:val="116"/>
                  </w:pPr>
                  <w:r>
                    <w:rPr>
                      <w:rFonts w:hint="eastAsia"/>
                    </w:rPr>
                    <w:t>82</w:t>
                  </w:r>
                </w:p>
              </w:tc>
              <w:tc>
                <w:tcPr>
                  <w:tcW w:w="591" w:type="pct"/>
                  <w:tcMar>
                    <w:left w:w="11" w:type="dxa"/>
                    <w:right w:w="11" w:type="dxa"/>
                  </w:tcMar>
                  <w:vAlign w:val="center"/>
                </w:tcPr>
                <w:p w14:paraId="519ADD44">
                  <w:pPr>
                    <w:pStyle w:val="116"/>
                  </w:pPr>
                  <w:r>
                    <w:rPr>
                      <w:rFonts w:hint="eastAsia"/>
                    </w:rPr>
                    <w:t>15</w:t>
                  </w:r>
                </w:p>
              </w:tc>
            </w:tr>
            <w:tr w14:paraId="459D99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Mar>
                    <w:left w:w="11" w:type="dxa"/>
                    <w:right w:w="11" w:type="dxa"/>
                  </w:tcMar>
                  <w:vAlign w:val="center"/>
                </w:tcPr>
                <w:p w14:paraId="3F89ECDC">
                  <w:pPr>
                    <w:pStyle w:val="116"/>
                  </w:pPr>
                </w:p>
              </w:tc>
              <w:tc>
                <w:tcPr>
                  <w:tcW w:w="360" w:type="pct"/>
                  <w:tcMar>
                    <w:left w:w="11" w:type="dxa"/>
                    <w:right w:w="11" w:type="dxa"/>
                  </w:tcMar>
                  <w:vAlign w:val="center"/>
                </w:tcPr>
                <w:p w14:paraId="5FB5B826">
                  <w:pPr>
                    <w:pStyle w:val="116"/>
                  </w:pPr>
                  <w:r>
                    <w:rPr>
                      <w:rFonts w:hint="eastAsia"/>
                    </w:rPr>
                    <w:t>中期</w:t>
                  </w:r>
                </w:p>
              </w:tc>
              <w:tc>
                <w:tcPr>
                  <w:tcW w:w="469" w:type="pct"/>
                  <w:tcMar>
                    <w:left w:w="11" w:type="dxa"/>
                    <w:right w:w="11" w:type="dxa"/>
                  </w:tcMar>
                  <w:vAlign w:val="center"/>
                </w:tcPr>
                <w:p w14:paraId="595B4DE6">
                  <w:pPr>
                    <w:pStyle w:val="116"/>
                  </w:pPr>
                  <w:r>
                    <w:rPr>
                      <w:rFonts w:hint="eastAsia"/>
                    </w:rPr>
                    <w:t>40</w:t>
                  </w:r>
                </w:p>
              </w:tc>
              <w:tc>
                <w:tcPr>
                  <w:tcW w:w="401" w:type="pct"/>
                  <w:tcMar>
                    <w:left w:w="11" w:type="dxa"/>
                    <w:right w:w="11" w:type="dxa"/>
                  </w:tcMar>
                  <w:vAlign w:val="center"/>
                </w:tcPr>
                <w:p w14:paraId="449687A8">
                  <w:pPr>
                    <w:pStyle w:val="116"/>
                  </w:pPr>
                  <w:r>
                    <w:rPr>
                      <w:rFonts w:hint="eastAsia"/>
                    </w:rPr>
                    <w:t>7</w:t>
                  </w:r>
                </w:p>
              </w:tc>
              <w:tc>
                <w:tcPr>
                  <w:tcW w:w="544" w:type="pct"/>
                  <w:tcMar>
                    <w:left w:w="11" w:type="dxa"/>
                    <w:right w:w="11" w:type="dxa"/>
                  </w:tcMar>
                  <w:vAlign w:val="center"/>
                </w:tcPr>
                <w:p w14:paraId="3EF360CC">
                  <w:pPr>
                    <w:pStyle w:val="116"/>
                  </w:pPr>
                  <w:r>
                    <w:rPr>
                      <w:rFonts w:hint="eastAsia"/>
                    </w:rPr>
                    <w:t>58</w:t>
                  </w:r>
                </w:p>
              </w:tc>
              <w:tc>
                <w:tcPr>
                  <w:tcW w:w="550" w:type="pct"/>
                  <w:tcMar>
                    <w:left w:w="11" w:type="dxa"/>
                    <w:right w:w="11" w:type="dxa"/>
                  </w:tcMar>
                  <w:vAlign w:val="center"/>
                </w:tcPr>
                <w:p w14:paraId="6638E042">
                  <w:pPr>
                    <w:pStyle w:val="116"/>
                  </w:pPr>
                  <w:r>
                    <w:rPr>
                      <w:rFonts w:hint="eastAsia"/>
                    </w:rPr>
                    <w:t>11</w:t>
                  </w:r>
                </w:p>
              </w:tc>
              <w:tc>
                <w:tcPr>
                  <w:tcW w:w="544" w:type="pct"/>
                  <w:tcMar>
                    <w:left w:w="11" w:type="dxa"/>
                    <w:right w:w="11" w:type="dxa"/>
                  </w:tcMar>
                  <w:vAlign w:val="center"/>
                </w:tcPr>
                <w:p w14:paraId="770EB082">
                  <w:pPr>
                    <w:pStyle w:val="116"/>
                  </w:pPr>
                  <w:r>
                    <w:rPr>
                      <w:rFonts w:hint="eastAsia"/>
                    </w:rPr>
                    <w:t>8</w:t>
                  </w:r>
                </w:p>
              </w:tc>
              <w:tc>
                <w:tcPr>
                  <w:tcW w:w="550" w:type="pct"/>
                  <w:tcMar>
                    <w:left w:w="11" w:type="dxa"/>
                    <w:right w:w="11" w:type="dxa"/>
                  </w:tcMar>
                  <w:vAlign w:val="center"/>
                </w:tcPr>
                <w:p w14:paraId="6D5C4D68">
                  <w:pPr>
                    <w:pStyle w:val="116"/>
                  </w:pPr>
                  <w:r>
                    <w:rPr>
                      <w:rFonts w:hint="eastAsia"/>
                    </w:rPr>
                    <w:t>1</w:t>
                  </w:r>
                </w:p>
              </w:tc>
              <w:tc>
                <w:tcPr>
                  <w:tcW w:w="544" w:type="pct"/>
                  <w:tcMar>
                    <w:left w:w="11" w:type="dxa"/>
                    <w:right w:w="11" w:type="dxa"/>
                  </w:tcMar>
                  <w:vAlign w:val="center"/>
                </w:tcPr>
                <w:p w14:paraId="04EBD7B4">
                  <w:pPr>
                    <w:pStyle w:val="116"/>
                  </w:pPr>
                  <w:r>
                    <w:rPr>
                      <w:rFonts w:hint="eastAsia"/>
                    </w:rPr>
                    <w:t>106</w:t>
                  </w:r>
                </w:p>
              </w:tc>
              <w:tc>
                <w:tcPr>
                  <w:tcW w:w="591" w:type="pct"/>
                  <w:tcMar>
                    <w:left w:w="11" w:type="dxa"/>
                    <w:right w:w="11" w:type="dxa"/>
                  </w:tcMar>
                  <w:vAlign w:val="center"/>
                </w:tcPr>
                <w:p w14:paraId="087E177C">
                  <w:pPr>
                    <w:pStyle w:val="116"/>
                  </w:pPr>
                  <w:r>
                    <w:rPr>
                      <w:rFonts w:hint="eastAsia"/>
                    </w:rPr>
                    <w:t>19</w:t>
                  </w:r>
                </w:p>
              </w:tc>
            </w:tr>
            <w:tr w14:paraId="472897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Mar>
                    <w:left w:w="11" w:type="dxa"/>
                    <w:right w:w="11" w:type="dxa"/>
                  </w:tcMar>
                  <w:vAlign w:val="center"/>
                </w:tcPr>
                <w:p w14:paraId="7BCC9948">
                  <w:pPr>
                    <w:pStyle w:val="116"/>
                  </w:pPr>
                </w:p>
              </w:tc>
              <w:tc>
                <w:tcPr>
                  <w:tcW w:w="360" w:type="pct"/>
                  <w:tcMar>
                    <w:left w:w="11" w:type="dxa"/>
                    <w:right w:w="11" w:type="dxa"/>
                  </w:tcMar>
                  <w:vAlign w:val="center"/>
                </w:tcPr>
                <w:p w14:paraId="665A9278">
                  <w:pPr>
                    <w:pStyle w:val="116"/>
                  </w:pPr>
                  <w:r>
                    <w:rPr>
                      <w:rFonts w:hint="eastAsia"/>
                    </w:rPr>
                    <w:t>远期</w:t>
                  </w:r>
                </w:p>
              </w:tc>
              <w:tc>
                <w:tcPr>
                  <w:tcW w:w="469" w:type="pct"/>
                  <w:tcMar>
                    <w:left w:w="11" w:type="dxa"/>
                    <w:right w:w="11" w:type="dxa"/>
                  </w:tcMar>
                  <w:vAlign w:val="center"/>
                </w:tcPr>
                <w:p w14:paraId="21094B7B">
                  <w:pPr>
                    <w:pStyle w:val="116"/>
                  </w:pPr>
                  <w:r>
                    <w:rPr>
                      <w:rFonts w:hint="eastAsia"/>
                    </w:rPr>
                    <w:t>57</w:t>
                  </w:r>
                </w:p>
              </w:tc>
              <w:tc>
                <w:tcPr>
                  <w:tcW w:w="401" w:type="pct"/>
                  <w:tcMar>
                    <w:left w:w="11" w:type="dxa"/>
                    <w:right w:w="11" w:type="dxa"/>
                  </w:tcMar>
                  <w:vAlign w:val="center"/>
                </w:tcPr>
                <w:p w14:paraId="54468D6E">
                  <w:pPr>
                    <w:pStyle w:val="116"/>
                  </w:pPr>
                  <w:r>
                    <w:rPr>
                      <w:rFonts w:hint="eastAsia"/>
                    </w:rPr>
                    <w:t>10</w:t>
                  </w:r>
                </w:p>
              </w:tc>
              <w:tc>
                <w:tcPr>
                  <w:tcW w:w="544" w:type="pct"/>
                  <w:tcMar>
                    <w:left w:w="11" w:type="dxa"/>
                    <w:right w:w="11" w:type="dxa"/>
                  </w:tcMar>
                  <w:vAlign w:val="center"/>
                </w:tcPr>
                <w:p w14:paraId="3139907B">
                  <w:pPr>
                    <w:pStyle w:val="116"/>
                  </w:pPr>
                  <w:r>
                    <w:rPr>
                      <w:rFonts w:hint="eastAsia"/>
                    </w:rPr>
                    <w:t>85</w:t>
                  </w:r>
                </w:p>
              </w:tc>
              <w:tc>
                <w:tcPr>
                  <w:tcW w:w="550" w:type="pct"/>
                  <w:tcMar>
                    <w:left w:w="11" w:type="dxa"/>
                    <w:right w:w="11" w:type="dxa"/>
                  </w:tcMar>
                  <w:vAlign w:val="center"/>
                </w:tcPr>
                <w:p w14:paraId="0DF1171D">
                  <w:pPr>
                    <w:pStyle w:val="116"/>
                  </w:pPr>
                  <w:r>
                    <w:rPr>
                      <w:rFonts w:hint="eastAsia"/>
                    </w:rPr>
                    <w:t>15</w:t>
                  </w:r>
                </w:p>
              </w:tc>
              <w:tc>
                <w:tcPr>
                  <w:tcW w:w="544" w:type="pct"/>
                  <w:tcMar>
                    <w:left w:w="11" w:type="dxa"/>
                    <w:right w:w="11" w:type="dxa"/>
                  </w:tcMar>
                  <w:vAlign w:val="center"/>
                </w:tcPr>
                <w:p w14:paraId="7768504D">
                  <w:pPr>
                    <w:pStyle w:val="116"/>
                  </w:pPr>
                  <w:r>
                    <w:rPr>
                      <w:rFonts w:hint="eastAsia"/>
                    </w:rPr>
                    <w:t>12</w:t>
                  </w:r>
                </w:p>
              </w:tc>
              <w:tc>
                <w:tcPr>
                  <w:tcW w:w="550" w:type="pct"/>
                  <w:tcMar>
                    <w:left w:w="11" w:type="dxa"/>
                    <w:right w:w="11" w:type="dxa"/>
                  </w:tcMar>
                  <w:vAlign w:val="center"/>
                </w:tcPr>
                <w:p w14:paraId="54EB6F80">
                  <w:pPr>
                    <w:pStyle w:val="116"/>
                  </w:pPr>
                  <w:r>
                    <w:rPr>
                      <w:rFonts w:hint="eastAsia"/>
                    </w:rPr>
                    <w:t>2</w:t>
                  </w:r>
                </w:p>
              </w:tc>
              <w:tc>
                <w:tcPr>
                  <w:tcW w:w="544" w:type="pct"/>
                  <w:tcMar>
                    <w:left w:w="11" w:type="dxa"/>
                    <w:right w:w="11" w:type="dxa"/>
                  </w:tcMar>
                  <w:vAlign w:val="center"/>
                </w:tcPr>
                <w:p w14:paraId="08230298">
                  <w:pPr>
                    <w:pStyle w:val="116"/>
                  </w:pPr>
                  <w:r>
                    <w:rPr>
                      <w:rFonts w:hint="eastAsia"/>
                    </w:rPr>
                    <w:t>154</w:t>
                  </w:r>
                </w:p>
              </w:tc>
              <w:tc>
                <w:tcPr>
                  <w:tcW w:w="591" w:type="pct"/>
                  <w:tcMar>
                    <w:left w:w="11" w:type="dxa"/>
                    <w:right w:w="11" w:type="dxa"/>
                  </w:tcMar>
                  <w:vAlign w:val="center"/>
                </w:tcPr>
                <w:p w14:paraId="4965742B">
                  <w:pPr>
                    <w:pStyle w:val="116"/>
                  </w:pPr>
                  <w:r>
                    <w:rPr>
                      <w:rFonts w:hint="eastAsia"/>
                    </w:rPr>
                    <w:t>28</w:t>
                  </w:r>
                </w:p>
              </w:tc>
            </w:tr>
            <w:tr w14:paraId="4B4CE7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restart"/>
                  <w:tcMar>
                    <w:left w:w="11" w:type="dxa"/>
                    <w:right w:w="11" w:type="dxa"/>
                  </w:tcMar>
                  <w:vAlign w:val="center"/>
                </w:tcPr>
                <w:p w14:paraId="36E0259D">
                  <w:pPr>
                    <w:widowControl/>
                    <w:jc w:val="center"/>
                  </w:pPr>
                  <w:r>
                    <w:rPr>
                      <w:rFonts w:hint="eastAsia"/>
                      <w:sz w:val="20"/>
                      <w:szCs w:val="20"/>
                    </w:rPr>
                    <w:t>成南大道连接线1段</w:t>
                  </w:r>
                </w:p>
              </w:tc>
              <w:tc>
                <w:tcPr>
                  <w:tcW w:w="360" w:type="pct"/>
                  <w:tcMar>
                    <w:left w:w="11" w:type="dxa"/>
                    <w:right w:w="11" w:type="dxa"/>
                  </w:tcMar>
                  <w:vAlign w:val="center"/>
                </w:tcPr>
                <w:p w14:paraId="53046D6C">
                  <w:pPr>
                    <w:pStyle w:val="116"/>
                  </w:pPr>
                  <w:r>
                    <w:rPr>
                      <w:rFonts w:hint="eastAsia"/>
                    </w:rPr>
                    <w:t>近期</w:t>
                  </w:r>
                </w:p>
              </w:tc>
              <w:tc>
                <w:tcPr>
                  <w:tcW w:w="469" w:type="pct"/>
                  <w:tcMar>
                    <w:left w:w="11" w:type="dxa"/>
                    <w:right w:w="11" w:type="dxa"/>
                  </w:tcMar>
                  <w:vAlign w:val="center"/>
                </w:tcPr>
                <w:p w14:paraId="766A3683">
                  <w:pPr>
                    <w:pStyle w:val="116"/>
                  </w:pPr>
                  <w:r>
                    <w:rPr>
                      <w:rFonts w:hint="eastAsia"/>
                    </w:rPr>
                    <w:t>31</w:t>
                  </w:r>
                </w:p>
              </w:tc>
              <w:tc>
                <w:tcPr>
                  <w:tcW w:w="401" w:type="pct"/>
                  <w:tcMar>
                    <w:left w:w="11" w:type="dxa"/>
                    <w:right w:w="11" w:type="dxa"/>
                  </w:tcMar>
                  <w:vAlign w:val="center"/>
                </w:tcPr>
                <w:p w14:paraId="692C464D">
                  <w:pPr>
                    <w:pStyle w:val="116"/>
                  </w:pPr>
                  <w:r>
                    <w:rPr>
                      <w:rFonts w:hint="eastAsia"/>
                    </w:rPr>
                    <w:t>6</w:t>
                  </w:r>
                </w:p>
              </w:tc>
              <w:tc>
                <w:tcPr>
                  <w:tcW w:w="544" w:type="pct"/>
                  <w:tcMar>
                    <w:left w:w="11" w:type="dxa"/>
                    <w:right w:w="11" w:type="dxa"/>
                  </w:tcMar>
                  <w:vAlign w:val="center"/>
                </w:tcPr>
                <w:p w14:paraId="1B2CBEE8">
                  <w:pPr>
                    <w:pStyle w:val="116"/>
                  </w:pPr>
                  <w:r>
                    <w:rPr>
                      <w:rFonts w:hint="eastAsia"/>
                    </w:rPr>
                    <w:t>45</w:t>
                  </w:r>
                </w:p>
              </w:tc>
              <w:tc>
                <w:tcPr>
                  <w:tcW w:w="550" w:type="pct"/>
                  <w:tcMar>
                    <w:left w:w="11" w:type="dxa"/>
                    <w:right w:w="11" w:type="dxa"/>
                  </w:tcMar>
                  <w:vAlign w:val="center"/>
                </w:tcPr>
                <w:p w14:paraId="1A728A9E">
                  <w:pPr>
                    <w:pStyle w:val="116"/>
                  </w:pPr>
                  <w:r>
                    <w:rPr>
                      <w:rFonts w:hint="eastAsia"/>
                    </w:rPr>
                    <w:t>8</w:t>
                  </w:r>
                </w:p>
              </w:tc>
              <w:tc>
                <w:tcPr>
                  <w:tcW w:w="544" w:type="pct"/>
                  <w:tcMar>
                    <w:left w:w="11" w:type="dxa"/>
                    <w:right w:w="11" w:type="dxa"/>
                  </w:tcMar>
                  <w:vAlign w:val="center"/>
                </w:tcPr>
                <w:p w14:paraId="189FE1F7">
                  <w:pPr>
                    <w:pStyle w:val="116"/>
                  </w:pPr>
                  <w:r>
                    <w:rPr>
                      <w:rFonts w:hint="eastAsia"/>
                    </w:rPr>
                    <w:t>6</w:t>
                  </w:r>
                </w:p>
              </w:tc>
              <w:tc>
                <w:tcPr>
                  <w:tcW w:w="550" w:type="pct"/>
                  <w:tcMar>
                    <w:left w:w="11" w:type="dxa"/>
                    <w:right w:w="11" w:type="dxa"/>
                  </w:tcMar>
                  <w:vAlign w:val="center"/>
                </w:tcPr>
                <w:p w14:paraId="4A344B87">
                  <w:pPr>
                    <w:pStyle w:val="116"/>
                  </w:pPr>
                  <w:r>
                    <w:rPr>
                      <w:rFonts w:hint="eastAsia"/>
                    </w:rPr>
                    <w:t>1</w:t>
                  </w:r>
                </w:p>
              </w:tc>
              <w:tc>
                <w:tcPr>
                  <w:tcW w:w="544" w:type="pct"/>
                  <w:tcMar>
                    <w:left w:w="11" w:type="dxa"/>
                    <w:right w:w="11" w:type="dxa"/>
                  </w:tcMar>
                  <w:vAlign w:val="center"/>
                </w:tcPr>
                <w:p w14:paraId="1F67BEC2">
                  <w:pPr>
                    <w:pStyle w:val="116"/>
                  </w:pPr>
                  <w:r>
                    <w:rPr>
                      <w:rFonts w:hint="eastAsia"/>
                    </w:rPr>
                    <w:t>82</w:t>
                  </w:r>
                </w:p>
              </w:tc>
              <w:tc>
                <w:tcPr>
                  <w:tcW w:w="592" w:type="pct"/>
                  <w:tcMar>
                    <w:left w:w="11" w:type="dxa"/>
                    <w:right w:w="11" w:type="dxa"/>
                  </w:tcMar>
                  <w:vAlign w:val="center"/>
                </w:tcPr>
                <w:p w14:paraId="0D80A9AF">
                  <w:pPr>
                    <w:pStyle w:val="116"/>
                  </w:pPr>
                  <w:r>
                    <w:rPr>
                      <w:rFonts w:hint="eastAsia"/>
                    </w:rPr>
                    <w:t>15</w:t>
                  </w:r>
                </w:p>
              </w:tc>
            </w:tr>
            <w:tr w14:paraId="1DA1E9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Mar>
                    <w:left w:w="11" w:type="dxa"/>
                    <w:right w:w="11" w:type="dxa"/>
                  </w:tcMar>
                  <w:vAlign w:val="center"/>
                </w:tcPr>
                <w:p w14:paraId="555A4BB7">
                  <w:pPr>
                    <w:pStyle w:val="116"/>
                  </w:pPr>
                </w:p>
              </w:tc>
              <w:tc>
                <w:tcPr>
                  <w:tcW w:w="360" w:type="pct"/>
                  <w:tcMar>
                    <w:left w:w="11" w:type="dxa"/>
                    <w:right w:w="11" w:type="dxa"/>
                  </w:tcMar>
                  <w:vAlign w:val="center"/>
                </w:tcPr>
                <w:p w14:paraId="6C05BB15">
                  <w:pPr>
                    <w:pStyle w:val="116"/>
                  </w:pPr>
                  <w:r>
                    <w:rPr>
                      <w:rFonts w:hint="eastAsia"/>
                    </w:rPr>
                    <w:t>中期</w:t>
                  </w:r>
                </w:p>
              </w:tc>
              <w:tc>
                <w:tcPr>
                  <w:tcW w:w="469" w:type="pct"/>
                  <w:tcMar>
                    <w:left w:w="11" w:type="dxa"/>
                    <w:right w:w="11" w:type="dxa"/>
                  </w:tcMar>
                  <w:vAlign w:val="center"/>
                </w:tcPr>
                <w:p w14:paraId="7A00298D">
                  <w:pPr>
                    <w:pStyle w:val="116"/>
                  </w:pPr>
                  <w:r>
                    <w:rPr>
                      <w:rFonts w:hint="eastAsia"/>
                    </w:rPr>
                    <w:t>40</w:t>
                  </w:r>
                </w:p>
              </w:tc>
              <w:tc>
                <w:tcPr>
                  <w:tcW w:w="401" w:type="pct"/>
                  <w:tcMar>
                    <w:left w:w="11" w:type="dxa"/>
                    <w:right w:w="11" w:type="dxa"/>
                  </w:tcMar>
                  <w:vAlign w:val="center"/>
                </w:tcPr>
                <w:p w14:paraId="01751ACD">
                  <w:pPr>
                    <w:pStyle w:val="116"/>
                  </w:pPr>
                  <w:r>
                    <w:rPr>
                      <w:rFonts w:hint="eastAsia"/>
                    </w:rPr>
                    <w:t>7</w:t>
                  </w:r>
                </w:p>
              </w:tc>
              <w:tc>
                <w:tcPr>
                  <w:tcW w:w="544" w:type="pct"/>
                  <w:tcMar>
                    <w:left w:w="11" w:type="dxa"/>
                    <w:right w:w="11" w:type="dxa"/>
                  </w:tcMar>
                  <w:vAlign w:val="center"/>
                </w:tcPr>
                <w:p w14:paraId="4A3B6F07">
                  <w:pPr>
                    <w:pStyle w:val="116"/>
                  </w:pPr>
                  <w:r>
                    <w:rPr>
                      <w:rFonts w:hint="eastAsia"/>
                    </w:rPr>
                    <w:t>58</w:t>
                  </w:r>
                </w:p>
              </w:tc>
              <w:tc>
                <w:tcPr>
                  <w:tcW w:w="550" w:type="pct"/>
                  <w:tcMar>
                    <w:left w:w="11" w:type="dxa"/>
                    <w:right w:w="11" w:type="dxa"/>
                  </w:tcMar>
                  <w:vAlign w:val="center"/>
                </w:tcPr>
                <w:p w14:paraId="74242924">
                  <w:pPr>
                    <w:pStyle w:val="116"/>
                  </w:pPr>
                  <w:r>
                    <w:rPr>
                      <w:rFonts w:hint="eastAsia"/>
                    </w:rPr>
                    <w:t>11</w:t>
                  </w:r>
                </w:p>
              </w:tc>
              <w:tc>
                <w:tcPr>
                  <w:tcW w:w="544" w:type="pct"/>
                  <w:tcMar>
                    <w:left w:w="11" w:type="dxa"/>
                    <w:right w:w="11" w:type="dxa"/>
                  </w:tcMar>
                  <w:vAlign w:val="center"/>
                </w:tcPr>
                <w:p w14:paraId="5F172749">
                  <w:pPr>
                    <w:pStyle w:val="116"/>
                  </w:pPr>
                  <w:r>
                    <w:rPr>
                      <w:rFonts w:hint="eastAsia"/>
                    </w:rPr>
                    <w:t>8</w:t>
                  </w:r>
                </w:p>
              </w:tc>
              <w:tc>
                <w:tcPr>
                  <w:tcW w:w="550" w:type="pct"/>
                  <w:tcMar>
                    <w:left w:w="11" w:type="dxa"/>
                    <w:right w:w="11" w:type="dxa"/>
                  </w:tcMar>
                  <w:vAlign w:val="center"/>
                </w:tcPr>
                <w:p w14:paraId="14BF974C">
                  <w:pPr>
                    <w:pStyle w:val="116"/>
                  </w:pPr>
                  <w:r>
                    <w:rPr>
                      <w:rFonts w:hint="eastAsia"/>
                    </w:rPr>
                    <w:t>1</w:t>
                  </w:r>
                </w:p>
              </w:tc>
              <w:tc>
                <w:tcPr>
                  <w:tcW w:w="544" w:type="pct"/>
                  <w:tcMar>
                    <w:left w:w="11" w:type="dxa"/>
                    <w:right w:w="11" w:type="dxa"/>
                  </w:tcMar>
                  <w:vAlign w:val="center"/>
                </w:tcPr>
                <w:p w14:paraId="6340E836">
                  <w:pPr>
                    <w:pStyle w:val="116"/>
                  </w:pPr>
                  <w:r>
                    <w:rPr>
                      <w:rFonts w:hint="eastAsia"/>
                    </w:rPr>
                    <w:t>106</w:t>
                  </w:r>
                </w:p>
              </w:tc>
              <w:tc>
                <w:tcPr>
                  <w:tcW w:w="592" w:type="pct"/>
                  <w:tcMar>
                    <w:left w:w="11" w:type="dxa"/>
                    <w:right w:w="11" w:type="dxa"/>
                  </w:tcMar>
                  <w:vAlign w:val="center"/>
                </w:tcPr>
                <w:p w14:paraId="35C4266B">
                  <w:pPr>
                    <w:pStyle w:val="116"/>
                  </w:pPr>
                  <w:r>
                    <w:rPr>
                      <w:rFonts w:hint="eastAsia"/>
                    </w:rPr>
                    <w:t>19</w:t>
                  </w:r>
                </w:p>
              </w:tc>
            </w:tr>
            <w:tr w14:paraId="35C792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Mar>
                    <w:left w:w="11" w:type="dxa"/>
                    <w:right w:w="11" w:type="dxa"/>
                  </w:tcMar>
                  <w:vAlign w:val="center"/>
                </w:tcPr>
                <w:p w14:paraId="668B0F14">
                  <w:pPr>
                    <w:pStyle w:val="116"/>
                  </w:pPr>
                </w:p>
              </w:tc>
              <w:tc>
                <w:tcPr>
                  <w:tcW w:w="360" w:type="pct"/>
                  <w:tcMar>
                    <w:left w:w="11" w:type="dxa"/>
                    <w:right w:w="11" w:type="dxa"/>
                  </w:tcMar>
                  <w:vAlign w:val="center"/>
                </w:tcPr>
                <w:p w14:paraId="6509CFCB">
                  <w:pPr>
                    <w:pStyle w:val="116"/>
                  </w:pPr>
                  <w:r>
                    <w:rPr>
                      <w:rFonts w:hint="eastAsia"/>
                    </w:rPr>
                    <w:t>远期</w:t>
                  </w:r>
                </w:p>
              </w:tc>
              <w:tc>
                <w:tcPr>
                  <w:tcW w:w="469" w:type="pct"/>
                  <w:tcMar>
                    <w:left w:w="11" w:type="dxa"/>
                    <w:right w:w="11" w:type="dxa"/>
                  </w:tcMar>
                  <w:vAlign w:val="center"/>
                </w:tcPr>
                <w:p w14:paraId="731E746B">
                  <w:pPr>
                    <w:pStyle w:val="116"/>
                  </w:pPr>
                  <w:r>
                    <w:rPr>
                      <w:rFonts w:hint="eastAsia"/>
                    </w:rPr>
                    <w:t>57</w:t>
                  </w:r>
                </w:p>
              </w:tc>
              <w:tc>
                <w:tcPr>
                  <w:tcW w:w="401" w:type="pct"/>
                  <w:tcMar>
                    <w:left w:w="11" w:type="dxa"/>
                    <w:right w:w="11" w:type="dxa"/>
                  </w:tcMar>
                  <w:vAlign w:val="center"/>
                </w:tcPr>
                <w:p w14:paraId="32DC5DA7">
                  <w:pPr>
                    <w:pStyle w:val="116"/>
                  </w:pPr>
                  <w:r>
                    <w:rPr>
                      <w:rFonts w:hint="eastAsia"/>
                    </w:rPr>
                    <w:t>10</w:t>
                  </w:r>
                </w:p>
              </w:tc>
              <w:tc>
                <w:tcPr>
                  <w:tcW w:w="544" w:type="pct"/>
                  <w:tcMar>
                    <w:left w:w="11" w:type="dxa"/>
                    <w:right w:w="11" w:type="dxa"/>
                  </w:tcMar>
                  <w:vAlign w:val="center"/>
                </w:tcPr>
                <w:p w14:paraId="62DE560E">
                  <w:pPr>
                    <w:pStyle w:val="116"/>
                  </w:pPr>
                  <w:r>
                    <w:rPr>
                      <w:rFonts w:hint="eastAsia"/>
                    </w:rPr>
                    <w:t>85</w:t>
                  </w:r>
                </w:p>
              </w:tc>
              <w:tc>
                <w:tcPr>
                  <w:tcW w:w="550" w:type="pct"/>
                  <w:tcMar>
                    <w:left w:w="11" w:type="dxa"/>
                    <w:right w:w="11" w:type="dxa"/>
                  </w:tcMar>
                  <w:vAlign w:val="center"/>
                </w:tcPr>
                <w:p w14:paraId="59B58507">
                  <w:pPr>
                    <w:pStyle w:val="116"/>
                  </w:pPr>
                  <w:r>
                    <w:rPr>
                      <w:rFonts w:hint="eastAsia"/>
                    </w:rPr>
                    <w:t>15</w:t>
                  </w:r>
                </w:p>
              </w:tc>
              <w:tc>
                <w:tcPr>
                  <w:tcW w:w="544" w:type="pct"/>
                  <w:tcMar>
                    <w:left w:w="11" w:type="dxa"/>
                    <w:right w:w="11" w:type="dxa"/>
                  </w:tcMar>
                  <w:vAlign w:val="center"/>
                </w:tcPr>
                <w:p w14:paraId="4600A93B">
                  <w:pPr>
                    <w:pStyle w:val="116"/>
                  </w:pPr>
                  <w:r>
                    <w:rPr>
                      <w:rFonts w:hint="eastAsia"/>
                    </w:rPr>
                    <w:t>12</w:t>
                  </w:r>
                </w:p>
              </w:tc>
              <w:tc>
                <w:tcPr>
                  <w:tcW w:w="550" w:type="pct"/>
                  <w:tcMar>
                    <w:left w:w="11" w:type="dxa"/>
                    <w:right w:w="11" w:type="dxa"/>
                  </w:tcMar>
                  <w:vAlign w:val="center"/>
                </w:tcPr>
                <w:p w14:paraId="4F40EB13">
                  <w:pPr>
                    <w:pStyle w:val="116"/>
                  </w:pPr>
                  <w:r>
                    <w:rPr>
                      <w:rFonts w:hint="eastAsia"/>
                    </w:rPr>
                    <w:t>2</w:t>
                  </w:r>
                </w:p>
              </w:tc>
              <w:tc>
                <w:tcPr>
                  <w:tcW w:w="544" w:type="pct"/>
                  <w:tcMar>
                    <w:left w:w="11" w:type="dxa"/>
                    <w:right w:w="11" w:type="dxa"/>
                  </w:tcMar>
                  <w:vAlign w:val="center"/>
                </w:tcPr>
                <w:p w14:paraId="388F1F45">
                  <w:pPr>
                    <w:pStyle w:val="116"/>
                  </w:pPr>
                  <w:r>
                    <w:rPr>
                      <w:rFonts w:hint="eastAsia"/>
                    </w:rPr>
                    <w:t>154</w:t>
                  </w:r>
                </w:p>
              </w:tc>
              <w:tc>
                <w:tcPr>
                  <w:tcW w:w="592" w:type="pct"/>
                  <w:tcMar>
                    <w:left w:w="11" w:type="dxa"/>
                    <w:right w:w="11" w:type="dxa"/>
                  </w:tcMar>
                  <w:vAlign w:val="center"/>
                </w:tcPr>
                <w:p w14:paraId="38BA14E3">
                  <w:pPr>
                    <w:pStyle w:val="116"/>
                  </w:pPr>
                  <w:r>
                    <w:rPr>
                      <w:rFonts w:hint="eastAsia"/>
                    </w:rPr>
                    <w:t>28</w:t>
                  </w:r>
                </w:p>
              </w:tc>
            </w:tr>
          </w:tbl>
          <w:p w14:paraId="1C96A388">
            <w:pPr>
              <w:pStyle w:val="69"/>
              <w:ind w:firstLine="482"/>
              <w:rPr>
                <w:b/>
                <w:bCs/>
              </w:rPr>
            </w:pPr>
            <w:r>
              <w:rPr>
                <w:rFonts w:hint="eastAsia"/>
                <w:b/>
                <w:bCs/>
              </w:rPr>
              <w:t>5、项目组成情况及主要环境问题</w:t>
            </w:r>
          </w:p>
          <w:p w14:paraId="39C942EA">
            <w:pPr>
              <w:pStyle w:val="69"/>
              <w:ind w:firstLine="480"/>
              <w:rPr>
                <w:szCs w:val="32"/>
              </w:rPr>
            </w:pPr>
            <w:r>
              <w:rPr>
                <w:rFonts w:hint="eastAsia"/>
                <w:bCs/>
              </w:rPr>
              <w:t>本工程位于遂宁市大英县城区范围内，道路工程、路面工程、桥涵工程、管线工程、排水工程、照明工程、电力工程、交通工程、景观绿化工程等内容。</w:t>
            </w:r>
            <w:r>
              <w:rPr>
                <w:szCs w:val="32"/>
              </w:rPr>
              <w:t>本项目组成表见表2</w:t>
            </w:r>
            <w:r>
              <w:rPr>
                <w:rFonts w:hint="eastAsia"/>
                <w:szCs w:val="32"/>
              </w:rPr>
              <w:t>-</w:t>
            </w:r>
            <w:r>
              <w:rPr>
                <w:szCs w:val="32"/>
              </w:rPr>
              <w:t>1。</w:t>
            </w:r>
          </w:p>
          <w:p w14:paraId="38173B78">
            <w:pPr>
              <w:pStyle w:val="4"/>
              <w:numPr>
                <w:ilvl w:val="1"/>
                <w:numId w:val="0"/>
              </w:numPr>
              <w:spacing w:line="240" w:lineRule="auto"/>
              <w:rPr>
                <w:rFonts w:eastAsia="黑体"/>
                <w:b w:val="0"/>
              </w:rPr>
            </w:pPr>
            <w:bookmarkStart w:id="6" w:name="_Toc150173883"/>
            <w:r>
              <w:rPr>
                <w:rFonts w:eastAsia="黑体"/>
                <w:b w:val="0"/>
                <w:sz w:val="21"/>
                <w:szCs w:val="21"/>
              </w:rPr>
              <w:t>表2-1  项目组成及主要环境问题</w:t>
            </w:r>
            <w:bookmarkEnd w:id="6"/>
          </w:p>
          <w:tbl>
            <w:tblPr>
              <w:tblStyle w:val="33"/>
              <w:tblW w:w="0" w:type="auto"/>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95"/>
              <w:gridCol w:w="695"/>
              <w:gridCol w:w="4906"/>
              <w:gridCol w:w="1271"/>
              <w:gridCol w:w="1110"/>
            </w:tblGrid>
            <w:tr w14:paraId="64D8CFB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1090" w:type="dxa"/>
                  <w:gridSpan w:val="2"/>
                  <w:vMerge w:val="restart"/>
                  <w:vAlign w:val="center"/>
                </w:tcPr>
                <w:p w14:paraId="72EFC299">
                  <w:pPr>
                    <w:jc w:val="center"/>
                    <w:rPr>
                      <w:b/>
                      <w:szCs w:val="21"/>
                    </w:rPr>
                  </w:pPr>
                  <w:r>
                    <w:rPr>
                      <w:b/>
                      <w:szCs w:val="21"/>
                    </w:rPr>
                    <w:t>名称</w:t>
                  </w:r>
                </w:p>
              </w:tc>
              <w:tc>
                <w:tcPr>
                  <w:tcW w:w="4906" w:type="dxa"/>
                  <w:vMerge w:val="restart"/>
                  <w:vAlign w:val="center"/>
                </w:tcPr>
                <w:p w14:paraId="2454E5AF">
                  <w:pPr>
                    <w:jc w:val="center"/>
                    <w:rPr>
                      <w:b/>
                      <w:szCs w:val="21"/>
                    </w:rPr>
                  </w:pPr>
                  <w:r>
                    <w:rPr>
                      <w:b/>
                      <w:szCs w:val="21"/>
                    </w:rPr>
                    <w:t>项目内容及规模</w:t>
                  </w:r>
                </w:p>
              </w:tc>
              <w:tc>
                <w:tcPr>
                  <w:tcW w:w="2381" w:type="dxa"/>
                  <w:gridSpan w:val="2"/>
                  <w:vAlign w:val="center"/>
                </w:tcPr>
                <w:p w14:paraId="20239D01">
                  <w:pPr>
                    <w:jc w:val="center"/>
                    <w:rPr>
                      <w:b/>
                      <w:szCs w:val="21"/>
                    </w:rPr>
                  </w:pPr>
                  <w:r>
                    <w:rPr>
                      <w:rFonts w:hint="eastAsia"/>
                      <w:b/>
                      <w:szCs w:val="21"/>
                    </w:rPr>
                    <w:t>主要</w:t>
                  </w:r>
                  <w:r>
                    <w:rPr>
                      <w:b/>
                      <w:szCs w:val="21"/>
                    </w:rPr>
                    <w:t>环境影响</w:t>
                  </w:r>
                </w:p>
              </w:tc>
            </w:tr>
            <w:tr w14:paraId="320CBE8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1090" w:type="dxa"/>
                  <w:gridSpan w:val="2"/>
                  <w:vMerge w:val="continue"/>
                  <w:vAlign w:val="center"/>
                </w:tcPr>
                <w:p w14:paraId="476E87D4">
                  <w:pPr>
                    <w:jc w:val="center"/>
                    <w:rPr>
                      <w:b/>
                      <w:szCs w:val="21"/>
                    </w:rPr>
                  </w:pPr>
                </w:p>
              </w:tc>
              <w:tc>
                <w:tcPr>
                  <w:tcW w:w="4906" w:type="dxa"/>
                  <w:vMerge w:val="continue"/>
                  <w:vAlign w:val="center"/>
                </w:tcPr>
                <w:p w14:paraId="600A7052">
                  <w:pPr>
                    <w:jc w:val="center"/>
                    <w:rPr>
                      <w:b/>
                      <w:szCs w:val="21"/>
                    </w:rPr>
                  </w:pPr>
                </w:p>
              </w:tc>
              <w:tc>
                <w:tcPr>
                  <w:tcW w:w="1271" w:type="dxa"/>
                  <w:vAlign w:val="center"/>
                </w:tcPr>
                <w:p w14:paraId="04A55746">
                  <w:pPr>
                    <w:adjustRightInd w:val="0"/>
                    <w:ind w:left="-105" w:leftChars="-50" w:right="-105" w:rightChars="-50"/>
                    <w:jc w:val="center"/>
                    <w:rPr>
                      <w:b/>
                      <w:szCs w:val="21"/>
                    </w:rPr>
                  </w:pPr>
                  <w:r>
                    <w:rPr>
                      <w:b/>
                      <w:szCs w:val="21"/>
                    </w:rPr>
                    <w:t>施工期</w:t>
                  </w:r>
                </w:p>
              </w:tc>
              <w:tc>
                <w:tcPr>
                  <w:tcW w:w="1110" w:type="dxa"/>
                  <w:vAlign w:val="center"/>
                </w:tcPr>
                <w:p w14:paraId="3C1CDFB5">
                  <w:pPr>
                    <w:adjustRightInd w:val="0"/>
                    <w:ind w:left="-105" w:leftChars="-50" w:right="-105" w:rightChars="-50"/>
                    <w:jc w:val="center"/>
                    <w:rPr>
                      <w:b/>
                      <w:szCs w:val="21"/>
                    </w:rPr>
                  </w:pPr>
                  <w:r>
                    <w:rPr>
                      <w:b/>
                      <w:szCs w:val="21"/>
                    </w:rPr>
                    <w:t>营运期</w:t>
                  </w:r>
                </w:p>
              </w:tc>
            </w:tr>
            <w:tr w14:paraId="4AE56A9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5" w:hRule="atLeast"/>
                <w:jc w:val="center"/>
              </w:trPr>
              <w:tc>
                <w:tcPr>
                  <w:tcW w:w="395" w:type="dxa"/>
                  <w:vMerge w:val="restart"/>
                  <w:vAlign w:val="center"/>
                </w:tcPr>
                <w:p w14:paraId="4B283BFE">
                  <w:pPr>
                    <w:adjustRightInd w:val="0"/>
                    <w:jc w:val="center"/>
                    <w:rPr>
                      <w:b/>
                      <w:szCs w:val="21"/>
                    </w:rPr>
                  </w:pPr>
                  <w:r>
                    <w:rPr>
                      <w:rFonts w:hint="eastAsia"/>
                      <w:b/>
                      <w:szCs w:val="21"/>
                    </w:rPr>
                    <w:t>主体</w:t>
                  </w:r>
                  <w:r>
                    <w:rPr>
                      <w:b/>
                      <w:szCs w:val="21"/>
                    </w:rPr>
                    <w:t>工程</w:t>
                  </w:r>
                </w:p>
              </w:tc>
              <w:tc>
                <w:tcPr>
                  <w:tcW w:w="695" w:type="dxa"/>
                  <w:vAlign w:val="center"/>
                </w:tcPr>
                <w:p w14:paraId="709729D6">
                  <w:pPr>
                    <w:adjustRightInd w:val="0"/>
                    <w:snapToGrid w:val="0"/>
                    <w:jc w:val="center"/>
                    <w:rPr>
                      <w:rFonts w:eastAsiaTheme="minorEastAsia"/>
                      <w:szCs w:val="21"/>
                    </w:rPr>
                  </w:pPr>
                  <w:r>
                    <w:rPr>
                      <w:rFonts w:hint="eastAsia"/>
                      <w:szCs w:val="21"/>
                    </w:rPr>
                    <w:t>道路工程</w:t>
                  </w:r>
                </w:p>
              </w:tc>
              <w:tc>
                <w:tcPr>
                  <w:tcW w:w="4906" w:type="dxa"/>
                  <w:vAlign w:val="center"/>
                </w:tcPr>
                <w:p w14:paraId="206648AA">
                  <w:pPr>
                    <w:rPr>
                      <w:b/>
                      <w:szCs w:val="21"/>
                    </w:rPr>
                  </w:pPr>
                  <w:r>
                    <w:rPr>
                      <w:rFonts w:hint="eastAsia"/>
                      <w:b/>
                      <w:szCs w:val="21"/>
                    </w:rPr>
                    <w:t>（1）成南大道连接线1段：</w:t>
                  </w:r>
                </w:p>
                <w:p w14:paraId="62F23A6E">
                  <w:pPr>
                    <w:rPr>
                      <w:szCs w:val="21"/>
                    </w:rPr>
                  </w:pPr>
                  <w:r>
                    <w:rPr>
                      <w:rFonts w:hint="eastAsia"/>
                      <w:szCs w:val="21"/>
                    </w:rPr>
                    <w:t>线路全长1310.563米，道路红线宽度26米，双向6车道，设计速度40km/h。机动车双向6车道，</w:t>
                  </w:r>
                  <w:r>
                    <w:rPr>
                      <w:rFonts w:hint="eastAsia"/>
                    </w:rPr>
                    <w:t>道路横断面设计：</w:t>
                  </w:r>
                  <w:r>
                    <w:rPr>
                      <w:rFonts w:hint="eastAsia"/>
                      <w:szCs w:val="21"/>
                    </w:rPr>
                    <w:t>2m（人行道）+0.25m（路缘带）+3.5m（机非混行车道）+2*3.5m（机动车道）+0.5m（中央安全距离）+2*3.5m（机动车道）+3.5m（机非混行车道）+0.25m（路缘带）+2m（人行道）=26m；</w:t>
                  </w:r>
                </w:p>
                <w:p w14:paraId="50D2D282">
                  <w:pPr>
                    <w:rPr>
                      <w:b/>
                    </w:rPr>
                  </w:pPr>
                  <w:r>
                    <w:rPr>
                      <w:rFonts w:hint="eastAsia"/>
                      <w:b/>
                    </w:rPr>
                    <w:t>（2）太吉大道西延线1段：</w:t>
                  </w:r>
                </w:p>
                <w:p w14:paraId="55B935F5">
                  <w:pPr>
                    <w:rPr>
                      <w:b/>
                    </w:rPr>
                  </w:pPr>
                  <w:r>
                    <w:rPr>
                      <w:rFonts w:hint="eastAsia"/>
                    </w:rPr>
                    <w:t>线路全长1310.563米，道路红线宽度40米，双向6车道，设计速度40km/h。道路横断面设计：5m（人行道）+3.5m（非机动车道）+0.5m（机非分隔护栏）+3.75m（机动车道）+2*3.5m（机动车道）+0.5m（中央安全距离）+2*3.5m（机动车道）+3.75m（机动车道）+0.5m（机非分隔护栏）+3.5m（非机动车道）+5m（人行道）=40m。</w:t>
                  </w:r>
                </w:p>
                <w:p w14:paraId="235BA062">
                  <w:pPr>
                    <w:rPr>
                      <w:szCs w:val="21"/>
                    </w:rPr>
                  </w:pPr>
                  <w:r>
                    <w:rPr>
                      <w:rFonts w:hint="eastAsia"/>
                      <w:b/>
                      <w:szCs w:val="21"/>
                    </w:rPr>
                    <w:t>（3）</w:t>
                  </w:r>
                  <w:r>
                    <w:rPr>
                      <w:rFonts w:hint="eastAsia"/>
                      <w:b/>
                    </w:rPr>
                    <w:t>太吉大道西延线2段</w:t>
                  </w:r>
                  <w:r>
                    <w:rPr>
                      <w:rFonts w:hint="eastAsia"/>
                      <w:szCs w:val="21"/>
                    </w:rPr>
                    <w:t>：</w:t>
                  </w:r>
                </w:p>
                <w:p w14:paraId="1B53CFA5">
                  <w:pPr>
                    <w:rPr>
                      <w:b/>
                    </w:rPr>
                  </w:pPr>
                  <w:r>
                    <w:rPr>
                      <w:rFonts w:hint="eastAsia"/>
                    </w:rPr>
                    <w:t>线路全长451.401米，道路红线宽度40米，双向6车道，设计速度50km/h。道路横断面设计：5m（人行道）+3.5m（非机动车道）+0.5m（机非分隔护栏）+3.75m（机动车道）+2*3.5m（机动车道）+0.5m（中央安全距离）+2*3.5m（机动车道）+3.75m（机动车道）+0.5m（机非分隔护栏）+3.5m（非机动车道）+5m（人行道）=40m。</w:t>
                  </w:r>
                </w:p>
              </w:tc>
              <w:tc>
                <w:tcPr>
                  <w:tcW w:w="1271" w:type="dxa"/>
                  <w:vMerge w:val="restart"/>
                  <w:vAlign w:val="center"/>
                </w:tcPr>
                <w:p w14:paraId="7C2B915B">
                  <w:pPr>
                    <w:widowControl/>
                    <w:wordWrap w:val="0"/>
                    <w:jc w:val="center"/>
                    <w:rPr>
                      <w:kern w:val="0"/>
                      <w:szCs w:val="21"/>
                    </w:rPr>
                  </w:pPr>
                  <w:r>
                    <w:rPr>
                      <w:rFonts w:hint="eastAsia"/>
                      <w:kern w:val="0"/>
                      <w:szCs w:val="21"/>
                    </w:rPr>
                    <w:t>施工废水、施工扬尘、施工噪声、施工固废、植被破坏、水土流失、交通影响</w:t>
                  </w:r>
                </w:p>
              </w:tc>
              <w:tc>
                <w:tcPr>
                  <w:tcW w:w="1110" w:type="dxa"/>
                  <w:vMerge w:val="restart"/>
                  <w:vAlign w:val="center"/>
                </w:tcPr>
                <w:p w14:paraId="007201EA">
                  <w:pPr>
                    <w:widowControl/>
                    <w:wordWrap w:val="0"/>
                    <w:jc w:val="center"/>
                    <w:rPr>
                      <w:kern w:val="0"/>
                      <w:szCs w:val="21"/>
                    </w:rPr>
                  </w:pPr>
                  <w:r>
                    <w:rPr>
                      <w:kern w:val="0"/>
                      <w:szCs w:val="21"/>
                    </w:rPr>
                    <w:t>车辆噪声及扬尘、汽车尾气、固体废物、生态影响、永久占地</w:t>
                  </w:r>
                </w:p>
              </w:tc>
            </w:tr>
            <w:tr w14:paraId="586A34F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5" w:hRule="atLeast"/>
                <w:jc w:val="center"/>
              </w:trPr>
              <w:tc>
                <w:tcPr>
                  <w:tcW w:w="395" w:type="dxa"/>
                  <w:vMerge w:val="continue"/>
                  <w:vAlign w:val="center"/>
                </w:tcPr>
                <w:p w14:paraId="6CAB8954">
                  <w:pPr>
                    <w:adjustRightInd w:val="0"/>
                    <w:jc w:val="center"/>
                    <w:rPr>
                      <w:b/>
                      <w:szCs w:val="21"/>
                    </w:rPr>
                  </w:pPr>
                </w:p>
              </w:tc>
              <w:tc>
                <w:tcPr>
                  <w:tcW w:w="695" w:type="dxa"/>
                  <w:vAlign w:val="center"/>
                </w:tcPr>
                <w:p w14:paraId="1503C435">
                  <w:pPr>
                    <w:adjustRightInd w:val="0"/>
                    <w:snapToGrid w:val="0"/>
                    <w:jc w:val="center"/>
                    <w:rPr>
                      <w:szCs w:val="21"/>
                    </w:rPr>
                  </w:pPr>
                  <w:r>
                    <w:rPr>
                      <w:rFonts w:hint="eastAsia"/>
                      <w:szCs w:val="21"/>
                    </w:rPr>
                    <w:t>路面工程</w:t>
                  </w:r>
                </w:p>
              </w:tc>
              <w:tc>
                <w:tcPr>
                  <w:tcW w:w="4906" w:type="dxa"/>
                  <w:vAlign w:val="center"/>
                </w:tcPr>
                <w:p w14:paraId="3527EA74">
                  <w:pPr>
                    <w:rPr>
                      <w:b/>
                      <w:szCs w:val="21"/>
                    </w:rPr>
                  </w:pPr>
                  <w:r>
                    <w:rPr>
                      <w:rFonts w:hint="eastAsia"/>
                      <w:b/>
                      <w:szCs w:val="21"/>
                    </w:rPr>
                    <w:t>（1）车行道路面</w:t>
                  </w:r>
                </w:p>
                <w:p w14:paraId="2F61361B">
                  <w:pPr>
                    <w:rPr>
                      <w:szCs w:val="21"/>
                    </w:rPr>
                  </w:pPr>
                  <w:r>
                    <w:rPr>
                      <w:rFonts w:hint="eastAsia"/>
                      <w:b/>
                      <w:szCs w:val="21"/>
                    </w:rPr>
                    <w:t>城南大道连接线1段：</w:t>
                  </w:r>
                  <w:r>
                    <w:rPr>
                      <w:rFonts w:hint="eastAsia"/>
                      <w:szCs w:val="21"/>
                    </w:rPr>
                    <w:t xml:space="preserve"> 4cm厚SMA-13C型细粒式沥青玛蹄脂碎石+6cm厚AC-20C型中粒式沥青混凝土+8cm厚AC-20C型中粒式沥青混凝土+0.8cm ES-3型稀浆封层+透层油+25cm 5%水泥稳定碎石基层+25cm 4%水泥稳定碎石底基层+20cm级配碎石垫层；</w:t>
                  </w:r>
                </w:p>
                <w:p w14:paraId="1B9AA534">
                  <w:r>
                    <w:rPr>
                      <w:rFonts w:hint="eastAsia"/>
                      <w:b/>
                      <w:szCs w:val="21"/>
                    </w:rPr>
                    <w:t>太吉大道西延线：</w:t>
                  </w:r>
                  <w:r>
                    <w:rPr>
                      <w:rFonts w:hint="eastAsia"/>
                      <w:szCs w:val="21"/>
                    </w:rPr>
                    <w:t>4cm厚SMA-13C型细粒式沥青玛蹄脂碎石+6cm厚AC-20C型中粒式沥青混凝土+6cm厚AC-20C型中粒式沥青混凝土+0.8cm ES-3型稀浆封层+透层油+25cm 5%水泥稳定碎石基层+25cm 4%水泥稳定碎石底基层+20cm级配碎石垫层；</w:t>
                  </w:r>
                </w:p>
                <w:p w14:paraId="6E460782">
                  <w:r>
                    <w:rPr>
                      <w:rFonts w:hint="eastAsia"/>
                      <w:b/>
                    </w:rPr>
                    <w:t>（2）人行道路面：</w:t>
                  </w:r>
                  <w:r>
                    <w:rPr>
                      <w:rFonts w:hint="eastAsia"/>
                      <w:szCs w:val="21"/>
                    </w:rPr>
                    <w:t>8cm厚C30改性沥青混凝土+15cm基层+15cm级配碎石垫层；</w:t>
                  </w:r>
                </w:p>
              </w:tc>
              <w:tc>
                <w:tcPr>
                  <w:tcW w:w="1271" w:type="dxa"/>
                  <w:vMerge w:val="continue"/>
                  <w:vAlign w:val="center"/>
                </w:tcPr>
                <w:p w14:paraId="3EFE9F56">
                  <w:pPr>
                    <w:jc w:val="center"/>
                    <w:rPr>
                      <w:kern w:val="0"/>
                      <w:szCs w:val="21"/>
                    </w:rPr>
                  </w:pPr>
                </w:p>
              </w:tc>
              <w:tc>
                <w:tcPr>
                  <w:tcW w:w="1110" w:type="dxa"/>
                  <w:vMerge w:val="continue"/>
                  <w:vAlign w:val="center"/>
                </w:tcPr>
                <w:p w14:paraId="53062F97">
                  <w:pPr>
                    <w:widowControl/>
                    <w:wordWrap w:val="0"/>
                    <w:jc w:val="center"/>
                    <w:rPr>
                      <w:kern w:val="0"/>
                      <w:szCs w:val="21"/>
                    </w:rPr>
                  </w:pPr>
                </w:p>
              </w:tc>
            </w:tr>
            <w:tr w14:paraId="5097B1A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5" w:hRule="atLeast"/>
                <w:jc w:val="center"/>
              </w:trPr>
              <w:tc>
                <w:tcPr>
                  <w:tcW w:w="395" w:type="dxa"/>
                  <w:vMerge w:val="continue"/>
                  <w:vAlign w:val="center"/>
                </w:tcPr>
                <w:p w14:paraId="09C4037A">
                  <w:pPr>
                    <w:adjustRightInd w:val="0"/>
                    <w:jc w:val="center"/>
                    <w:rPr>
                      <w:b/>
                      <w:szCs w:val="21"/>
                    </w:rPr>
                  </w:pPr>
                </w:p>
              </w:tc>
              <w:tc>
                <w:tcPr>
                  <w:tcW w:w="695" w:type="dxa"/>
                  <w:vAlign w:val="center"/>
                </w:tcPr>
                <w:p w14:paraId="1332ABD1">
                  <w:pPr>
                    <w:adjustRightInd w:val="0"/>
                    <w:snapToGrid w:val="0"/>
                    <w:jc w:val="center"/>
                    <w:rPr>
                      <w:szCs w:val="21"/>
                    </w:rPr>
                  </w:pPr>
                  <w:r>
                    <w:rPr>
                      <w:rFonts w:hint="eastAsia"/>
                      <w:szCs w:val="21"/>
                    </w:rPr>
                    <w:t>涵洞工程</w:t>
                  </w:r>
                </w:p>
              </w:tc>
              <w:tc>
                <w:tcPr>
                  <w:tcW w:w="4906" w:type="dxa"/>
                  <w:vAlign w:val="center"/>
                </w:tcPr>
                <w:p w14:paraId="161151DE">
                  <w:pPr>
                    <w:rPr>
                      <w:bCs/>
                    </w:rPr>
                  </w:pPr>
                  <w:r>
                    <w:rPr>
                      <w:rFonts w:hint="eastAsia"/>
                      <w:szCs w:val="21"/>
                    </w:rPr>
                    <w:t>本次设计共设置涵洞3座，其中倒虹吸管涵1座，其余均为圆管涵，涵洞总长350m。改沟共5处，均采用明渠断面，总长921m。本次设计圆管涵采用预制钢筋砼管，涵身基础下采用180°砂石基础，倒虹吸管基础采用半包C25砼；涵洞两侧均采用砂砾石碾压回填。涵洞翼墙均采用C20 砼结构。改沟明渠均采用C20砼结构，渠底设置20cm 厚C20砼护底。</w:t>
                  </w:r>
                </w:p>
              </w:tc>
              <w:tc>
                <w:tcPr>
                  <w:tcW w:w="1271" w:type="dxa"/>
                  <w:vMerge w:val="continue"/>
                  <w:vAlign w:val="center"/>
                </w:tcPr>
                <w:p w14:paraId="4D54BC49">
                  <w:pPr>
                    <w:jc w:val="center"/>
                    <w:rPr>
                      <w:kern w:val="0"/>
                      <w:szCs w:val="21"/>
                    </w:rPr>
                  </w:pPr>
                </w:p>
              </w:tc>
              <w:tc>
                <w:tcPr>
                  <w:tcW w:w="1110" w:type="dxa"/>
                  <w:vMerge w:val="continue"/>
                  <w:vAlign w:val="center"/>
                </w:tcPr>
                <w:p w14:paraId="2F076244">
                  <w:pPr>
                    <w:widowControl/>
                    <w:wordWrap w:val="0"/>
                    <w:jc w:val="center"/>
                    <w:rPr>
                      <w:kern w:val="0"/>
                      <w:szCs w:val="21"/>
                    </w:rPr>
                  </w:pPr>
                </w:p>
              </w:tc>
            </w:tr>
            <w:tr w14:paraId="503C655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48" w:hRule="atLeast"/>
                <w:jc w:val="center"/>
              </w:trPr>
              <w:tc>
                <w:tcPr>
                  <w:tcW w:w="395" w:type="dxa"/>
                  <w:vMerge w:val="continue"/>
                  <w:vAlign w:val="center"/>
                </w:tcPr>
                <w:p w14:paraId="2F0C5CE9">
                  <w:pPr>
                    <w:adjustRightInd w:val="0"/>
                    <w:jc w:val="center"/>
                    <w:rPr>
                      <w:b/>
                      <w:szCs w:val="21"/>
                    </w:rPr>
                  </w:pPr>
                </w:p>
              </w:tc>
              <w:tc>
                <w:tcPr>
                  <w:tcW w:w="695" w:type="dxa"/>
                  <w:vAlign w:val="center"/>
                </w:tcPr>
                <w:p w14:paraId="2AB8B3D8">
                  <w:pPr>
                    <w:adjustRightInd w:val="0"/>
                    <w:snapToGrid w:val="0"/>
                    <w:jc w:val="center"/>
                    <w:rPr>
                      <w:szCs w:val="21"/>
                    </w:rPr>
                  </w:pPr>
                  <w:r>
                    <w:rPr>
                      <w:rFonts w:hint="eastAsia"/>
                      <w:szCs w:val="21"/>
                    </w:rPr>
                    <w:t>桥梁工程</w:t>
                  </w:r>
                </w:p>
              </w:tc>
              <w:tc>
                <w:tcPr>
                  <w:tcW w:w="4906" w:type="dxa"/>
                  <w:vAlign w:val="center"/>
                </w:tcPr>
                <w:p w14:paraId="5E2E7204">
                  <w:pPr>
                    <w:rPr>
                      <w:szCs w:val="21"/>
                    </w:rPr>
                  </w:pPr>
                  <w:r>
                    <w:rPr>
                      <w:b/>
                      <w:szCs w:val="21"/>
                    </w:rPr>
                    <w:t>（</w:t>
                  </w:r>
                  <w:r>
                    <w:rPr>
                      <w:rFonts w:hint="eastAsia"/>
                      <w:b/>
                      <w:szCs w:val="21"/>
                    </w:rPr>
                    <w:t>1</w:t>
                  </w:r>
                  <w:r>
                    <w:rPr>
                      <w:b/>
                      <w:szCs w:val="21"/>
                    </w:rPr>
                    <w:t>）</w:t>
                  </w:r>
                  <w:r>
                    <w:rPr>
                      <w:rFonts w:hint="eastAsia"/>
                      <w:b/>
                      <w:szCs w:val="21"/>
                    </w:rPr>
                    <w:t>太吉大道一号桥：</w:t>
                  </w:r>
                  <w:r>
                    <w:rPr>
                      <w:rFonts w:hint="eastAsia"/>
                      <w:szCs w:val="21"/>
                    </w:rPr>
                    <w:t>位于太吉大道西延线1段，上部结构采用预应力混凝土小箱梁，跨径为1-30m，桥梁全宽5.5m（人行道）+30m（机动车道）+5.5m（人行道）=41m，桥梁全长39m，桥梁中心线与道路中线法线夹角为90°；下部结构桥台采用桩帽台，桥台基础采用1.5m桩基础，采用一跨而过、无涉水桥段，道路横坡为双向1.5%，地震设防烈度为7度，现状河道不通航。</w:t>
                  </w:r>
                </w:p>
                <w:p w14:paraId="29243B3B">
                  <w:pPr>
                    <w:rPr>
                      <w:szCs w:val="21"/>
                    </w:rPr>
                  </w:pPr>
                  <w:r>
                    <w:rPr>
                      <w:rFonts w:hint="eastAsia"/>
                      <w:szCs w:val="21"/>
                    </w:rPr>
                    <w:t>（</w:t>
                  </w:r>
                  <w:r>
                    <w:rPr>
                      <w:rFonts w:hint="eastAsia"/>
                      <w:b/>
                      <w:szCs w:val="21"/>
                    </w:rPr>
                    <w:t>2）太吉大道二号桥：</w:t>
                  </w:r>
                  <w:r>
                    <w:rPr>
                      <w:rFonts w:hint="eastAsia"/>
                      <w:szCs w:val="21"/>
                    </w:rPr>
                    <w:t>位于太吉大道西延线2段，上部结构采用预应力混凝土小箱梁，跨径为1-30m，桥梁全宽5.5m（人行道）+30m（机动车道）+5.5m（人行道）=41m，桥梁全长39m，桥梁中心线与道路中线法线夹角为60°；下部结构桥台采用桩帽台，桥台基础采用1.5m桩基础，采用一跨而过、无涉水桥段，道路横坡为双向1.5%，地震设防烈度为7度，现状河道不通航。</w:t>
                  </w:r>
                </w:p>
              </w:tc>
              <w:tc>
                <w:tcPr>
                  <w:tcW w:w="1271" w:type="dxa"/>
                  <w:vMerge w:val="continue"/>
                  <w:vAlign w:val="center"/>
                </w:tcPr>
                <w:p w14:paraId="18B2AA41">
                  <w:pPr>
                    <w:jc w:val="center"/>
                    <w:rPr>
                      <w:kern w:val="0"/>
                      <w:szCs w:val="21"/>
                    </w:rPr>
                  </w:pPr>
                </w:p>
              </w:tc>
              <w:tc>
                <w:tcPr>
                  <w:tcW w:w="1110" w:type="dxa"/>
                  <w:vMerge w:val="continue"/>
                  <w:vAlign w:val="center"/>
                </w:tcPr>
                <w:p w14:paraId="263DF0AE">
                  <w:pPr>
                    <w:keepLines/>
                    <w:jc w:val="center"/>
                    <w:rPr>
                      <w:kern w:val="0"/>
                      <w:szCs w:val="21"/>
                    </w:rPr>
                  </w:pPr>
                </w:p>
              </w:tc>
            </w:tr>
            <w:tr w14:paraId="2E71F7B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9" w:hRule="atLeast"/>
                <w:jc w:val="center"/>
              </w:trPr>
              <w:tc>
                <w:tcPr>
                  <w:tcW w:w="395" w:type="dxa"/>
                  <w:vMerge w:val="restart"/>
                  <w:vAlign w:val="center"/>
                </w:tcPr>
                <w:p w14:paraId="168841FD">
                  <w:pPr>
                    <w:adjustRightInd w:val="0"/>
                    <w:jc w:val="center"/>
                    <w:rPr>
                      <w:b/>
                      <w:szCs w:val="21"/>
                    </w:rPr>
                  </w:pPr>
                  <w:r>
                    <w:rPr>
                      <w:b/>
                      <w:szCs w:val="21"/>
                    </w:rPr>
                    <w:t>附属工程</w:t>
                  </w:r>
                </w:p>
              </w:tc>
              <w:tc>
                <w:tcPr>
                  <w:tcW w:w="695" w:type="dxa"/>
                  <w:vAlign w:val="center"/>
                </w:tcPr>
                <w:p w14:paraId="3F8A2F67">
                  <w:pPr>
                    <w:adjustRightInd w:val="0"/>
                    <w:snapToGrid w:val="0"/>
                    <w:jc w:val="center"/>
                    <w:rPr>
                      <w:szCs w:val="21"/>
                    </w:rPr>
                  </w:pPr>
                  <w:r>
                    <w:rPr>
                      <w:rFonts w:hint="eastAsia"/>
                      <w:szCs w:val="21"/>
                    </w:rPr>
                    <w:t>管线工程</w:t>
                  </w:r>
                </w:p>
              </w:tc>
              <w:tc>
                <w:tcPr>
                  <w:tcW w:w="4906" w:type="dxa"/>
                  <w:vAlign w:val="center"/>
                </w:tcPr>
                <w:p w14:paraId="5BB94691">
                  <w:pPr>
                    <w:rPr>
                      <w:rFonts w:eastAsiaTheme="minorEastAsia"/>
                      <w:szCs w:val="21"/>
                    </w:rPr>
                  </w:pPr>
                  <w:r>
                    <w:rPr>
                      <w:rFonts w:hint="eastAsia"/>
                      <w:bCs/>
                      <w:szCs w:val="21"/>
                    </w:rPr>
                    <w:t>本次设计道路根据会议纪要布置电力、给排水、通讯、燃气等工程管线。工程管线从道路红线向道路中心线方向平行布置的次序宜为：电力、通信、给水（输水）、燃气（配气）、热力、燃气（输气）、给水（输水）、再生水、污水、雨水。详见管网工程相关内容。</w:t>
                  </w:r>
                </w:p>
              </w:tc>
              <w:tc>
                <w:tcPr>
                  <w:tcW w:w="1271" w:type="dxa"/>
                  <w:vMerge w:val="continue"/>
                  <w:vAlign w:val="center"/>
                </w:tcPr>
                <w:p w14:paraId="611B3EE0">
                  <w:pPr>
                    <w:jc w:val="center"/>
                    <w:rPr>
                      <w:szCs w:val="21"/>
                    </w:rPr>
                  </w:pPr>
                </w:p>
              </w:tc>
              <w:tc>
                <w:tcPr>
                  <w:tcW w:w="1110" w:type="dxa"/>
                  <w:vMerge w:val="restart"/>
                  <w:vAlign w:val="center"/>
                </w:tcPr>
                <w:p w14:paraId="1214E17B">
                  <w:pPr>
                    <w:jc w:val="center"/>
                    <w:rPr>
                      <w:szCs w:val="21"/>
                    </w:rPr>
                  </w:pPr>
                  <w:r>
                    <w:rPr>
                      <w:szCs w:val="21"/>
                    </w:rPr>
                    <w:t>/</w:t>
                  </w:r>
                </w:p>
              </w:tc>
            </w:tr>
            <w:tr w14:paraId="13FB4F0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9" w:hRule="atLeast"/>
                <w:jc w:val="center"/>
              </w:trPr>
              <w:tc>
                <w:tcPr>
                  <w:tcW w:w="395" w:type="dxa"/>
                  <w:vMerge w:val="continue"/>
                  <w:vAlign w:val="center"/>
                </w:tcPr>
                <w:p w14:paraId="767E2D23">
                  <w:pPr>
                    <w:jc w:val="center"/>
                    <w:rPr>
                      <w:szCs w:val="21"/>
                    </w:rPr>
                  </w:pPr>
                </w:p>
              </w:tc>
              <w:tc>
                <w:tcPr>
                  <w:tcW w:w="695" w:type="dxa"/>
                  <w:vAlign w:val="center"/>
                </w:tcPr>
                <w:p w14:paraId="2BC5B6FC">
                  <w:pPr>
                    <w:adjustRightInd w:val="0"/>
                    <w:snapToGrid w:val="0"/>
                    <w:jc w:val="center"/>
                    <w:rPr>
                      <w:szCs w:val="21"/>
                    </w:rPr>
                  </w:pPr>
                  <w:r>
                    <w:rPr>
                      <w:rFonts w:hint="eastAsia"/>
                      <w:szCs w:val="21"/>
                    </w:rPr>
                    <w:t>排水工程</w:t>
                  </w:r>
                </w:p>
              </w:tc>
              <w:tc>
                <w:tcPr>
                  <w:tcW w:w="4906" w:type="dxa"/>
                  <w:vAlign w:val="center"/>
                </w:tcPr>
                <w:p w14:paraId="3AD6E7D3">
                  <w:pPr>
                    <w:pStyle w:val="5"/>
                    <w:spacing w:line="240" w:lineRule="auto"/>
                    <w:ind w:firstLine="0" w:firstLineChars="0"/>
                    <w:rPr>
                      <w:bCs/>
                      <w:sz w:val="21"/>
                      <w:szCs w:val="21"/>
                    </w:rPr>
                  </w:pPr>
                  <w:r>
                    <w:rPr>
                      <w:rFonts w:hint="eastAsia"/>
                      <w:bCs/>
                      <w:sz w:val="21"/>
                      <w:szCs w:val="21"/>
                    </w:rPr>
                    <w:t>本次道路排水工程采用钢筋混凝土承插管。</w:t>
                  </w:r>
                </w:p>
                <w:p w14:paraId="568E4B2B">
                  <w:pPr>
                    <w:pStyle w:val="5"/>
                    <w:spacing w:line="240" w:lineRule="auto"/>
                    <w:ind w:firstLine="0" w:firstLineChars="0"/>
                    <w:rPr>
                      <w:bCs/>
                      <w:sz w:val="21"/>
                      <w:szCs w:val="21"/>
                    </w:rPr>
                  </w:pPr>
                  <w:r>
                    <w:rPr>
                      <w:rFonts w:hint="eastAsia"/>
                      <w:bCs/>
                      <w:sz w:val="21"/>
                      <w:szCs w:val="21"/>
                    </w:rPr>
                    <w:t>施工图计范围为设计内容为成南大道连接线1段、太吉大道西延线1段及2段排水管道，其中</w:t>
                  </w:r>
                  <w:r>
                    <w:rPr>
                      <w:rFonts w:hint="eastAsia"/>
                      <w:b/>
                      <w:bCs/>
                      <w:sz w:val="21"/>
                      <w:szCs w:val="21"/>
                    </w:rPr>
                    <w:t>太吉大道西延线1段;</w:t>
                  </w:r>
                  <w:r>
                    <w:rPr>
                      <w:rFonts w:hint="eastAsia"/>
                      <w:bCs/>
                      <w:sz w:val="21"/>
                      <w:szCs w:val="21"/>
                    </w:rPr>
                    <w:t>雨水管道负责收集道路两侧小区及路面的雨水，管道采用单侧布置，管径为d600～d1200；污水管道负责收集道路两侧后期建设的小区所产生的污水，采用单侧布置，管径d500。</w:t>
                  </w:r>
                </w:p>
                <w:p w14:paraId="552CB535">
                  <w:pPr>
                    <w:pStyle w:val="5"/>
                    <w:spacing w:line="240" w:lineRule="auto"/>
                    <w:ind w:firstLine="0" w:firstLineChars="0"/>
                    <w:rPr>
                      <w:bCs/>
                      <w:sz w:val="21"/>
                      <w:szCs w:val="21"/>
                    </w:rPr>
                  </w:pPr>
                  <w:r>
                    <w:rPr>
                      <w:rFonts w:hint="eastAsia"/>
                      <w:b/>
                      <w:bCs/>
                      <w:sz w:val="21"/>
                      <w:szCs w:val="21"/>
                    </w:rPr>
                    <w:t>太吉大道西延线2段：</w:t>
                  </w:r>
                  <w:r>
                    <w:rPr>
                      <w:rFonts w:hint="eastAsia"/>
                      <w:bCs/>
                      <w:sz w:val="21"/>
                      <w:szCs w:val="21"/>
                    </w:rPr>
                    <w:t>雨水管道负责收集道路两侧小区及路面的雨水，管道采用单侧布置，管径为d600～d800；污水管道负责收集道路两侧后期建设的小区所产生的污水，采用单侧布置，管径d500。</w:t>
                  </w:r>
                </w:p>
                <w:p w14:paraId="00353293">
                  <w:pPr>
                    <w:pStyle w:val="5"/>
                    <w:spacing w:line="240" w:lineRule="auto"/>
                    <w:ind w:firstLine="0" w:firstLineChars="0"/>
                    <w:rPr>
                      <w:sz w:val="21"/>
                      <w:szCs w:val="21"/>
                    </w:rPr>
                  </w:pPr>
                  <w:r>
                    <w:rPr>
                      <w:rFonts w:hint="eastAsia"/>
                      <w:b/>
                      <w:bCs/>
                      <w:sz w:val="21"/>
                      <w:szCs w:val="21"/>
                    </w:rPr>
                    <w:t>成南大道连接线1段：</w:t>
                  </w:r>
                  <w:r>
                    <w:rPr>
                      <w:rFonts w:hint="eastAsia"/>
                      <w:bCs/>
                      <w:sz w:val="21"/>
                      <w:szCs w:val="21"/>
                    </w:rPr>
                    <w:t>雨水管道负责收集道路两侧小区及路面的雨水，管道采用单侧布置，管径为d600～d800。</w:t>
                  </w:r>
                </w:p>
              </w:tc>
              <w:tc>
                <w:tcPr>
                  <w:tcW w:w="1271" w:type="dxa"/>
                  <w:vMerge w:val="continue"/>
                  <w:vAlign w:val="center"/>
                </w:tcPr>
                <w:p w14:paraId="59C58291">
                  <w:pPr>
                    <w:jc w:val="center"/>
                    <w:rPr>
                      <w:szCs w:val="21"/>
                      <w:shd w:val="pct10" w:color="auto" w:fill="FFFFFF"/>
                    </w:rPr>
                  </w:pPr>
                </w:p>
              </w:tc>
              <w:tc>
                <w:tcPr>
                  <w:tcW w:w="1110" w:type="dxa"/>
                  <w:vMerge w:val="continue"/>
                  <w:vAlign w:val="center"/>
                </w:tcPr>
                <w:p w14:paraId="5D407E74">
                  <w:pPr>
                    <w:jc w:val="center"/>
                    <w:rPr>
                      <w:szCs w:val="21"/>
                      <w:shd w:val="pct10" w:color="auto" w:fill="FFFFFF"/>
                    </w:rPr>
                  </w:pPr>
                </w:p>
              </w:tc>
            </w:tr>
            <w:tr w14:paraId="0865490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9" w:hRule="atLeast"/>
                <w:jc w:val="center"/>
              </w:trPr>
              <w:tc>
                <w:tcPr>
                  <w:tcW w:w="395" w:type="dxa"/>
                  <w:vMerge w:val="continue"/>
                  <w:vAlign w:val="center"/>
                </w:tcPr>
                <w:p w14:paraId="798A142C">
                  <w:pPr>
                    <w:jc w:val="center"/>
                    <w:rPr>
                      <w:szCs w:val="21"/>
                    </w:rPr>
                  </w:pPr>
                </w:p>
              </w:tc>
              <w:tc>
                <w:tcPr>
                  <w:tcW w:w="695" w:type="dxa"/>
                  <w:vAlign w:val="center"/>
                </w:tcPr>
                <w:p w14:paraId="203CF532">
                  <w:pPr>
                    <w:adjustRightInd w:val="0"/>
                    <w:snapToGrid w:val="0"/>
                    <w:jc w:val="center"/>
                    <w:rPr>
                      <w:szCs w:val="21"/>
                    </w:rPr>
                  </w:pPr>
                  <w:r>
                    <w:rPr>
                      <w:rFonts w:hint="eastAsia"/>
                      <w:szCs w:val="21"/>
                    </w:rPr>
                    <w:t>交安工程</w:t>
                  </w:r>
                </w:p>
              </w:tc>
              <w:tc>
                <w:tcPr>
                  <w:tcW w:w="4906" w:type="dxa"/>
                  <w:vAlign w:val="center"/>
                </w:tcPr>
                <w:p w14:paraId="542BB844">
                  <w:pPr>
                    <w:adjustRightInd w:val="0"/>
                    <w:snapToGrid w:val="0"/>
                    <w:rPr>
                      <w:bCs/>
                      <w:szCs w:val="21"/>
                    </w:rPr>
                  </w:pPr>
                  <w:r>
                    <w:rPr>
                      <w:rFonts w:hint="eastAsia"/>
                      <w:bCs/>
                      <w:szCs w:val="21"/>
                    </w:rPr>
                    <w:t>工程主线道路等级为城市主干路，交通设施等级为B级。</w:t>
                  </w:r>
                </w:p>
                <w:p w14:paraId="4EE38BC1">
                  <w:pPr>
                    <w:adjustRightInd w:val="0"/>
                    <w:snapToGrid w:val="0"/>
                    <w:rPr>
                      <w:szCs w:val="21"/>
                    </w:rPr>
                  </w:pPr>
                  <w:r>
                    <w:rPr>
                      <w:rFonts w:hint="eastAsia"/>
                      <w:bCs/>
                      <w:szCs w:val="21"/>
                    </w:rPr>
                    <w:t>本次设计标志牌包括：警告、禁令、指示、指路标志，标志牌版面按照规范进行设置。根据《遂宁市公园城市智慧综合杆设计导则》在有条件的点位将交通标志与路灯合杆设置。</w:t>
                  </w:r>
                </w:p>
              </w:tc>
              <w:tc>
                <w:tcPr>
                  <w:tcW w:w="1271" w:type="dxa"/>
                  <w:vMerge w:val="continue"/>
                  <w:vAlign w:val="center"/>
                </w:tcPr>
                <w:p w14:paraId="25FA2C00">
                  <w:pPr>
                    <w:jc w:val="center"/>
                    <w:rPr>
                      <w:szCs w:val="21"/>
                      <w:shd w:val="pct10" w:color="auto" w:fill="FFFFFF"/>
                    </w:rPr>
                  </w:pPr>
                </w:p>
              </w:tc>
              <w:tc>
                <w:tcPr>
                  <w:tcW w:w="1110" w:type="dxa"/>
                  <w:vMerge w:val="continue"/>
                  <w:vAlign w:val="center"/>
                </w:tcPr>
                <w:p w14:paraId="53AE9AF8">
                  <w:pPr>
                    <w:jc w:val="center"/>
                    <w:rPr>
                      <w:szCs w:val="21"/>
                      <w:shd w:val="pct10" w:color="auto" w:fill="FFFFFF"/>
                    </w:rPr>
                  </w:pPr>
                </w:p>
              </w:tc>
            </w:tr>
            <w:tr w14:paraId="6874F2A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9" w:hRule="atLeast"/>
                <w:jc w:val="center"/>
              </w:trPr>
              <w:tc>
                <w:tcPr>
                  <w:tcW w:w="395" w:type="dxa"/>
                  <w:vMerge w:val="continue"/>
                  <w:vAlign w:val="center"/>
                </w:tcPr>
                <w:p w14:paraId="2E13D515">
                  <w:pPr>
                    <w:jc w:val="center"/>
                    <w:rPr>
                      <w:szCs w:val="21"/>
                    </w:rPr>
                  </w:pPr>
                </w:p>
              </w:tc>
              <w:tc>
                <w:tcPr>
                  <w:tcW w:w="695" w:type="dxa"/>
                  <w:vAlign w:val="center"/>
                </w:tcPr>
                <w:p w14:paraId="57928898">
                  <w:pPr>
                    <w:adjustRightInd w:val="0"/>
                    <w:snapToGrid w:val="0"/>
                    <w:jc w:val="center"/>
                    <w:rPr>
                      <w:szCs w:val="21"/>
                    </w:rPr>
                  </w:pPr>
                  <w:r>
                    <w:rPr>
                      <w:rFonts w:hint="eastAsia"/>
                      <w:bCs/>
                      <w:szCs w:val="21"/>
                    </w:rPr>
                    <w:t>平面交叉</w:t>
                  </w:r>
                </w:p>
              </w:tc>
              <w:tc>
                <w:tcPr>
                  <w:tcW w:w="4906" w:type="dxa"/>
                  <w:vAlign w:val="center"/>
                </w:tcPr>
                <w:p w14:paraId="0708F305">
                  <w:pPr>
                    <w:adjustRightInd w:val="0"/>
                    <w:snapToGrid w:val="0"/>
                    <w:rPr>
                      <w:bCs/>
                      <w:szCs w:val="21"/>
                    </w:rPr>
                  </w:pPr>
                  <w:r>
                    <w:rPr>
                      <w:rFonts w:hint="eastAsia"/>
                      <w:bCs/>
                      <w:szCs w:val="21"/>
                    </w:rPr>
                    <w:t>本次设计中的道路级别为城市主干路，相交道路主要为主干路、次干路和支路。其中，成南大道连接线与老城南高速顺接相交；太吉大道西延线与G350国道十字相交、与已建太吉大道顺接。</w:t>
                  </w:r>
                </w:p>
              </w:tc>
              <w:tc>
                <w:tcPr>
                  <w:tcW w:w="1271" w:type="dxa"/>
                  <w:vMerge w:val="continue"/>
                  <w:vAlign w:val="center"/>
                </w:tcPr>
                <w:p w14:paraId="127E371A">
                  <w:pPr>
                    <w:jc w:val="center"/>
                    <w:rPr>
                      <w:szCs w:val="21"/>
                      <w:shd w:val="pct10" w:color="auto" w:fill="FFFFFF"/>
                    </w:rPr>
                  </w:pPr>
                </w:p>
              </w:tc>
              <w:tc>
                <w:tcPr>
                  <w:tcW w:w="1110" w:type="dxa"/>
                  <w:vMerge w:val="continue"/>
                  <w:vAlign w:val="center"/>
                </w:tcPr>
                <w:p w14:paraId="096DD994">
                  <w:pPr>
                    <w:jc w:val="center"/>
                    <w:rPr>
                      <w:szCs w:val="21"/>
                      <w:shd w:val="pct10" w:color="auto" w:fill="FFFFFF"/>
                    </w:rPr>
                  </w:pPr>
                </w:p>
              </w:tc>
            </w:tr>
            <w:tr w14:paraId="06198A5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continue"/>
                  <w:vAlign w:val="center"/>
                </w:tcPr>
                <w:p w14:paraId="4DC9B0BF">
                  <w:pPr>
                    <w:jc w:val="center"/>
                    <w:rPr>
                      <w:szCs w:val="21"/>
                    </w:rPr>
                  </w:pPr>
                </w:p>
              </w:tc>
              <w:tc>
                <w:tcPr>
                  <w:tcW w:w="695" w:type="dxa"/>
                  <w:vAlign w:val="center"/>
                </w:tcPr>
                <w:p w14:paraId="4748B3B3">
                  <w:pPr>
                    <w:jc w:val="center"/>
                    <w:rPr>
                      <w:szCs w:val="21"/>
                    </w:rPr>
                  </w:pPr>
                  <w:r>
                    <w:rPr>
                      <w:rFonts w:hint="eastAsia"/>
                      <w:szCs w:val="21"/>
                    </w:rPr>
                    <w:t>景观绿化工程</w:t>
                  </w:r>
                </w:p>
              </w:tc>
              <w:tc>
                <w:tcPr>
                  <w:tcW w:w="4906" w:type="dxa"/>
                  <w:vAlign w:val="center"/>
                </w:tcPr>
                <w:p w14:paraId="223583A3">
                  <w:pPr>
                    <w:rPr>
                      <w:szCs w:val="21"/>
                    </w:rPr>
                  </w:pPr>
                  <w:r>
                    <w:rPr>
                      <w:rFonts w:hint="eastAsia"/>
                      <w:szCs w:val="21"/>
                    </w:rPr>
                    <w:t>道本道路的绿化景观仅为侧分带，采取设计平缓而简洁的处理方式；外立面装饰采用天府矩阵简易版、多年生草花及常绿植物遮挡围合或采用外观涂鸦美化</w:t>
                  </w:r>
                </w:p>
              </w:tc>
              <w:tc>
                <w:tcPr>
                  <w:tcW w:w="1271" w:type="dxa"/>
                  <w:vMerge w:val="continue"/>
                  <w:vAlign w:val="center"/>
                </w:tcPr>
                <w:p w14:paraId="42441560">
                  <w:pPr>
                    <w:jc w:val="center"/>
                    <w:rPr>
                      <w:szCs w:val="21"/>
                      <w:shd w:val="pct10" w:color="auto" w:fill="FFFFFF"/>
                    </w:rPr>
                  </w:pPr>
                </w:p>
              </w:tc>
              <w:tc>
                <w:tcPr>
                  <w:tcW w:w="1110" w:type="dxa"/>
                  <w:vMerge w:val="continue"/>
                  <w:vAlign w:val="center"/>
                </w:tcPr>
                <w:p w14:paraId="6A443CBF">
                  <w:pPr>
                    <w:jc w:val="center"/>
                    <w:rPr>
                      <w:szCs w:val="21"/>
                      <w:shd w:val="pct10" w:color="auto" w:fill="FFFFFF"/>
                    </w:rPr>
                  </w:pPr>
                </w:p>
              </w:tc>
            </w:tr>
            <w:tr w14:paraId="5E75702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continue"/>
                  <w:vAlign w:val="center"/>
                </w:tcPr>
                <w:p w14:paraId="394DB9F9">
                  <w:pPr>
                    <w:jc w:val="center"/>
                    <w:rPr>
                      <w:szCs w:val="21"/>
                    </w:rPr>
                  </w:pPr>
                </w:p>
              </w:tc>
              <w:tc>
                <w:tcPr>
                  <w:tcW w:w="695" w:type="dxa"/>
                  <w:vAlign w:val="center"/>
                </w:tcPr>
                <w:p w14:paraId="6777F637">
                  <w:pPr>
                    <w:jc w:val="center"/>
                    <w:rPr>
                      <w:szCs w:val="21"/>
                    </w:rPr>
                  </w:pPr>
                  <w:r>
                    <w:rPr>
                      <w:rFonts w:hint="eastAsia"/>
                      <w:szCs w:val="21"/>
                    </w:rPr>
                    <w:t>电力工程</w:t>
                  </w:r>
                </w:p>
              </w:tc>
              <w:tc>
                <w:tcPr>
                  <w:tcW w:w="4906" w:type="dxa"/>
                  <w:vAlign w:val="center"/>
                </w:tcPr>
                <w:p w14:paraId="74F548D0">
                  <w:pPr>
                    <w:rPr>
                      <w:szCs w:val="21"/>
                    </w:rPr>
                  </w:pPr>
                  <w:r>
                    <w:rPr>
                      <w:rFonts w:hint="eastAsia"/>
                      <w:bCs/>
                      <w:szCs w:val="21"/>
                    </w:rPr>
                    <w:t>本次道路均规划有电力管线，电力线路等级为10kV，管材采用CPVC电力管，壁厚5mm，电力通道规模：成南大道连接线1段采用16孔φ200电力排管，支线采用6孔φ200电力排管，过桥梁处采用32孔φ200电力排管。</w:t>
                  </w:r>
                </w:p>
              </w:tc>
              <w:tc>
                <w:tcPr>
                  <w:tcW w:w="1271" w:type="dxa"/>
                  <w:vMerge w:val="continue"/>
                  <w:vAlign w:val="center"/>
                </w:tcPr>
                <w:p w14:paraId="13F858DB">
                  <w:pPr>
                    <w:jc w:val="center"/>
                    <w:rPr>
                      <w:szCs w:val="21"/>
                      <w:shd w:val="pct10" w:color="auto" w:fill="FFFFFF"/>
                    </w:rPr>
                  </w:pPr>
                </w:p>
              </w:tc>
              <w:tc>
                <w:tcPr>
                  <w:tcW w:w="1110" w:type="dxa"/>
                  <w:vMerge w:val="continue"/>
                  <w:vAlign w:val="center"/>
                </w:tcPr>
                <w:p w14:paraId="2F355BC1">
                  <w:pPr>
                    <w:jc w:val="center"/>
                    <w:rPr>
                      <w:szCs w:val="21"/>
                      <w:shd w:val="pct10" w:color="auto" w:fill="FFFFFF"/>
                    </w:rPr>
                  </w:pPr>
                </w:p>
              </w:tc>
            </w:tr>
            <w:tr w14:paraId="20D96AF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continue"/>
                  <w:vAlign w:val="center"/>
                </w:tcPr>
                <w:p w14:paraId="6EFB0C0C">
                  <w:pPr>
                    <w:jc w:val="center"/>
                    <w:rPr>
                      <w:szCs w:val="21"/>
                    </w:rPr>
                  </w:pPr>
                </w:p>
              </w:tc>
              <w:tc>
                <w:tcPr>
                  <w:tcW w:w="695" w:type="dxa"/>
                  <w:vAlign w:val="center"/>
                </w:tcPr>
                <w:p w14:paraId="70A51A0A">
                  <w:pPr>
                    <w:jc w:val="center"/>
                    <w:rPr>
                      <w:szCs w:val="21"/>
                    </w:rPr>
                  </w:pPr>
                  <w:r>
                    <w:rPr>
                      <w:rFonts w:hint="eastAsia"/>
                      <w:szCs w:val="21"/>
                    </w:rPr>
                    <w:t>照明工程</w:t>
                  </w:r>
                </w:p>
              </w:tc>
              <w:tc>
                <w:tcPr>
                  <w:tcW w:w="4906" w:type="dxa"/>
                  <w:vAlign w:val="center"/>
                </w:tcPr>
                <w:p w14:paraId="7889183A">
                  <w:pPr>
                    <w:rPr>
                      <w:bCs/>
                      <w:szCs w:val="21"/>
                    </w:rPr>
                  </w:pPr>
                  <w:r>
                    <w:rPr>
                      <w:rFonts w:hint="eastAsia"/>
                      <w:b/>
                      <w:bCs/>
                      <w:szCs w:val="21"/>
                    </w:rPr>
                    <w:t>成南大道连接线：</w:t>
                  </w:r>
                  <w:r>
                    <w:rPr>
                      <w:rFonts w:hint="eastAsia"/>
                      <w:bCs/>
                      <w:szCs w:val="21"/>
                    </w:rPr>
                    <w:t>机动车道双侧对称布置，采用双挑智慧路灯，灯高12+12m ，臂长2m ，240W+120W LED灯，同侧杆间距40m；</w:t>
                  </w:r>
                  <w:r>
                    <w:rPr>
                      <w:rFonts w:hint="eastAsia"/>
                      <w:b/>
                      <w:bCs/>
                      <w:szCs w:val="21"/>
                    </w:rPr>
                    <w:t>科学城北路：</w:t>
                  </w:r>
                  <w:r>
                    <w:rPr>
                      <w:rFonts w:hint="eastAsia"/>
                      <w:bCs/>
                      <w:szCs w:val="21"/>
                    </w:rPr>
                    <w:t>机动车道双侧对称布置，采用双挑智慧路灯，灯高12+12m，臂长1.5m，180W+90W LED灯，同侧杆间距35m。</w:t>
                  </w:r>
                </w:p>
                <w:p w14:paraId="7089AEB0">
                  <w:r>
                    <w:rPr>
                      <w:rFonts w:hint="eastAsia"/>
                      <w:b/>
                      <w:bCs/>
                      <w:szCs w:val="21"/>
                    </w:rPr>
                    <w:t>太吉大道西延线：</w:t>
                  </w:r>
                  <w:r>
                    <w:rPr>
                      <w:rFonts w:hint="eastAsia"/>
                      <w:bCs/>
                      <w:szCs w:val="21"/>
                    </w:rPr>
                    <w:t>含人行道：机动车道单侧布置，采用双挑智慧路灯，灯高10+10m，臂长1.5m，120W+60WLED灯，同侧杆间距40m；不含人行道：机动车道单侧布置，采用单挑智慧路灯，灯高10m，臂长1.5m，120WLED灯，同侧杆间距40m。</w:t>
                  </w:r>
                </w:p>
              </w:tc>
              <w:tc>
                <w:tcPr>
                  <w:tcW w:w="1271" w:type="dxa"/>
                  <w:vMerge w:val="continue"/>
                  <w:vAlign w:val="center"/>
                </w:tcPr>
                <w:p w14:paraId="195D7D54">
                  <w:pPr>
                    <w:jc w:val="center"/>
                    <w:rPr>
                      <w:szCs w:val="21"/>
                      <w:shd w:val="pct10" w:color="auto" w:fill="FFFFFF"/>
                    </w:rPr>
                  </w:pPr>
                </w:p>
              </w:tc>
              <w:tc>
                <w:tcPr>
                  <w:tcW w:w="1110" w:type="dxa"/>
                  <w:vMerge w:val="continue"/>
                  <w:vAlign w:val="center"/>
                </w:tcPr>
                <w:p w14:paraId="431DC51B">
                  <w:pPr>
                    <w:jc w:val="center"/>
                    <w:rPr>
                      <w:szCs w:val="21"/>
                      <w:shd w:val="pct10" w:color="auto" w:fill="FFFFFF"/>
                    </w:rPr>
                  </w:pPr>
                </w:p>
              </w:tc>
            </w:tr>
            <w:tr w14:paraId="644A0A3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0" w:hRule="atLeast"/>
                <w:jc w:val="center"/>
              </w:trPr>
              <w:tc>
                <w:tcPr>
                  <w:tcW w:w="395" w:type="dxa"/>
                  <w:vMerge w:val="restart"/>
                  <w:vAlign w:val="center"/>
                </w:tcPr>
                <w:p w14:paraId="68DC249E">
                  <w:pPr>
                    <w:jc w:val="center"/>
                    <w:rPr>
                      <w:b/>
                      <w:szCs w:val="21"/>
                    </w:rPr>
                  </w:pPr>
                  <w:r>
                    <w:rPr>
                      <w:b/>
                      <w:szCs w:val="21"/>
                    </w:rPr>
                    <w:t>临时工程</w:t>
                  </w:r>
                </w:p>
              </w:tc>
              <w:tc>
                <w:tcPr>
                  <w:tcW w:w="695" w:type="dxa"/>
                  <w:vAlign w:val="center"/>
                </w:tcPr>
                <w:p w14:paraId="266A34D4">
                  <w:pPr>
                    <w:jc w:val="center"/>
                    <w:rPr>
                      <w:szCs w:val="21"/>
                    </w:rPr>
                  </w:pPr>
                  <w:r>
                    <w:rPr>
                      <w:szCs w:val="21"/>
                    </w:rPr>
                    <w:t>施工便道</w:t>
                  </w:r>
                </w:p>
              </w:tc>
              <w:tc>
                <w:tcPr>
                  <w:tcW w:w="4906" w:type="dxa"/>
                  <w:vAlign w:val="center"/>
                </w:tcPr>
                <w:p w14:paraId="6257D6B3">
                  <w:pPr>
                    <w:jc w:val="left"/>
                    <w:rPr>
                      <w:szCs w:val="21"/>
                    </w:rPr>
                  </w:pPr>
                  <w:r>
                    <w:rPr>
                      <w:rFonts w:hint="eastAsia"/>
                      <w:bCs/>
                      <w:szCs w:val="21"/>
                    </w:rPr>
                    <w:t>施工材料、土石弃方、建筑垃圾等运输，均依托项目周边现有道路，不设置施工便道。</w:t>
                  </w:r>
                </w:p>
              </w:tc>
              <w:tc>
                <w:tcPr>
                  <w:tcW w:w="1271" w:type="dxa"/>
                  <w:vMerge w:val="continue"/>
                  <w:vAlign w:val="center"/>
                </w:tcPr>
                <w:p w14:paraId="6CC04522">
                  <w:pPr>
                    <w:jc w:val="center"/>
                    <w:rPr>
                      <w:szCs w:val="21"/>
                      <w:shd w:val="pct10" w:color="auto" w:fill="FFFFFF"/>
                    </w:rPr>
                  </w:pPr>
                </w:p>
              </w:tc>
              <w:tc>
                <w:tcPr>
                  <w:tcW w:w="1110" w:type="dxa"/>
                  <w:vMerge w:val="restart"/>
                  <w:vAlign w:val="center"/>
                </w:tcPr>
                <w:p w14:paraId="3CB52E76">
                  <w:pPr>
                    <w:jc w:val="center"/>
                    <w:rPr>
                      <w:szCs w:val="21"/>
                      <w:shd w:val="pct10" w:color="auto" w:fill="FFFFFF"/>
                    </w:rPr>
                  </w:pPr>
                  <w:r>
                    <w:rPr>
                      <w:szCs w:val="21"/>
                    </w:rPr>
                    <w:t>施工结束后对占地进行恢复，并采取绿化等措施</w:t>
                  </w:r>
                </w:p>
              </w:tc>
            </w:tr>
            <w:tr w14:paraId="6E1D31C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0" w:hRule="atLeast"/>
                <w:jc w:val="center"/>
              </w:trPr>
              <w:tc>
                <w:tcPr>
                  <w:tcW w:w="395" w:type="dxa"/>
                  <w:vMerge w:val="continue"/>
                  <w:vAlign w:val="center"/>
                </w:tcPr>
                <w:p w14:paraId="67545ADA">
                  <w:pPr>
                    <w:jc w:val="center"/>
                    <w:rPr>
                      <w:szCs w:val="21"/>
                    </w:rPr>
                  </w:pPr>
                </w:p>
              </w:tc>
              <w:tc>
                <w:tcPr>
                  <w:tcW w:w="695" w:type="dxa"/>
                  <w:vAlign w:val="center"/>
                </w:tcPr>
                <w:p w14:paraId="35381892">
                  <w:pPr>
                    <w:jc w:val="center"/>
                    <w:rPr>
                      <w:szCs w:val="21"/>
                    </w:rPr>
                  </w:pPr>
                  <w:r>
                    <w:rPr>
                      <w:szCs w:val="21"/>
                    </w:rPr>
                    <w:t>施工场地</w:t>
                  </w:r>
                </w:p>
              </w:tc>
              <w:tc>
                <w:tcPr>
                  <w:tcW w:w="4906" w:type="dxa"/>
                  <w:vAlign w:val="center"/>
                </w:tcPr>
                <w:p w14:paraId="7B75EEB1">
                  <w:pPr>
                    <w:jc w:val="left"/>
                    <w:rPr>
                      <w:bCs/>
                      <w:szCs w:val="21"/>
                    </w:rPr>
                  </w:pPr>
                  <w:r>
                    <w:rPr>
                      <w:rFonts w:hint="eastAsia"/>
                      <w:bCs/>
                      <w:szCs w:val="21"/>
                    </w:rPr>
                    <w:t>3处，合计占地面积约10000m</w:t>
                  </w:r>
                  <w:r>
                    <w:rPr>
                      <w:rFonts w:hint="eastAsia"/>
                      <w:bCs/>
                      <w:szCs w:val="21"/>
                      <w:vertAlign w:val="superscript"/>
                    </w:rPr>
                    <w:t>2</w:t>
                  </w:r>
                  <w:r>
                    <w:rPr>
                      <w:rFonts w:hint="eastAsia"/>
                      <w:bCs/>
                      <w:szCs w:val="21"/>
                    </w:rPr>
                    <w:t>，均位于道路用地红线范围内，主要用于施工机械停放、材料堆放及钢筋加工等，不新增临时占地。</w:t>
                  </w:r>
                </w:p>
              </w:tc>
              <w:tc>
                <w:tcPr>
                  <w:tcW w:w="1271" w:type="dxa"/>
                  <w:vMerge w:val="continue"/>
                  <w:vAlign w:val="center"/>
                </w:tcPr>
                <w:p w14:paraId="30E640AC">
                  <w:pPr>
                    <w:jc w:val="center"/>
                    <w:rPr>
                      <w:szCs w:val="21"/>
                      <w:shd w:val="pct10" w:color="auto" w:fill="FFFFFF"/>
                    </w:rPr>
                  </w:pPr>
                </w:p>
              </w:tc>
              <w:tc>
                <w:tcPr>
                  <w:tcW w:w="1110" w:type="dxa"/>
                  <w:vMerge w:val="continue"/>
                  <w:vAlign w:val="center"/>
                </w:tcPr>
                <w:p w14:paraId="371E2A0D">
                  <w:pPr>
                    <w:jc w:val="center"/>
                    <w:rPr>
                      <w:szCs w:val="21"/>
                    </w:rPr>
                  </w:pPr>
                </w:p>
              </w:tc>
            </w:tr>
            <w:tr w14:paraId="08C8F50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0" w:hRule="atLeast"/>
                <w:jc w:val="center"/>
              </w:trPr>
              <w:tc>
                <w:tcPr>
                  <w:tcW w:w="395" w:type="dxa"/>
                  <w:vMerge w:val="continue"/>
                  <w:vAlign w:val="center"/>
                </w:tcPr>
                <w:p w14:paraId="51B3316B">
                  <w:pPr>
                    <w:jc w:val="center"/>
                    <w:rPr>
                      <w:szCs w:val="21"/>
                    </w:rPr>
                  </w:pPr>
                </w:p>
              </w:tc>
              <w:tc>
                <w:tcPr>
                  <w:tcW w:w="695" w:type="dxa"/>
                  <w:vAlign w:val="center"/>
                </w:tcPr>
                <w:p w14:paraId="2A526730">
                  <w:pPr>
                    <w:jc w:val="center"/>
                    <w:rPr>
                      <w:szCs w:val="21"/>
                    </w:rPr>
                  </w:pPr>
                  <w:r>
                    <w:rPr>
                      <w:szCs w:val="21"/>
                    </w:rPr>
                    <w:t>临时供水、供电</w:t>
                  </w:r>
                </w:p>
              </w:tc>
              <w:tc>
                <w:tcPr>
                  <w:tcW w:w="4906" w:type="dxa"/>
                  <w:vAlign w:val="center"/>
                </w:tcPr>
                <w:p w14:paraId="58CC4084">
                  <w:pPr>
                    <w:jc w:val="left"/>
                    <w:rPr>
                      <w:bCs/>
                      <w:szCs w:val="21"/>
                    </w:rPr>
                  </w:pPr>
                  <w:r>
                    <w:rPr>
                      <w:rFonts w:hint="eastAsia"/>
                      <w:bCs/>
                      <w:szCs w:val="21"/>
                    </w:rPr>
                    <w:t>施工期用电尽量利用附近已有电源；施工期生产用水以本项目附近的沟渠为水源；生活用水利用附近自来水。</w:t>
                  </w:r>
                </w:p>
              </w:tc>
              <w:tc>
                <w:tcPr>
                  <w:tcW w:w="1271" w:type="dxa"/>
                  <w:vMerge w:val="continue"/>
                  <w:vAlign w:val="center"/>
                </w:tcPr>
                <w:p w14:paraId="29A0D63A">
                  <w:pPr>
                    <w:jc w:val="center"/>
                    <w:rPr>
                      <w:szCs w:val="21"/>
                      <w:shd w:val="pct10" w:color="auto" w:fill="FFFFFF"/>
                    </w:rPr>
                  </w:pPr>
                </w:p>
              </w:tc>
              <w:tc>
                <w:tcPr>
                  <w:tcW w:w="1110" w:type="dxa"/>
                  <w:vMerge w:val="continue"/>
                  <w:vAlign w:val="center"/>
                </w:tcPr>
                <w:p w14:paraId="3C32C0FC">
                  <w:pPr>
                    <w:jc w:val="center"/>
                    <w:rPr>
                      <w:szCs w:val="21"/>
                    </w:rPr>
                  </w:pPr>
                </w:p>
              </w:tc>
            </w:tr>
            <w:tr w14:paraId="3AE3BA7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continue"/>
                  <w:vAlign w:val="center"/>
                </w:tcPr>
                <w:p w14:paraId="4DC2F9FE">
                  <w:pPr>
                    <w:jc w:val="center"/>
                    <w:rPr>
                      <w:szCs w:val="21"/>
                    </w:rPr>
                  </w:pPr>
                </w:p>
              </w:tc>
              <w:tc>
                <w:tcPr>
                  <w:tcW w:w="695" w:type="dxa"/>
                  <w:vAlign w:val="center"/>
                </w:tcPr>
                <w:p w14:paraId="4B95E4CB">
                  <w:pPr>
                    <w:adjustRightInd w:val="0"/>
                    <w:snapToGrid w:val="0"/>
                    <w:jc w:val="center"/>
                    <w:rPr>
                      <w:szCs w:val="21"/>
                    </w:rPr>
                  </w:pPr>
                  <w:r>
                    <w:rPr>
                      <w:szCs w:val="21"/>
                    </w:rPr>
                    <w:t>施工营地</w:t>
                  </w:r>
                </w:p>
              </w:tc>
              <w:tc>
                <w:tcPr>
                  <w:tcW w:w="4906" w:type="dxa"/>
                  <w:vAlign w:val="center"/>
                </w:tcPr>
                <w:p w14:paraId="034384FD">
                  <w:pPr>
                    <w:adjustRightInd w:val="0"/>
                    <w:snapToGrid w:val="0"/>
                    <w:rPr>
                      <w:szCs w:val="21"/>
                    </w:rPr>
                  </w:pPr>
                  <w:r>
                    <w:rPr>
                      <w:szCs w:val="21"/>
                    </w:rPr>
                    <w:t>项目不单独设置施工营地，就近租用当地民房。</w:t>
                  </w:r>
                </w:p>
              </w:tc>
              <w:tc>
                <w:tcPr>
                  <w:tcW w:w="1271" w:type="dxa"/>
                  <w:vMerge w:val="continue"/>
                  <w:vAlign w:val="center"/>
                </w:tcPr>
                <w:p w14:paraId="23027174">
                  <w:pPr>
                    <w:jc w:val="center"/>
                    <w:rPr>
                      <w:szCs w:val="21"/>
                      <w:shd w:val="pct10" w:color="auto" w:fill="FFFFFF"/>
                    </w:rPr>
                  </w:pPr>
                </w:p>
              </w:tc>
              <w:tc>
                <w:tcPr>
                  <w:tcW w:w="1110" w:type="dxa"/>
                  <w:vMerge w:val="continue"/>
                  <w:vAlign w:val="center"/>
                </w:tcPr>
                <w:p w14:paraId="4536E48B">
                  <w:pPr>
                    <w:jc w:val="center"/>
                    <w:rPr>
                      <w:szCs w:val="21"/>
                      <w:shd w:val="pct10" w:color="auto" w:fill="FFFFFF"/>
                    </w:rPr>
                  </w:pPr>
                </w:p>
              </w:tc>
            </w:tr>
            <w:tr w14:paraId="5E672EC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continue"/>
                  <w:vAlign w:val="center"/>
                </w:tcPr>
                <w:p w14:paraId="6D7C25B9">
                  <w:pPr>
                    <w:jc w:val="center"/>
                    <w:rPr>
                      <w:szCs w:val="21"/>
                    </w:rPr>
                  </w:pPr>
                </w:p>
              </w:tc>
              <w:tc>
                <w:tcPr>
                  <w:tcW w:w="695" w:type="dxa"/>
                  <w:vAlign w:val="center"/>
                </w:tcPr>
                <w:p w14:paraId="37EE77D4">
                  <w:pPr>
                    <w:adjustRightInd w:val="0"/>
                    <w:snapToGrid w:val="0"/>
                    <w:jc w:val="center"/>
                    <w:rPr>
                      <w:szCs w:val="21"/>
                    </w:rPr>
                  </w:pPr>
                  <w:r>
                    <w:rPr>
                      <w:szCs w:val="21"/>
                    </w:rPr>
                    <w:t>土石料场、拌合站等</w:t>
                  </w:r>
                </w:p>
              </w:tc>
              <w:tc>
                <w:tcPr>
                  <w:tcW w:w="4906" w:type="dxa"/>
                  <w:vAlign w:val="center"/>
                </w:tcPr>
                <w:p w14:paraId="53F1C541">
                  <w:pPr>
                    <w:adjustRightInd w:val="0"/>
                    <w:snapToGrid w:val="0"/>
                    <w:rPr>
                      <w:szCs w:val="21"/>
                    </w:rPr>
                  </w:pPr>
                  <w:r>
                    <w:rPr>
                      <w:rFonts w:hint="eastAsia"/>
                      <w:szCs w:val="21"/>
                    </w:rPr>
                    <w:t>本项目不自设土石料场、不设现场拌合，均依托附近采砂场、砼构件预制场及商品混凝土搅拌站；</w:t>
                  </w:r>
                </w:p>
              </w:tc>
              <w:tc>
                <w:tcPr>
                  <w:tcW w:w="1271" w:type="dxa"/>
                  <w:vMerge w:val="continue"/>
                  <w:vAlign w:val="center"/>
                </w:tcPr>
                <w:p w14:paraId="1A507F2F">
                  <w:pPr>
                    <w:jc w:val="center"/>
                    <w:rPr>
                      <w:szCs w:val="21"/>
                      <w:shd w:val="pct10" w:color="auto" w:fill="FFFFFF"/>
                    </w:rPr>
                  </w:pPr>
                </w:p>
              </w:tc>
              <w:tc>
                <w:tcPr>
                  <w:tcW w:w="1110" w:type="dxa"/>
                  <w:vMerge w:val="continue"/>
                  <w:vAlign w:val="center"/>
                </w:tcPr>
                <w:p w14:paraId="66F10EE0">
                  <w:pPr>
                    <w:jc w:val="center"/>
                    <w:rPr>
                      <w:szCs w:val="21"/>
                      <w:shd w:val="pct10" w:color="auto" w:fill="FFFFFF"/>
                    </w:rPr>
                  </w:pPr>
                </w:p>
              </w:tc>
            </w:tr>
            <w:tr w14:paraId="7FDEE2F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continue"/>
                  <w:vAlign w:val="center"/>
                </w:tcPr>
                <w:p w14:paraId="61CDF2A4">
                  <w:pPr>
                    <w:jc w:val="center"/>
                    <w:rPr>
                      <w:szCs w:val="21"/>
                    </w:rPr>
                  </w:pPr>
                </w:p>
              </w:tc>
              <w:tc>
                <w:tcPr>
                  <w:tcW w:w="695" w:type="dxa"/>
                  <w:vAlign w:val="center"/>
                </w:tcPr>
                <w:p w14:paraId="30F816EB">
                  <w:pPr>
                    <w:jc w:val="center"/>
                    <w:rPr>
                      <w:szCs w:val="21"/>
                    </w:rPr>
                  </w:pPr>
                  <w:r>
                    <w:rPr>
                      <w:szCs w:val="21"/>
                    </w:rPr>
                    <w:t>弃渣场</w:t>
                  </w:r>
                </w:p>
              </w:tc>
              <w:tc>
                <w:tcPr>
                  <w:tcW w:w="4906" w:type="dxa"/>
                  <w:vAlign w:val="center"/>
                </w:tcPr>
                <w:p w14:paraId="085E9C58">
                  <w:pPr>
                    <w:jc w:val="left"/>
                    <w:rPr>
                      <w:szCs w:val="21"/>
                    </w:rPr>
                  </w:pPr>
                  <w:r>
                    <w:rPr>
                      <w:rFonts w:hint="eastAsia"/>
                      <w:szCs w:val="21"/>
                    </w:rPr>
                    <w:t>经核算，本</w:t>
                  </w:r>
                  <w:r>
                    <w:rPr>
                      <w:szCs w:val="21"/>
                    </w:rPr>
                    <w:t>项目需要外借土方进行场地填筑，挖方</w:t>
                  </w:r>
                  <w:r>
                    <w:rPr>
                      <w:rFonts w:hint="eastAsia"/>
                      <w:szCs w:val="21"/>
                    </w:rPr>
                    <w:t>小于填方，开挖</w:t>
                  </w:r>
                  <w:r>
                    <w:rPr>
                      <w:szCs w:val="21"/>
                    </w:rPr>
                    <w:t>过程土方</w:t>
                  </w:r>
                  <w:r>
                    <w:rPr>
                      <w:rFonts w:hint="eastAsia"/>
                      <w:szCs w:val="21"/>
                    </w:rPr>
                    <w:t>直接</w:t>
                  </w:r>
                  <w:r>
                    <w:rPr>
                      <w:szCs w:val="21"/>
                    </w:rPr>
                    <w:t>用于回填，因此无弃方</w:t>
                  </w:r>
                  <w:r>
                    <w:rPr>
                      <w:rFonts w:hint="eastAsia"/>
                      <w:szCs w:val="21"/>
                    </w:rPr>
                    <w:t>产生</w:t>
                  </w:r>
                  <w:r>
                    <w:rPr>
                      <w:szCs w:val="21"/>
                    </w:rPr>
                    <w:t xml:space="preserve">。 </w:t>
                  </w:r>
                </w:p>
              </w:tc>
              <w:tc>
                <w:tcPr>
                  <w:tcW w:w="1271" w:type="dxa"/>
                  <w:vMerge w:val="continue"/>
                  <w:vAlign w:val="center"/>
                </w:tcPr>
                <w:p w14:paraId="375D3C7E">
                  <w:pPr>
                    <w:jc w:val="center"/>
                    <w:rPr>
                      <w:szCs w:val="21"/>
                      <w:shd w:val="pct10" w:color="auto" w:fill="FFFFFF"/>
                    </w:rPr>
                  </w:pPr>
                </w:p>
              </w:tc>
              <w:tc>
                <w:tcPr>
                  <w:tcW w:w="1110" w:type="dxa"/>
                  <w:vMerge w:val="continue"/>
                  <w:vAlign w:val="center"/>
                </w:tcPr>
                <w:p w14:paraId="4A4A1DD8">
                  <w:pPr>
                    <w:jc w:val="center"/>
                    <w:rPr>
                      <w:szCs w:val="21"/>
                      <w:shd w:val="pct10" w:color="auto" w:fill="FFFFFF"/>
                    </w:rPr>
                  </w:pPr>
                </w:p>
              </w:tc>
            </w:tr>
            <w:tr w14:paraId="33772C9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continue"/>
                  <w:vAlign w:val="center"/>
                </w:tcPr>
                <w:p w14:paraId="7602502A">
                  <w:pPr>
                    <w:jc w:val="center"/>
                    <w:rPr>
                      <w:szCs w:val="21"/>
                      <w:shd w:val="pct10" w:color="auto" w:fill="FFFFFF"/>
                    </w:rPr>
                  </w:pPr>
                </w:p>
              </w:tc>
              <w:tc>
                <w:tcPr>
                  <w:tcW w:w="695" w:type="dxa"/>
                  <w:vAlign w:val="center"/>
                </w:tcPr>
                <w:p w14:paraId="0F435E86">
                  <w:pPr>
                    <w:jc w:val="center"/>
                    <w:rPr>
                      <w:szCs w:val="21"/>
                      <w:shd w:val="pct10" w:color="auto" w:fill="FFFFFF"/>
                    </w:rPr>
                  </w:pPr>
                  <w:r>
                    <w:rPr>
                      <w:szCs w:val="21"/>
                    </w:rPr>
                    <w:t>临时堆场</w:t>
                  </w:r>
                </w:p>
              </w:tc>
              <w:tc>
                <w:tcPr>
                  <w:tcW w:w="4906" w:type="dxa"/>
                  <w:vAlign w:val="center"/>
                </w:tcPr>
                <w:p w14:paraId="60A1F532">
                  <w:pPr>
                    <w:jc w:val="left"/>
                    <w:rPr>
                      <w:szCs w:val="21"/>
                    </w:rPr>
                  </w:pPr>
                  <w:r>
                    <w:rPr>
                      <w:szCs w:val="21"/>
                    </w:rPr>
                    <w:t>本项目拟在</w:t>
                  </w:r>
                  <w:r>
                    <w:rPr>
                      <w:rFonts w:hint="eastAsia"/>
                      <w:szCs w:val="21"/>
                    </w:rPr>
                    <w:t>各施工路段分别</w:t>
                  </w:r>
                  <w:r>
                    <w:rPr>
                      <w:szCs w:val="21"/>
                    </w:rPr>
                    <w:t>设置</w:t>
                  </w:r>
                  <w:r>
                    <w:rPr>
                      <w:rFonts w:hint="eastAsia"/>
                      <w:szCs w:val="21"/>
                    </w:rPr>
                    <w:t>表土临时堆放场地，共计3处，占地面积约10000m</w:t>
                  </w:r>
                  <w:r>
                    <w:rPr>
                      <w:rFonts w:hint="eastAsia"/>
                      <w:szCs w:val="21"/>
                      <w:vertAlign w:val="superscript"/>
                    </w:rPr>
                    <w:t>2</w:t>
                  </w:r>
                  <w:r>
                    <w:rPr>
                      <w:rFonts w:hint="eastAsia"/>
                      <w:szCs w:val="21"/>
                    </w:rPr>
                    <w:t>、全部位于用地红线范围内，主要用于集中堆放因施工而剥离的表土。临时堆场采取篷布覆盖，设置截排水沟和雨水沉淀池，后期用于绿化土回填</w:t>
                  </w:r>
                </w:p>
              </w:tc>
              <w:tc>
                <w:tcPr>
                  <w:tcW w:w="1271" w:type="dxa"/>
                  <w:vMerge w:val="continue"/>
                  <w:vAlign w:val="center"/>
                </w:tcPr>
                <w:p w14:paraId="1D6A8DF7">
                  <w:pPr>
                    <w:jc w:val="center"/>
                    <w:rPr>
                      <w:szCs w:val="21"/>
                      <w:shd w:val="pct10" w:color="auto" w:fill="FFFFFF"/>
                    </w:rPr>
                  </w:pPr>
                </w:p>
              </w:tc>
              <w:tc>
                <w:tcPr>
                  <w:tcW w:w="1110" w:type="dxa"/>
                  <w:vMerge w:val="continue"/>
                  <w:vAlign w:val="center"/>
                </w:tcPr>
                <w:p w14:paraId="765D32D8">
                  <w:pPr>
                    <w:jc w:val="center"/>
                    <w:rPr>
                      <w:szCs w:val="21"/>
                      <w:shd w:val="pct10" w:color="auto" w:fill="FFFFFF"/>
                    </w:rPr>
                  </w:pPr>
                </w:p>
              </w:tc>
            </w:tr>
            <w:tr w14:paraId="133DE03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restart"/>
                  <w:vAlign w:val="center"/>
                </w:tcPr>
                <w:p w14:paraId="520913E3">
                  <w:pPr>
                    <w:jc w:val="center"/>
                    <w:rPr>
                      <w:b/>
                      <w:szCs w:val="21"/>
                    </w:rPr>
                  </w:pPr>
                  <w:r>
                    <w:rPr>
                      <w:b/>
                      <w:szCs w:val="21"/>
                    </w:rPr>
                    <w:t>占地拆迁</w:t>
                  </w:r>
                </w:p>
              </w:tc>
              <w:tc>
                <w:tcPr>
                  <w:tcW w:w="695" w:type="dxa"/>
                  <w:vAlign w:val="center"/>
                </w:tcPr>
                <w:p w14:paraId="2719E7C6">
                  <w:pPr>
                    <w:jc w:val="center"/>
                    <w:rPr>
                      <w:szCs w:val="21"/>
                    </w:rPr>
                  </w:pPr>
                  <w:r>
                    <w:rPr>
                      <w:szCs w:val="21"/>
                    </w:rPr>
                    <w:t>占地类型</w:t>
                  </w:r>
                </w:p>
              </w:tc>
              <w:tc>
                <w:tcPr>
                  <w:tcW w:w="4906" w:type="dxa"/>
                  <w:vAlign w:val="center"/>
                </w:tcPr>
                <w:p w14:paraId="2753FBC2">
                  <w:pPr>
                    <w:jc w:val="left"/>
                    <w:rPr>
                      <w:szCs w:val="21"/>
                    </w:rPr>
                  </w:pPr>
                  <w:r>
                    <w:rPr>
                      <w:rFonts w:hint="eastAsia"/>
                      <w:szCs w:val="21"/>
                    </w:rPr>
                    <w:t>永久占地10.27h</w:t>
                  </w:r>
                  <w:r>
                    <w:rPr>
                      <w:szCs w:val="21"/>
                    </w:rPr>
                    <w:t>m</w:t>
                  </w:r>
                  <w:r>
                    <w:rPr>
                      <w:szCs w:val="21"/>
                      <w:vertAlign w:val="superscript"/>
                    </w:rPr>
                    <w:t>2</w:t>
                  </w:r>
                  <w:r>
                    <w:rPr>
                      <w:rFonts w:hint="eastAsia"/>
                      <w:szCs w:val="21"/>
                    </w:rPr>
                    <w:t>，占地类型为交通设施用地、耕地（不涉及基本农田）、林地、荒草地等，临时占地10000m</w:t>
                  </w:r>
                  <w:r>
                    <w:rPr>
                      <w:rFonts w:hint="eastAsia"/>
                      <w:szCs w:val="21"/>
                      <w:vertAlign w:val="superscript"/>
                    </w:rPr>
                    <w:t>2</w:t>
                  </w:r>
                  <w:r>
                    <w:rPr>
                      <w:rFonts w:hint="eastAsia"/>
                      <w:szCs w:val="21"/>
                    </w:rPr>
                    <w:t>，均位于项目用地红线范围内，不新增临时占地。</w:t>
                  </w:r>
                </w:p>
              </w:tc>
              <w:tc>
                <w:tcPr>
                  <w:tcW w:w="1271" w:type="dxa"/>
                  <w:vAlign w:val="center"/>
                </w:tcPr>
                <w:p w14:paraId="2DBBE508">
                  <w:pPr>
                    <w:jc w:val="center"/>
                    <w:rPr>
                      <w:szCs w:val="21"/>
                    </w:rPr>
                  </w:pPr>
                  <w:r>
                    <w:rPr>
                      <w:szCs w:val="21"/>
                    </w:rPr>
                    <w:t>/</w:t>
                  </w:r>
                </w:p>
              </w:tc>
              <w:tc>
                <w:tcPr>
                  <w:tcW w:w="1110" w:type="dxa"/>
                  <w:vAlign w:val="center"/>
                </w:tcPr>
                <w:p w14:paraId="6FDCEF7C">
                  <w:pPr>
                    <w:jc w:val="center"/>
                    <w:rPr>
                      <w:szCs w:val="21"/>
                    </w:rPr>
                  </w:pPr>
                  <w:r>
                    <w:rPr>
                      <w:szCs w:val="21"/>
                    </w:rPr>
                    <w:t>/</w:t>
                  </w:r>
                </w:p>
              </w:tc>
            </w:tr>
            <w:tr w14:paraId="41E4A7A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continue"/>
                  <w:vAlign w:val="center"/>
                </w:tcPr>
                <w:p w14:paraId="01502AC3">
                  <w:pPr>
                    <w:jc w:val="center"/>
                    <w:rPr>
                      <w:b/>
                      <w:szCs w:val="21"/>
                    </w:rPr>
                  </w:pPr>
                </w:p>
              </w:tc>
              <w:tc>
                <w:tcPr>
                  <w:tcW w:w="695" w:type="dxa"/>
                  <w:vAlign w:val="center"/>
                </w:tcPr>
                <w:p w14:paraId="2A3FDEFE">
                  <w:pPr>
                    <w:ind w:left="-38" w:leftChars="-18" w:right="-36" w:rightChars="-17"/>
                    <w:jc w:val="center"/>
                    <w:rPr>
                      <w:szCs w:val="21"/>
                    </w:rPr>
                  </w:pPr>
                  <w:r>
                    <w:rPr>
                      <w:szCs w:val="21"/>
                    </w:rPr>
                    <w:t>拆迁与安置</w:t>
                  </w:r>
                </w:p>
              </w:tc>
              <w:tc>
                <w:tcPr>
                  <w:tcW w:w="4906" w:type="dxa"/>
                  <w:vAlign w:val="center"/>
                </w:tcPr>
                <w:p w14:paraId="68341F19">
                  <w:pPr>
                    <w:jc w:val="left"/>
                    <w:rPr>
                      <w:szCs w:val="21"/>
                    </w:rPr>
                  </w:pPr>
                  <w:r>
                    <w:rPr>
                      <w:rFonts w:hint="eastAsia"/>
                      <w:szCs w:val="21"/>
                    </w:rPr>
                    <w:t>本项目涉及的拆迁安置由当地政府部门完成。</w:t>
                  </w:r>
                </w:p>
              </w:tc>
              <w:tc>
                <w:tcPr>
                  <w:tcW w:w="1271" w:type="dxa"/>
                  <w:vAlign w:val="center"/>
                </w:tcPr>
                <w:p w14:paraId="2FB97831">
                  <w:pPr>
                    <w:jc w:val="center"/>
                    <w:rPr>
                      <w:szCs w:val="21"/>
                    </w:rPr>
                  </w:pPr>
                  <w:r>
                    <w:rPr>
                      <w:szCs w:val="21"/>
                    </w:rPr>
                    <w:t>/</w:t>
                  </w:r>
                </w:p>
              </w:tc>
              <w:tc>
                <w:tcPr>
                  <w:tcW w:w="1110" w:type="dxa"/>
                  <w:vAlign w:val="center"/>
                </w:tcPr>
                <w:p w14:paraId="50567075">
                  <w:pPr>
                    <w:jc w:val="center"/>
                    <w:rPr>
                      <w:szCs w:val="21"/>
                    </w:rPr>
                  </w:pPr>
                  <w:r>
                    <w:rPr>
                      <w:szCs w:val="21"/>
                    </w:rPr>
                    <w:t>/</w:t>
                  </w:r>
                </w:p>
              </w:tc>
            </w:tr>
            <w:tr w14:paraId="79A05B6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restart"/>
                  <w:vAlign w:val="center"/>
                </w:tcPr>
                <w:p w14:paraId="50324169">
                  <w:pPr>
                    <w:jc w:val="center"/>
                    <w:rPr>
                      <w:b/>
                      <w:szCs w:val="21"/>
                    </w:rPr>
                  </w:pPr>
                  <w:r>
                    <w:rPr>
                      <w:b/>
                      <w:szCs w:val="21"/>
                    </w:rPr>
                    <w:t>环保工程</w:t>
                  </w:r>
                </w:p>
              </w:tc>
              <w:tc>
                <w:tcPr>
                  <w:tcW w:w="695" w:type="dxa"/>
                  <w:vAlign w:val="center"/>
                </w:tcPr>
                <w:p w14:paraId="321CB49B">
                  <w:pPr>
                    <w:jc w:val="center"/>
                    <w:rPr>
                      <w:szCs w:val="21"/>
                    </w:rPr>
                  </w:pPr>
                  <w:r>
                    <w:rPr>
                      <w:szCs w:val="21"/>
                    </w:rPr>
                    <w:t>水土保持措施</w:t>
                  </w:r>
                </w:p>
              </w:tc>
              <w:tc>
                <w:tcPr>
                  <w:tcW w:w="4906" w:type="dxa"/>
                  <w:vAlign w:val="center"/>
                </w:tcPr>
                <w:p w14:paraId="0E4C4475">
                  <w:pPr>
                    <w:jc w:val="left"/>
                    <w:rPr>
                      <w:szCs w:val="21"/>
                    </w:rPr>
                  </w:pPr>
                  <w:r>
                    <w:rPr>
                      <w:b/>
                      <w:kern w:val="0"/>
                      <w:szCs w:val="21"/>
                    </w:rPr>
                    <w:t>施工期：</w:t>
                  </w:r>
                  <w:r>
                    <w:rPr>
                      <w:kern w:val="0"/>
                      <w:szCs w:val="21"/>
                    </w:rPr>
                    <w:t>裸土采用无纺布覆盖、土袋拦挡、沉砂池、泥浆沉淀池、复耕、绿化恢复等措施。</w:t>
                  </w:r>
                </w:p>
              </w:tc>
              <w:tc>
                <w:tcPr>
                  <w:tcW w:w="1271" w:type="dxa"/>
                  <w:vAlign w:val="center"/>
                </w:tcPr>
                <w:p w14:paraId="1436D747">
                  <w:pPr>
                    <w:jc w:val="center"/>
                    <w:rPr>
                      <w:szCs w:val="21"/>
                    </w:rPr>
                  </w:pPr>
                  <w:r>
                    <w:rPr>
                      <w:szCs w:val="21"/>
                    </w:rPr>
                    <w:t>/</w:t>
                  </w:r>
                </w:p>
              </w:tc>
              <w:tc>
                <w:tcPr>
                  <w:tcW w:w="1110" w:type="dxa"/>
                  <w:vAlign w:val="center"/>
                </w:tcPr>
                <w:p w14:paraId="0C20271C">
                  <w:pPr>
                    <w:jc w:val="center"/>
                    <w:rPr>
                      <w:szCs w:val="21"/>
                    </w:rPr>
                  </w:pPr>
                  <w:r>
                    <w:rPr>
                      <w:szCs w:val="21"/>
                    </w:rPr>
                    <w:t>/</w:t>
                  </w:r>
                </w:p>
              </w:tc>
            </w:tr>
            <w:tr w14:paraId="64BD569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9" w:hRule="atLeast"/>
                <w:jc w:val="center"/>
              </w:trPr>
              <w:tc>
                <w:tcPr>
                  <w:tcW w:w="395" w:type="dxa"/>
                  <w:vMerge w:val="continue"/>
                  <w:vAlign w:val="center"/>
                </w:tcPr>
                <w:p w14:paraId="21C502D9">
                  <w:pPr>
                    <w:jc w:val="center"/>
                    <w:rPr>
                      <w:szCs w:val="21"/>
                    </w:rPr>
                  </w:pPr>
                </w:p>
              </w:tc>
              <w:tc>
                <w:tcPr>
                  <w:tcW w:w="695" w:type="dxa"/>
                  <w:vAlign w:val="center"/>
                </w:tcPr>
                <w:p w14:paraId="5920EA39">
                  <w:pPr>
                    <w:jc w:val="center"/>
                    <w:rPr>
                      <w:szCs w:val="21"/>
                    </w:rPr>
                  </w:pPr>
                  <w:r>
                    <w:rPr>
                      <w:szCs w:val="21"/>
                    </w:rPr>
                    <w:t>废水治理措施</w:t>
                  </w:r>
                </w:p>
              </w:tc>
              <w:tc>
                <w:tcPr>
                  <w:tcW w:w="4906" w:type="dxa"/>
                  <w:vAlign w:val="center"/>
                </w:tcPr>
                <w:p w14:paraId="50BE481F">
                  <w:pPr>
                    <w:jc w:val="left"/>
                    <w:rPr>
                      <w:szCs w:val="21"/>
                    </w:rPr>
                  </w:pPr>
                  <w:r>
                    <w:rPr>
                      <w:rFonts w:hint="eastAsia"/>
                      <w:b/>
                      <w:szCs w:val="21"/>
                    </w:rPr>
                    <w:t>施工期：</w:t>
                  </w:r>
                  <w:r>
                    <w:rPr>
                      <w:rFonts w:hint="eastAsia"/>
                      <w:szCs w:val="21"/>
                    </w:rPr>
                    <w:t>施工场地废水内修建截排水沟，设置临时沉淀池、隔油池对收集的施工废水进行沉淀处理，回用于洒水降尘；生活污水依托所租赁的房屋的废水设施；施工场地进出口设置1处洗车池、3座隔油沉砂池（V≥5m</w:t>
                  </w:r>
                  <w:r>
                    <w:rPr>
                      <w:rFonts w:hint="eastAsia"/>
                      <w:szCs w:val="21"/>
                      <w:vertAlign w:val="superscript"/>
                    </w:rPr>
                    <w:t>3</w:t>
                  </w:r>
                  <w:r>
                    <w:rPr>
                      <w:rFonts w:hint="eastAsia"/>
                      <w:szCs w:val="21"/>
                    </w:rPr>
                    <w:t>），冲洗废水经隔油沉淀后用于洒水抑尘。</w:t>
                  </w:r>
                </w:p>
                <w:p w14:paraId="51E18A70">
                  <w:pPr>
                    <w:jc w:val="left"/>
                    <w:rPr>
                      <w:szCs w:val="21"/>
                    </w:rPr>
                  </w:pPr>
                  <w:r>
                    <w:rPr>
                      <w:rFonts w:hint="eastAsia"/>
                      <w:b/>
                      <w:szCs w:val="21"/>
                    </w:rPr>
                    <w:t>营运期：</w:t>
                  </w:r>
                  <w:r>
                    <w:rPr>
                      <w:rFonts w:hint="eastAsia"/>
                      <w:szCs w:val="21"/>
                    </w:rPr>
                    <w:t>路面雨水通过雨水井收集，排入雨水管网</w:t>
                  </w:r>
                </w:p>
              </w:tc>
              <w:tc>
                <w:tcPr>
                  <w:tcW w:w="1271" w:type="dxa"/>
                  <w:vAlign w:val="center"/>
                </w:tcPr>
                <w:p w14:paraId="5BEE8142">
                  <w:pPr>
                    <w:jc w:val="center"/>
                    <w:rPr>
                      <w:szCs w:val="21"/>
                    </w:rPr>
                  </w:pPr>
                  <w:r>
                    <w:rPr>
                      <w:szCs w:val="21"/>
                    </w:rPr>
                    <w:t>废水</w:t>
                  </w:r>
                </w:p>
              </w:tc>
              <w:tc>
                <w:tcPr>
                  <w:tcW w:w="1110" w:type="dxa"/>
                  <w:vAlign w:val="center"/>
                </w:tcPr>
                <w:p w14:paraId="644D45F1">
                  <w:pPr>
                    <w:jc w:val="center"/>
                    <w:rPr>
                      <w:szCs w:val="21"/>
                    </w:rPr>
                  </w:pPr>
                  <w:r>
                    <w:rPr>
                      <w:szCs w:val="21"/>
                    </w:rPr>
                    <w:t>/</w:t>
                  </w:r>
                </w:p>
              </w:tc>
            </w:tr>
            <w:tr w14:paraId="3B94556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9" w:hRule="atLeast"/>
                <w:jc w:val="center"/>
              </w:trPr>
              <w:tc>
                <w:tcPr>
                  <w:tcW w:w="395" w:type="dxa"/>
                  <w:vMerge w:val="continue"/>
                  <w:vAlign w:val="center"/>
                </w:tcPr>
                <w:p w14:paraId="12965FD1">
                  <w:pPr>
                    <w:jc w:val="center"/>
                    <w:rPr>
                      <w:szCs w:val="21"/>
                    </w:rPr>
                  </w:pPr>
                </w:p>
              </w:tc>
              <w:tc>
                <w:tcPr>
                  <w:tcW w:w="695" w:type="dxa"/>
                  <w:vAlign w:val="center"/>
                </w:tcPr>
                <w:p w14:paraId="42ACDA2C">
                  <w:pPr>
                    <w:jc w:val="center"/>
                    <w:rPr>
                      <w:szCs w:val="21"/>
                    </w:rPr>
                  </w:pPr>
                  <w:r>
                    <w:rPr>
                      <w:szCs w:val="21"/>
                    </w:rPr>
                    <w:t>大气</w:t>
                  </w:r>
                  <w:r>
                    <w:rPr>
                      <w:rFonts w:hint="eastAsia"/>
                      <w:szCs w:val="21"/>
                    </w:rPr>
                    <w:t>防治</w:t>
                  </w:r>
                  <w:r>
                    <w:rPr>
                      <w:szCs w:val="21"/>
                    </w:rPr>
                    <w:t>措施</w:t>
                  </w:r>
                </w:p>
              </w:tc>
              <w:tc>
                <w:tcPr>
                  <w:tcW w:w="4906" w:type="dxa"/>
                  <w:vAlign w:val="center"/>
                </w:tcPr>
                <w:p w14:paraId="48BF0668">
                  <w:pPr>
                    <w:jc w:val="left"/>
                    <w:rPr>
                      <w:szCs w:val="21"/>
                    </w:rPr>
                  </w:pPr>
                  <w:r>
                    <w:rPr>
                      <w:b/>
                      <w:szCs w:val="21"/>
                    </w:rPr>
                    <w:t>施工期：</w:t>
                  </w:r>
                  <w:r>
                    <w:rPr>
                      <w:szCs w:val="21"/>
                    </w:rPr>
                    <w:t>施工场地洒水；建渣垃圾及时清运；对裸露地面和建筑物料进行覆盖、遮盖；物料运输和堆放遮挡覆盖</w:t>
                  </w:r>
                  <w:r>
                    <w:rPr>
                      <w:rFonts w:hint="eastAsia"/>
                      <w:szCs w:val="21"/>
                    </w:rPr>
                    <w:t>，</w:t>
                  </w:r>
                  <w:r>
                    <w:rPr>
                      <w:szCs w:val="21"/>
                    </w:rPr>
                    <w:t>进出场车辆冲洗车身及轮胎；</w:t>
                  </w:r>
                </w:p>
                <w:p w14:paraId="7E730094">
                  <w:pPr>
                    <w:jc w:val="left"/>
                    <w:rPr>
                      <w:szCs w:val="21"/>
                    </w:rPr>
                  </w:pPr>
                  <w:r>
                    <w:rPr>
                      <w:rFonts w:hint="eastAsia"/>
                      <w:b/>
                      <w:szCs w:val="21"/>
                    </w:rPr>
                    <w:t>运营期：</w:t>
                  </w:r>
                  <w:r>
                    <w:rPr>
                      <w:rFonts w:hint="eastAsia"/>
                      <w:szCs w:val="21"/>
                    </w:rPr>
                    <w:t>通过提高燃料品质、车辆加装尾气处理装置、控制车速，定期路面养护，加强道路两侧绿化。</w:t>
                  </w:r>
                </w:p>
              </w:tc>
              <w:tc>
                <w:tcPr>
                  <w:tcW w:w="1271" w:type="dxa"/>
                  <w:vAlign w:val="center"/>
                </w:tcPr>
                <w:p w14:paraId="2CDBBCD3">
                  <w:pPr>
                    <w:jc w:val="center"/>
                    <w:rPr>
                      <w:szCs w:val="21"/>
                    </w:rPr>
                  </w:pPr>
                  <w:r>
                    <w:rPr>
                      <w:szCs w:val="21"/>
                    </w:rPr>
                    <w:t>废气</w:t>
                  </w:r>
                </w:p>
              </w:tc>
              <w:tc>
                <w:tcPr>
                  <w:tcW w:w="1110" w:type="dxa"/>
                  <w:vAlign w:val="center"/>
                </w:tcPr>
                <w:p w14:paraId="5BAFE5A8">
                  <w:pPr>
                    <w:jc w:val="center"/>
                    <w:rPr>
                      <w:szCs w:val="21"/>
                    </w:rPr>
                  </w:pPr>
                  <w:r>
                    <w:rPr>
                      <w:szCs w:val="21"/>
                    </w:rPr>
                    <w:t>/</w:t>
                  </w:r>
                </w:p>
              </w:tc>
            </w:tr>
            <w:tr w14:paraId="2E015A9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395" w:type="dxa"/>
                  <w:vMerge w:val="continue"/>
                  <w:vAlign w:val="center"/>
                </w:tcPr>
                <w:p w14:paraId="5541BFAE">
                  <w:pPr>
                    <w:jc w:val="center"/>
                    <w:rPr>
                      <w:szCs w:val="21"/>
                    </w:rPr>
                  </w:pPr>
                </w:p>
              </w:tc>
              <w:tc>
                <w:tcPr>
                  <w:tcW w:w="695" w:type="dxa"/>
                  <w:vAlign w:val="center"/>
                </w:tcPr>
                <w:p w14:paraId="2B25B636">
                  <w:pPr>
                    <w:jc w:val="center"/>
                    <w:rPr>
                      <w:szCs w:val="21"/>
                    </w:rPr>
                  </w:pPr>
                  <w:r>
                    <w:rPr>
                      <w:szCs w:val="21"/>
                    </w:rPr>
                    <w:t>噪声治理</w:t>
                  </w:r>
                </w:p>
              </w:tc>
              <w:tc>
                <w:tcPr>
                  <w:tcW w:w="4906" w:type="dxa"/>
                  <w:vAlign w:val="center"/>
                </w:tcPr>
                <w:p w14:paraId="50B745CF">
                  <w:pPr>
                    <w:jc w:val="left"/>
                    <w:rPr>
                      <w:szCs w:val="21"/>
                    </w:rPr>
                  </w:pPr>
                  <w:r>
                    <w:rPr>
                      <w:b/>
                      <w:szCs w:val="21"/>
                    </w:rPr>
                    <w:t>施工期：</w:t>
                  </w:r>
                  <w:r>
                    <w:rPr>
                      <w:szCs w:val="21"/>
                    </w:rPr>
                    <w:t>选用低噪声机械，加强车辆及设备保养，合理安排作业时间</w:t>
                  </w:r>
                  <w:r>
                    <w:rPr>
                      <w:rFonts w:hint="eastAsia"/>
                      <w:szCs w:val="21"/>
                    </w:rPr>
                    <w:t>，文明施工，敏感区设置临时围挡等；</w:t>
                  </w:r>
                </w:p>
                <w:p w14:paraId="3C445645">
                  <w:pPr>
                    <w:jc w:val="left"/>
                  </w:pPr>
                  <w:r>
                    <w:rPr>
                      <w:rFonts w:hint="eastAsia"/>
                      <w:b/>
                      <w:szCs w:val="21"/>
                    </w:rPr>
                    <w:t>运营期：</w:t>
                  </w:r>
                  <w:r>
                    <w:rPr>
                      <w:rFonts w:hint="eastAsia"/>
                      <w:szCs w:val="21"/>
                    </w:rPr>
                    <w:t>采取设置限速、禁鸣等标志，设置减速带。</w:t>
                  </w:r>
                </w:p>
              </w:tc>
              <w:tc>
                <w:tcPr>
                  <w:tcW w:w="1271" w:type="dxa"/>
                  <w:vAlign w:val="center"/>
                </w:tcPr>
                <w:p w14:paraId="4B7E1F2B">
                  <w:pPr>
                    <w:jc w:val="center"/>
                    <w:rPr>
                      <w:szCs w:val="21"/>
                    </w:rPr>
                  </w:pPr>
                  <w:r>
                    <w:rPr>
                      <w:szCs w:val="21"/>
                    </w:rPr>
                    <w:t>噪声</w:t>
                  </w:r>
                </w:p>
              </w:tc>
              <w:tc>
                <w:tcPr>
                  <w:tcW w:w="1110" w:type="dxa"/>
                  <w:vAlign w:val="center"/>
                </w:tcPr>
                <w:p w14:paraId="67F0BC1D">
                  <w:pPr>
                    <w:jc w:val="center"/>
                    <w:rPr>
                      <w:szCs w:val="21"/>
                    </w:rPr>
                  </w:pPr>
                  <w:r>
                    <w:rPr>
                      <w:szCs w:val="21"/>
                    </w:rPr>
                    <w:t>/</w:t>
                  </w:r>
                </w:p>
              </w:tc>
            </w:tr>
            <w:tr w14:paraId="51F1D6D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53" w:hRule="atLeast"/>
                <w:jc w:val="center"/>
              </w:trPr>
              <w:tc>
                <w:tcPr>
                  <w:tcW w:w="395" w:type="dxa"/>
                  <w:vMerge w:val="continue"/>
                  <w:vAlign w:val="center"/>
                </w:tcPr>
                <w:p w14:paraId="31C4CBA0">
                  <w:pPr>
                    <w:jc w:val="center"/>
                    <w:rPr>
                      <w:szCs w:val="21"/>
                    </w:rPr>
                  </w:pPr>
                </w:p>
              </w:tc>
              <w:tc>
                <w:tcPr>
                  <w:tcW w:w="695" w:type="dxa"/>
                  <w:vAlign w:val="center"/>
                </w:tcPr>
                <w:p w14:paraId="46A6CA87">
                  <w:pPr>
                    <w:jc w:val="center"/>
                    <w:rPr>
                      <w:szCs w:val="21"/>
                    </w:rPr>
                  </w:pPr>
                  <w:r>
                    <w:rPr>
                      <w:szCs w:val="21"/>
                    </w:rPr>
                    <w:t>固废治理</w:t>
                  </w:r>
                </w:p>
              </w:tc>
              <w:tc>
                <w:tcPr>
                  <w:tcW w:w="4906" w:type="dxa"/>
                  <w:vAlign w:val="center"/>
                </w:tcPr>
                <w:p w14:paraId="44A5C23A">
                  <w:pPr>
                    <w:jc w:val="left"/>
                    <w:rPr>
                      <w:szCs w:val="21"/>
                    </w:rPr>
                  </w:pPr>
                  <w:r>
                    <w:rPr>
                      <w:b/>
                      <w:szCs w:val="21"/>
                    </w:rPr>
                    <w:t>施工期：</w:t>
                  </w:r>
                  <w:r>
                    <w:rPr>
                      <w:rFonts w:hint="eastAsia"/>
                      <w:bCs/>
                      <w:szCs w:val="21"/>
                    </w:rPr>
                    <w:t>建筑垃圾</w:t>
                  </w:r>
                  <w:r>
                    <w:rPr>
                      <w:bCs/>
                      <w:szCs w:val="21"/>
                    </w:rPr>
                    <w:t>集中收集后，运至</w:t>
                  </w:r>
                  <w:r>
                    <w:rPr>
                      <w:rFonts w:hint="eastAsia"/>
                      <w:bCs/>
                      <w:szCs w:val="21"/>
                    </w:rPr>
                    <w:t>政府指定的地点集中处理；</w:t>
                  </w:r>
                  <w:r>
                    <w:rPr>
                      <w:szCs w:val="21"/>
                    </w:rPr>
                    <w:t>弃</w:t>
                  </w:r>
                  <w:r>
                    <w:rPr>
                      <w:rFonts w:hint="eastAsia"/>
                      <w:szCs w:val="21"/>
                    </w:rPr>
                    <w:t>方通过渣土车定期及时外运处置，不在场地内堆存；对表土进行剥离，剥离的表土堆存于项目设置的表土临时堆放点内，并设置拦挡（如沙袋等）；</w:t>
                  </w:r>
                </w:p>
                <w:p w14:paraId="0D7564EA">
                  <w:pPr>
                    <w:jc w:val="left"/>
                  </w:pPr>
                  <w:r>
                    <w:rPr>
                      <w:szCs w:val="21"/>
                    </w:rPr>
                    <w:t>施工人员生活垃圾</w:t>
                  </w:r>
                  <w:r>
                    <w:rPr>
                      <w:rFonts w:hint="eastAsia"/>
                      <w:szCs w:val="21"/>
                    </w:rPr>
                    <w:t>收集后一并送往城市垃圾处理场进行处置。</w:t>
                  </w:r>
                  <w:r>
                    <w:rPr>
                      <w:rFonts w:hint="eastAsia"/>
                      <w:b/>
                      <w:szCs w:val="21"/>
                    </w:rPr>
                    <w:t>运营期：</w:t>
                  </w:r>
                  <w:r>
                    <w:rPr>
                      <w:rFonts w:hint="eastAsia"/>
                      <w:szCs w:val="21"/>
                    </w:rPr>
                    <w:t>由环卫部门定期清理路面垃圾。</w:t>
                  </w:r>
                </w:p>
              </w:tc>
              <w:tc>
                <w:tcPr>
                  <w:tcW w:w="1271" w:type="dxa"/>
                  <w:vAlign w:val="center"/>
                </w:tcPr>
                <w:p w14:paraId="6F4D0334">
                  <w:pPr>
                    <w:jc w:val="center"/>
                    <w:rPr>
                      <w:szCs w:val="21"/>
                    </w:rPr>
                  </w:pPr>
                  <w:r>
                    <w:rPr>
                      <w:szCs w:val="21"/>
                    </w:rPr>
                    <w:t>固废</w:t>
                  </w:r>
                </w:p>
              </w:tc>
              <w:tc>
                <w:tcPr>
                  <w:tcW w:w="1110" w:type="dxa"/>
                  <w:vAlign w:val="center"/>
                </w:tcPr>
                <w:p w14:paraId="7B0ED7AA">
                  <w:pPr>
                    <w:jc w:val="center"/>
                    <w:rPr>
                      <w:szCs w:val="21"/>
                    </w:rPr>
                  </w:pPr>
                  <w:r>
                    <w:rPr>
                      <w:szCs w:val="21"/>
                    </w:rPr>
                    <w:t>/</w:t>
                  </w:r>
                </w:p>
              </w:tc>
            </w:tr>
          </w:tbl>
          <w:p w14:paraId="3D973178">
            <w:pPr>
              <w:pStyle w:val="69"/>
              <w:ind w:firstLine="482"/>
              <w:rPr>
                <w:b/>
              </w:rPr>
            </w:pPr>
            <w:r>
              <w:rPr>
                <w:rFonts w:hint="eastAsia"/>
                <w:b/>
                <w:bCs/>
              </w:rPr>
              <w:t>6、</w:t>
            </w:r>
            <w:r>
              <w:rPr>
                <w:rFonts w:hint="eastAsia"/>
                <w:b/>
              </w:rPr>
              <w:t>道路工程</w:t>
            </w:r>
          </w:p>
          <w:p w14:paraId="1737C3C9">
            <w:pPr>
              <w:pStyle w:val="69"/>
              <w:ind w:firstLine="482"/>
              <w:rPr>
                <w:b/>
              </w:rPr>
            </w:pPr>
            <w:r>
              <w:rPr>
                <w:rFonts w:hint="eastAsia"/>
                <w:b/>
              </w:rPr>
              <w:t>（1）成南大道连接线1段</w:t>
            </w:r>
          </w:p>
          <w:p w14:paraId="5C58F120">
            <w:pPr>
              <w:pStyle w:val="69"/>
              <w:ind w:firstLine="482"/>
              <w:rPr>
                <w:b/>
              </w:rPr>
            </w:pPr>
            <w:r>
              <w:rPr>
                <w:rFonts w:hint="eastAsia"/>
                <w:b/>
              </w:rPr>
              <w:t>1）平面设计</w:t>
            </w:r>
          </w:p>
          <w:p w14:paraId="7AEAE78F">
            <w:pPr>
              <w:pStyle w:val="69"/>
              <w:ind w:firstLine="480"/>
            </w:pPr>
            <w:r>
              <w:rPr>
                <w:rFonts w:hint="eastAsia"/>
              </w:rPr>
              <w:t>道路平面设计按照规划确定的线位与线形进行设计，本次道路平面设计基本遵循此原则，按道路规划红线图进行定线。。</w:t>
            </w:r>
          </w:p>
          <w:p w14:paraId="24B3C4B7">
            <w:pPr>
              <w:pStyle w:val="69"/>
              <w:ind w:left="-107" w:leftChars="-51" w:firstLine="0" w:firstLineChars="0"/>
              <w:jc w:val="center"/>
            </w:pPr>
            <w:r>
              <w:drawing>
                <wp:inline distT="0" distB="0" distL="0" distR="0">
                  <wp:extent cx="4946650" cy="3253740"/>
                  <wp:effectExtent l="19050" t="19050" r="25400" b="2286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2"/>
                          <a:stretch>
                            <a:fillRect/>
                          </a:stretch>
                        </pic:blipFill>
                        <pic:spPr>
                          <a:xfrm>
                            <a:off x="0" y="0"/>
                            <a:ext cx="4947986" cy="3254561"/>
                          </a:xfrm>
                          <a:prstGeom prst="rect">
                            <a:avLst/>
                          </a:prstGeom>
                          <a:ln w="12700">
                            <a:solidFill>
                              <a:schemeClr val="tx1"/>
                            </a:solidFill>
                          </a:ln>
                        </pic:spPr>
                      </pic:pic>
                    </a:graphicData>
                  </a:graphic>
                </wp:inline>
              </w:drawing>
            </w:r>
          </w:p>
          <w:p w14:paraId="54DB9B81">
            <w:pPr>
              <w:pStyle w:val="4"/>
              <w:numPr>
                <w:ilvl w:val="1"/>
                <w:numId w:val="0"/>
              </w:numPr>
              <w:spacing w:line="240" w:lineRule="auto"/>
              <w:rPr>
                <w:rFonts w:eastAsia="黑体"/>
                <w:b w:val="0"/>
                <w:sz w:val="21"/>
                <w:szCs w:val="21"/>
              </w:rPr>
            </w:pPr>
            <w:bookmarkStart w:id="7" w:name="_Toc150173884"/>
            <w:r>
              <w:rPr>
                <w:rFonts w:hint="eastAsia" w:eastAsia="黑体"/>
                <w:b w:val="0"/>
                <w:sz w:val="21"/>
                <w:szCs w:val="21"/>
              </w:rPr>
              <w:t>图</w:t>
            </w:r>
            <w:r>
              <w:rPr>
                <w:rFonts w:eastAsia="黑体"/>
                <w:b w:val="0"/>
                <w:sz w:val="21"/>
                <w:szCs w:val="21"/>
              </w:rPr>
              <w:t>2-2</w:t>
            </w:r>
            <w:r>
              <w:rPr>
                <w:rFonts w:hint="eastAsia" w:eastAsia="黑体"/>
                <w:b w:val="0"/>
                <w:sz w:val="21"/>
                <w:szCs w:val="21"/>
              </w:rPr>
              <w:t>.1</w:t>
            </w:r>
            <w:r>
              <w:rPr>
                <w:rFonts w:eastAsia="黑体"/>
                <w:b w:val="0"/>
                <w:sz w:val="21"/>
                <w:szCs w:val="21"/>
              </w:rPr>
              <w:t xml:space="preserve"> </w:t>
            </w:r>
            <w:r>
              <w:rPr>
                <w:rFonts w:hint="eastAsia" w:eastAsia="黑体"/>
                <w:b w:val="0"/>
                <w:sz w:val="21"/>
                <w:szCs w:val="21"/>
              </w:rPr>
              <w:t xml:space="preserve"> 线路平面布置图</w:t>
            </w:r>
            <w:bookmarkEnd w:id="7"/>
          </w:p>
          <w:p w14:paraId="4EB6A0F1">
            <w:pPr>
              <w:pStyle w:val="69"/>
              <w:ind w:firstLine="482"/>
              <w:rPr>
                <w:b/>
              </w:rPr>
            </w:pPr>
            <w:r>
              <w:rPr>
                <w:rFonts w:hint="eastAsia"/>
                <w:b/>
              </w:rPr>
              <w:t>2）纵断面设计</w:t>
            </w:r>
          </w:p>
          <w:p w14:paraId="681B44AC">
            <w:pPr>
              <w:pStyle w:val="69"/>
              <w:ind w:firstLine="480"/>
            </w:pPr>
            <w:r>
              <w:rPr>
                <w:rFonts w:hint="eastAsia"/>
              </w:rPr>
              <w:t>起点AK0+000与高速连接线顺接，设计高程为340.347m；终点AK1+240.882，设计高程为345.683m，设置5处变坡点，最大纵坡5.0%，最小纵坡0.3%，最大坡长494.286m，最小坡长154.634m，最小曲线半径1100m（起止段不计）</w:t>
            </w:r>
          </w:p>
          <w:p w14:paraId="72CB3B97">
            <w:pPr>
              <w:pStyle w:val="69"/>
              <w:ind w:firstLine="482"/>
              <w:rPr>
                <w:b/>
              </w:rPr>
            </w:pPr>
            <w:r>
              <w:rPr>
                <w:rFonts w:hint="eastAsia"/>
                <w:b/>
              </w:rPr>
              <w:t>3）横断面设计</w:t>
            </w:r>
          </w:p>
          <w:p w14:paraId="28F1BC73">
            <w:pPr>
              <w:pStyle w:val="69"/>
              <w:ind w:firstLine="480"/>
            </w:pPr>
            <w:r>
              <w:rPr>
                <w:rFonts w:hint="eastAsia"/>
              </w:rPr>
              <w:t>本次道路标准路幅宽度根据道路在此片区内的作用和功能及交通量分析，结合已经形成并投入使用道路的实际情况，在保证城市建设和谐统一的前提下横断面做如下布置：</w:t>
            </w:r>
          </w:p>
          <w:p w14:paraId="609C059B">
            <w:pPr>
              <w:pStyle w:val="69"/>
              <w:ind w:firstLine="480"/>
            </w:pPr>
            <w:r>
              <w:rPr>
                <w:rFonts w:hint="eastAsia"/>
              </w:rPr>
              <w:t>成南大道连接线1段结合道路功能和相关部门的建议，在规划25米道路红线基础上设计为道路红线宽度26米的标准断面。采用一块板断面形式，机动车双向6 车道，具体横断面布置为：2m（人行道）+0.25m（路缘带）+3.5m（机非混行车道）+2*3.5m（机动车道）+0.5m（中央安全距离）+2*3.5m（机动车道）+3.5m（机非混行车道）+0.25m（路缘带）+2m（人行道）=26m。</w:t>
            </w:r>
          </w:p>
          <w:p w14:paraId="3564D811">
            <w:pPr>
              <w:pStyle w:val="69"/>
              <w:ind w:firstLine="0" w:firstLineChars="0"/>
              <w:jc w:val="center"/>
              <w:rPr>
                <w:b/>
                <w:bCs/>
              </w:rPr>
            </w:pPr>
            <w:r>
              <w:drawing>
                <wp:inline distT="0" distB="0" distL="0" distR="0">
                  <wp:extent cx="3597910" cy="2576830"/>
                  <wp:effectExtent l="19050" t="19050" r="21590" b="139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3597910" cy="2576830"/>
                          </a:xfrm>
                          <a:prstGeom prst="rect">
                            <a:avLst/>
                          </a:prstGeom>
                          <a:noFill/>
                          <a:ln>
                            <a:solidFill>
                              <a:schemeClr val="tx1"/>
                            </a:solidFill>
                          </a:ln>
                        </pic:spPr>
                      </pic:pic>
                    </a:graphicData>
                  </a:graphic>
                </wp:inline>
              </w:drawing>
            </w:r>
          </w:p>
          <w:p w14:paraId="55EDD72E">
            <w:pPr>
              <w:pStyle w:val="4"/>
              <w:numPr>
                <w:ilvl w:val="1"/>
                <w:numId w:val="0"/>
              </w:numPr>
              <w:spacing w:line="360" w:lineRule="auto"/>
              <w:rPr>
                <w:rFonts w:eastAsia="黑体"/>
                <w:b w:val="0"/>
                <w:sz w:val="21"/>
                <w:szCs w:val="21"/>
              </w:rPr>
            </w:pPr>
            <w:bookmarkStart w:id="8" w:name="_Toc150173885"/>
            <w:r>
              <w:rPr>
                <w:rFonts w:hint="eastAsia" w:eastAsia="黑体"/>
                <w:b w:val="0"/>
                <w:sz w:val="21"/>
                <w:szCs w:val="21"/>
              </w:rPr>
              <w:t>图</w:t>
            </w:r>
            <w:r>
              <w:rPr>
                <w:rFonts w:eastAsia="黑体"/>
                <w:b w:val="0"/>
                <w:sz w:val="21"/>
                <w:szCs w:val="21"/>
              </w:rPr>
              <w:t>2-</w:t>
            </w:r>
            <w:r>
              <w:rPr>
                <w:rFonts w:hint="eastAsia" w:eastAsia="黑体"/>
                <w:b w:val="0"/>
                <w:sz w:val="21"/>
                <w:szCs w:val="21"/>
              </w:rPr>
              <w:t>2.2</w:t>
            </w:r>
            <w:r>
              <w:rPr>
                <w:rFonts w:eastAsia="黑体"/>
                <w:b w:val="0"/>
                <w:sz w:val="21"/>
                <w:szCs w:val="21"/>
              </w:rPr>
              <w:t xml:space="preserve"> </w:t>
            </w:r>
            <w:r>
              <w:rPr>
                <w:rFonts w:hint="eastAsia" w:eastAsia="黑体"/>
                <w:b w:val="0"/>
                <w:sz w:val="21"/>
                <w:szCs w:val="21"/>
              </w:rPr>
              <w:t xml:space="preserve"> 成南大道连接线1段标准横断面图</w:t>
            </w:r>
            <w:bookmarkEnd w:id="8"/>
          </w:p>
          <w:p w14:paraId="191D9915">
            <w:pPr>
              <w:pStyle w:val="69"/>
              <w:ind w:firstLine="482"/>
              <w:rPr>
                <w:b/>
              </w:rPr>
            </w:pPr>
            <w:r>
              <w:rPr>
                <w:rFonts w:hint="eastAsia"/>
                <w:b/>
              </w:rPr>
              <w:t>（2）太吉大道西延线</w:t>
            </w:r>
          </w:p>
          <w:p w14:paraId="08A000A4">
            <w:pPr>
              <w:pStyle w:val="69"/>
              <w:ind w:firstLine="482"/>
              <w:rPr>
                <w:b/>
              </w:rPr>
            </w:pPr>
            <w:r>
              <w:rPr>
                <w:rFonts w:hint="eastAsia"/>
                <w:b/>
              </w:rPr>
              <w:t>1）平面设计</w:t>
            </w:r>
          </w:p>
          <w:p w14:paraId="266E7C44">
            <w:pPr>
              <w:pStyle w:val="69"/>
              <w:ind w:firstLine="480"/>
            </w:pPr>
            <w:r>
              <w:rPr>
                <w:rFonts w:hint="eastAsia"/>
              </w:rPr>
              <w:t>道路平面设计按照规划确定的线位与线形进行设计，本次道路平面设计基本遵循此原则，按道路规划红线图进行定线。。</w:t>
            </w:r>
          </w:p>
          <w:p w14:paraId="34861AE4">
            <w:pPr>
              <w:pStyle w:val="69"/>
              <w:ind w:left="-107" w:leftChars="-51" w:firstLine="0" w:firstLineChars="0"/>
              <w:jc w:val="center"/>
            </w:pPr>
            <w:r>
              <w:drawing>
                <wp:inline distT="0" distB="0" distL="0" distR="0">
                  <wp:extent cx="5098415" cy="3633470"/>
                  <wp:effectExtent l="19050" t="19050" r="26035" b="2413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4"/>
                          <a:stretch>
                            <a:fillRect/>
                          </a:stretch>
                        </pic:blipFill>
                        <pic:spPr>
                          <a:xfrm>
                            <a:off x="0" y="0"/>
                            <a:ext cx="5098483" cy="3633850"/>
                          </a:xfrm>
                          <a:prstGeom prst="rect">
                            <a:avLst/>
                          </a:prstGeom>
                          <a:ln w="12700">
                            <a:solidFill>
                              <a:schemeClr val="tx1"/>
                            </a:solidFill>
                          </a:ln>
                        </pic:spPr>
                      </pic:pic>
                    </a:graphicData>
                  </a:graphic>
                </wp:inline>
              </w:drawing>
            </w:r>
          </w:p>
          <w:p w14:paraId="69176C8E">
            <w:pPr>
              <w:pStyle w:val="4"/>
              <w:numPr>
                <w:ilvl w:val="1"/>
                <w:numId w:val="0"/>
              </w:numPr>
              <w:spacing w:line="240" w:lineRule="auto"/>
              <w:rPr>
                <w:rFonts w:eastAsia="黑体"/>
                <w:b w:val="0"/>
                <w:sz w:val="21"/>
                <w:szCs w:val="21"/>
              </w:rPr>
            </w:pPr>
            <w:r>
              <w:rPr>
                <w:rFonts w:hint="eastAsia" w:eastAsia="黑体"/>
                <w:b w:val="0"/>
                <w:sz w:val="21"/>
                <w:szCs w:val="21"/>
              </w:rPr>
              <w:t>图</w:t>
            </w:r>
            <w:r>
              <w:rPr>
                <w:rFonts w:eastAsia="黑体"/>
                <w:b w:val="0"/>
                <w:sz w:val="21"/>
                <w:szCs w:val="21"/>
              </w:rPr>
              <w:t>2-</w:t>
            </w:r>
            <w:r>
              <w:rPr>
                <w:rFonts w:hint="eastAsia" w:eastAsia="黑体"/>
                <w:b w:val="0"/>
                <w:sz w:val="21"/>
                <w:szCs w:val="21"/>
              </w:rPr>
              <w:t>3.1</w:t>
            </w:r>
            <w:r>
              <w:rPr>
                <w:rFonts w:eastAsia="黑体"/>
                <w:b w:val="0"/>
                <w:sz w:val="21"/>
                <w:szCs w:val="21"/>
              </w:rPr>
              <w:t xml:space="preserve"> </w:t>
            </w:r>
            <w:r>
              <w:rPr>
                <w:rFonts w:hint="eastAsia" w:eastAsia="黑体"/>
                <w:b w:val="0"/>
                <w:sz w:val="21"/>
                <w:szCs w:val="21"/>
              </w:rPr>
              <w:t xml:space="preserve"> 线路平面布置图</w:t>
            </w:r>
          </w:p>
          <w:p w14:paraId="3CF2AF09">
            <w:pPr>
              <w:pStyle w:val="69"/>
              <w:ind w:firstLine="482"/>
              <w:rPr>
                <w:b/>
              </w:rPr>
            </w:pPr>
            <w:r>
              <w:rPr>
                <w:rFonts w:hint="eastAsia"/>
                <w:b/>
              </w:rPr>
              <w:t>2）纵断面设计</w:t>
            </w:r>
          </w:p>
          <w:p w14:paraId="61EAA17E">
            <w:pPr>
              <w:pStyle w:val="69"/>
              <w:ind w:firstLine="480"/>
            </w:pPr>
            <w:r>
              <w:rPr>
                <w:rFonts w:hint="eastAsia"/>
              </w:rPr>
              <w:t>①太吉大道西延线1段起点CK0+000与太吉大道西延线2段顺接，设计高程为324.000m；终点CK1+310.563与太吉大道已建段顺接，设计高程为314.000m，设置3处变坡点，最大纵坡2.5%，最小纵坡0.775%，最大坡长802.518m，最小坡长307.482m，最小曲线半径600m（起止段不计）。</w:t>
            </w:r>
          </w:p>
          <w:p w14:paraId="567A83E9">
            <w:pPr>
              <w:pStyle w:val="69"/>
              <w:ind w:firstLine="480"/>
            </w:pPr>
            <w:r>
              <w:rPr>
                <w:rFonts w:hint="eastAsia"/>
              </w:rPr>
              <w:t>②太吉大道西延线2段起点DK0+000与高速连接线顺接，设计高程为317.542m；终点DK0+451.401，设计高程为324.000m，设置1处变坡点，最大纵坡2.864%，最小纵坡1.651%，最小圆曲线半径560m（起止段不计）。</w:t>
            </w:r>
          </w:p>
          <w:p w14:paraId="263DBC16">
            <w:pPr>
              <w:pStyle w:val="69"/>
              <w:ind w:firstLine="482"/>
              <w:rPr>
                <w:b/>
              </w:rPr>
            </w:pPr>
            <w:r>
              <w:rPr>
                <w:rFonts w:hint="eastAsia"/>
                <w:b/>
              </w:rPr>
              <w:t>3）横断面设计</w:t>
            </w:r>
          </w:p>
          <w:p w14:paraId="73601E8B">
            <w:pPr>
              <w:pStyle w:val="69"/>
              <w:ind w:firstLine="480"/>
            </w:pPr>
            <w:r>
              <w:rPr>
                <w:rFonts w:hint="eastAsia"/>
              </w:rPr>
              <w:t>本次道路标准路幅宽度根据道路在此片区内的作用和功能及交通量分析，结合已经形成并投入使用道路的实际情况，在保证城市建设和谐统一的前提下横断面做如下布置：</w:t>
            </w:r>
          </w:p>
          <w:p w14:paraId="00FFBA33">
            <w:pPr>
              <w:pStyle w:val="69"/>
              <w:ind w:firstLine="480"/>
              <w:jc w:val="left"/>
            </w:pPr>
            <w:r>
              <w:rPr>
                <w:rFonts w:hint="eastAsia"/>
              </w:rPr>
              <w:t>采用一块板断面形式，机动车双向6车道，具体横断面布置为：5m（人行道）+3.5m（非机动车道）+0.5m（机非分隔护栏）+3.75m（机动车道）+2*3.5m（机动车道）+0.5m（中央安全距离）+2*3.5m（机动车道）+3.75m（机动车道）+0.5m（机非分隔护栏）+3.5m（非机动车道）+5m（人行道）=40m。</w:t>
            </w:r>
          </w:p>
          <w:p w14:paraId="5290B254">
            <w:pPr>
              <w:pStyle w:val="69"/>
              <w:ind w:firstLine="0" w:firstLineChars="0"/>
              <w:jc w:val="center"/>
              <w:rPr>
                <w:b/>
                <w:bCs/>
              </w:rPr>
            </w:pPr>
            <w:r>
              <w:drawing>
                <wp:inline distT="0" distB="0" distL="0" distR="0">
                  <wp:extent cx="5118100" cy="2517775"/>
                  <wp:effectExtent l="19050" t="19050" r="25400" b="158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118100" cy="2517775"/>
                          </a:xfrm>
                          <a:prstGeom prst="rect">
                            <a:avLst/>
                          </a:prstGeom>
                          <a:noFill/>
                          <a:ln w="12700">
                            <a:solidFill>
                              <a:schemeClr val="tx1"/>
                            </a:solidFill>
                          </a:ln>
                        </pic:spPr>
                      </pic:pic>
                    </a:graphicData>
                  </a:graphic>
                </wp:inline>
              </w:drawing>
            </w:r>
          </w:p>
          <w:p w14:paraId="2A00E458">
            <w:pPr>
              <w:pStyle w:val="4"/>
              <w:numPr>
                <w:ilvl w:val="1"/>
                <w:numId w:val="0"/>
              </w:numPr>
              <w:spacing w:line="240" w:lineRule="auto"/>
              <w:rPr>
                <w:rFonts w:eastAsia="黑体"/>
                <w:b w:val="0"/>
                <w:sz w:val="21"/>
                <w:szCs w:val="21"/>
              </w:rPr>
            </w:pPr>
            <w:r>
              <w:rPr>
                <w:rFonts w:hint="eastAsia" w:eastAsia="黑体"/>
                <w:b w:val="0"/>
                <w:sz w:val="21"/>
                <w:szCs w:val="21"/>
              </w:rPr>
              <w:t>图</w:t>
            </w:r>
            <w:r>
              <w:rPr>
                <w:rFonts w:eastAsia="黑体"/>
                <w:b w:val="0"/>
                <w:sz w:val="21"/>
                <w:szCs w:val="21"/>
              </w:rPr>
              <w:t>2-</w:t>
            </w:r>
            <w:r>
              <w:rPr>
                <w:rFonts w:hint="eastAsia" w:eastAsia="黑体"/>
                <w:b w:val="0"/>
                <w:sz w:val="21"/>
                <w:szCs w:val="21"/>
              </w:rPr>
              <w:t>3.2</w:t>
            </w:r>
            <w:r>
              <w:rPr>
                <w:rFonts w:eastAsia="黑体"/>
                <w:b w:val="0"/>
                <w:sz w:val="21"/>
                <w:szCs w:val="21"/>
              </w:rPr>
              <w:t xml:space="preserve"> </w:t>
            </w:r>
            <w:r>
              <w:rPr>
                <w:rFonts w:hint="eastAsia" w:eastAsia="黑体"/>
                <w:b w:val="0"/>
                <w:sz w:val="21"/>
                <w:szCs w:val="21"/>
              </w:rPr>
              <w:t xml:space="preserve"> 太吉大道西延线标准横断面图</w:t>
            </w:r>
          </w:p>
          <w:p w14:paraId="1F86909D">
            <w:pPr>
              <w:pStyle w:val="69"/>
              <w:ind w:firstLine="482"/>
              <w:rPr>
                <w:b/>
                <w:bCs/>
              </w:rPr>
            </w:pPr>
            <w:r>
              <w:rPr>
                <w:rFonts w:hint="eastAsia"/>
                <w:b/>
              </w:rPr>
              <w:t>（6）路基工程</w:t>
            </w:r>
          </w:p>
          <w:p w14:paraId="2146E628">
            <w:pPr>
              <w:pStyle w:val="69"/>
              <w:ind w:firstLine="480"/>
            </w:pPr>
            <w:r>
              <w:rPr>
                <w:rFonts w:hint="eastAsia"/>
              </w:rPr>
              <w:t>1）路基设计</w:t>
            </w:r>
          </w:p>
          <w:p w14:paraId="4355D106">
            <w:pPr>
              <w:pStyle w:val="69"/>
              <w:ind w:firstLine="480"/>
            </w:pPr>
            <w:r>
              <w:rPr>
                <w:rFonts w:hint="eastAsia"/>
              </w:rPr>
              <w:t>①路基填料要求及压实度</w:t>
            </w:r>
          </w:p>
          <w:p w14:paraId="10C51E93">
            <w:pPr>
              <w:pStyle w:val="69"/>
              <w:ind w:firstLine="480"/>
            </w:pPr>
            <w:r>
              <w:rPr>
                <w:rFonts w:hint="eastAsia"/>
              </w:rPr>
              <w:t>本次工程路基填料选用因地制宜，合理采用周边山体开挖的岩质进行利用,优先采用挖方路段产生的符合路基填筑要求的泥岩。</w:t>
            </w:r>
          </w:p>
          <w:p w14:paraId="264123AD">
            <w:pPr>
              <w:pStyle w:val="69"/>
              <w:ind w:firstLine="480"/>
            </w:pPr>
            <w:r>
              <w:rPr>
                <w:rFonts w:hint="eastAsia"/>
              </w:rPr>
              <w:t>②泥炭、淤泥、膨胀性岩土、易溶性岩石、崩解性岩石和盐化岩石、有机质土、有机垃圾、不满足强度和粒径要求的建筑垃圾不能用作路基填料。填筑土及填筑材料选择细粒土作为填料时，填料CBR值要求，土的压实含水率宜控制在最佳含水率±2%范围内，且强膨胀土、淤泥、有机质土不得用于填筑路基，液限大于50%，塑性指数大于26的细粒土，不得直接用作填料。</w:t>
            </w:r>
          </w:p>
          <w:p w14:paraId="252FA205">
            <w:pPr>
              <w:pStyle w:val="69"/>
              <w:ind w:firstLine="480"/>
            </w:pPr>
            <w:r>
              <w:rPr>
                <w:rFonts w:hint="eastAsia"/>
              </w:rPr>
              <w:t>2）路基处理</w:t>
            </w:r>
          </w:p>
          <w:p w14:paraId="1A7ACE37">
            <w:pPr>
              <w:pStyle w:val="69"/>
              <w:ind w:firstLine="480"/>
            </w:pPr>
            <w:r>
              <w:rPr>
                <w:rFonts w:hint="eastAsia"/>
              </w:rPr>
              <w:t>道路路基处理情况如下：</w:t>
            </w:r>
          </w:p>
          <w:p w14:paraId="7D10C91F">
            <w:pPr>
              <w:pStyle w:val="69"/>
              <w:ind w:firstLine="480"/>
            </w:pPr>
            <w:r>
              <w:rPr>
                <w:rFonts w:hint="eastAsia"/>
              </w:rPr>
              <w:t>①道路全线清表厚度为60cm。</w:t>
            </w:r>
          </w:p>
          <w:p w14:paraId="3536C819">
            <w:pPr>
              <w:pStyle w:val="69"/>
              <w:ind w:firstLine="480"/>
            </w:pPr>
            <w:r>
              <w:rPr>
                <w:rFonts w:hint="eastAsia"/>
              </w:rPr>
              <w:t>②根据地勘报告，周边开挖的粘土存在弱膨胀性，应当对大气急剧影响深度范围内进行。</w:t>
            </w:r>
          </w:p>
          <w:p w14:paraId="7D0E26D0">
            <w:pPr>
              <w:pStyle w:val="69"/>
              <w:ind w:firstLine="480"/>
            </w:pPr>
            <w:r>
              <w:rPr>
                <w:rFonts w:hint="eastAsia"/>
              </w:rPr>
              <w:t>3）特殊路基处理：</w:t>
            </w:r>
          </w:p>
          <w:p w14:paraId="7B2F3E8D">
            <w:pPr>
              <w:pStyle w:val="69"/>
              <w:ind w:firstLine="480"/>
            </w:pPr>
            <w:r>
              <w:rPr>
                <w:rFonts w:hint="eastAsia"/>
              </w:rPr>
              <w:t>本次工程对加强层下杂填土、素填土、软塑粉质黏土挖除换填砂砾石，以硬塑粘土作为路基持力层。</w:t>
            </w:r>
          </w:p>
          <w:p w14:paraId="65C1C2E6">
            <w:pPr>
              <w:pStyle w:val="69"/>
              <w:ind w:firstLine="480"/>
            </w:pPr>
            <w:r>
              <w:rPr>
                <w:rFonts w:hint="eastAsia"/>
              </w:rPr>
              <w:t>4）边坡设计</w:t>
            </w:r>
          </w:p>
          <w:p w14:paraId="09AF7F76">
            <w:pPr>
              <w:pStyle w:val="69"/>
              <w:ind w:firstLine="480"/>
            </w:pPr>
            <w:r>
              <w:rPr>
                <w:rFonts w:hint="eastAsia"/>
              </w:rPr>
              <w:t>本工程所处区域均已规划，建设开发在即，为避免浪费，在有放坡条件位置，边坡采用自由放坡形式。设计方案中，最大填方高度为15.338m，填方边坡8m一级，填方边坡防护采用喷播植草防护；最大挖方深度为2.009m，挖方边坡采用挂三维网防护。为保证道路边坡复垦条件，本次边坡坡率参照《土地复垦质量控制标准》中西南山地丘陵区旱地地面坡度≤25°的要求，边坡坡率采用1:2.5。</w:t>
            </w:r>
          </w:p>
          <w:p w14:paraId="18D408B7">
            <w:pPr>
              <w:pStyle w:val="69"/>
              <w:ind w:firstLine="480"/>
            </w:pPr>
            <w:r>
              <w:rPr>
                <w:rFonts w:hint="eastAsia"/>
              </w:rPr>
              <w:t>5）路基排水</w:t>
            </w:r>
          </w:p>
          <w:p w14:paraId="4F2F6734">
            <w:pPr>
              <w:pStyle w:val="69"/>
              <w:ind w:firstLine="480"/>
            </w:pPr>
            <w:r>
              <w:rPr>
                <w:rFonts w:hint="eastAsia"/>
              </w:rPr>
              <w:t>挖方路堑段，边坡排水可通过道路雨水口汇入排水管网，同时结合周边开发情况，本次不设置截水沟。</w:t>
            </w:r>
          </w:p>
          <w:p w14:paraId="3A4EF587">
            <w:pPr>
              <w:pStyle w:val="69"/>
              <w:ind w:firstLine="480"/>
            </w:pPr>
            <w:r>
              <w:rPr>
                <w:rFonts w:hint="eastAsia"/>
              </w:rPr>
              <w:t>6）路面排水</w:t>
            </w:r>
          </w:p>
          <w:p w14:paraId="23CCCB9E">
            <w:pPr>
              <w:pStyle w:val="69"/>
              <w:ind w:firstLine="480"/>
            </w:pPr>
            <w:r>
              <w:rPr>
                <w:rFonts w:hint="eastAsia"/>
              </w:rPr>
              <w:t>路面排水通过路面横坡及道路纵坡汇流后进入排水专业设置在车行道范围雨水进水井收集后排入道路下的雨水管道系统。并且在凹形竖曲线、交叉口等特殊位置增设雨水进水井以加强路面水的排出。</w:t>
            </w:r>
          </w:p>
          <w:p w14:paraId="5A1E6C66">
            <w:pPr>
              <w:pStyle w:val="69"/>
              <w:ind w:firstLine="482"/>
              <w:rPr>
                <w:b/>
              </w:rPr>
            </w:pPr>
            <w:r>
              <w:rPr>
                <w:rFonts w:hint="eastAsia"/>
                <w:b/>
              </w:rPr>
              <w:t>（7）路面结构设计</w:t>
            </w:r>
          </w:p>
          <w:p w14:paraId="252706A4">
            <w:pPr>
              <w:pStyle w:val="69"/>
              <w:ind w:firstLine="480"/>
            </w:pPr>
            <w:r>
              <w:rPr>
                <w:rFonts w:hint="eastAsia"/>
              </w:rPr>
              <w:t>1）机动车主道新建路面结构</w:t>
            </w:r>
          </w:p>
          <w:p w14:paraId="634B7A5F">
            <w:pPr>
              <w:pStyle w:val="69"/>
              <w:ind w:firstLine="480"/>
            </w:pPr>
            <w:r>
              <w:rPr>
                <w:rFonts w:hint="eastAsia"/>
              </w:rPr>
              <w:t>设计采用标准轴载：BZZ-100KN。</w:t>
            </w:r>
          </w:p>
          <w:p w14:paraId="415688EB">
            <w:pPr>
              <w:pStyle w:val="69"/>
              <w:ind w:firstLine="480"/>
            </w:pPr>
            <w:r>
              <w:rPr>
                <w:rFonts w:hint="eastAsia"/>
              </w:rPr>
              <w:t>2）成南大道连接线1段主道</w:t>
            </w:r>
          </w:p>
          <w:p w14:paraId="7416E862">
            <w:pPr>
              <w:pStyle w:val="69"/>
              <w:ind w:firstLine="480"/>
            </w:pPr>
            <w:r>
              <w:rPr>
                <w:rFonts w:hint="eastAsia"/>
              </w:rPr>
              <w:t>4cm 厚SMA-13C型细粒式沥青玛蹄脂碎石</w:t>
            </w:r>
          </w:p>
          <w:p w14:paraId="12D011CA">
            <w:pPr>
              <w:pStyle w:val="69"/>
              <w:ind w:firstLine="480"/>
            </w:pPr>
            <w:r>
              <w:rPr>
                <w:rFonts w:hint="eastAsia"/>
              </w:rPr>
              <w:t>6cm 厚AC-20C型中粒式沥青混凝土</w:t>
            </w:r>
          </w:p>
          <w:p w14:paraId="0E0A7048">
            <w:pPr>
              <w:pStyle w:val="69"/>
              <w:ind w:firstLine="480"/>
            </w:pPr>
            <w:r>
              <w:rPr>
                <w:rFonts w:hint="eastAsia"/>
              </w:rPr>
              <w:t>8cm 厚AC-20C型中粒式沥青混凝土</w:t>
            </w:r>
          </w:p>
          <w:p w14:paraId="606EDE1A">
            <w:pPr>
              <w:pStyle w:val="69"/>
              <w:ind w:firstLine="480"/>
            </w:pPr>
            <w:r>
              <w:rPr>
                <w:rFonts w:hint="eastAsia"/>
              </w:rPr>
              <w:t>0.8cm ES-3 型稀浆封层透层油</w:t>
            </w:r>
          </w:p>
          <w:p w14:paraId="3B344317">
            <w:pPr>
              <w:pStyle w:val="69"/>
              <w:ind w:firstLine="480"/>
            </w:pPr>
            <w:r>
              <w:rPr>
                <w:rFonts w:hint="eastAsia"/>
              </w:rPr>
              <w:t>25cm 5%水泥稳定碎石基层</w:t>
            </w:r>
          </w:p>
          <w:p w14:paraId="7F3A4CC5">
            <w:pPr>
              <w:pStyle w:val="69"/>
              <w:ind w:firstLine="480"/>
            </w:pPr>
            <w:r>
              <w:rPr>
                <w:rFonts w:hint="eastAsia"/>
              </w:rPr>
              <w:t>25cm 4%水泥稳定碎石底基层</w:t>
            </w:r>
          </w:p>
          <w:p w14:paraId="5AB193AC">
            <w:pPr>
              <w:pStyle w:val="69"/>
              <w:ind w:firstLine="480"/>
            </w:pPr>
            <w:r>
              <w:rPr>
                <w:rFonts w:hint="eastAsia"/>
              </w:rPr>
              <w:t>20cm 级配碎石垫层</w:t>
            </w:r>
          </w:p>
          <w:p w14:paraId="2C71D1E7">
            <w:pPr>
              <w:pStyle w:val="69"/>
              <w:ind w:firstLine="480"/>
            </w:pPr>
            <w:r>
              <w:rPr>
                <w:rFonts w:hint="eastAsia"/>
              </w:rPr>
              <w:t>3）太吉大道西延线</w:t>
            </w:r>
          </w:p>
          <w:p w14:paraId="32065A00">
            <w:pPr>
              <w:pStyle w:val="69"/>
              <w:ind w:firstLine="480"/>
            </w:pPr>
            <w:r>
              <w:rPr>
                <w:rFonts w:hint="eastAsia"/>
              </w:rPr>
              <w:t>4cm 厚SMA-13C 型细粒式沥青玛蹄脂碎石</w:t>
            </w:r>
          </w:p>
          <w:p w14:paraId="4D3EB5D0">
            <w:pPr>
              <w:pStyle w:val="69"/>
              <w:ind w:firstLine="480"/>
            </w:pPr>
            <w:r>
              <w:rPr>
                <w:rFonts w:hint="eastAsia"/>
              </w:rPr>
              <w:t>6cm 厚AC-20C 型中粒式沥青混凝土</w:t>
            </w:r>
          </w:p>
          <w:p w14:paraId="7355BD47">
            <w:pPr>
              <w:pStyle w:val="69"/>
              <w:ind w:firstLine="480"/>
            </w:pPr>
            <w:r>
              <w:rPr>
                <w:rFonts w:hint="eastAsia"/>
              </w:rPr>
              <w:t>6cm 厚AC-20C 型中粒式沥青混凝土</w:t>
            </w:r>
          </w:p>
          <w:p w14:paraId="2994F319">
            <w:pPr>
              <w:pStyle w:val="69"/>
              <w:ind w:firstLine="480"/>
            </w:pPr>
            <w:r>
              <w:rPr>
                <w:rFonts w:hint="eastAsia"/>
              </w:rPr>
              <w:t>0.8cm ES-3 型稀浆封层透层油</w:t>
            </w:r>
          </w:p>
          <w:p w14:paraId="156FF08C">
            <w:pPr>
              <w:pStyle w:val="69"/>
              <w:ind w:firstLine="480"/>
            </w:pPr>
            <w:r>
              <w:rPr>
                <w:rFonts w:hint="eastAsia"/>
              </w:rPr>
              <w:t>25cm 5%水泥稳定碎石基层</w:t>
            </w:r>
          </w:p>
          <w:p w14:paraId="5544AF8B">
            <w:pPr>
              <w:pStyle w:val="69"/>
              <w:ind w:firstLine="480"/>
            </w:pPr>
            <w:r>
              <w:rPr>
                <w:rFonts w:hint="eastAsia"/>
              </w:rPr>
              <w:t>25cm 4%水泥稳定碎石底基层</w:t>
            </w:r>
          </w:p>
          <w:p w14:paraId="39C55F27">
            <w:pPr>
              <w:pStyle w:val="69"/>
              <w:ind w:firstLine="480"/>
            </w:pPr>
            <w:r>
              <w:rPr>
                <w:rFonts w:hint="eastAsia"/>
              </w:rPr>
              <w:t>20cm 级配碎石垫层</w:t>
            </w:r>
          </w:p>
          <w:p w14:paraId="29CAD09E">
            <w:pPr>
              <w:pStyle w:val="69"/>
              <w:ind w:firstLine="480"/>
            </w:pPr>
            <w:r>
              <w:rPr>
                <w:rFonts w:hint="eastAsia"/>
              </w:rPr>
              <w:t>4）人行道</w:t>
            </w:r>
          </w:p>
          <w:p w14:paraId="019B9E20">
            <w:pPr>
              <w:pStyle w:val="69"/>
              <w:ind w:firstLine="480"/>
            </w:pPr>
            <w:r>
              <w:rPr>
                <w:rFonts w:hint="eastAsia"/>
              </w:rPr>
              <w:t>8cm AC-30C 中粒式沥青混凝土</w:t>
            </w:r>
          </w:p>
          <w:p w14:paraId="5CF750AB">
            <w:pPr>
              <w:pStyle w:val="69"/>
              <w:ind w:firstLine="480"/>
            </w:pPr>
            <w:r>
              <w:rPr>
                <w:rFonts w:hint="eastAsia"/>
              </w:rPr>
              <w:t>15cm 4% 水泥稳定碎石底基层</w:t>
            </w:r>
          </w:p>
          <w:p w14:paraId="2855EC81">
            <w:pPr>
              <w:pStyle w:val="69"/>
              <w:ind w:firstLine="480"/>
            </w:pPr>
            <w:r>
              <w:rPr>
                <w:rFonts w:hint="eastAsia"/>
              </w:rPr>
              <w:t>15cm 级配碎石垫层</w:t>
            </w:r>
          </w:p>
          <w:p w14:paraId="027A4F81">
            <w:pPr>
              <w:pStyle w:val="69"/>
              <w:ind w:firstLine="482"/>
              <w:rPr>
                <w:b/>
              </w:rPr>
            </w:pPr>
            <w:r>
              <w:rPr>
                <w:rFonts w:hint="eastAsia"/>
                <w:b/>
                <w:bCs/>
              </w:rPr>
              <w:t>7、</w:t>
            </w:r>
            <w:r>
              <w:rPr>
                <w:rFonts w:hint="eastAsia"/>
                <w:b/>
              </w:rPr>
              <w:t>桥梁工程</w:t>
            </w:r>
          </w:p>
          <w:p w14:paraId="54A78966">
            <w:pPr>
              <w:pStyle w:val="69"/>
              <w:ind w:firstLine="482"/>
            </w:pPr>
            <w:r>
              <w:rPr>
                <w:rFonts w:hint="eastAsia"/>
                <w:b/>
              </w:rPr>
              <w:t>A.太吉大道一号桥：</w:t>
            </w:r>
            <w:r>
              <w:rPr>
                <w:rFonts w:hint="eastAsia"/>
              </w:rPr>
              <w:t>位于太吉大道西延线1段，上部结构采用预应力混凝土小箱梁，跨径为1-30m，桥梁全宽5.5m（人行道）+30m（机动车道）+5.5m（人行道）=41m，桥梁全长39m，桥梁中心线与道路中线法线夹角为90°；下部结构桥台采用桩帽台，桥台基础采用1.5m桩基础，采用一跨而过、无涉水桥段，道路横坡为双向1.5%，地震设防烈度为7度，现状河道不通航。</w:t>
            </w:r>
          </w:p>
          <w:p w14:paraId="48CACF12">
            <w:pPr>
              <w:pStyle w:val="69"/>
              <w:ind w:firstLine="482"/>
            </w:pPr>
            <w:r>
              <w:rPr>
                <w:rFonts w:hint="eastAsia"/>
                <w:b/>
              </w:rPr>
              <w:t>B.太吉大道二号桥：</w:t>
            </w:r>
            <w:r>
              <w:rPr>
                <w:rFonts w:hint="eastAsia"/>
              </w:rPr>
              <w:t>位于太吉大道西延线2段，上部结构采用预应力混凝土小箱梁，跨径为1-30m，桥梁全宽5.5m（人行道）+30m（机动车道）+5.5m（人行道）=41m，桥梁全长39m，桥梁中心线与道路中线法线夹角为60°；下部结构桥台采用桩帽台，桥台基础采用1.5m桩基础，采用一跨而过、无涉水桥段，道路横坡为双向1.5%，地震设防烈度为7度，现状河道不通航。</w:t>
            </w:r>
          </w:p>
          <w:p w14:paraId="397FD60C">
            <w:pPr>
              <w:pStyle w:val="69"/>
              <w:ind w:firstLine="482"/>
              <w:rPr>
                <w:b/>
              </w:rPr>
            </w:pPr>
            <w:r>
              <w:rPr>
                <w:rFonts w:hint="eastAsia"/>
                <w:b/>
              </w:rPr>
              <w:t>（1）桥梁上部结构</w:t>
            </w:r>
          </w:p>
          <w:p w14:paraId="47D0899B">
            <w:pPr>
              <w:pStyle w:val="69"/>
              <w:ind w:firstLine="480"/>
            </w:pPr>
            <w:r>
              <w:rPr>
                <w:rFonts w:hint="eastAsia"/>
              </w:rPr>
              <w:t>太吉大道一号桥上部结构采用预应力钢筋混凝土预制小箱梁，桥梁斜交角90°，长度30m，梁高为170cm，中板宽度220cm，边板宽度280cm，预制板之间采用湿接缝连接。小箱梁结构按部分预应力混凝土A 类构件进行设计，后张法施工。太吉大道二号桥上部结构采用预应力钢筋混凝土预制小箱梁，桥梁斜交角30°，长度30m，梁高为170cm，中板宽度220cm，边板宽度280cm，预制板之间采用湿接缝连接。小箱梁结构按部分预应力混凝土A 类构件进行设计，后张法施工。</w:t>
            </w:r>
          </w:p>
          <w:p w14:paraId="421B7416">
            <w:pPr>
              <w:pStyle w:val="69"/>
              <w:ind w:firstLine="482"/>
              <w:rPr>
                <w:b/>
              </w:rPr>
            </w:pPr>
            <w:r>
              <w:rPr>
                <w:rFonts w:hint="eastAsia"/>
                <w:b/>
              </w:rPr>
              <w:t>（2）桥梁下部结构</w:t>
            </w:r>
          </w:p>
          <w:p w14:paraId="667E080C">
            <w:pPr>
              <w:pStyle w:val="69"/>
              <w:ind w:firstLine="480"/>
            </w:pPr>
            <w:r>
              <w:rPr>
                <w:rFonts w:hint="eastAsia"/>
              </w:rPr>
              <w:t>1）桥台</w:t>
            </w:r>
          </w:p>
          <w:p w14:paraId="758AC7E6">
            <w:pPr>
              <w:pStyle w:val="69"/>
              <w:ind w:firstLine="480"/>
            </w:pPr>
            <w:r>
              <w:rPr>
                <w:rFonts w:hint="eastAsia"/>
              </w:rPr>
              <w:t>太吉大道一号桥桥台采用桩帽台，桥台基础均采用1.5m 钻孔灌注桩基础，桥台桩基础均按嵌岩桩设计。</w:t>
            </w:r>
          </w:p>
          <w:p w14:paraId="7F6F6451">
            <w:pPr>
              <w:pStyle w:val="69"/>
              <w:ind w:firstLine="480"/>
            </w:pPr>
            <w:r>
              <w:rPr>
                <w:rFonts w:hint="eastAsia"/>
              </w:rPr>
              <w:t>太吉大道二号桥桥台采用桩帽台，桥台基础均采用1.5m 钻孔灌注桩基础，桥台桩基础均按嵌岩桩设计。</w:t>
            </w:r>
          </w:p>
          <w:p w14:paraId="0A01F25F">
            <w:pPr>
              <w:pStyle w:val="69"/>
              <w:ind w:firstLine="480"/>
            </w:pPr>
            <w:r>
              <w:rPr>
                <w:rFonts w:hint="eastAsia"/>
              </w:rPr>
              <w:t>桥台采用钢筋混凝土结构台帽、侧墙均采用钢筋混凝土结构、台后设置C35 钢筋混凝土搭板，搭板长度为6.0m。厚度30cm。台背填土在长久的使用中会下沉并形成凹陷，桥头路堤越高，地质条件较差，特别是湿软地基，下沉量越大。必须严格控制桥头路堤的填土质量和压实度。要求压实度大于95%，并用桥台搭板来减少汽车行驶时在桥头的跳动和不顺适感。搭板的一端支承在桥台背顶端部，另一端置于沉降稳定的路堤，并要求搭板下先作30~50厘米厚路面基层，再浇筑搭板，必须严格控制桥头路堤的填土质量和压实度。</w:t>
            </w:r>
          </w:p>
          <w:p w14:paraId="314F589E">
            <w:pPr>
              <w:pStyle w:val="69"/>
              <w:ind w:firstLine="482"/>
              <w:rPr>
                <w:b/>
              </w:rPr>
            </w:pPr>
            <w:r>
              <w:rPr>
                <w:rFonts w:hint="eastAsia"/>
                <w:b/>
              </w:rPr>
              <w:t>（3）桥面系</w:t>
            </w:r>
          </w:p>
          <w:p w14:paraId="3116312E">
            <w:pPr>
              <w:pStyle w:val="69"/>
              <w:ind w:firstLine="480"/>
            </w:pPr>
            <w:r>
              <w:rPr>
                <w:rFonts w:hint="eastAsia"/>
              </w:rPr>
              <w:t>桥面铺装采用10cmC50 钢筋混凝土调平层，上铺10cm 沥青混凝土。在桥台与桥面连接处设置伸缩缝。桥面设置φ100mm 泄水管，桥面雨水通过泄水管，排入既有河道。桥面横坡1.5%。防水粘结层性质和质量应满足《路桥用水性沥青基防水涂料》(JT/T 975-2015)并按JT/T 985标准进行质量检查和验收。</w:t>
            </w:r>
          </w:p>
          <w:p w14:paraId="3AA9AC28">
            <w:pPr>
              <w:pStyle w:val="69"/>
              <w:ind w:firstLine="482"/>
              <w:rPr>
                <w:b/>
              </w:rPr>
            </w:pPr>
            <w:r>
              <w:rPr>
                <w:rFonts w:hint="eastAsia"/>
                <w:b/>
              </w:rPr>
              <w:t>8、涵洞工程</w:t>
            </w:r>
          </w:p>
          <w:p w14:paraId="65AB5E09">
            <w:pPr>
              <w:pStyle w:val="69"/>
              <w:ind w:firstLine="480"/>
            </w:pPr>
            <w:r>
              <w:rPr>
                <w:rFonts w:hint="eastAsia"/>
              </w:rPr>
              <w:t>本次设计考虑采用设置穿路涵洞及改沟处理方式，对现状灌溉渠进行保通处理，保证片区灌溉需求。</w:t>
            </w:r>
          </w:p>
          <w:p w14:paraId="49D72D14">
            <w:pPr>
              <w:pStyle w:val="69"/>
              <w:ind w:firstLine="480"/>
            </w:pPr>
            <w:r>
              <w:rPr>
                <w:rFonts w:hint="eastAsia"/>
              </w:rPr>
              <w:t>（1）圆管涵按无压力式涵洞设计。</w:t>
            </w:r>
          </w:p>
          <w:p w14:paraId="01D0132E">
            <w:pPr>
              <w:pStyle w:val="69"/>
              <w:ind w:firstLine="480"/>
            </w:pPr>
            <w:r>
              <w:rPr>
                <w:rFonts w:hint="eastAsia"/>
              </w:rPr>
              <w:t>（2）箱涵按照汽车荷载等级：城-A、设计安全等级三级进行设计。初步设计采用无压力式单孔箱涵设计，洞口型式为八字翼墙和一字翼墙，如采用其它形式时需要另行设计。</w:t>
            </w:r>
          </w:p>
          <w:p w14:paraId="0F77D993">
            <w:pPr>
              <w:pStyle w:val="69"/>
              <w:ind w:firstLine="482"/>
              <w:rPr>
                <w:b/>
              </w:rPr>
            </w:pPr>
            <w:r>
              <w:rPr>
                <w:rFonts w:hint="eastAsia"/>
                <w:b/>
              </w:rPr>
              <w:t>9、交通工程</w:t>
            </w:r>
          </w:p>
          <w:p w14:paraId="6F87655D">
            <w:pPr>
              <w:pStyle w:val="69"/>
              <w:ind w:firstLine="480"/>
            </w:pPr>
            <w:r>
              <w:rPr>
                <w:rFonts w:hint="eastAsia"/>
              </w:rPr>
              <w:t>工程全线道路等级为城市主干路，交通设施等级为B级。根据《城市道路设计规范（2016）》（CJJ37-2012）及《城市道路交通标志和标线设置规范》（GB 51038-2015），本项目设计道路为城市主干道，交通安全设施应设置系统完善的标志、标线、信号灯控制系统及路口渠化等。</w:t>
            </w:r>
          </w:p>
          <w:p w14:paraId="2BCB5FFE">
            <w:pPr>
              <w:pStyle w:val="69"/>
              <w:ind w:firstLine="482"/>
              <w:rPr>
                <w:b/>
              </w:rPr>
            </w:pPr>
            <w:r>
              <w:rPr>
                <w:rFonts w:hint="eastAsia"/>
                <w:b/>
              </w:rPr>
              <w:t>（1）交通标志</w:t>
            </w:r>
          </w:p>
          <w:p w14:paraId="6D73D340">
            <w:pPr>
              <w:pStyle w:val="69"/>
              <w:ind w:firstLine="480"/>
            </w:pPr>
            <w:r>
              <w:rPr>
                <w:rFonts w:hint="eastAsia"/>
              </w:rPr>
              <w:t>1）道路上的标志具有法律效力，应根据交通管理法规及有关标准，正确地设计与设置标志。</w:t>
            </w:r>
          </w:p>
          <w:p w14:paraId="61B5A8D9">
            <w:pPr>
              <w:pStyle w:val="69"/>
              <w:ind w:firstLine="480"/>
            </w:pPr>
            <w:r>
              <w:rPr>
                <w:rFonts w:hint="eastAsia"/>
              </w:rPr>
              <w:t>2）标志的设计应根据道路的交通量及其构成，计算行车速度，平、纵面线形，投资与自然环境等因素综合考虑。</w:t>
            </w:r>
          </w:p>
          <w:p w14:paraId="296E5428">
            <w:pPr>
              <w:pStyle w:val="69"/>
              <w:ind w:firstLine="480"/>
            </w:pPr>
            <w:r>
              <w:rPr>
                <w:rFonts w:hint="eastAsia"/>
              </w:rPr>
              <w:t>3）标志牌应确保净空高度。</w:t>
            </w:r>
          </w:p>
          <w:p w14:paraId="0E60758C">
            <w:pPr>
              <w:pStyle w:val="69"/>
              <w:ind w:firstLine="480"/>
            </w:pPr>
            <w:r>
              <w:rPr>
                <w:rFonts w:hint="eastAsia"/>
              </w:rPr>
              <w:t>4）在设置交通标志时，应注意与交通标线的配合使用。交通标志的设置还应周围环境等其它沿线设施的协调配合。</w:t>
            </w:r>
          </w:p>
          <w:p w14:paraId="04E91E6D">
            <w:pPr>
              <w:pStyle w:val="69"/>
              <w:ind w:firstLine="480"/>
            </w:pPr>
            <w:r>
              <w:rPr>
                <w:rFonts w:hint="eastAsia"/>
              </w:rPr>
              <w:t>5）全线应采用统一的设置标准、版面规格，在特殊情况下，交通标志的设置位置与统一性发生矛盾时，应优先保证交通标志的可读性和视认性。</w:t>
            </w:r>
          </w:p>
          <w:p w14:paraId="544B1986">
            <w:pPr>
              <w:pStyle w:val="69"/>
              <w:ind w:firstLine="480"/>
            </w:pPr>
            <w:r>
              <w:rPr>
                <w:rFonts w:hint="eastAsia"/>
              </w:rPr>
              <w:t>6）交通标志的版面设计应以驾驶人员在计算行车速度下行驶时能及时辨认标志信息为基本原则，同时力求使版面美观、醒目。</w:t>
            </w:r>
          </w:p>
          <w:p w14:paraId="5F530EDF">
            <w:pPr>
              <w:pStyle w:val="69"/>
              <w:ind w:firstLine="480"/>
            </w:pPr>
            <w:r>
              <w:rPr>
                <w:rFonts w:hint="eastAsia"/>
              </w:rPr>
              <w:t>7）交通标志的结构设计应符合“充分满足功能要求、尽量考虑美观、统一规格并降低造价”的原则。</w:t>
            </w:r>
          </w:p>
          <w:p w14:paraId="4D94AE61">
            <w:pPr>
              <w:pStyle w:val="69"/>
              <w:ind w:firstLine="482"/>
              <w:rPr>
                <w:b/>
              </w:rPr>
            </w:pPr>
            <w:r>
              <w:rPr>
                <w:rFonts w:hint="eastAsia"/>
                <w:b/>
              </w:rPr>
              <w:t>（2）交通标线</w:t>
            </w:r>
          </w:p>
          <w:p w14:paraId="4C19DD99">
            <w:pPr>
              <w:pStyle w:val="69"/>
              <w:ind w:firstLine="480"/>
            </w:pPr>
            <w:r>
              <w:rPr>
                <w:rFonts w:hint="eastAsia"/>
              </w:rPr>
              <w:t>标线应能确保车流分道行驶，导流交通行驶方向，指引车辆在汇合和分流前驶入合适的车道，加强行驶纪律和秩序，减少事故。标线应保证在白天和晚上都具有视线诱导功能，并应做到车道分界清晰，线向清楚，轮廓分明。</w:t>
            </w:r>
          </w:p>
          <w:p w14:paraId="15EAE63A">
            <w:pPr>
              <w:pStyle w:val="69"/>
              <w:ind w:firstLine="482"/>
              <w:rPr>
                <w:b/>
              </w:rPr>
            </w:pPr>
            <w:r>
              <w:rPr>
                <w:rFonts w:hint="eastAsia"/>
                <w:b/>
              </w:rPr>
              <w:t>10、管线工程</w:t>
            </w:r>
          </w:p>
          <w:p w14:paraId="4EFBBC47">
            <w:pPr>
              <w:pStyle w:val="69"/>
              <w:ind w:firstLine="480"/>
            </w:pPr>
            <w:r>
              <w:rPr>
                <w:rFonts w:hint="eastAsia"/>
              </w:rPr>
              <w:t>本次工程管线在道路下面的位置宜相对固定。从道路边界线向道路中心线方向平行布置的次序，应根据工程管线的性质，埋设深度等确定。分支线少、埋深大、检修周期短和损坏时对建筑物基础安全有影响的工程管线应远离建筑物，工程管线从道路边界线向道路中心线方向平行布置的次序宜为：电力、通信、给水（输水）、燃气（预留）、燃气（输气）、给水（输水）、污水、雨水。</w:t>
            </w:r>
          </w:p>
          <w:p w14:paraId="39991056">
            <w:pPr>
              <w:pStyle w:val="69"/>
              <w:ind w:firstLine="480"/>
            </w:pPr>
            <w:r>
              <w:rPr>
                <w:rFonts w:hint="eastAsia"/>
              </w:rPr>
              <w:t>（1）成南大道连接线1段，管线位置布置如下：给水、雨水、电力、燃气管道（预留）、污水、输水、通信管道均采用单侧布置。</w:t>
            </w:r>
          </w:p>
          <w:p w14:paraId="25E2BBFC">
            <w:pPr>
              <w:pStyle w:val="69"/>
              <w:ind w:firstLine="480"/>
            </w:pPr>
            <w:r>
              <w:rPr>
                <w:rFonts w:hint="eastAsia"/>
              </w:rPr>
              <w:t>（2）太吉大道西延线，管线位置布置如下：给水、雨水、电力、燃气管道（预留）、污水、输水、通信管道均采用单侧布置。</w:t>
            </w:r>
          </w:p>
          <w:p w14:paraId="71A70A33">
            <w:pPr>
              <w:pStyle w:val="4"/>
              <w:numPr>
                <w:ilvl w:val="1"/>
                <w:numId w:val="0"/>
              </w:numPr>
              <w:spacing w:line="240" w:lineRule="auto"/>
            </w:pPr>
            <w:r>
              <w:drawing>
                <wp:inline distT="0" distB="0" distL="0" distR="0">
                  <wp:extent cx="4361815" cy="2683510"/>
                  <wp:effectExtent l="0" t="0" r="635"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6"/>
                          <a:stretch>
                            <a:fillRect/>
                          </a:stretch>
                        </pic:blipFill>
                        <pic:spPr>
                          <a:xfrm>
                            <a:off x="0" y="0"/>
                            <a:ext cx="4363999" cy="2685063"/>
                          </a:xfrm>
                          <a:prstGeom prst="rect">
                            <a:avLst/>
                          </a:prstGeom>
                        </pic:spPr>
                      </pic:pic>
                    </a:graphicData>
                  </a:graphic>
                </wp:inline>
              </w:drawing>
            </w:r>
          </w:p>
          <w:p w14:paraId="570830A0">
            <w:pPr>
              <w:pStyle w:val="4"/>
              <w:numPr>
                <w:ilvl w:val="1"/>
                <w:numId w:val="0"/>
              </w:numPr>
              <w:spacing w:line="240" w:lineRule="auto"/>
              <w:rPr>
                <w:rFonts w:eastAsia="黑体"/>
                <w:b w:val="0"/>
                <w:sz w:val="21"/>
                <w:szCs w:val="21"/>
              </w:rPr>
            </w:pPr>
            <w:r>
              <w:rPr>
                <w:rFonts w:hint="eastAsia" w:eastAsia="黑体"/>
                <w:b w:val="0"/>
                <w:sz w:val="21"/>
                <w:szCs w:val="21"/>
              </w:rPr>
              <w:t>图</w:t>
            </w:r>
            <w:r>
              <w:rPr>
                <w:rFonts w:eastAsia="黑体"/>
                <w:b w:val="0"/>
                <w:sz w:val="21"/>
                <w:szCs w:val="21"/>
              </w:rPr>
              <w:t>2-</w:t>
            </w:r>
            <w:r>
              <w:rPr>
                <w:rFonts w:hint="eastAsia" w:eastAsia="黑体"/>
                <w:b w:val="0"/>
                <w:sz w:val="21"/>
                <w:szCs w:val="21"/>
              </w:rPr>
              <w:t>4   太吉大道西延线管线综合横断面图</w:t>
            </w:r>
          </w:p>
          <w:p w14:paraId="0C47B2F1">
            <w:pPr>
              <w:pStyle w:val="69"/>
              <w:ind w:firstLine="482"/>
              <w:rPr>
                <w:b/>
              </w:rPr>
            </w:pPr>
            <w:r>
              <w:rPr>
                <w:rFonts w:hint="eastAsia"/>
                <w:b/>
              </w:rPr>
              <w:t>11、排水工程</w:t>
            </w:r>
          </w:p>
          <w:p w14:paraId="0A5929B0">
            <w:pPr>
              <w:pStyle w:val="69"/>
              <w:ind w:firstLine="480"/>
            </w:pPr>
            <w:r>
              <w:rPr>
                <w:rFonts w:hint="eastAsia"/>
              </w:rPr>
              <w:t>本次设计道路根据会议纪要布置电力、给排水、通讯、燃气等工程管线。管线布置应符合《城市工程管线综合规划规范》的要求。</w:t>
            </w:r>
          </w:p>
          <w:p w14:paraId="03C7DD15">
            <w:pPr>
              <w:pStyle w:val="69"/>
              <w:ind w:firstLine="480"/>
            </w:pPr>
            <w:r>
              <w:rPr>
                <w:rFonts w:hint="eastAsia"/>
              </w:rPr>
              <w:t>（1）雨水管道设计</w:t>
            </w:r>
          </w:p>
          <w:p w14:paraId="0FDF5931">
            <w:pPr>
              <w:pStyle w:val="69"/>
              <w:ind w:firstLine="480"/>
            </w:pPr>
            <w:r>
              <w:rPr>
                <w:rFonts w:hint="eastAsia"/>
              </w:rPr>
              <w:t>雨水管道按满流计算，经计算雨水主干管管径为DN600～1200，采用Ⅱ级钢筋混凝土管，管道连接方式为橡胶密封圈承插连接。为了周边地块内雨水收集，每隔150m左右在道路两侧设置雨水预埋管，预埋管管径为d500，坡度为3‰。</w:t>
            </w:r>
          </w:p>
          <w:p w14:paraId="6AE79FD6">
            <w:pPr>
              <w:pStyle w:val="69"/>
              <w:ind w:firstLine="480"/>
            </w:pPr>
            <w:r>
              <w:rPr>
                <w:rFonts w:hint="eastAsia"/>
              </w:rPr>
              <w:t>（2）污水管道设计</w:t>
            </w:r>
          </w:p>
          <w:p w14:paraId="3CDA71E3">
            <w:pPr>
              <w:pStyle w:val="69"/>
              <w:ind w:firstLine="480"/>
            </w:pPr>
            <w:r>
              <w:rPr>
                <w:rFonts w:hint="eastAsia"/>
              </w:rPr>
              <w:t>污水管道按最大设计充满度0.5计算，经计算污水主干管管径为DN500，采用玻纤双高筋增强聚乙烯缠绕管（环刚度≥ 10kN/m</w:t>
            </w:r>
            <w:r>
              <w:rPr>
                <w:rFonts w:hint="eastAsia"/>
                <w:vertAlign w:val="superscript"/>
              </w:rPr>
              <w:t>2</w:t>
            </w:r>
            <w:r>
              <w:rPr>
                <w:rFonts w:hint="eastAsia"/>
              </w:rPr>
              <w:t>），施工参照图集《埋地塑料排水管道》06MS201-2。为了周边地块内污水收集，每隔150m左右在道路两侧设置污水预埋管，预埋管管径为DN500，坡度为3‰。</w:t>
            </w:r>
          </w:p>
          <w:p w14:paraId="182C935A">
            <w:pPr>
              <w:pStyle w:val="69"/>
              <w:ind w:firstLine="0" w:firstLineChars="0"/>
              <w:jc w:val="center"/>
            </w:pPr>
            <w:r>
              <w:drawing>
                <wp:inline distT="0" distB="0" distL="0" distR="0">
                  <wp:extent cx="4119245" cy="3119120"/>
                  <wp:effectExtent l="19050" t="19050" r="14605" b="2413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7"/>
                          <a:stretch>
                            <a:fillRect/>
                          </a:stretch>
                        </pic:blipFill>
                        <pic:spPr>
                          <a:xfrm>
                            <a:off x="0" y="0"/>
                            <a:ext cx="4119563" cy="3119438"/>
                          </a:xfrm>
                          <a:prstGeom prst="rect">
                            <a:avLst/>
                          </a:prstGeom>
                          <a:ln>
                            <a:solidFill>
                              <a:schemeClr val="tx1"/>
                            </a:solidFill>
                          </a:ln>
                        </pic:spPr>
                      </pic:pic>
                    </a:graphicData>
                  </a:graphic>
                </wp:inline>
              </w:drawing>
            </w:r>
          </w:p>
          <w:p w14:paraId="19B83324">
            <w:pPr>
              <w:pStyle w:val="4"/>
              <w:numPr>
                <w:ilvl w:val="1"/>
                <w:numId w:val="0"/>
              </w:numPr>
              <w:spacing w:line="240" w:lineRule="auto"/>
              <w:rPr>
                <w:rFonts w:eastAsia="黑体"/>
                <w:b w:val="0"/>
              </w:rPr>
            </w:pPr>
            <w:bookmarkStart w:id="9" w:name="_Toc150173892"/>
            <w:r>
              <w:rPr>
                <w:rFonts w:eastAsia="黑体"/>
                <w:b w:val="0"/>
                <w:sz w:val="21"/>
                <w:szCs w:val="21"/>
              </w:rPr>
              <w:t>图2-</w:t>
            </w:r>
            <w:r>
              <w:rPr>
                <w:rFonts w:hint="eastAsia" w:eastAsia="黑体"/>
                <w:b w:val="0"/>
                <w:sz w:val="21"/>
                <w:szCs w:val="21"/>
              </w:rPr>
              <w:t>5</w:t>
            </w:r>
            <w:r>
              <w:rPr>
                <w:rFonts w:eastAsia="黑体"/>
                <w:b w:val="0"/>
                <w:sz w:val="21"/>
                <w:szCs w:val="21"/>
              </w:rPr>
              <w:t xml:space="preserve">  项目片区雨、污水排放规划示意图</w:t>
            </w:r>
            <w:bookmarkEnd w:id="9"/>
          </w:p>
          <w:p w14:paraId="436DAD4E">
            <w:pPr>
              <w:pStyle w:val="69"/>
              <w:ind w:firstLine="482"/>
              <w:rPr>
                <w:b/>
              </w:rPr>
            </w:pPr>
            <w:r>
              <w:rPr>
                <w:rFonts w:hint="eastAsia"/>
                <w:b/>
              </w:rPr>
              <w:t>12、给水工程</w:t>
            </w:r>
          </w:p>
          <w:p w14:paraId="7473C268">
            <w:pPr>
              <w:pStyle w:val="69"/>
              <w:ind w:firstLine="480"/>
            </w:pPr>
            <w:r>
              <w:rPr>
                <w:rFonts w:hint="eastAsia"/>
              </w:rPr>
              <w:t>（1）设计范围</w:t>
            </w:r>
          </w:p>
          <w:p w14:paraId="0DE756E4">
            <w:pPr>
              <w:pStyle w:val="69"/>
              <w:ind w:firstLine="480"/>
            </w:pPr>
            <w:r>
              <w:rPr>
                <w:rFonts w:hint="eastAsia"/>
              </w:rPr>
              <w:t>本项目初步设计内容为成南大道连接线1段、太吉大道西延线1段及2段给水管道。</w:t>
            </w:r>
          </w:p>
          <w:p w14:paraId="32BA2FA0">
            <w:pPr>
              <w:pStyle w:val="69"/>
              <w:ind w:firstLine="480"/>
            </w:pPr>
            <w:r>
              <w:rPr>
                <w:rFonts w:hint="eastAsia"/>
              </w:rPr>
              <w:t>其中太吉大道西延线1、2段给水管道管径为DN300，管道总长度为2241m；成南大道连接线1段给水管道管径为DN300，管道总长度为1481m。</w:t>
            </w:r>
          </w:p>
          <w:p w14:paraId="15E2E406">
            <w:pPr>
              <w:pStyle w:val="69"/>
              <w:ind w:firstLine="482"/>
              <w:rPr>
                <w:b/>
              </w:rPr>
            </w:pPr>
            <w:r>
              <w:rPr>
                <w:rFonts w:hint="eastAsia"/>
                <w:b/>
              </w:rPr>
              <w:t>（2）给水设计</w:t>
            </w:r>
          </w:p>
          <w:p w14:paraId="7156F2DE">
            <w:pPr>
              <w:pStyle w:val="69"/>
              <w:ind w:firstLine="480"/>
            </w:pPr>
            <w:r>
              <w:rPr>
                <w:rFonts w:hint="eastAsia"/>
              </w:rPr>
              <w:t>本工程设计给水管管材埋地部分选择球墨铸铁管，过桥部分选择钢管，根据自来水公司提供的球墨铸铁压力管材等级为K9，钢管管径DN400及以下采用20号热轧无缝钢管，DN600及以上钢管采用Q235B焊接钢管。</w:t>
            </w:r>
          </w:p>
          <w:p w14:paraId="7D8BC868">
            <w:pPr>
              <w:pStyle w:val="69"/>
              <w:ind w:firstLine="482"/>
              <w:rPr>
                <w:b/>
              </w:rPr>
            </w:pPr>
            <w:r>
              <w:rPr>
                <w:rFonts w:hint="eastAsia"/>
                <w:b/>
              </w:rPr>
              <w:t>13、照明工程</w:t>
            </w:r>
          </w:p>
          <w:p w14:paraId="43EEE156">
            <w:pPr>
              <w:pStyle w:val="69"/>
              <w:ind w:firstLine="480"/>
            </w:pPr>
            <w:r>
              <w:rPr>
                <w:rFonts w:hint="eastAsia"/>
              </w:rPr>
              <w:t>（1）本工程道路照明负荷等级为三级，工程范围内新增3个箱变（200kVA），箱变10kV电源由市政管网引来。在变压器高压侧设置集中计量，景观照明、广告照明等分别计量。</w:t>
            </w:r>
          </w:p>
          <w:p w14:paraId="58DBE24F">
            <w:pPr>
              <w:pStyle w:val="69"/>
              <w:ind w:firstLine="480"/>
            </w:pPr>
            <w:r>
              <w:rPr>
                <w:rFonts w:hint="eastAsia"/>
              </w:rPr>
              <w:t>（2）1#照明专用箱变设置于太吉大道西延线1段K0+800，供电范围：太吉大道西延线1段K0+440~K1+310。且采用照明专用控制柜AL01对路灯进行配电及控制，1#照明专用箱变总计算负荷约为118.8kW（照明负荷约28.8kW，适当预留景观照明用电及广告用电），箱变负荷率为66%。</w:t>
            </w:r>
          </w:p>
          <w:p w14:paraId="695814E4">
            <w:pPr>
              <w:pStyle w:val="69"/>
              <w:ind w:firstLine="480"/>
            </w:pPr>
            <w:r>
              <w:rPr>
                <w:rFonts w:hint="eastAsia"/>
              </w:rPr>
              <w:t>（3）2#照明专用箱变设置于太吉大道西延线1段K0+060，供电范围：太吉大道西延线1段K0+000~K0+440，太吉大道西延线2段。且采用照明专用控制柜AL02对路灯进行配电及控制，1#照明专用箱变总计算负荷约为118.8W（照明负荷约28.8kW，适当预留景观照明用电及广告用电），箱变负荷率为66%。</w:t>
            </w:r>
          </w:p>
          <w:p w14:paraId="2A163FB5">
            <w:pPr>
              <w:pStyle w:val="69"/>
              <w:ind w:firstLine="480"/>
            </w:pPr>
            <w:r>
              <w:rPr>
                <w:rFonts w:hint="eastAsia"/>
              </w:rPr>
              <w:t>（4）3#照明专用箱变设置于成南大道连接线1段K0+810，供电范围：成南大道连接线1段。且采用照明专用控制柜AL03对路灯进行配电及控制，1#照明专用箱变总计算负荷约为49.8kW（照明负荷约28.8kW，适当预留景观照明用电及广告用电），箱变负荷率为78%。</w:t>
            </w:r>
          </w:p>
          <w:p w14:paraId="151C5691">
            <w:pPr>
              <w:pStyle w:val="69"/>
              <w:ind w:firstLine="480"/>
            </w:pPr>
            <w:r>
              <w:rPr>
                <w:rFonts w:hint="eastAsia"/>
              </w:rPr>
              <w:t>（5）路灯电源引自路灯照明专用控制柜，每个照明回路采用三相四线制供电方式。道路照明采用220/380V交流制，供电电压要求照明回路末端电压降不大于5%，各回路最大压降为3.9%。</w:t>
            </w:r>
          </w:p>
          <w:p w14:paraId="5B9C2DE8">
            <w:pPr>
              <w:pStyle w:val="69"/>
              <w:ind w:firstLine="480"/>
            </w:pPr>
            <w:r>
              <w:rPr>
                <w:rFonts w:hint="eastAsia"/>
              </w:rPr>
              <w:t>（6）各相均衡搭接负荷，尽量使三相负荷平衡，配电系统三相负荷的不平衡度不宜大于15％。</w:t>
            </w:r>
          </w:p>
          <w:p w14:paraId="4B66E3CA">
            <w:pPr>
              <w:pStyle w:val="69"/>
              <w:ind w:firstLine="480"/>
            </w:pPr>
            <w:r>
              <w:rPr>
                <w:rFonts w:hint="eastAsia"/>
              </w:rPr>
              <w:t>（7）照明箱变用预装式箱式变电站形式安装，箱变耐火等级不应低于二级。</w:t>
            </w:r>
          </w:p>
          <w:p w14:paraId="3FFC1D9A">
            <w:pPr>
              <w:pStyle w:val="69"/>
              <w:ind w:firstLine="480"/>
            </w:pPr>
            <w:r>
              <w:rPr>
                <w:rFonts w:hint="eastAsia"/>
              </w:rPr>
              <w:t>（8）每盏路灯均设后备保护。路灯采用带剩余动作电流保护器（In=10A，I△n=30mA/1P+N/，中杆灯In=10A，I△n=30mA/1P+N/，具体参数路须灯厂家复核）做灯具间接接触及接地保护，PE线严禁接入剩余动作电流保护器。</w:t>
            </w:r>
          </w:p>
          <w:p w14:paraId="43A249FF">
            <w:pPr>
              <w:pStyle w:val="69"/>
              <w:ind w:firstLine="480"/>
            </w:pPr>
            <w:r>
              <w:rPr>
                <w:rFonts w:hint="eastAsia"/>
              </w:rPr>
              <w:t>（9）照明配电终端回路应设短路保护、过负荷保护和接地故障保护室外照明配电终端回路，当正常照明灯具安装高度在2.5m及以下，且灯具采用交流低压供电时，应设置剩余电流动作保护电器作为附加防护。人员可触及的室外金属电动门等用电设备的电击防护应设置附加防护，应采用额定剩余电流动作值不大于30mA剩余电流动作保护电器；应设置辅助等电位联结。</w:t>
            </w:r>
          </w:p>
          <w:p w14:paraId="51AEF9F8">
            <w:pPr>
              <w:pStyle w:val="69"/>
              <w:ind w:firstLine="480"/>
            </w:pPr>
            <w:r>
              <w:rPr>
                <w:rFonts w:hint="eastAsia"/>
              </w:rPr>
              <w:t>（10）当用剩余电流动作保护电器作为电击防护附加防护措施时，应符合下列规定：额定剩余电流动作值不应大于30mA。人员可触及的室外电气设备回路额定电流不超过32A的应装设剩余电流动作保护电器。剩余电流动作保护电器不应作为唯一的保护措施。</w:t>
            </w:r>
          </w:p>
          <w:p w14:paraId="5722B046">
            <w:pPr>
              <w:pStyle w:val="69"/>
              <w:ind w:firstLine="480"/>
            </w:pPr>
            <w:r>
              <w:rPr>
                <w:rFonts w:hint="eastAsia"/>
              </w:rPr>
              <w:t>（11）箱变安装道路外侧（在绿化带内或其它适当位置），箱变采用景观型箱变，箱变设备安装厂家应设置防触电等措施及醒目提示标志。变压器中性点、变压器外壳均应可靠接地。箱变不得布置在平面交叉口视距三角形范围内，不得有任何高于地面1.2m的妨碍驾驶员视线的障碍物。</w:t>
            </w:r>
          </w:p>
          <w:p w14:paraId="302897A2">
            <w:pPr>
              <w:pStyle w:val="69"/>
              <w:ind w:firstLine="482"/>
              <w:rPr>
                <w:b/>
              </w:rPr>
            </w:pPr>
            <w:r>
              <w:rPr>
                <w:rFonts w:hint="eastAsia"/>
                <w:b/>
              </w:rPr>
              <w:t>14、景观绿化工程</w:t>
            </w:r>
          </w:p>
          <w:p w14:paraId="0FE49B91">
            <w:pPr>
              <w:pStyle w:val="69"/>
              <w:ind w:firstLine="480"/>
            </w:pPr>
            <w:r>
              <w:rPr>
                <w:rFonts w:hint="eastAsia"/>
              </w:rPr>
              <w:t>本工程绿化景观仅为侧分带，采取设计平缓而简洁的处理方式。</w:t>
            </w:r>
          </w:p>
          <w:p w14:paraId="24265C73">
            <w:pPr>
              <w:pStyle w:val="69"/>
              <w:ind w:firstLine="480"/>
            </w:pPr>
            <w:r>
              <w:rPr>
                <w:rFonts w:hint="eastAsia"/>
              </w:rPr>
              <w:t>树池大小尺寸为</w:t>
            </w:r>
            <w:r>
              <w:t>1.8×1.8</w:t>
            </w:r>
            <w:r>
              <w:rPr>
                <w:rFonts w:hint="eastAsia"/>
              </w:rPr>
              <w:t>m，间距</w:t>
            </w:r>
            <w:r>
              <w:t>7.5</w:t>
            </w:r>
            <w:r>
              <w:rPr>
                <w:rFonts w:hint="eastAsia"/>
              </w:rPr>
              <w:t>m。红线外景观采用绿地公园标准打造，以乔灌草的组合，以群植和孤植相搭配，含人行道照明工程。</w:t>
            </w:r>
          </w:p>
          <w:p w14:paraId="40D5A2AE">
            <w:pPr>
              <w:pStyle w:val="69"/>
              <w:ind w:firstLine="480"/>
            </w:pPr>
            <w:r>
              <w:rPr>
                <w:rFonts w:hint="eastAsia"/>
              </w:rPr>
              <w:t>外立面装饰采用天府矩阵简易版、多年生草花及常绿植物遮挡围合或采用外观涂鸦美化，具体选用方式以景观方案为准。</w:t>
            </w:r>
          </w:p>
          <w:p w14:paraId="53B01B8D">
            <w:pPr>
              <w:pStyle w:val="5"/>
              <w:ind w:firstLine="0" w:firstLineChars="0"/>
              <w:rPr>
                <w:b/>
                <w:bCs/>
              </w:rPr>
            </w:pPr>
            <w:r>
              <w:rPr>
                <w:rFonts w:hint="eastAsia"/>
                <w:b/>
                <w:bCs/>
              </w:rPr>
              <w:t>二、工程占地与拆迁安置</w:t>
            </w:r>
          </w:p>
          <w:p w14:paraId="74C2B235">
            <w:pPr>
              <w:pStyle w:val="5"/>
              <w:ind w:firstLine="482"/>
              <w:rPr>
                <w:b/>
              </w:rPr>
            </w:pPr>
            <w:r>
              <w:rPr>
                <w:rFonts w:hint="eastAsia"/>
                <w:b/>
              </w:rPr>
              <w:t>1、工程占地</w:t>
            </w:r>
          </w:p>
          <w:p w14:paraId="51A66BAF">
            <w:pPr>
              <w:pStyle w:val="5"/>
              <w:ind w:firstLine="480"/>
            </w:pPr>
            <w:r>
              <w:rPr>
                <w:rFonts w:hint="eastAsia"/>
              </w:rPr>
              <w:t>根据项目初步设计方案，工程总占地面积</w:t>
            </w:r>
            <w:r>
              <w:rPr>
                <w:rFonts w:hint="eastAsia"/>
                <w:szCs w:val="24"/>
              </w:rPr>
              <w:t>1.27h</w:t>
            </w:r>
            <w:r>
              <w:rPr>
                <w:szCs w:val="24"/>
              </w:rPr>
              <w:t>m²</w:t>
            </w:r>
            <w:r>
              <w:t>，</w:t>
            </w:r>
            <w:r>
              <w:rPr>
                <w:rFonts w:hint="eastAsia"/>
              </w:rPr>
              <w:t>永久占地约10.27hm</w:t>
            </w:r>
            <w:r>
              <w:rPr>
                <w:rFonts w:hint="eastAsia"/>
                <w:vertAlign w:val="superscript"/>
              </w:rPr>
              <w:t>2</w:t>
            </w:r>
            <w:r>
              <w:rPr>
                <w:rFonts w:hint="eastAsia"/>
              </w:rPr>
              <w:t>，临时占地约为1hm</w:t>
            </w:r>
            <w:r>
              <w:rPr>
                <w:rFonts w:hint="eastAsia"/>
                <w:vertAlign w:val="superscript"/>
              </w:rPr>
              <w:t>2</w:t>
            </w:r>
            <w:r>
              <w:rPr>
                <w:rFonts w:hint="eastAsia"/>
              </w:rPr>
              <w:t>。</w:t>
            </w:r>
          </w:p>
          <w:p w14:paraId="39F1A033">
            <w:pPr>
              <w:pStyle w:val="5"/>
              <w:ind w:firstLine="480"/>
            </w:pPr>
            <w:r>
              <w:rPr>
                <w:rFonts w:hint="eastAsia"/>
              </w:rPr>
              <w:t>本项目永久用地类型包括：耕地、林地、交运用地、水域及水利设施用地、其他等，项目用地不涉及占用基本农田；项目临时工程设置于征地红线范围内，不另行征地。</w:t>
            </w:r>
          </w:p>
          <w:p w14:paraId="7EAA6255">
            <w:pPr>
              <w:pStyle w:val="5"/>
              <w:spacing w:line="240" w:lineRule="auto"/>
              <w:ind w:firstLine="0" w:firstLineChars="0"/>
              <w:jc w:val="center"/>
              <w:rPr>
                <w:rFonts w:eastAsia="黑体"/>
                <w:sz w:val="21"/>
                <w:szCs w:val="21"/>
              </w:rPr>
            </w:pPr>
            <w:r>
              <w:rPr>
                <w:rFonts w:eastAsia="黑体"/>
                <w:sz w:val="21"/>
                <w:szCs w:val="21"/>
              </w:rPr>
              <w:t>表2-4   本项目占地汇总表</w:t>
            </w:r>
          </w:p>
          <w:tbl>
            <w:tblPr>
              <w:tblStyle w:val="33"/>
              <w:tblW w:w="4997" w:type="pct"/>
              <w:tblInd w:w="0" w:type="dxa"/>
              <w:tblLayout w:type="autofit"/>
              <w:tblCellMar>
                <w:top w:w="0" w:type="dxa"/>
                <w:left w:w="0" w:type="dxa"/>
                <w:bottom w:w="0" w:type="dxa"/>
                <w:right w:w="0" w:type="dxa"/>
              </w:tblCellMar>
            </w:tblPr>
            <w:tblGrid>
              <w:gridCol w:w="349"/>
              <w:gridCol w:w="1662"/>
              <w:gridCol w:w="682"/>
              <w:gridCol w:w="827"/>
              <w:gridCol w:w="1073"/>
              <w:gridCol w:w="848"/>
              <w:gridCol w:w="852"/>
              <w:gridCol w:w="892"/>
              <w:gridCol w:w="1199"/>
            </w:tblGrid>
            <w:tr w14:paraId="20D639F7">
              <w:trPr>
                <w:trHeight w:val="270" w:hRule="atLeast"/>
              </w:trPr>
              <w:tc>
                <w:tcPr>
                  <w:tcW w:w="1199" w:type="pct"/>
                  <w:gridSpan w:val="2"/>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76FF016">
                  <w:pPr>
                    <w:widowControl/>
                    <w:jc w:val="center"/>
                    <w:textAlignment w:val="center"/>
                    <w:rPr>
                      <w:bCs/>
                      <w:kern w:val="0"/>
                      <w:szCs w:val="21"/>
                      <w:lang w:bidi="ar"/>
                    </w:rPr>
                  </w:pPr>
                  <w:r>
                    <w:rPr>
                      <w:rFonts w:hint="eastAsia"/>
                      <w:bCs/>
                      <w:kern w:val="0"/>
                      <w:szCs w:val="21"/>
                      <w:lang w:bidi="ar"/>
                    </w:rPr>
                    <w:t>防治目标</w:t>
                  </w:r>
                </w:p>
              </w:tc>
              <w:tc>
                <w:tcPr>
                  <w:tcW w:w="3085" w:type="pct"/>
                  <w:gridSpan w:val="6"/>
                  <w:tcBorders>
                    <w:top w:val="single" w:color="000000" w:sz="4" w:space="0"/>
                    <w:left w:val="single" w:color="auto" w:sz="4" w:space="0"/>
                    <w:right w:val="single" w:color="000000" w:sz="4" w:space="0"/>
                  </w:tcBorders>
                  <w:tcMar>
                    <w:top w:w="15" w:type="dxa"/>
                    <w:left w:w="15" w:type="dxa"/>
                    <w:right w:w="15" w:type="dxa"/>
                  </w:tcMar>
                  <w:vAlign w:val="center"/>
                </w:tcPr>
                <w:p w14:paraId="7E172DDA">
                  <w:pPr>
                    <w:widowControl/>
                    <w:jc w:val="center"/>
                    <w:textAlignment w:val="center"/>
                    <w:rPr>
                      <w:bCs/>
                      <w:kern w:val="0"/>
                      <w:szCs w:val="21"/>
                      <w:lang w:bidi="ar"/>
                    </w:rPr>
                  </w:pPr>
                  <w:r>
                    <w:rPr>
                      <w:rFonts w:hint="eastAsia"/>
                      <w:bCs/>
                      <w:kern w:val="0"/>
                      <w:szCs w:val="21"/>
                      <w:lang w:bidi="ar"/>
                    </w:rPr>
                    <w:t>占地类型及面积（hm</w:t>
                  </w:r>
                  <w:r>
                    <w:rPr>
                      <w:rFonts w:hint="eastAsia"/>
                      <w:bCs/>
                      <w:kern w:val="0"/>
                      <w:szCs w:val="21"/>
                      <w:vertAlign w:val="superscript"/>
                      <w:lang w:bidi="ar"/>
                    </w:rPr>
                    <w:t>2</w:t>
                  </w:r>
                  <w:r>
                    <w:rPr>
                      <w:rFonts w:hint="eastAsia"/>
                      <w:bCs/>
                      <w:kern w:val="0"/>
                      <w:szCs w:val="21"/>
                      <w:lang w:bidi="ar"/>
                    </w:rPr>
                    <w:t>）</w:t>
                  </w:r>
                </w:p>
              </w:tc>
              <w:tc>
                <w:tcPr>
                  <w:tcW w:w="716" w:type="pct"/>
                  <w:vMerge w:val="restart"/>
                  <w:tcBorders>
                    <w:top w:val="single" w:color="000000" w:sz="4" w:space="0"/>
                    <w:left w:val="single" w:color="000000" w:sz="4" w:space="0"/>
                    <w:right w:val="single" w:color="000000" w:sz="4" w:space="0"/>
                  </w:tcBorders>
                  <w:tcMar>
                    <w:top w:w="15" w:type="dxa"/>
                    <w:left w:w="15" w:type="dxa"/>
                    <w:right w:w="15" w:type="dxa"/>
                  </w:tcMar>
                  <w:vAlign w:val="center"/>
                </w:tcPr>
                <w:p w14:paraId="11B204CF">
                  <w:pPr>
                    <w:widowControl/>
                    <w:jc w:val="center"/>
                    <w:textAlignment w:val="center"/>
                    <w:rPr>
                      <w:bCs/>
                      <w:kern w:val="0"/>
                      <w:szCs w:val="21"/>
                      <w:lang w:bidi="ar"/>
                    </w:rPr>
                  </w:pPr>
                  <w:r>
                    <w:rPr>
                      <w:rFonts w:hint="eastAsia"/>
                      <w:bCs/>
                      <w:kern w:val="0"/>
                      <w:szCs w:val="21"/>
                      <w:lang w:bidi="ar"/>
                    </w:rPr>
                    <w:t>占地性质</w:t>
                  </w:r>
                </w:p>
              </w:tc>
            </w:tr>
            <w:tr w14:paraId="75F2235F">
              <w:tblPrEx>
                <w:tblCellMar>
                  <w:top w:w="0" w:type="dxa"/>
                  <w:left w:w="0" w:type="dxa"/>
                  <w:bottom w:w="0" w:type="dxa"/>
                  <w:right w:w="0" w:type="dxa"/>
                </w:tblCellMar>
              </w:tblPrEx>
              <w:trPr>
                <w:trHeight w:val="270" w:hRule="atLeast"/>
              </w:trPr>
              <w:tc>
                <w:tcPr>
                  <w:tcW w:w="1199" w:type="pct"/>
                  <w:gridSpan w:val="2"/>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CA9BB6A">
                  <w:pPr>
                    <w:widowControl/>
                    <w:jc w:val="center"/>
                    <w:textAlignment w:val="center"/>
                    <w:rPr>
                      <w:bCs/>
                      <w:kern w:val="0"/>
                      <w:szCs w:val="21"/>
                      <w:lang w:bidi="ar"/>
                    </w:rPr>
                  </w:pPr>
                </w:p>
              </w:tc>
              <w:tc>
                <w:tcPr>
                  <w:tcW w:w="407"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790DACE5">
                  <w:pPr>
                    <w:widowControl/>
                    <w:jc w:val="center"/>
                    <w:textAlignment w:val="center"/>
                    <w:rPr>
                      <w:bCs/>
                      <w:kern w:val="0"/>
                      <w:szCs w:val="21"/>
                      <w:lang w:bidi="ar"/>
                    </w:rPr>
                  </w:pPr>
                  <w:r>
                    <w:rPr>
                      <w:rFonts w:hint="eastAsia"/>
                      <w:bCs/>
                      <w:kern w:val="0"/>
                      <w:szCs w:val="21"/>
                      <w:lang w:bidi="ar"/>
                    </w:rPr>
                    <w:t>耕地</w:t>
                  </w:r>
                </w:p>
              </w:tc>
              <w:tc>
                <w:tcPr>
                  <w:tcW w:w="493"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06BAEDFC">
                  <w:pPr>
                    <w:widowControl/>
                    <w:jc w:val="center"/>
                    <w:textAlignment w:val="center"/>
                    <w:rPr>
                      <w:bCs/>
                      <w:kern w:val="0"/>
                      <w:szCs w:val="21"/>
                      <w:lang w:bidi="ar"/>
                    </w:rPr>
                  </w:pPr>
                  <w:r>
                    <w:rPr>
                      <w:rFonts w:hint="eastAsia"/>
                      <w:bCs/>
                      <w:kern w:val="0"/>
                      <w:szCs w:val="21"/>
                      <w:lang w:bidi="ar"/>
                    </w:rPr>
                    <w:t>交通运输用地</w:t>
                  </w:r>
                </w:p>
              </w:tc>
              <w:tc>
                <w:tcPr>
                  <w:tcW w:w="640"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25814771">
                  <w:pPr>
                    <w:widowControl/>
                    <w:jc w:val="center"/>
                    <w:textAlignment w:val="center"/>
                    <w:rPr>
                      <w:bCs/>
                      <w:kern w:val="0"/>
                      <w:szCs w:val="21"/>
                      <w:lang w:bidi="ar"/>
                    </w:rPr>
                  </w:pPr>
                  <w:r>
                    <w:rPr>
                      <w:rFonts w:hint="eastAsia"/>
                      <w:bCs/>
                      <w:kern w:val="0"/>
                      <w:szCs w:val="21"/>
                      <w:lang w:bidi="ar"/>
                    </w:rPr>
                    <w:t>水域及水利设施用地</w:t>
                  </w:r>
                </w:p>
              </w:tc>
              <w:tc>
                <w:tcPr>
                  <w:tcW w:w="506"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46FD3926">
                  <w:pPr>
                    <w:widowControl/>
                    <w:jc w:val="center"/>
                    <w:textAlignment w:val="center"/>
                    <w:rPr>
                      <w:bCs/>
                      <w:kern w:val="0"/>
                      <w:szCs w:val="21"/>
                      <w:lang w:bidi="ar"/>
                    </w:rPr>
                  </w:pPr>
                  <w:r>
                    <w:rPr>
                      <w:rFonts w:hint="eastAsia"/>
                      <w:bCs/>
                      <w:kern w:val="0"/>
                      <w:szCs w:val="21"/>
                      <w:lang w:bidi="ar"/>
                    </w:rPr>
                    <w:t>其他用地</w:t>
                  </w:r>
                </w:p>
              </w:tc>
              <w:tc>
                <w:tcPr>
                  <w:tcW w:w="508"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2F4A1AC8">
                  <w:pPr>
                    <w:widowControl/>
                    <w:jc w:val="center"/>
                    <w:textAlignment w:val="center"/>
                    <w:rPr>
                      <w:bCs/>
                      <w:kern w:val="0"/>
                      <w:szCs w:val="21"/>
                      <w:lang w:bidi="ar"/>
                    </w:rPr>
                  </w:pPr>
                  <w:r>
                    <w:rPr>
                      <w:rFonts w:hint="eastAsia"/>
                      <w:bCs/>
                      <w:kern w:val="0"/>
                      <w:szCs w:val="21"/>
                      <w:lang w:bidi="ar"/>
                    </w:rPr>
                    <w:t>林地</w:t>
                  </w:r>
                </w:p>
              </w:tc>
              <w:tc>
                <w:tcPr>
                  <w:tcW w:w="532"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100733F8">
                  <w:pPr>
                    <w:widowControl/>
                    <w:jc w:val="center"/>
                    <w:textAlignment w:val="center"/>
                    <w:rPr>
                      <w:bCs/>
                      <w:kern w:val="0"/>
                      <w:szCs w:val="21"/>
                      <w:lang w:bidi="ar"/>
                    </w:rPr>
                  </w:pPr>
                  <w:r>
                    <w:rPr>
                      <w:bCs/>
                      <w:kern w:val="0"/>
                      <w:szCs w:val="21"/>
                      <w:lang w:bidi="ar"/>
                    </w:rPr>
                    <w:t>小计</w:t>
                  </w:r>
                </w:p>
              </w:tc>
              <w:tc>
                <w:tcPr>
                  <w:tcW w:w="716" w:type="pct"/>
                  <w:vMerge w:val="continue"/>
                  <w:tcBorders>
                    <w:left w:val="single" w:color="000000" w:sz="4" w:space="0"/>
                    <w:right w:val="single" w:color="000000" w:sz="4" w:space="0"/>
                  </w:tcBorders>
                  <w:tcMar>
                    <w:top w:w="15" w:type="dxa"/>
                    <w:left w:w="15" w:type="dxa"/>
                    <w:right w:w="15" w:type="dxa"/>
                  </w:tcMar>
                  <w:vAlign w:val="center"/>
                </w:tcPr>
                <w:p w14:paraId="661FFCE4">
                  <w:pPr>
                    <w:widowControl/>
                    <w:jc w:val="center"/>
                    <w:textAlignment w:val="center"/>
                    <w:rPr>
                      <w:bCs/>
                      <w:kern w:val="0"/>
                      <w:szCs w:val="21"/>
                      <w:lang w:bidi="ar"/>
                    </w:rPr>
                  </w:pPr>
                </w:p>
              </w:tc>
            </w:tr>
            <w:tr w14:paraId="54CA12AE">
              <w:tblPrEx>
                <w:tblCellMar>
                  <w:top w:w="0" w:type="dxa"/>
                  <w:left w:w="0" w:type="dxa"/>
                  <w:bottom w:w="0" w:type="dxa"/>
                  <w:right w:w="0" w:type="dxa"/>
                </w:tblCellMar>
              </w:tblPrEx>
              <w:trPr>
                <w:trHeight w:val="375" w:hRule="atLeast"/>
              </w:trPr>
              <w:tc>
                <w:tcPr>
                  <w:tcW w:w="208" w:type="pct"/>
                  <w:vMerge w:val="restart"/>
                  <w:tcBorders>
                    <w:top w:val="single" w:color="000000" w:sz="4" w:space="0"/>
                    <w:left w:val="single" w:color="000000" w:sz="4" w:space="0"/>
                    <w:right w:val="single" w:color="auto" w:sz="4" w:space="0"/>
                  </w:tcBorders>
                  <w:tcMar>
                    <w:top w:w="15" w:type="dxa"/>
                    <w:left w:w="15" w:type="dxa"/>
                    <w:right w:w="15" w:type="dxa"/>
                  </w:tcMar>
                  <w:vAlign w:val="center"/>
                </w:tcPr>
                <w:p w14:paraId="00AA7A1D">
                  <w:pPr>
                    <w:widowControl/>
                    <w:jc w:val="center"/>
                    <w:textAlignment w:val="center"/>
                    <w:rPr>
                      <w:bCs/>
                      <w:kern w:val="0"/>
                      <w:szCs w:val="21"/>
                      <w:lang w:bidi="ar"/>
                    </w:rPr>
                  </w:pPr>
                  <w:r>
                    <w:rPr>
                      <w:rFonts w:hint="eastAsia"/>
                      <w:kern w:val="0"/>
                      <w:szCs w:val="21"/>
                      <w:lang w:bidi="ar"/>
                    </w:rPr>
                    <w:t>本项目</w:t>
                  </w:r>
                </w:p>
              </w:tc>
              <w:tc>
                <w:tcPr>
                  <w:tcW w:w="990"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31F8D26F">
                  <w:pPr>
                    <w:widowControl/>
                    <w:jc w:val="center"/>
                    <w:textAlignment w:val="center"/>
                    <w:rPr>
                      <w:bCs/>
                      <w:kern w:val="0"/>
                      <w:szCs w:val="21"/>
                      <w:lang w:bidi="ar"/>
                    </w:rPr>
                  </w:pPr>
                  <w:r>
                    <w:rPr>
                      <w:rFonts w:hint="eastAsia"/>
                      <w:bCs/>
                      <w:kern w:val="0"/>
                      <w:szCs w:val="21"/>
                      <w:lang w:bidi="ar"/>
                    </w:rPr>
                    <w:t>太吉大道西延线1段</w:t>
                  </w:r>
                </w:p>
              </w:tc>
              <w:tc>
                <w:tcPr>
                  <w:tcW w:w="407"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39EE1F0E">
                  <w:pPr>
                    <w:widowControl/>
                    <w:jc w:val="center"/>
                    <w:textAlignment w:val="center"/>
                    <w:rPr>
                      <w:bCs/>
                      <w:kern w:val="0"/>
                      <w:szCs w:val="21"/>
                      <w:lang w:bidi="ar"/>
                    </w:rPr>
                  </w:pPr>
                  <w:r>
                    <w:rPr>
                      <w:bCs/>
                      <w:kern w:val="0"/>
                      <w:szCs w:val="21"/>
                      <w:lang w:bidi="ar"/>
                    </w:rPr>
                    <w:t>1.5</w:t>
                  </w:r>
                </w:p>
              </w:tc>
              <w:tc>
                <w:tcPr>
                  <w:tcW w:w="493"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639E6C85">
                  <w:pPr>
                    <w:widowControl/>
                    <w:jc w:val="center"/>
                    <w:textAlignment w:val="center"/>
                    <w:rPr>
                      <w:bCs/>
                      <w:kern w:val="0"/>
                      <w:szCs w:val="21"/>
                      <w:lang w:bidi="ar"/>
                    </w:rPr>
                  </w:pPr>
                  <w:r>
                    <w:rPr>
                      <w:bCs/>
                      <w:kern w:val="0"/>
                      <w:szCs w:val="21"/>
                      <w:lang w:bidi="ar"/>
                    </w:rPr>
                    <w:t>0.1</w:t>
                  </w:r>
                </w:p>
              </w:tc>
              <w:tc>
                <w:tcPr>
                  <w:tcW w:w="640"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19329FCB">
                  <w:pPr>
                    <w:widowControl/>
                    <w:jc w:val="center"/>
                    <w:textAlignment w:val="center"/>
                    <w:rPr>
                      <w:bCs/>
                      <w:kern w:val="0"/>
                      <w:szCs w:val="21"/>
                      <w:lang w:bidi="ar"/>
                    </w:rPr>
                  </w:pPr>
                  <w:r>
                    <w:rPr>
                      <w:bCs/>
                      <w:kern w:val="0"/>
                      <w:szCs w:val="21"/>
                      <w:lang w:bidi="ar"/>
                    </w:rPr>
                    <w:t>0.16</w:t>
                  </w:r>
                </w:p>
              </w:tc>
              <w:tc>
                <w:tcPr>
                  <w:tcW w:w="506"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45A3FB4E">
                  <w:pPr>
                    <w:widowControl/>
                    <w:jc w:val="center"/>
                    <w:textAlignment w:val="center"/>
                    <w:rPr>
                      <w:kern w:val="0"/>
                      <w:szCs w:val="21"/>
                      <w:lang w:bidi="ar"/>
                    </w:rPr>
                  </w:pPr>
                  <w:r>
                    <w:rPr>
                      <w:rFonts w:hint="eastAsia"/>
                      <w:kern w:val="0"/>
                      <w:szCs w:val="21"/>
                      <w:lang w:bidi="ar"/>
                    </w:rPr>
                    <w:t>0.88</w:t>
                  </w:r>
                </w:p>
              </w:tc>
              <w:tc>
                <w:tcPr>
                  <w:tcW w:w="508"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4448359F">
                  <w:pPr>
                    <w:widowControl/>
                    <w:jc w:val="center"/>
                    <w:textAlignment w:val="center"/>
                    <w:rPr>
                      <w:kern w:val="0"/>
                      <w:szCs w:val="21"/>
                      <w:lang w:bidi="ar"/>
                    </w:rPr>
                  </w:pPr>
                  <w:r>
                    <w:rPr>
                      <w:rFonts w:hint="eastAsia"/>
                      <w:kern w:val="0"/>
                      <w:szCs w:val="21"/>
                      <w:lang w:bidi="ar"/>
                    </w:rPr>
                    <w:t>2.6</w:t>
                  </w:r>
                </w:p>
              </w:tc>
              <w:tc>
                <w:tcPr>
                  <w:tcW w:w="532"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321A92F5">
                  <w:pPr>
                    <w:widowControl/>
                    <w:jc w:val="center"/>
                    <w:textAlignment w:val="center"/>
                    <w:rPr>
                      <w:kern w:val="0"/>
                      <w:szCs w:val="21"/>
                      <w:lang w:bidi="ar"/>
                    </w:rPr>
                  </w:pPr>
                  <w:r>
                    <w:rPr>
                      <w:kern w:val="0"/>
                      <w:szCs w:val="21"/>
                      <w:lang w:bidi="ar"/>
                    </w:rPr>
                    <w:t>5.24</w:t>
                  </w:r>
                </w:p>
              </w:tc>
              <w:tc>
                <w:tcPr>
                  <w:tcW w:w="71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D991D42">
                  <w:pPr>
                    <w:widowControl/>
                    <w:jc w:val="center"/>
                    <w:textAlignment w:val="center"/>
                    <w:rPr>
                      <w:bCs/>
                      <w:kern w:val="0"/>
                      <w:szCs w:val="21"/>
                      <w:lang w:bidi="ar"/>
                    </w:rPr>
                  </w:pPr>
                  <w:r>
                    <w:rPr>
                      <w:rFonts w:hint="eastAsia"/>
                      <w:bCs/>
                      <w:kern w:val="0"/>
                      <w:szCs w:val="21"/>
                      <w:lang w:bidi="ar"/>
                    </w:rPr>
                    <w:t>永久占地</w:t>
                  </w:r>
                </w:p>
              </w:tc>
            </w:tr>
            <w:tr w14:paraId="11872F7C">
              <w:tblPrEx>
                <w:tblCellMar>
                  <w:top w:w="0" w:type="dxa"/>
                  <w:left w:w="0" w:type="dxa"/>
                  <w:bottom w:w="0" w:type="dxa"/>
                  <w:right w:w="0" w:type="dxa"/>
                </w:tblCellMar>
              </w:tblPrEx>
              <w:trPr>
                <w:trHeight w:val="300" w:hRule="atLeast"/>
              </w:trPr>
              <w:tc>
                <w:tcPr>
                  <w:tcW w:w="208" w:type="pct"/>
                  <w:vMerge w:val="continue"/>
                  <w:tcBorders>
                    <w:left w:val="single" w:color="000000" w:sz="4" w:space="0"/>
                    <w:right w:val="single" w:color="auto" w:sz="4" w:space="0"/>
                  </w:tcBorders>
                  <w:tcMar>
                    <w:top w:w="15" w:type="dxa"/>
                    <w:left w:w="15" w:type="dxa"/>
                    <w:right w:w="15" w:type="dxa"/>
                  </w:tcMar>
                  <w:vAlign w:val="center"/>
                </w:tcPr>
                <w:p w14:paraId="31E946BF">
                  <w:pPr>
                    <w:widowControl/>
                    <w:jc w:val="center"/>
                    <w:textAlignment w:val="center"/>
                    <w:rPr>
                      <w:bCs/>
                      <w:kern w:val="0"/>
                      <w:szCs w:val="21"/>
                      <w:lang w:bidi="ar"/>
                    </w:rPr>
                  </w:pPr>
                </w:p>
              </w:tc>
              <w:tc>
                <w:tcPr>
                  <w:tcW w:w="990"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0B802578">
                  <w:pPr>
                    <w:widowControl/>
                    <w:jc w:val="center"/>
                    <w:textAlignment w:val="center"/>
                    <w:rPr>
                      <w:bCs/>
                      <w:kern w:val="0"/>
                      <w:szCs w:val="21"/>
                      <w:lang w:bidi="ar"/>
                    </w:rPr>
                  </w:pPr>
                  <w:r>
                    <w:rPr>
                      <w:rFonts w:hint="eastAsia"/>
                      <w:bCs/>
                      <w:kern w:val="0"/>
                      <w:szCs w:val="21"/>
                      <w:lang w:bidi="ar"/>
                    </w:rPr>
                    <w:t>太吉大道西延线2段</w:t>
                  </w:r>
                </w:p>
              </w:tc>
              <w:tc>
                <w:tcPr>
                  <w:tcW w:w="407"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1FCB48F6">
                  <w:pPr>
                    <w:widowControl/>
                    <w:jc w:val="center"/>
                    <w:textAlignment w:val="center"/>
                    <w:rPr>
                      <w:bCs/>
                      <w:kern w:val="0"/>
                      <w:szCs w:val="21"/>
                      <w:lang w:bidi="ar"/>
                    </w:rPr>
                  </w:pPr>
                  <w:r>
                    <w:rPr>
                      <w:bCs/>
                      <w:kern w:val="0"/>
                      <w:szCs w:val="21"/>
                      <w:lang w:bidi="ar"/>
                    </w:rPr>
                    <w:t>0.5</w:t>
                  </w:r>
                </w:p>
              </w:tc>
              <w:tc>
                <w:tcPr>
                  <w:tcW w:w="493"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6D5138AC">
                  <w:pPr>
                    <w:widowControl/>
                    <w:jc w:val="center"/>
                    <w:textAlignment w:val="center"/>
                    <w:rPr>
                      <w:bCs/>
                      <w:kern w:val="0"/>
                      <w:szCs w:val="21"/>
                      <w:lang w:bidi="ar"/>
                    </w:rPr>
                  </w:pPr>
                  <w:r>
                    <w:rPr>
                      <w:bCs/>
                      <w:kern w:val="0"/>
                      <w:szCs w:val="21"/>
                      <w:lang w:bidi="ar"/>
                    </w:rPr>
                    <w:t>0.1</w:t>
                  </w:r>
                </w:p>
              </w:tc>
              <w:tc>
                <w:tcPr>
                  <w:tcW w:w="640"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28838555">
                  <w:pPr>
                    <w:widowControl/>
                    <w:jc w:val="center"/>
                    <w:textAlignment w:val="center"/>
                    <w:rPr>
                      <w:bCs/>
                      <w:kern w:val="0"/>
                      <w:szCs w:val="21"/>
                      <w:lang w:bidi="ar"/>
                    </w:rPr>
                  </w:pPr>
                  <w:r>
                    <w:rPr>
                      <w:bCs/>
                      <w:kern w:val="0"/>
                      <w:szCs w:val="21"/>
                      <w:lang w:bidi="ar"/>
                    </w:rPr>
                    <w:t>0.16</w:t>
                  </w:r>
                </w:p>
              </w:tc>
              <w:tc>
                <w:tcPr>
                  <w:tcW w:w="506"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137AED92">
                  <w:pPr>
                    <w:widowControl/>
                    <w:jc w:val="center"/>
                    <w:textAlignment w:val="center"/>
                    <w:rPr>
                      <w:kern w:val="0"/>
                      <w:szCs w:val="21"/>
                      <w:lang w:bidi="ar"/>
                    </w:rPr>
                  </w:pPr>
                  <w:r>
                    <w:rPr>
                      <w:rFonts w:hint="eastAsia"/>
                      <w:kern w:val="0"/>
                      <w:szCs w:val="21"/>
                      <w:lang w:bidi="ar"/>
                    </w:rPr>
                    <w:t>0.54</w:t>
                  </w:r>
                </w:p>
              </w:tc>
              <w:tc>
                <w:tcPr>
                  <w:tcW w:w="508"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43B65E3D">
                  <w:pPr>
                    <w:widowControl/>
                    <w:jc w:val="center"/>
                    <w:textAlignment w:val="center"/>
                    <w:rPr>
                      <w:kern w:val="0"/>
                      <w:szCs w:val="21"/>
                      <w:lang w:bidi="ar"/>
                    </w:rPr>
                  </w:pPr>
                  <w:r>
                    <w:rPr>
                      <w:rFonts w:hint="eastAsia"/>
                      <w:kern w:val="0"/>
                      <w:szCs w:val="21"/>
                      <w:lang w:bidi="ar"/>
                    </w:rPr>
                    <w:t>0.5</w:t>
                  </w:r>
                </w:p>
              </w:tc>
              <w:tc>
                <w:tcPr>
                  <w:tcW w:w="532"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2206C7E1">
                  <w:pPr>
                    <w:widowControl/>
                    <w:jc w:val="center"/>
                    <w:textAlignment w:val="center"/>
                    <w:rPr>
                      <w:kern w:val="0"/>
                      <w:szCs w:val="21"/>
                      <w:lang w:bidi="ar"/>
                    </w:rPr>
                  </w:pPr>
                  <w:r>
                    <w:rPr>
                      <w:kern w:val="0"/>
                      <w:szCs w:val="21"/>
                      <w:lang w:bidi="ar"/>
                    </w:rPr>
                    <w:t>1.8</w:t>
                  </w:r>
                </w:p>
              </w:tc>
              <w:tc>
                <w:tcPr>
                  <w:tcW w:w="71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652D041">
                  <w:pPr>
                    <w:widowControl/>
                    <w:jc w:val="center"/>
                    <w:textAlignment w:val="center"/>
                    <w:rPr>
                      <w:bCs/>
                      <w:kern w:val="0"/>
                      <w:szCs w:val="21"/>
                      <w:lang w:bidi="ar"/>
                    </w:rPr>
                  </w:pPr>
                  <w:r>
                    <w:rPr>
                      <w:rFonts w:hint="eastAsia"/>
                      <w:bCs/>
                      <w:kern w:val="0"/>
                      <w:szCs w:val="21"/>
                      <w:lang w:bidi="ar"/>
                    </w:rPr>
                    <w:t>永久占地</w:t>
                  </w:r>
                </w:p>
              </w:tc>
            </w:tr>
            <w:tr w14:paraId="1DE8CEAD">
              <w:tblPrEx>
                <w:tblCellMar>
                  <w:top w:w="0" w:type="dxa"/>
                  <w:left w:w="0" w:type="dxa"/>
                  <w:bottom w:w="0" w:type="dxa"/>
                  <w:right w:w="0" w:type="dxa"/>
                </w:tblCellMar>
              </w:tblPrEx>
              <w:trPr>
                <w:trHeight w:val="300" w:hRule="atLeast"/>
              </w:trPr>
              <w:tc>
                <w:tcPr>
                  <w:tcW w:w="208" w:type="pct"/>
                  <w:vMerge w:val="continue"/>
                  <w:tcBorders>
                    <w:left w:val="single" w:color="000000" w:sz="4" w:space="0"/>
                    <w:right w:val="single" w:color="auto" w:sz="4" w:space="0"/>
                  </w:tcBorders>
                  <w:tcMar>
                    <w:top w:w="15" w:type="dxa"/>
                    <w:left w:w="15" w:type="dxa"/>
                    <w:right w:w="15" w:type="dxa"/>
                  </w:tcMar>
                  <w:vAlign w:val="center"/>
                </w:tcPr>
                <w:p w14:paraId="1941405D">
                  <w:pPr>
                    <w:widowControl/>
                    <w:jc w:val="center"/>
                    <w:textAlignment w:val="center"/>
                    <w:rPr>
                      <w:bCs/>
                      <w:kern w:val="0"/>
                      <w:szCs w:val="21"/>
                      <w:lang w:bidi="ar"/>
                    </w:rPr>
                  </w:pPr>
                </w:p>
              </w:tc>
              <w:tc>
                <w:tcPr>
                  <w:tcW w:w="990"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7C074E16">
                  <w:pPr>
                    <w:widowControl/>
                    <w:jc w:val="center"/>
                    <w:textAlignment w:val="center"/>
                    <w:rPr>
                      <w:bCs/>
                      <w:kern w:val="0"/>
                      <w:szCs w:val="21"/>
                      <w:lang w:bidi="ar"/>
                    </w:rPr>
                  </w:pPr>
                  <w:r>
                    <w:rPr>
                      <w:rFonts w:hint="eastAsia"/>
                      <w:bCs/>
                      <w:kern w:val="0"/>
                      <w:szCs w:val="21"/>
                      <w:lang w:bidi="ar"/>
                    </w:rPr>
                    <w:t>城南大道连接线1段</w:t>
                  </w:r>
                </w:p>
              </w:tc>
              <w:tc>
                <w:tcPr>
                  <w:tcW w:w="407"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3EB9AAC3">
                  <w:pPr>
                    <w:widowControl/>
                    <w:jc w:val="center"/>
                    <w:textAlignment w:val="center"/>
                    <w:rPr>
                      <w:bCs/>
                      <w:kern w:val="0"/>
                      <w:szCs w:val="21"/>
                      <w:lang w:bidi="ar"/>
                    </w:rPr>
                  </w:pPr>
                  <w:r>
                    <w:rPr>
                      <w:bCs/>
                      <w:kern w:val="0"/>
                      <w:szCs w:val="21"/>
                      <w:lang w:bidi="ar"/>
                    </w:rPr>
                    <w:t>0.5</w:t>
                  </w:r>
                </w:p>
              </w:tc>
              <w:tc>
                <w:tcPr>
                  <w:tcW w:w="493"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5C3B5381">
                  <w:pPr>
                    <w:widowControl/>
                    <w:jc w:val="center"/>
                    <w:textAlignment w:val="center"/>
                    <w:rPr>
                      <w:bCs/>
                      <w:kern w:val="0"/>
                      <w:szCs w:val="21"/>
                      <w:lang w:bidi="ar"/>
                    </w:rPr>
                  </w:pPr>
                  <w:r>
                    <w:rPr>
                      <w:bCs/>
                      <w:kern w:val="0"/>
                      <w:szCs w:val="21"/>
                      <w:lang w:bidi="ar"/>
                    </w:rPr>
                    <w:t>0.2</w:t>
                  </w:r>
                </w:p>
              </w:tc>
              <w:tc>
                <w:tcPr>
                  <w:tcW w:w="640"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0CAA7264">
                  <w:pPr>
                    <w:widowControl/>
                    <w:jc w:val="center"/>
                    <w:textAlignment w:val="center"/>
                    <w:rPr>
                      <w:bCs/>
                      <w:kern w:val="0"/>
                      <w:szCs w:val="21"/>
                      <w:lang w:bidi="ar"/>
                    </w:rPr>
                  </w:pPr>
                  <w:r>
                    <w:rPr>
                      <w:bCs/>
                      <w:kern w:val="0"/>
                      <w:szCs w:val="21"/>
                      <w:lang w:bidi="ar"/>
                    </w:rPr>
                    <w:t>0</w:t>
                  </w:r>
                </w:p>
              </w:tc>
              <w:tc>
                <w:tcPr>
                  <w:tcW w:w="506"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71AC37BE">
                  <w:pPr>
                    <w:widowControl/>
                    <w:jc w:val="center"/>
                    <w:textAlignment w:val="center"/>
                    <w:rPr>
                      <w:kern w:val="0"/>
                      <w:szCs w:val="21"/>
                      <w:lang w:bidi="ar"/>
                    </w:rPr>
                  </w:pPr>
                  <w:r>
                    <w:rPr>
                      <w:rFonts w:hint="eastAsia"/>
                      <w:kern w:val="0"/>
                      <w:szCs w:val="21"/>
                      <w:lang w:bidi="ar"/>
                    </w:rPr>
                    <w:t>1.03</w:t>
                  </w:r>
                </w:p>
              </w:tc>
              <w:tc>
                <w:tcPr>
                  <w:tcW w:w="508"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633E3A91">
                  <w:pPr>
                    <w:widowControl/>
                    <w:jc w:val="center"/>
                    <w:textAlignment w:val="center"/>
                    <w:rPr>
                      <w:kern w:val="0"/>
                      <w:szCs w:val="21"/>
                      <w:lang w:bidi="ar"/>
                    </w:rPr>
                  </w:pPr>
                  <w:r>
                    <w:rPr>
                      <w:rFonts w:hint="eastAsia"/>
                      <w:kern w:val="0"/>
                      <w:szCs w:val="21"/>
                      <w:lang w:bidi="ar"/>
                    </w:rPr>
                    <w:t>1.5</w:t>
                  </w:r>
                </w:p>
              </w:tc>
              <w:tc>
                <w:tcPr>
                  <w:tcW w:w="532"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0703625D">
                  <w:pPr>
                    <w:widowControl/>
                    <w:jc w:val="center"/>
                    <w:textAlignment w:val="center"/>
                    <w:rPr>
                      <w:kern w:val="0"/>
                      <w:szCs w:val="21"/>
                      <w:lang w:bidi="ar"/>
                    </w:rPr>
                  </w:pPr>
                  <w:r>
                    <w:rPr>
                      <w:kern w:val="0"/>
                      <w:szCs w:val="21"/>
                      <w:lang w:bidi="ar"/>
                    </w:rPr>
                    <w:t>3.23</w:t>
                  </w:r>
                </w:p>
              </w:tc>
              <w:tc>
                <w:tcPr>
                  <w:tcW w:w="71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3BE209F">
                  <w:pPr>
                    <w:widowControl/>
                    <w:jc w:val="center"/>
                    <w:textAlignment w:val="center"/>
                    <w:rPr>
                      <w:bCs/>
                      <w:kern w:val="0"/>
                      <w:szCs w:val="21"/>
                      <w:lang w:bidi="ar"/>
                    </w:rPr>
                  </w:pPr>
                  <w:r>
                    <w:rPr>
                      <w:rFonts w:hint="eastAsia"/>
                      <w:bCs/>
                      <w:kern w:val="0"/>
                      <w:szCs w:val="21"/>
                      <w:lang w:bidi="ar"/>
                    </w:rPr>
                    <w:t>永久占地</w:t>
                  </w:r>
                </w:p>
              </w:tc>
            </w:tr>
            <w:tr w14:paraId="60DCCB24">
              <w:tblPrEx>
                <w:tblCellMar>
                  <w:top w:w="0" w:type="dxa"/>
                  <w:left w:w="0" w:type="dxa"/>
                  <w:bottom w:w="0" w:type="dxa"/>
                  <w:right w:w="0" w:type="dxa"/>
                </w:tblCellMar>
              </w:tblPrEx>
              <w:trPr>
                <w:trHeight w:val="90" w:hRule="atLeast"/>
              </w:trPr>
              <w:tc>
                <w:tcPr>
                  <w:tcW w:w="208" w:type="pct"/>
                  <w:vMerge w:val="continue"/>
                  <w:tcBorders>
                    <w:left w:val="single" w:color="000000" w:sz="4" w:space="0"/>
                    <w:right w:val="single" w:color="auto" w:sz="4" w:space="0"/>
                  </w:tcBorders>
                  <w:tcMar>
                    <w:top w:w="15" w:type="dxa"/>
                    <w:left w:w="15" w:type="dxa"/>
                    <w:right w:w="15" w:type="dxa"/>
                  </w:tcMar>
                  <w:vAlign w:val="center"/>
                </w:tcPr>
                <w:p w14:paraId="12045889">
                  <w:pPr>
                    <w:widowControl/>
                    <w:jc w:val="center"/>
                    <w:textAlignment w:val="center"/>
                    <w:rPr>
                      <w:bCs/>
                      <w:kern w:val="0"/>
                      <w:szCs w:val="21"/>
                      <w:lang w:bidi="ar"/>
                    </w:rPr>
                  </w:pPr>
                </w:p>
              </w:tc>
              <w:tc>
                <w:tcPr>
                  <w:tcW w:w="990" w:type="pct"/>
                  <w:tcBorders>
                    <w:top w:val="single" w:color="000000" w:sz="4" w:space="0"/>
                    <w:left w:val="single" w:color="auto" w:sz="4" w:space="0"/>
                    <w:bottom w:val="single" w:color="000000" w:sz="4" w:space="0"/>
                    <w:right w:val="single" w:color="000000" w:sz="4" w:space="0"/>
                  </w:tcBorders>
                  <w:tcMar>
                    <w:top w:w="15" w:type="dxa"/>
                    <w:left w:w="15" w:type="dxa"/>
                    <w:right w:w="15" w:type="dxa"/>
                  </w:tcMar>
                  <w:vAlign w:val="center"/>
                </w:tcPr>
                <w:p w14:paraId="5C877148">
                  <w:pPr>
                    <w:widowControl/>
                    <w:jc w:val="center"/>
                    <w:textAlignment w:val="center"/>
                    <w:rPr>
                      <w:bCs/>
                      <w:kern w:val="0"/>
                      <w:szCs w:val="21"/>
                      <w:lang w:bidi="ar"/>
                    </w:rPr>
                  </w:pPr>
                  <w:r>
                    <w:rPr>
                      <w:rFonts w:hint="eastAsia"/>
                      <w:bCs/>
                      <w:kern w:val="0"/>
                      <w:szCs w:val="21"/>
                      <w:lang w:bidi="ar"/>
                    </w:rPr>
                    <w:t>施工临时占地</w:t>
                  </w:r>
                </w:p>
              </w:tc>
              <w:tc>
                <w:tcPr>
                  <w:tcW w:w="407"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5E5ED47F">
                  <w:pPr>
                    <w:widowControl/>
                    <w:jc w:val="center"/>
                    <w:textAlignment w:val="center"/>
                    <w:rPr>
                      <w:bCs/>
                      <w:kern w:val="0"/>
                      <w:szCs w:val="21"/>
                      <w:lang w:bidi="ar"/>
                    </w:rPr>
                  </w:pPr>
                  <w:r>
                    <w:rPr>
                      <w:bCs/>
                      <w:kern w:val="0"/>
                      <w:szCs w:val="21"/>
                      <w:lang w:bidi="ar"/>
                    </w:rPr>
                    <w:t>0.5</w:t>
                  </w:r>
                </w:p>
              </w:tc>
              <w:tc>
                <w:tcPr>
                  <w:tcW w:w="493"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313BCB88">
                  <w:pPr>
                    <w:widowControl/>
                    <w:jc w:val="center"/>
                    <w:textAlignment w:val="center"/>
                    <w:rPr>
                      <w:bCs/>
                      <w:kern w:val="0"/>
                      <w:szCs w:val="21"/>
                      <w:lang w:bidi="ar"/>
                    </w:rPr>
                  </w:pPr>
                  <w:r>
                    <w:rPr>
                      <w:bCs/>
                      <w:kern w:val="0"/>
                      <w:szCs w:val="21"/>
                      <w:lang w:bidi="ar"/>
                    </w:rPr>
                    <w:t>0</w:t>
                  </w:r>
                </w:p>
              </w:tc>
              <w:tc>
                <w:tcPr>
                  <w:tcW w:w="640"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7176DC5D">
                  <w:pPr>
                    <w:widowControl/>
                    <w:jc w:val="center"/>
                    <w:textAlignment w:val="center"/>
                    <w:rPr>
                      <w:bCs/>
                      <w:kern w:val="0"/>
                      <w:szCs w:val="21"/>
                      <w:lang w:bidi="ar"/>
                    </w:rPr>
                  </w:pPr>
                  <w:r>
                    <w:rPr>
                      <w:bCs/>
                      <w:kern w:val="0"/>
                      <w:szCs w:val="21"/>
                      <w:lang w:bidi="ar"/>
                    </w:rPr>
                    <w:t>0</w:t>
                  </w:r>
                </w:p>
              </w:tc>
              <w:tc>
                <w:tcPr>
                  <w:tcW w:w="506"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19D4080A">
                  <w:pPr>
                    <w:widowControl/>
                    <w:jc w:val="center"/>
                    <w:textAlignment w:val="center"/>
                    <w:rPr>
                      <w:kern w:val="0"/>
                      <w:szCs w:val="21"/>
                      <w:lang w:bidi="ar"/>
                    </w:rPr>
                  </w:pPr>
                  <w:r>
                    <w:rPr>
                      <w:kern w:val="0"/>
                      <w:szCs w:val="21"/>
                      <w:lang w:bidi="ar"/>
                    </w:rPr>
                    <w:t>0.5</w:t>
                  </w:r>
                </w:p>
              </w:tc>
              <w:tc>
                <w:tcPr>
                  <w:tcW w:w="508"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22659698">
                  <w:pPr>
                    <w:widowControl/>
                    <w:jc w:val="center"/>
                    <w:textAlignment w:val="center"/>
                    <w:rPr>
                      <w:kern w:val="0"/>
                      <w:szCs w:val="21"/>
                      <w:lang w:bidi="ar"/>
                    </w:rPr>
                  </w:pPr>
                  <w:r>
                    <w:rPr>
                      <w:rFonts w:hint="eastAsia"/>
                      <w:kern w:val="0"/>
                      <w:szCs w:val="21"/>
                      <w:lang w:bidi="ar"/>
                    </w:rPr>
                    <w:t>0</w:t>
                  </w:r>
                </w:p>
              </w:tc>
              <w:tc>
                <w:tcPr>
                  <w:tcW w:w="532" w:type="pct"/>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2EE37781">
                  <w:pPr>
                    <w:widowControl/>
                    <w:jc w:val="center"/>
                    <w:textAlignment w:val="center"/>
                    <w:rPr>
                      <w:kern w:val="0"/>
                      <w:szCs w:val="21"/>
                      <w:lang w:bidi="ar"/>
                    </w:rPr>
                  </w:pPr>
                  <w:r>
                    <w:rPr>
                      <w:kern w:val="0"/>
                      <w:szCs w:val="21"/>
                      <w:lang w:bidi="ar"/>
                    </w:rPr>
                    <w:t>1</w:t>
                  </w:r>
                </w:p>
              </w:tc>
              <w:tc>
                <w:tcPr>
                  <w:tcW w:w="71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BDD86F8">
                  <w:pPr>
                    <w:widowControl/>
                    <w:jc w:val="center"/>
                    <w:textAlignment w:val="center"/>
                    <w:rPr>
                      <w:bCs/>
                      <w:kern w:val="0"/>
                      <w:szCs w:val="21"/>
                      <w:lang w:bidi="ar"/>
                    </w:rPr>
                  </w:pPr>
                  <w:r>
                    <w:rPr>
                      <w:rFonts w:hint="eastAsia"/>
                      <w:bCs/>
                      <w:kern w:val="0"/>
                      <w:szCs w:val="21"/>
                      <w:lang w:bidi="ar"/>
                    </w:rPr>
                    <w:t>临时占地</w:t>
                  </w:r>
                </w:p>
              </w:tc>
            </w:tr>
            <w:tr w14:paraId="676150D5">
              <w:tblPrEx>
                <w:tblCellMar>
                  <w:top w:w="0" w:type="dxa"/>
                  <w:left w:w="0" w:type="dxa"/>
                  <w:bottom w:w="0" w:type="dxa"/>
                  <w:right w:w="0" w:type="dxa"/>
                </w:tblCellMar>
              </w:tblPrEx>
              <w:trPr>
                <w:trHeight w:val="300" w:hRule="atLeast"/>
              </w:trPr>
              <w:tc>
                <w:tcPr>
                  <w:tcW w:w="208" w:type="pct"/>
                  <w:vMerge w:val="continue"/>
                  <w:tcBorders>
                    <w:left w:val="single" w:color="000000" w:sz="4" w:space="0"/>
                    <w:bottom w:val="single" w:color="auto" w:sz="4" w:space="0"/>
                    <w:right w:val="single" w:color="auto" w:sz="4" w:space="0"/>
                  </w:tcBorders>
                  <w:tcMar>
                    <w:top w:w="15" w:type="dxa"/>
                    <w:left w:w="15" w:type="dxa"/>
                    <w:right w:w="15" w:type="dxa"/>
                  </w:tcMar>
                  <w:vAlign w:val="center"/>
                </w:tcPr>
                <w:p w14:paraId="3548D105">
                  <w:pPr>
                    <w:widowControl/>
                    <w:jc w:val="center"/>
                    <w:textAlignment w:val="center"/>
                    <w:rPr>
                      <w:bCs/>
                      <w:kern w:val="0"/>
                      <w:szCs w:val="21"/>
                      <w:lang w:bidi="ar"/>
                    </w:rPr>
                  </w:pPr>
                </w:p>
              </w:tc>
              <w:tc>
                <w:tcPr>
                  <w:tcW w:w="990" w:type="pct"/>
                  <w:tcBorders>
                    <w:top w:val="single" w:color="000000" w:sz="4" w:space="0"/>
                    <w:left w:val="single" w:color="auto" w:sz="4" w:space="0"/>
                    <w:bottom w:val="single" w:color="auto" w:sz="4" w:space="0"/>
                    <w:right w:val="single" w:color="000000" w:sz="4" w:space="0"/>
                  </w:tcBorders>
                  <w:tcMar>
                    <w:top w:w="15" w:type="dxa"/>
                    <w:left w:w="15" w:type="dxa"/>
                    <w:right w:w="15" w:type="dxa"/>
                  </w:tcMar>
                  <w:vAlign w:val="center"/>
                </w:tcPr>
                <w:p w14:paraId="6907DEAA">
                  <w:pPr>
                    <w:widowControl/>
                    <w:jc w:val="center"/>
                    <w:textAlignment w:val="center"/>
                    <w:rPr>
                      <w:bCs/>
                      <w:kern w:val="0"/>
                      <w:szCs w:val="21"/>
                      <w:lang w:bidi="ar"/>
                    </w:rPr>
                  </w:pPr>
                  <w:r>
                    <w:rPr>
                      <w:bCs/>
                      <w:kern w:val="0"/>
                      <w:szCs w:val="21"/>
                      <w:lang w:bidi="ar"/>
                    </w:rPr>
                    <w:t>小计</w:t>
                  </w:r>
                </w:p>
              </w:tc>
              <w:tc>
                <w:tcPr>
                  <w:tcW w:w="407" w:type="pct"/>
                  <w:tcBorders>
                    <w:top w:val="single" w:color="000000" w:sz="4" w:space="0"/>
                    <w:left w:val="single" w:color="auto" w:sz="4" w:space="0"/>
                    <w:bottom w:val="single" w:color="auto" w:sz="4" w:space="0"/>
                    <w:right w:val="single" w:color="auto" w:sz="4" w:space="0"/>
                  </w:tcBorders>
                  <w:tcMar>
                    <w:top w:w="15" w:type="dxa"/>
                    <w:left w:w="15" w:type="dxa"/>
                    <w:right w:w="15" w:type="dxa"/>
                  </w:tcMar>
                  <w:vAlign w:val="center"/>
                </w:tcPr>
                <w:p w14:paraId="46DA69F2">
                  <w:pPr>
                    <w:widowControl/>
                    <w:jc w:val="center"/>
                    <w:textAlignment w:val="center"/>
                    <w:rPr>
                      <w:bCs/>
                      <w:kern w:val="0"/>
                      <w:szCs w:val="21"/>
                      <w:lang w:bidi="ar"/>
                    </w:rPr>
                  </w:pPr>
                  <w:r>
                    <w:rPr>
                      <w:bCs/>
                      <w:kern w:val="0"/>
                      <w:szCs w:val="21"/>
                      <w:lang w:bidi="ar"/>
                    </w:rPr>
                    <w:t>3</w:t>
                  </w:r>
                </w:p>
              </w:tc>
              <w:tc>
                <w:tcPr>
                  <w:tcW w:w="493" w:type="pct"/>
                  <w:tcBorders>
                    <w:top w:val="single" w:color="000000" w:sz="4" w:space="0"/>
                    <w:left w:val="single" w:color="auto" w:sz="4" w:space="0"/>
                    <w:bottom w:val="single" w:color="auto" w:sz="4" w:space="0"/>
                    <w:right w:val="single" w:color="auto" w:sz="4" w:space="0"/>
                  </w:tcBorders>
                  <w:tcMar>
                    <w:top w:w="15" w:type="dxa"/>
                    <w:left w:w="15" w:type="dxa"/>
                    <w:right w:w="15" w:type="dxa"/>
                  </w:tcMar>
                  <w:vAlign w:val="center"/>
                </w:tcPr>
                <w:p w14:paraId="207665C5">
                  <w:pPr>
                    <w:widowControl/>
                    <w:jc w:val="center"/>
                    <w:textAlignment w:val="center"/>
                    <w:rPr>
                      <w:bCs/>
                      <w:kern w:val="0"/>
                      <w:szCs w:val="21"/>
                      <w:lang w:bidi="ar"/>
                    </w:rPr>
                  </w:pPr>
                  <w:r>
                    <w:rPr>
                      <w:bCs/>
                      <w:kern w:val="0"/>
                      <w:szCs w:val="21"/>
                      <w:lang w:bidi="ar"/>
                    </w:rPr>
                    <w:t>0.4</w:t>
                  </w:r>
                </w:p>
              </w:tc>
              <w:tc>
                <w:tcPr>
                  <w:tcW w:w="640" w:type="pct"/>
                  <w:tcBorders>
                    <w:top w:val="single" w:color="000000" w:sz="4" w:space="0"/>
                    <w:left w:val="single" w:color="auto" w:sz="4" w:space="0"/>
                    <w:bottom w:val="single" w:color="auto" w:sz="4" w:space="0"/>
                    <w:right w:val="single" w:color="auto" w:sz="4" w:space="0"/>
                  </w:tcBorders>
                  <w:tcMar>
                    <w:top w:w="15" w:type="dxa"/>
                    <w:left w:w="15" w:type="dxa"/>
                    <w:right w:w="15" w:type="dxa"/>
                  </w:tcMar>
                  <w:vAlign w:val="center"/>
                </w:tcPr>
                <w:p w14:paraId="4CEE868D">
                  <w:pPr>
                    <w:widowControl/>
                    <w:jc w:val="center"/>
                    <w:textAlignment w:val="center"/>
                    <w:rPr>
                      <w:bCs/>
                      <w:kern w:val="0"/>
                      <w:szCs w:val="21"/>
                      <w:lang w:bidi="ar"/>
                    </w:rPr>
                  </w:pPr>
                  <w:r>
                    <w:rPr>
                      <w:bCs/>
                      <w:kern w:val="0"/>
                      <w:szCs w:val="21"/>
                      <w:lang w:bidi="ar"/>
                    </w:rPr>
                    <w:t>0.32</w:t>
                  </w:r>
                </w:p>
              </w:tc>
              <w:tc>
                <w:tcPr>
                  <w:tcW w:w="506" w:type="pct"/>
                  <w:tcBorders>
                    <w:top w:val="single" w:color="000000" w:sz="4" w:space="0"/>
                    <w:left w:val="single" w:color="auto" w:sz="4" w:space="0"/>
                    <w:bottom w:val="single" w:color="auto" w:sz="4" w:space="0"/>
                    <w:right w:val="single" w:color="auto" w:sz="4" w:space="0"/>
                  </w:tcBorders>
                  <w:tcMar>
                    <w:top w:w="15" w:type="dxa"/>
                    <w:left w:w="15" w:type="dxa"/>
                    <w:right w:w="15" w:type="dxa"/>
                  </w:tcMar>
                  <w:vAlign w:val="center"/>
                </w:tcPr>
                <w:p w14:paraId="4CC4F464">
                  <w:pPr>
                    <w:widowControl/>
                    <w:jc w:val="center"/>
                    <w:textAlignment w:val="center"/>
                    <w:rPr>
                      <w:kern w:val="0"/>
                      <w:szCs w:val="21"/>
                      <w:lang w:bidi="ar"/>
                    </w:rPr>
                  </w:pPr>
                  <w:r>
                    <w:rPr>
                      <w:rFonts w:hint="eastAsia"/>
                      <w:kern w:val="0"/>
                      <w:szCs w:val="21"/>
                      <w:lang w:bidi="ar"/>
                    </w:rPr>
                    <w:t>2.95</w:t>
                  </w:r>
                </w:p>
              </w:tc>
              <w:tc>
                <w:tcPr>
                  <w:tcW w:w="508" w:type="pct"/>
                  <w:tcBorders>
                    <w:top w:val="single" w:color="000000" w:sz="4" w:space="0"/>
                    <w:left w:val="single" w:color="auto" w:sz="4" w:space="0"/>
                    <w:bottom w:val="single" w:color="auto" w:sz="4" w:space="0"/>
                    <w:right w:val="single" w:color="auto" w:sz="4" w:space="0"/>
                  </w:tcBorders>
                  <w:tcMar>
                    <w:top w:w="15" w:type="dxa"/>
                    <w:left w:w="15" w:type="dxa"/>
                    <w:right w:w="15" w:type="dxa"/>
                  </w:tcMar>
                  <w:vAlign w:val="center"/>
                </w:tcPr>
                <w:p w14:paraId="41DDD8B0">
                  <w:pPr>
                    <w:widowControl/>
                    <w:jc w:val="center"/>
                    <w:textAlignment w:val="center"/>
                    <w:rPr>
                      <w:kern w:val="0"/>
                      <w:szCs w:val="21"/>
                      <w:lang w:bidi="ar"/>
                    </w:rPr>
                  </w:pPr>
                  <w:r>
                    <w:rPr>
                      <w:rFonts w:hint="eastAsia"/>
                      <w:kern w:val="0"/>
                      <w:szCs w:val="21"/>
                      <w:lang w:bidi="ar"/>
                    </w:rPr>
                    <w:t>4.6</w:t>
                  </w:r>
                </w:p>
              </w:tc>
              <w:tc>
                <w:tcPr>
                  <w:tcW w:w="532" w:type="pct"/>
                  <w:tcBorders>
                    <w:top w:val="single" w:color="000000" w:sz="4" w:space="0"/>
                    <w:left w:val="single" w:color="auto" w:sz="4" w:space="0"/>
                    <w:bottom w:val="single" w:color="auto" w:sz="4" w:space="0"/>
                    <w:right w:val="single" w:color="auto" w:sz="4" w:space="0"/>
                  </w:tcBorders>
                  <w:tcMar>
                    <w:top w:w="15" w:type="dxa"/>
                    <w:left w:w="15" w:type="dxa"/>
                    <w:right w:w="15" w:type="dxa"/>
                  </w:tcMar>
                  <w:vAlign w:val="center"/>
                </w:tcPr>
                <w:p w14:paraId="5ADBF491">
                  <w:pPr>
                    <w:widowControl/>
                    <w:jc w:val="center"/>
                    <w:textAlignment w:val="center"/>
                    <w:rPr>
                      <w:kern w:val="0"/>
                      <w:szCs w:val="21"/>
                      <w:lang w:bidi="ar"/>
                    </w:rPr>
                  </w:pPr>
                  <w:r>
                    <w:rPr>
                      <w:kern w:val="0"/>
                      <w:szCs w:val="21"/>
                      <w:lang w:bidi="ar"/>
                    </w:rPr>
                    <w:t>11.27</w:t>
                  </w:r>
                </w:p>
              </w:tc>
              <w:tc>
                <w:tcPr>
                  <w:tcW w:w="716" w:type="pct"/>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017154E4">
                  <w:pPr>
                    <w:widowControl/>
                    <w:jc w:val="center"/>
                    <w:textAlignment w:val="center"/>
                    <w:rPr>
                      <w:bCs/>
                      <w:kern w:val="0"/>
                      <w:szCs w:val="21"/>
                      <w:lang w:bidi="ar"/>
                    </w:rPr>
                  </w:pPr>
                  <w:r>
                    <w:rPr>
                      <w:rFonts w:hint="eastAsia"/>
                      <w:bCs/>
                      <w:kern w:val="0"/>
                      <w:szCs w:val="21"/>
                      <w:lang w:bidi="ar"/>
                    </w:rPr>
                    <w:t>永久、临时占地</w:t>
                  </w:r>
                </w:p>
              </w:tc>
            </w:tr>
            <w:tr w14:paraId="52C2AACC">
              <w:tblPrEx>
                <w:tblCellMar>
                  <w:top w:w="0" w:type="dxa"/>
                  <w:left w:w="0" w:type="dxa"/>
                  <w:bottom w:w="0" w:type="dxa"/>
                  <w:right w:w="0" w:type="dxa"/>
                </w:tblCellMar>
              </w:tblPrEx>
              <w:trPr>
                <w:trHeight w:val="300" w:hRule="atLeast"/>
              </w:trPr>
              <w:tc>
                <w:tcPr>
                  <w:tcW w:w="1199" w:type="pct"/>
                  <w:gridSpan w:val="2"/>
                  <w:tcBorders>
                    <w:top w:val="single" w:color="auto" w:sz="4" w:space="0"/>
                    <w:left w:val="single" w:color="000000" w:sz="4" w:space="0"/>
                    <w:bottom w:val="single" w:color="000000" w:sz="4" w:space="0"/>
                    <w:right w:val="single" w:color="auto" w:sz="4" w:space="0"/>
                  </w:tcBorders>
                  <w:tcMar>
                    <w:top w:w="15" w:type="dxa"/>
                    <w:left w:w="15" w:type="dxa"/>
                    <w:right w:w="15" w:type="dxa"/>
                  </w:tcMar>
                  <w:vAlign w:val="center"/>
                </w:tcPr>
                <w:p w14:paraId="2492B4E3">
                  <w:pPr>
                    <w:widowControl/>
                    <w:jc w:val="center"/>
                    <w:textAlignment w:val="center"/>
                    <w:rPr>
                      <w:bCs/>
                      <w:kern w:val="0"/>
                      <w:szCs w:val="21"/>
                      <w:lang w:bidi="ar"/>
                    </w:rPr>
                  </w:pPr>
                  <w:r>
                    <w:rPr>
                      <w:bCs/>
                      <w:kern w:val="0"/>
                      <w:szCs w:val="21"/>
                      <w:lang w:bidi="ar"/>
                    </w:rPr>
                    <w:t>合计</w:t>
                  </w:r>
                </w:p>
              </w:tc>
              <w:tc>
                <w:tcPr>
                  <w:tcW w:w="407" w:type="pct"/>
                  <w:tcBorders>
                    <w:top w:val="single" w:color="auto" w:sz="4" w:space="0"/>
                    <w:left w:val="single" w:color="auto" w:sz="4" w:space="0"/>
                    <w:bottom w:val="single" w:color="000000" w:sz="4" w:space="0"/>
                    <w:right w:val="single" w:color="auto" w:sz="4" w:space="0"/>
                  </w:tcBorders>
                  <w:tcMar>
                    <w:top w:w="15" w:type="dxa"/>
                    <w:left w:w="15" w:type="dxa"/>
                    <w:right w:w="15" w:type="dxa"/>
                  </w:tcMar>
                  <w:vAlign w:val="center"/>
                </w:tcPr>
                <w:p w14:paraId="59DA0AE8">
                  <w:pPr>
                    <w:widowControl/>
                    <w:jc w:val="center"/>
                    <w:textAlignment w:val="center"/>
                    <w:rPr>
                      <w:bCs/>
                      <w:kern w:val="0"/>
                      <w:szCs w:val="21"/>
                      <w:lang w:bidi="ar"/>
                    </w:rPr>
                  </w:pPr>
                  <w:r>
                    <w:rPr>
                      <w:bCs/>
                      <w:kern w:val="0"/>
                      <w:szCs w:val="21"/>
                      <w:lang w:bidi="ar"/>
                    </w:rPr>
                    <w:t>3</w:t>
                  </w:r>
                </w:p>
              </w:tc>
              <w:tc>
                <w:tcPr>
                  <w:tcW w:w="493" w:type="pct"/>
                  <w:tcBorders>
                    <w:top w:val="single" w:color="auto" w:sz="4" w:space="0"/>
                    <w:left w:val="single" w:color="auto" w:sz="4" w:space="0"/>
                    <w:bottom w:val="single" w:color="000000" w:sz="4" w:space="0"/>
                    <w:right w:val="single" w:color="auto" w:sz="4" w:space="0"/>
                  </w:tcBorders>
                  <w:tcMar>
                    <w:top w:w="15" w:type="dxa"/>
                    <w:left w:w="15" w:type="dxa"/>
                    <w:right w:w="15" w:type="dxa"/>
                  </w:tcMar>
                  <w:vAlign w:val="center"/>
                </w:tcPr>
                <w:p w14:paraId="1E000494">
                  <w:pPr>
                    <w:widowControl/>
                    <w:jc w:val="center"/>
                    <w:textAlignment w:val="center"/>
                    <w:rPr>
                      <w:bCs/>
                      <w:kern w:val="0"/>
                      <w:szCs w:val="21"/>
                      <w:lang w:bidi="ar"/>
                    </w:rPr>
                  </w:pPr>
                  <w:r>
                    <w:rPr>
                      <w:bCs/>
                      <w:kern w:val="0"/>
                      <w:szCs w:val="21"/>
                      <w:lang w:bidi="ar"/>
                    </w:rPr>
                    <w:t>0.4</w:t>
                  </w:r>
                </w:p>
              </w:tc>
              <w:tc>
                <w:tcPr>
                  <w:tcW w:w="640" w:type="pct"/>
                  <w:tcBorders>
                    <w:top w:val="single" w:color="auto" w:sz="4" w:space="0"/>
                    <w:left w:val="single" w:color="auto" w:sz="4" w:space="0"/>
                    <w:bottom w:val="single" w:color="000000" w:sz="4" w:space="0"/>
                    <w:right w:val="single" w:color="auto" w:sz="4" w:space="0"/>
                  </w:tcBorders>
                  <w:tcMar>
                    <w:top w:w="15" w:type="dxa"/>
                    <w:left w:w="15" w:type="dxa"/>
                    <w:right w:w="15" w:type="dxa"/>
                  </w:tcMar>
                  <w:vAlign w:val="center"/>
                </w:tcPr>
                <w:p w14:paraId="35910D9C">
                  <w:pPr>
                    <w:widowControl/>
                    <w:jc w:val="center"/>
                    <w:textAlignment w:val="center"/>
                    <w:rPr>
                      <w:bCs/>
                      <w:kern w:val="0"/>
                      <w:szCs w:val="21"/>
                      <w:lang w:bidi="ar"/>
                    </w:rPr>
                  </w:pPr>
                  <w:r>
                    <w:rPr>
                      <w:bCs/>
                      <w:kern w:val="0"/>
                      <w:szCs w:val="21"/>
                      <w:lang w:bidi="ar"/>
                    </w:rPr>
                    <w:t>0.32</w:t>
                  </w:r>
                </w:p>
              </w:tc>
              <w:tc>
                <w:tcPr>
                  <w:tcW w:w="506" w:type="pct"/>
                  <w:tcBorders>
                    <w:top w:val="single" w:color="auto" w:sz="4" w:space="0"/>
                    <w:left w:val="single" w:color="auto" w:sz="4" w:space="0"/>
                    <w:bottom w:val="single" w:color="000000" w:sz="4" w:space="0"/>
                    <w:right w:val="single" w:color="auto" w:sz="4" w:space="0"/>
                  </w:tcBorders>
                  <w:tcMar>
                    <w:top w:w="15" w:type="dxa"/>
                    <w:left w:w="15" w:type="dxa"/>
                    <w:right w:w="15" w:type="dxa"/>
                  </w:tcMar>
                  <w:vAlign w:val="center"/>
                </w:tcPr>
                <w:p w14:paraId="3D0BD01A">
                  <w:pPr>
                    <w:widowControl/>
                    <w:jc w:val="center"/>
                    <w:textAlignment w:val="center"/>
                    <w:rPr>
                      <w:kern w:val="0"/>
                      <w:szCs w:val="21"/>
                      <w:lang w:bidi="ar"/>
                    </w:rPr>
                  </w:pPr>
                  <w:r>
                    <w:rPr>
                      <w:rFonts w:hint="eastAsia"/>
                      <w:kern w:val="0"/>
                      <w:szCs w:val="21"/>
                      <w:lang w:bidi="ar"/>
                    </w:rPr>
                    <w:t>2.95</w:t>
                  </w:r>
                </w:p>
              </w:tc>
              <w:tc>
                <w:tcPr>
                  <w:tcW w:w="508" w:type="pct"/>
                  <w:tcBorders>
                    <w:top w:val="single" w:color="auto" w:sz="4" w:space="0"/>
                    <w:left w:val="single" w:color="auto" w:sz="4" w:space="0"/>
                    <w:bottom w:val="single" w:color="000000" w:sz="4" w:space="0"/>
                    <w:right w:val="single" w:color="auto" w:sz="4" w:space="0"/>
                  </w:tcBorders>
                  <w:tcMar>
                    <w:top w:w="15" w:type="dxa"/>
                    <w:left w:w="15" w:type="dxa"/>
                    <w:right w:w="15" w:type="dxa"/>
                  </w:tcMar>
                  <w:vAlign w:val="center"/>
                </w:tcPr>
                <w:p w14:paraId="6E07C8D9">
                  <w:pPr>
                    <w:widowControl/>
                    <w:jc w:val="center"/>
                    <w:textAlignment w:val="center"/>
                    <w:rPr>
                      <w:kern w:val="0"/>
                      <w:szCs w:val="21"/>
                      <w:lang w:bidi="ar"/>
                    </w:rPr>
                  </w:pPr>
                  <w:r>
                    <w:rPr>
                      <w:rFonts w:hint="eastAsia"/>
                      <w:kern w:val="0"/>
                      <w:szCs w:val="21"/>
                      <w:lang w:bidi="ar"/>
                    </w:rPr>
                    <w:t>4.6</w:t>
                  </w:r>
                </w:p>
              </w:tc>
              <w:tc>
                <w:tcPr>
                  <w:tcW w:w="532" w:type="pct"/>
                  <w:tcBorders>
                    <w:top w:val="single" w:color="auto" w:sz="4" w:space="0"/>
                    <w:left w:val="single" w:color="auto" w:sz="4" w:space="0"/>
                    <w:bottom w:val="single" w:color="000000" w:sz="4" w:space="0"/>
                    <w:right w:val="single" w:color="auto" w:sz="4" w:space="0"/>
                  </w:tcBorders>
                  <w:tcMar>
                    <w:top w:w="15" w:type="dxa"/>
                    <w:left w:w="15" w:type="dxa"/>
                    <w:right w:w="15" w:type="dxa"/>
                  </w:tcMar>
                  <w:vAlign w:val="center"/>
                </w:tcPr>
                <w:p w14:paraId="5A02877D">
                  <w:pPr>
                    <w:widowControl/>
                    <w:jc w:val="center"/>
                    <w:textAlignment w:val="center"/>
                    <w:rPr>
                      <w:kern w:val="0"/>
                      <w:szCs w:val="21"/>
                      <w:lang w:bidi="ar"/>
                    </w:rPr>
                  </w:pPr>
                  <w:r>
                    <w:rPr>
                      <w:kern w:val="0"/>
                      <w:szCs w:val="21"/>
                      <w:lang w:bidi="ar"/>
                    </w:rPr>
                    <w:t>11.27</w:t>
                  </w:r>
                </w:p>
              </w:tc>
              <w:tc>
                <w:tcPr>
                  <w:tcW w:w="716" w:type="pct"/>
                  <w:tcBorders>
                    <w:top w:val="single" w:color="auto" w:sz="4" w:space="0"/>
                    <w:left w:val="single" w:color="000000" w:sz="4" w:space="0"/>
                    <w:bottom w:val="single" w:color="000000" w:sz="4" w:space="0"/>
                    <w:right w:val="single" w:color="000000" w:sz="4" w:space="0"/>
                  </w:tcBorders>
                  <w:tcMar>
                    <w:top w:w="15" w:type="dxa"/>
                    <w:left w:w="15" w:type="dxa"/>
                    <w:right w:w="15" w:type="dxa"/>
                  </w:tcMar>
                  <w:vAlign w:val="center"/>
                </w:tcPr>
                <w:p w14:paraId="37FB80A2">
                  <w:pPr>
                    <w:widowControl/>
                    <w:jc w:val="center"/>
                    <w:textAlignment w:val="center"/>
                    <w:rPr>
                      <w:bCs/>
                      <w:kern w:val="0"/>
                      <w:szCs w:val="21"/>
                      <w:lang w:bidi="ar"/>
                    </w:rPr>
                  </w:pPr>
                  <w:r>
                    <w:rPr>
                      <w:bCs/>
                      <w:kern w:val="0"/>
                      <w:szCs w:val="21"/>
                      <w:lang w:bidi="ar"/>
                    </w:rPr>
                    <w:t>永久、临时占地</w:t>
                  </w:r>
                </w:p>
              </w:tc>
            </w:tr>
          </w:tbl>
          <w:p w14:paraId="7D3C6911">
            <w:pPr>
              <w:pStyle w:val="5"/>
              <w:ind w:firstLine="0" w:firstLineChars="0"/>
              <w:rPr>
                <w:b/>
              </w:rPr>
            </w:pPr>
            <w:r>
              <w:rPr>
                <w:rFonts w:hint="eastAsia"/>
                <w:b/>
              </w:rPr>
              <w:t>*本项目临时工程占地设置于征地范围内，不另行计算。</w:t>
            </w:r>
          </w:p>
          <w:p w14:paraId="598514CB">
            <w:pPr>
              <w:pStyle w:val="5"/>
              <w:ind w:firstLine="482"/>
              <w:rPr>
                <w:b/>
              </w:rPr>
            </w:pPr>
            <w:r>
              <w:rPr>
                <w:rFonts w:hint="eastAsia"/>
                <w:b/>
              </w:rPr>
              <w:t>2、拆迁与安置</w:t>
            </w:r>
          </w:p>
          <w:p w14:paraId="6DB7F6D0">
            <w:pPr>
              <w:pStyle w:val="5"/>
              <w:ind w:firstLine="480"/>
            </w:pPr>
            <w:r>
              <w:rPr>
                <w:rFonts w:hint="eastAsia"/>
              </w:rPr>
              <w:t>本项目涉及的拆迁安置由当地政府部门完成，本项目不涉及。</w:t>
            </w:r>
          </w:p>
          <w:p w14:paraId="75682498">
            <w:pPr>
              <w:pStyle w:val="5"/>
              <w:ind w:firstLine="0" w:firstLineChars="0"/>
              <w:rPr>
                <w:b/>
                <w:bCs/>
                <w:szCs w:val="24"/>
              </w:rPr>
            </w:pPr>
            <w:r>
              <w:rPr>
                <w:rFonts w:hint="eastAsia"/>
                <w:b/>
                <w:bCs/>
                <w:szCs w:val="24"/>
              </w:rPr>
              <w:t>三、土石方平衡</w:t>
            </w:r>
          </w:p>
          <w:p w14:paraId="38EAE928">
            <w:pPr>
              <w:spacing w:line="360" w:lineRule="auto"/>
              <w:ind w:firstLine="480" w:firstLineChars="200"/>
              <w:rPr>
                <w:kern w:val="0"/>
                <w:sz w:val="24"/>
              </w:rPr>
            </w:pPr>
            <w:r>
              <w:rPr>
                <w:bCs/>
                <w:sz w:val="24"/>
              </w:rPr>
              <w:t>根据</w:t>
            </w:r>
            <w:r>
              <w:rPr>
                <w:rFonts w:hint="eastAsia"/>
                <w:bCs/>
                <w:sz w:val="24"/>
              </w:rPr>
              <w:t>项目水保方案统计数据</w:t>
            </w:r>
            <w:r>
              <w:rPr>
                <w:bCs/>
                <w:sz w:val="24"/>
              </w:rPr>
              <w:t>，</w:t>
            </w:r>
            <w:r>
              <w:rPr>
                <w:kern w:val="0"/>
                <w:sz w:val="24"/>
              </w:rPr>
              <w:t>本工程全线</w:t>
            </w:r>
            <w:r>
              <w:rPr>
                <w:rFonts w:hint="eastAsia"/>
                <w:kern w:val="0"/>
                <w:sz w:val="24"/>
              </w:rPr>
              <w:t>土石方共计挖方99.55万m³，回填62.34万m³，余方约37.21万m³（合松方48.37万m³，桥梁工程土石方已纳入道路工程计列，围堰利用开挖后续回填于余方利用地块，施工便道利用开挖石渣填筑，后续回填至余方利用地块。</w:t>
            </w:r>
          </w:p>
          <w:p w14:paraId="037BB8F8">
            <w:pPr>
              <w:ind w:firstLine="420" w:firstLineChars="200"/>
              <w:jc w:val="center"/>
              <w:rPr>
                <w:rFonts w:eastAsia="黑体"/>
                <w:szCs w:val="21"/>
                <w:vertAlign w:val="superscript"/>
              </w:rPr>
            </w:pPr>
            <w:r>
              <w:rPr>
                <w:rFonts w:eastAsia="黑体"/>
                <w:szCs w:val="21"/>
              </w:rPr>
              <w:t>表2-</w:t>
            </w:r>
            <w:r>
              <w:rPr>
                <w:rFonts w:hint="eastAsia" w:eastAsia="黑体"/>
                <w:szCs w:val="21"/>
              </w:rPr>
              <w:t>5</w:t>
            </w:r>
            <w:r>
              <w:rPr>
                <w:rFonts w:eastAsia="黑体"/>
                <w:szCs w:val="21"/>
              </w:rPr>
              <w:t xml:space="preserve">  本项目</w:t>
            </w:r>
            <w:r>
              <w:rPr>
                <w:rFonts w:hint="eastAsia" w:eastAsia="黑体"/>
                <w:szCs w:val="21"/>
              </w:rPr>
              <w:t>土石方</w:t>
            </w:r>
            <w:r>
              <w:rPr>
                <w:rFonts w:eastAsia="黑体"/>
                <w:szCs w:val="21"/>
              </w:rPr>
              <w:t>平衡表</w:t>
            </w:r>
            <w:r>
              <w:rPr>
                <w:rFonts w:hint="eastAsia" w:eastAsia="黑体"/>
                <w:szCs w:val="21"/>
              </w:rPr>
              <w:t xml:space="preserve">  单位：万m</w:t>
            </w:r>
            <w:r>
              <w:rPr>
                <w:rFonts w:hint="eastAsia" w:eastAsia="黑体"/>
                <w:szCs w:val="21"/>
                <w:vertAlign w:val="superscript"/>
              </w:rPr>
              <w:t>3</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3"/>
              <w:gridCol w:w="584"/>
              <w:gridCol w:w="689"/>
              <w:gridCol w:w="803"/>
              <w:gridCol w:w="689"/>
              <w:gridCol w:w="954"/>
              <w:gridCol w:w="606"/>
              <w:gridCol w:w="954"/>
              <w:gridCol w:w="775"/>
              <w:gridCol w:w="775"/>
              <w:gridCol w:w="775"/>
            </w:tblGrid>
            <w:tr w14:paraId="7BD8B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restart"/>
                  <w:vAlign w:val="center"/>
                </w:tcPr>
                <w:p w14:paraId="113674C6">
                  <w:pPr>
                    <w:pStyle w:val="20"/>
                    <w:adjustRightInd w:val="0"/>
                    <w:snapToGrid w:val="0"/>
                    <w:spacing w:after="0" w:line="240" w:lineRule="auto"/>
                    <w:ind w:left="0" w:leftChars="0"/>
                    <w:jc w:val="center"/>
                  </w:pPr>
                  <w:r>
                    <w:t>项目名称</w:t>
                  </w:r>
                </w:p>
              </w:tc>
              <w:tc>
                <w:tcPr>
                  <w:tcW w:w="1273" w:type="dxa"/>
                  <w:gridSpan w:val="2"/>
                  <w:vAlign w:val="center"/>
                </w:tcPr>
                <w:p w14:paraId="1D2AFF83">
                  <w:pPr>
                    <w:pStyle w:val="20"/>
                    <w:adjustRightInd w:val="0"/>
                    <w:snapToGrid w:val="0"/>
                    <w:spacing w:after="0" w:line="240" w:lineRule="auto"/>
                    <w:ind w:left="0" w:leftChars="0"/>
                    <w:jc w:val="center"/>
                  </w:pPr>
                  <w:r>
                    <w:t>挖方</w:t>
                  </w:r>
                </w:p>
              </w:tc>
              <w:tc>
                <w:tcPr>
                  <w:tcW w:w="1492" w:type="dxa"/>
                  <w:gridSpan w:val="2"/>
                  <w:vAlign w:val="center"/>
                </w:tcPr>
                <w:p w14:paraId="3A6C2B82">
                  <w:pPr>
                    <w:pStyle w:val="20"/>
                    <w:adjustRightInd w:val="0"/>
                    <w:snapToGrid w:val="0"/>
                    <w:spacing w:after="0" w:line="240" w:lineRule="auto"/>
                    <w:ind w:left="0" w:leftChars="0"/>
                    <w:jc w:val="center"/>
                  </w:pPr>
                  <w:r>
                    <w:t>填方</w:t>
                  </w:r>
                </w:p>
              </w:tc>
              <w:tc>
                <w:tcPr>
                  <w:tcW w:w="1560" w:type="dxa"/>
                  <w:gridSpan w:val="2"/>
                  <w:vAlign w:val="center"/>
                </w:tcPr>
                <w:p w14:paraId="4F7B05C3">
                  <w:pPr>
                    <w:pStyle w:val="20"/>
                    <w:adjustRightInd w:val="0"/>
                    <w:snapToGrid w:val="0"/>
                    <w:spacing w:after="0" w:line="240" w:lineRule="auto"/>
                    <w:ind w:left="0" w:leftChars="0"/>
                    <w:jc w:val="center"/>
                  </w:pPr>
                  <w:r>
                    <w:t>调入方</w:t>
                  </w:r>
                </w:p>
              </w:tc>
              <w:tc>
                <w:tcPr>
                  <w:tcW w:w="1729" w:type="dxa"/>
                  <w:gridSpan w:val="2"/>
                  <w:vAlign w:val="center"/>
                </w:tcPr>
                <w:p w14:paraId="27D05C50">
                  <w:pPr>
                    <w:pStyle w:val="20"/>
                    <w:adjustRightInd w:val="0"/>
                    <w:snapToGrid w:val="0"/>
                    <w:spacing w:after="0" w:line="240" w:lineRule="auto"/>
                    <w:ind w:left="0" w:leftChars="0"/>
                    <w:jc w:val="center"/>
                  </w:pPr>
                  <w:r>
                    <w:t>调出方</w:t>
                  </w:r>
                </w:p>
              </w:tc>
              <w:tc>
                <w:tcPr>
                  <w:tcW w:w="775" w:type="dxa"/>
                  <w:vAlign w:val="center"/>
                </w:tcPr>
                <w:p w14:paraId="28D251E6">
                  <w:pPr>
                    <w:pStyle w:val="20"/>
                    <w:adjustRightInd w:val="0"/>
                    <w:snapToGrid w:val="0"/>
                    <w:spacing w:after="0" w:line="240" w:lineRule="auto"/>
                    <w:ind w:left="0" w:leftChars="0"/>
                    <w:jc w:val="center"/>
                  </w:pPr>
                  <w:r>
                    <w:t>借方</w:t>
                  </w:r>
                </w:p>
              </w:tc>
              <w:tc>
                <w:tcPr>
                  <w:tcW w:w="775" w:type="dxa"/>
                  <w:vAlign w:val="center"/>
                </w:tcPr>
                <w:p w14:paraId="5511B086">
                  <w:pPr>
                    <w:pStyle w:val="20"/>
                    <w:adjustRightInd w:val="0"/>
                    <w:snapToGrid w:val="0"/>
                    <w:spacing w:after="0" w:line="240" w:lineRule="auto"/>
                    <w:ind w:left="0" w:leftChars="0"/>
                    <w:jc w:val="center"/>
                  </w:pPr>
                  <w:r>
                    <w:t>弃方</w:t>
                  </w:r>
                </w:p>
              </w:tc>
            </w:tr>
            <w:tr w14:paraId="013F0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6733CBFC">
                  <w:pPr>
                    <w:pStyle w:val="20"/>
                    <w:adjustRightInd w:val="0"/>
                    <w:snapToGrid w:val="0"/>
                    <w:spacing w:after="0" w:line="240" w:lineRule="auto"/>
                    <w:ind w:left="0" w:leftChars="0"/>
                    <w:jc w:val="center"/>
                  </w:pPr>
                </w:p>
              </w:tc>
              <w:tc>
                <w:tcPr>
                  <w:tcW w:w="584" w:type="dxa"/>
                  <w:vAlign w:val="center"/>
                </w:tcPr>
                <w:p w14:paraId="00147F6E">
                  <w:pPr>
                    <w:pStyle w:val="20"/>
                    <w:adjustRightInd w:val="0"/>
                    <w:snapToGrid w:val="0"/>
                    <w:spacing w:after="0" w:line="240" w:lineRule="auto"/>
                    <w:ind w:left="-105" w:leftChars="-50" w:right="-105" w:rightChars="-50"/>
                    <w:jc w:val="center"/>
                  </w:pPr>
                  <w:r>
                    <w:t>表土剥离</w:t>
                  </w:r>
                </w:p>
              </w:tc>
              <w:tc>
                <w:tcPr>
                  <w:tcW w:w="689" w:type="dxa"/>
                  <w:vAlign w:val="center"/>
                </w:tcPr>
                <w:p w14:paraId="18610ACC">
                  <w:pPr>
                    <w:pStyle w:val="20"/>
                    <w:adjustRightInd w:val="0"/>
                    <w:snapToGrid w:val="0"/>
                    <w:spacing w:after="0" w:line="240" w:lineRule="auto"/>
                    <w:ind w:left="-105" w:leftChars="-50" w:right="-105" w:rightChars="-50"/>
                    <w:jc w:val="center"/>
                  </w:pPr>
                  <w:r>
                    <w:t>挖方</w:t>
                  </w:r>
                </w:p>
              </w:tc>
              <w:tc>
                <w:tcPr>
                  <w:tcW w:w="803" w:type="dxa"/>
                  <w:vAlign w:val="center"/>
                </w:tcPr>
                <w:p w14:paraId="219C2288">
                  <w:pPr>
                    <w:pStyle w:val="20"/>
                    <w:adjustRightInd w:val="0"/>
                    <w:snapToGrid w:val="0"/>
                    <w:spacing w:after="0" w:line="240" w:lineRule="auto"/>
                    <w:ind w:left="0" w:leftChars="0"/>
                    <w:jc w:val="center"/>
                  </w:pPr>
                  <w:r>
                    <w:t>表土回覆</w:t>
                  </w:r>
                </w:p>
              </w:tc>
              <w:tc>
                <w:tcPr>
                  <w:tcW w:w="689" w:type="dxa"/>
                  <w:vAlign w:val="center"/>
                </w:tcPr>
                <w:p w14:paraId="745DA880">
                  <w:pPr>
                    <w:pStyle w:val="20"/>
                    <w:adjustRightInd w:val="0"/>
                    <w:snapToGrid w:val="0"/>
                    <w:spacing w:after="0" w:line="240" w:lineRule="auto"/>
                    <w:ind w:left="0" w:leftChars="0"/>
                    <w:jc w:val="center"/>
                  </w:pPr>
                  <w:r>
                    <w:t>填方</w:t>
                  </w:r>
                </w:p>
              </w:tc>
              <w:tc>
                <w:tcPr>
                  <w:tcW w:w="954" w:type="dxa"/>
                  <w:vAlign w:val="center"/>
                </w:tcPr>
                <w:p w14:paraId="565F1967">
                  <w:pPr>
                    <w:pStyle w:val="20"/>
                    <w:adjustRightInd w:val="0"/>
                    <w:snapToGrid w:val="0"/>
                    <w:spacing w:after="0" w:line="240" w:lineRule="auto"/>
                    <w:ind w:left="0" w:leftChars="0"/>
                    <w:jc w:val="center"/>
                  </w:pPr>
                  <w:r>
                    <w:t>来源</w:t>
                  </w:r>
                </w:p>
              </w:tc>
              <w:tc>
                <w:tcPr>
                  <w:tcW w:w="606" w:type="dxa"/>
                  <w:vAlign w:val="center"/>
                </w:tcPr>
                <w:p w14:paraId="68760104">
                  <w:pPr>
                    <w:pStyle w:val="20"/>
                    <w:adjustRightInd w:val="0"/>
                    <w:snapToGrid w:val="0"/>
                    <w:spacing w:after="0" w:line="240" w:lineRule="auto"/>
                    <w:ind w:left="-105" w:leftChars="-50" w:right="-105" w:rightChars="-50"/>
                    <w:jc w:val="center"/>
                  </w:pPr>
                  <w:r>
                    <w:t>数量</w:t>
                  </w:r>
                </w:p>
              </w:tc>
              <w:tc>
                <w:tcPr>
                  <w:tcW w:w="954" w:type="dxa"/>
                  <w:vAlign w:val="center"/>
                </w:tcPr>
                <w:p w14:paraId="65E286B3">
                  <w:pPr>
                    <w:pStyle w:val="20"/>
                    <w:adjustRightInd w:val="0"/>
                    <w:snapToGrid w:val="0"/>
                    <w:spacing w:after="0" w:line="240" w:lineRule="auto"/>
                    <w:ind w:left="0" w:leftChars="0"/>
                    <w:jc w:val="center"/>
                  </w:pPr>
                  <w:r>
                    <w:t>去向</w:t>
                  </w:r>
                </w:p>
              </w:tc>
              <w:tc>
                <w:tcPr>
                  <w:tcW w:w="775" w:type="dxa"/>
                  <w:vAlign w:val="center"/>
                </w:tcPr>
                <w:p w14:paraId="38AB2E4E">
                  <w:pPr>
                    <w:pStyle w:val="20"/>
                    <w:adjustRightInd w:val="0"/>
                    <w:snapToGrid w:val="0"/>
                    <w:spacing w:after="0" w:line="240" w:lineRule="auto"/>
                    <w:ind w:left="0" w:leftChars="0"/>
                    <w:jc w:val="center"/>
                  </w:pPr>
                  <w:r>
                    <w:t>数量</w:t>
                  </w:r>
                </w:p>
              </w:tc>
              <w:tc>
                <w:tcPr>
                  <w:tcW w:w="775" w:type="dxa"/>
                  <w:vAlign w:val="center"/>
                </w:tcPr>
                <w:p w14:paraId="61889FF8">
                  <w:pPr>
                    <w:pStyle w:val="20"/>
                    <w:adjustRightInd w:val="0"/>
                    <w:snapToGrid w:val="0"/>
                    <w:spacing w:after="0" w:line="240" w:lineRule="auto"/>
                    <w:ind w:left="0" w:leftChars="0"/>
                    <w:jc w:val="center"/>
                  </w:pPr>
                  <w:r>
                    <w:t>数量</w:t>
                  </w:r>
                </w:p>
              </w:tc>
              <w:tc>
                <w:tcPr>
                  <w:tcW w:w="775" w:type="dxa"/>
                  <w:vAlign w:val="center"/>
                </w:tcPr>
                <w:p w14:paraId="62248026">
                  <w:pPr>
                    <w:pStyle w:val="20"/>
                    <w:adjustRightInd w:val="0"/>
                    <w:snapToGrid w:val="0"/>
                    <w:spacing w:after="0" w:line="240" w:lineRule="auto"/>
                    <w:ind w:left="0" w:leftChars="0"/>
                    <w:jc w:val="center"/>
                  </w:pPr>
                  <w:r>
                    <w:t>数量</w:t>
                  </w:r>
                </w:p>
              </w:tc>
            </w:tr>
            <w:tr w14:paraId="6B471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14:paraId="72BA6DA3">
                  <w:pPr>
                    <w:pStyle w:val="20"/>
                    <w:adjustRightInd w:val="0"/>
                    <w:snapToGrid w:val="0"/>
                    <w:spacing w:after="0" w:line="240" w:lineRule="auto"/>
                    <w:ind w:left="0" w:leftChars="0"/>
                    <w:jc w:val="center"/>
                  </w:pPr>
                  <w:r>
                    <w:t>道路工程</w:t>
                  </w:r>
                </w:p>
              </w:tc>
              <w:tc>
                <w:tcPr>
                  <w:tcW w:w="584" w:type="dxa"/>
                  <w:vAlign w:val="center"/>
                </w:tcPr>
                <w:p w14:paraId="35F944CC">
                  <w:pPr>
                    <w:pStyle w:val="20"/>
                    <w:adjustRightInd w:val="0"/>
                    <w:snapToGrid w:val="0"/>
                    <w:spacing w:after="0" w:line="240" w:lineRule="auto"/>
                    <w:ind w:left="0" w:leftChars="0"/>
                    <w:jc w:val="center"/>
                  </w:pPr>
                  <w:r>
                    <w:rPr>
                      <w:rFonts w:hint="eastAsia"/>
                    </w:rPr>
                    <w:t>0.7</w:t>
                  </w:r>
                </w:p>
              </w:tc>
              <w:tc>
                <w:tcPr>
                  <w:tcW w:w="689" w:type="dxa"/>
                  <w:vAlign w:val="center"/>
                </w:tcPr>
                <w:p w14:paraId="5123EC24">
                  <w:pPr>
                    <w:pStyle w:val="20"/>
                    <w:adjustRightInd w:val="0"/>
                    <w:snapToGrid w:val="0"/>
                    <w:spacing w:after="0" w:line="240" w:lineRule="auto"/>
                    <w:ind w:left="0" w:leftChars="0"/>
                    <w:jc w:val="center"/>
                  </w:pPr>
                  <w:r>
                    <w:rPr>
                      <w:rFonts w:hint="eastAsia"/>
                    </w:rPr>
                    <w:t>67.2</w:t>
                  </w:r>
                </w:p>
              </w:tc>
              <w:tc>
                <w:tcPr>
                  <w:tcW w:w="803" w:type="dxa"/>
                  <w:vAlign w:val="center"/>
                </w:tcPr>
                <w:p w14:paraId="0C110AA9">
                  <w:pPr>
                    <w:pStyle w:val="20"/>
                    <w:adjustRightInd w:val="0"/>
                    <w:snapToGrid w:val="0"/>
                    <w:spacing w:after="0" w:line="240" w:lineRule="auto"/>
                    <w:ind w:left="0" w:leftChars="0"/>
                    <w:jc w:val="center"/>
                  </w:pPr>
                  <w:r>
                    <w:rPr>
                      <w:rFonts w:hint="eastAsia"/>
                    </w:rPr>
                    <w:t>8.32</w:t>
                  </w:r>
                </w:p>
              </w:tc>
              <w:tc>
                <w:tcPr>
                  <w:tcW w:w="689" w:type="dxa"/>
                  <w:vAlign w:val="center"/>
                </w:tcPr>
                <w:p w14:paraId="4A332706">
                  <w:pPr>
                    <w:pStyle w:val="20"/>
                    <w:adjustRightInd w:val="0"/>
                    <w:snapToGrid w:val="0"/>
                    <w:spacing w:after="0" w:line="240" w:lineRule="auto"/>
                    <w:ind w:left="0" w:leftChars="0"/>
                    <w:jc w:val="center"/>
                  </w:pPr>
                  <w:r>
                    <w:rPr>
                      <w:rFonts w:hint="eastAsia"/>
                    </w:rPr>
                    <w:t>54.97</w:t>
                  </w:r>
                </w:p>
              </w:tc>
              <w:tc>
                <w:tcPr>
                  <w:tcW w:w="954" w:type="dxa"/>
                  <w:vAlign w:val="center"/>
                </w:tcPr>
                <w:p w14:paraId="153FBDC1">
                  <w:pPr>
                    <w:pStyle w:val="20"/>
                    <w:adjustRightInd w:val="0"/>
                    <w:snapToGrid w:val="0"/>
                    <w:spacing w:after="0" w:line="240" w:lineRule="auto"/>
                    <w:ind w:left="0" w:leftChars="0"/>
                    <w:jc w:val="center"/>
                  </w:pPr>
                  <w:r>
                    <w:rPr>
                      <w:rFonts w:hint="eastAsia"/>
                    </w:rPr>
                    <w:t>/</w:t>
                  </w:r>
                </w:p>
              </w:tc>
              <w:tc>
                <w:tcPr>
                  <w:tcW w:w="606" w:type="dxa"/>
                  <w:vAlign w:val="center"/>
                </w:tcPr>
                <w:p w14:paraId="4233F822">
                  <w:pPr>
                    <w:pStyle w:val="20"/>
                    <w:adjustRightInd w:val="0"/>
                    <w:snapToGrid w:val="0"/>
                    <w:spacing w:after="0" w:line="240" w:lineRule="auto"/>
                    <w:ind w:left="0" w:leftChars="0"/>
                    <w:jc w:val="center"/>
                  </w:pPr>
                  <w:r>
                    <w:rPr>
                      <w:rFonts w:hint="eastAsia"/>
                    </w:rPr>
                    <w:t>/</w:t>
                  </w:r>
                </w:p>
              </w:tc>
              <w:tc>
                <w:tcPr>
                  <w:tcW w:w="954" w:type="dxa"/>
                  <w:vAlign w:val="center"/>
                </w:tcPr>
                <w:p w14:paraId="0F151747">
                  <w:pPr>
                    <w:pStyle w:val="20"/>
                    <w:adjustRightInd w:val="0"/>
                    <w:snapToGrid w:val="0"/>
                    <w:spacing w:after="0" w:line="240" w:lineRule="auto"/>
                    <w:ind w:left="-105" w:leftChars="-50" w:right="-105" w:rightChars="-50"/>
                    <w:jc w:val="center"/>
                  </w:pPr>
                  <w:r>
                    <w:t>桥涵工程</w:t>
                  </w:r>
                </w:p>
              </w:tc>
              <w:tc>
                <w:tcPr>
                  <w:tcW w:w="775" w:type="dxa"/>
                  <w:vAlign w:val="center"/>
                </w:tcPr>
                <w:p w14:paraId="6C55977B">
                  <w:pPr>
                    <w:pStyle w:val="20"/>
                    <w:adjustRightInd w:val="0"/>
                    <w:snapToGrid w:val="0"/>
                    <w:spacing w:after="0" w:line="240" w:lineRule="auto"/>
                    <w:ind w:left="0" w:leftChars="0"/>
                    <w:jc w:val="center"/>
                  </w:pPr>
                  <w:r>
                    <w:rPr>
                      <w:rFonts w:hint="eastAsia"/>
                    </w:rPr>
                    <w:t>4.05</w:t>
                  </w:r>
                </w:p>
              </w:tc>
              <w:tc>
                <w:tcPr>
                  <w:tcW w:w="775" w:type="dxa"/>
                  <w:vAlign w:val="center"/>
                </w:tcPr>
                <w:p w14:paraId="657FFD1A">
                  <w:pPr>
                    <w:pStyle w:val="20"/>
                    <w:adjustRightInd w:val="0"/>
                    <w:snapToGrid w:val="0"/>
                    <w:spacing w:after="0" w:line="240" w:lineRule="auto"/>
                    <w:ind w:left="0" w:leftChars="0"/>
                    <w:jc w:val="center"/>
                  </w:pPr>
                  <w:r>
                    <w:rPr>
                      <w:rFonts w:hint="eastAsia"/>
                    </w:rPr>
                    <w:t>32.18</w:t>
                  </w:r>
                </w:p>
              </w:tc>
              <w:tc>
                <w:tcPr>
                  <w:tcW w:w="775" w:type="dxa"/>
                  <w:vAlign w:val="center"/>
                </w:tcPr>
                <w:p w14:paraId="5095403D">
                  <w:pPr>
                    <w:pStyle w:val="20"/>
                    <w:adjustRightInd w:val="0"/>
                    <w:snapToGrid w:val="0"/>
                    <w:spacing w:after="0" w:line="240" w:lineRule="auto"/>
                    <w:ind w:left="0" w:leftChars="0"/>
                    <w:jc w:val="center"/>
                  </w:pPr>
                  <w:r>
                    <w:rPr>
                      <w:rFonts w:hint="eastAsia"/>
                    </w:rPr>
                    <w:t>11.79</w:t>
                  </w:r>
                </w:p>
              </w:tc>
            </w:tr>
            <w:tr w14:paraId="52B05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14:paraId="13C7C79D">
                  <w:pPr>
                    <w:pStyle w:val="20"/>
                    <w:adjustRightInd w:val="0"/>
                    <w:snapToGrid w:val="0"/>
                    <w:spacing w:after="0" w:line="240" w:lineRule="auto"/>
                    <w:ind w:left="0" w:leftChars="0"/>
                    <w:jc w:val="center"/>
                  </w:pPr>
                  <w:r>
                    <w:t>桥涵工</w:t>
                  </w:r>
                </w:p>
              </w:tc>
              <w:tc>
                <w:tcPr>
                  <w:tcW w:w="584" w:type="dxa"/>
                  <w:vAlign w:val="center"/>
                </w:tcPr>
                <w:p w14:paraId="598A8D03">
                  <w:pPr>
                    <w:pStyle w:val="20"/>
                    <w:adjustRightInd w:val="0"/>
                    <w:snapToGrid w:val="0"/>
                    <w:spacing w:after="0" w:line="240" w:lineRule="auto"/>
                    <w:ind w:left="0" w:leftChars="0"/>
                    <w:jc w:val="center"/>
                  </w:pPr>
                  <w:r>
                    <w:rPr>
                      <w:rFonts w:hint="eastAsia"/>
                    </w:rPr>
                    <w:t>0.45</w:t>
                  </w:r>
                </w:p>
              </w:tc>
              <w:tc>
                <w:tcPr>
                  <w:tcW w:w="689" w:type="dxa"/>
                  <w:vAlign w:val="center"/>
                </w:tcPr>
                <w:p w14:paraId="127EA140">
                  <w:pPr>
                    <w:pStyle w:val="20"/>
                    <w:adjustRightInd w:val="0"/>
                    <w:snapToGrid w:val="0"/>
                    <w:spacing w:after="0" w:line="240" w:lineRule="auto"/>
                    <w:ind w:left="0" w:leftChars="0"/>
                    <w:jc w:val="center"/>
                  </w:pPr>
                  <w:r>
                    <w:rPr>
                      <w:rFonts w:hint="eastAsia"/>
                    </w:rPr>
                    <w:t>30.5</w:t>
                  </w:r>
                </w:p>
              </w:tc>
              <w:tc>
                <w:tcPr>
                  <w:tcW w:w="803" w:type="dxa"/>
                  <w:vAlign w:val="center"/>
                </w:tcPr>
                <w:p w14:paraId="4B4CAE6A">
                  <w:pPr>
                    <w:pStyle w:val="20"/>
                    <w:adjustRightInd w:val="0"/>
                    <w:snapToGrid w:val="0"/>
                    <w:spacing w:after="0" w:line="240" w:lineRule="auto"/>
                    <w:ind w:left="0" w:leftChars="0"/>
                    <w:jc w:val="center"/>
                  </w:pPr>
                  <w:r>
                    <w:rPr>
                      <w:rFonts w:hint="eastAsia"/>
                    </w:rPr>
                    <w:t>4.21</w:t>
                  </w:r>
                </w:p>
              </w:tc>
              <w:tc>
                <w:tcPr>
                  <w:tcW w:w="689" w:type="dxa"/>
                  <w:vAlign w:val="center"/>
                </w:tcPr>
                <w:p w14:paraId="2C8478C7">
                  <w:pPr>
                    <w:pStyle w:val="20"/>
                    <w:adjustRightInd w:val="0"/>
                    <w:snapToGrid w:val="0"/>
                    <w:spacing w:after="0" w:line="240" w:lineRule="auto"/>
                    <w:ind w:left="0" w:leftChars="0"/>
                    <w:jc w:val="center"/>
                  </w:pPr>
                  <w:r>
                    <w:rPr>
                      <w:rFonts w:hint="eastAsia"/>
                    </w:rPr>
                    <w:t>37.12</w:t>
                  </w:r>
                </w:p>
              </w:tc>
              <w:tc>
                <w:tcPr>
                  <w:tcW w:w="954" w:type="dxa"/>
                  <w:vAlign w:val="center"/>
                </w:tcPr>
                <w:p w14:paraId="4FD0C2FB">
                  <w:pPr>
                    <w:pStyle w:val="20"/>
                    <w:adjustRightInd w:val="0"/>
                    <w:snapToGrid w:val="0"/>
                    <w:spacing w:after="0" w:line="240" w:lineRule="auto"/>
                    <w:ind w:left="-105" w:leftChars="-50" w:right="-105" w:rightChars="-50"/>
                    <w:jc w:val="center"/>
                  </w:pPr>
                  <w:r>
                    <w:rPr>
                      <w:rFonts w:hint="eastAsia"/>
                    </w:rPr>
                    <w:t>道路工程</w:t>
                  </w:r>
                </w:p>
              </w:tc>
              <w:tc>
                <w:tcPr>
                  <w:tcW w:w="606" w:type="dxa"/>
                  <w:vAlign w:val="center"/>
                </w:tcPr>
                <w:p w14:paraId="2B4B1318">
                  <w:pPr>
                    <w:pStyle w:val="20"/>
                    <w:adjustRightInd w:val="0"/>
                    <w:snapToGrid w:val="0"/>
                    <w:spacing w:after="0" w:line="240" w:lineRule="auto"/>
                    <w:ind w:left="0" w:leftChars="0"/>
                    <w:jc w:val="center"/>
                  </w:pPr>
                  <w:r>
                    <w:rPr>
                      <w:rFonts w:hint="eastAsia"/>
                    </w:rPr>
                    <w:t>4.05</w:t>
                  </w:r>
                </w:p>
              </w:tc>
              <w:tc>
                <w:tcPr>
                  <w:tcW w:w="954" w:type="dxa"/>
                  <w:vAlign w:val="center"/>
                </w:tcPr>
                <w:p w14:paraId="58870CD4">
                  <w:pPr>
                    <w:pStyle w:val="20"/>
                    <w:adjustRightInd w:val="0"/>
                    <w:snapToGrid w:val="0"/>
                    <w:spacing w:after="0" w:line="240" w:lineRule="auto"/>
                    <w:ind w:left="0" w:leftChars="0"/>
                    <w:jc w:val="center"/>
                  </w:pPr>
                  <w:r>
                    <w:rPr>
                      <w:rFonts w:hint="eastAsia"/>
                    </w:rPr>
                    <w:t>/</w:t>
                  </w:r>
                </w:p>
              </w:tc>
              <w:tc>
                <w:tcPr>
                  <w:tcW w:w="775" w:type="dxa"/>
                  <w:vAlign w:val="center"/>
                </w:tcPr>
                <w:p w14:paraId="2851530C">
                  <w:pPr>
                    <w:pStyle w:val="20"/>
                    <w:adjustRightInd w:val="0"/>
                    <w:snapToGrid w:val="0"/>
                    <w:spacing w:after="0" w:line="240" w:lineRule="auto"/>
                    <w:ind w:left="0" w:leftChars="0"/>
                    <w:jc w:val="center"/>
                  </w:pPr>
                  <w:r>
                    <w:rPr>
                      <w:rFonts w:hint="eastAsia"/>
                    </w:rPr>
                    <w:t>/</w:t>
                  </w:r>
                </w:p>
              </w:tc>
              <w:tc>
                <w:tcPr>
                  <w:tcW w:w="775" w:type="dxa"/>
                  <w:vAlign w:val="center"/>
                </w:tcPr>
                <w:p w14:paraId="65872816">
                  <w:pPr>
                    <w:pStyle w:val="20"/>
                    <w:adjustRightInd w:val="0"/>
                    <w:snapToGrid w:val="0"/>
                    <w:spacing w:after="0" w:line="240" w:lineRule="auto"/>
                    <w:ind w:left="0" w:leftChars="0"/>
                    <w:jc w:val="center"/>
                  </w:pPr>
                  <w:r>
                    <w:rPr>
                      <w:rFonts w:hint="eastAsia"/>
                    </w:rPr>
                    <w:t>13.6</w:t>
                  </w:r>
                </w:p>
              </w:tc>
              <w:tc>
                <w:tcPr>
                  <w:tcW w:w="775" w:type="dxa"/>
                  <w:vAlign w:val="center"/>
                </w:tcPr>
                <w:p w14:paraId="7BEB721F">
                  <w:pPr>
                    <w:pStyle w:val="20"/>
                    <w:adjustRightInd w:val="0"/>
                    <w:snapToGrid w:val="0"/>
                    <w:spacing w:after="0" w:line="240" w:lineRule="auto"/>
                    <w:ind w:left="0" w:leftChars="0"/>
                    <w:jc w:val="center"/>
                  </w:pPr>
                  <w:r>
                    <w:rPr>
                      <w:rFonts w:hint="eastAsia"/>
                    </w:rPr>
                    <w:t>3.22</w:t>
                  </w:r>
                </w:p>
              </w:tc>
            </w:tr>
            <w:tr w14:paraId="76FB3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Align w:val="center"/>
                </w:tcPr>
                <w:p w14:paraId="6C3DA169">
                  <w:pPr>
                    <w:pStyle w:val="20"/>
                    <w:adjustRightInd w:val="0"/>
                    <w:snapToGrid w:val="0"/>
                    <w:spacing w:after="0" w:line="240" w:lineRule="auto"/>
                    <w:ind w:left="0" w:leftChars="0"/>
                    <w:jc w:val="center"/>
                  </w:pPr>
                  <w:r>
                    <w:t>临时工程</w:t>
                  </w:r>
                </w:p>
              </w:tc>
              <w:tc>
                <w:tcPr>
                  <w:tcW w:w="584" w:type="dxa"/>
                  <w:vAlign w:val="center"/>
                </w:tcPr>
                <w:p w14:paraId="1088C942">
                  <w:pPr>
                    <w:pStyle w:val="20"/>
                    <w:adjustRightInd w:val="0"/>
                    <w:snapToGrid w:val="0"/>
                    <w:spacing w:after="0" w:line="240" w:lineRule="auto"/>
                    <w:ind w:left="0" w:leftChars="0"/>
                    <w:jc w:val="center"/>
                  </w:pPr>
                  <w:r>
                    <w:rPr>
                      <w:rFonts w:hint="eastAsia"/>
                    </w:rPr>
                    <w:t>0.05</w:t>
                  </w:r>
                </w:p>
              </w:tc>
              <w:tc>
                <w:tcPr>
                  <w:tcW w:w="689" w:type="dxa"/>
                  <w:vAlign w:val="center"/>
                </w:tcPr>
                <w:p w14:paraId="5C6EAFE6">
                  <w:pPr>
                    <w:pStyle w:val="20"/>
                    <w:adjustRightInd w:val="0"/>
                    <w:snapToGrid w:val="0"/>
                    <w:spacing w:after="0" w:line="240" w:lineRule="auto"/>
                    <w:ind w:left="0" w:leftChars="0"/>
                    <w:jc w:val="center"/>
                  </w:pPr>
                  <w:r>
                    <w:rPr>
                      <w:rFonts w:hint="eastAsia"/>
                    </w:rPr>
                    <w:t>1.85</w:t>
                  </w:r>
                </w:p>
              </w:tc>
              <w:tc>
                <w:tcPr>
                  <w:tcW w:w="803" w:type="dxa"/>
                  <w:vAlign w:val="center"/>
                </w:tcPr>
                <w:p w14:paraId="12AF2008">
                  <w:pPr>
                    <w:pStyle w:val="20"/>
                    <w:adjustRightInd w:val="0"/>
                    <w:snapToGrid w:val="0"/>
                    <w:spacing w:after="0" w:line="240" w:lineRule="auto"/>
                    <w:ind w:left="0" w:leftChars="0"/>
                    <w:jc w:val="center"/>
                  </w:pPr>
                  <w:r>
                    <w:rPr>
                      <w:rFonts w:hint="eastAsia"/>
                    </w:rPr>
                    <w:t>0.01</w:t>
                  </w:r>
                </w:p>
              </w:tc>
              <w:tc>
                <w:tcPr>
                  <w:tcW w:w="689" w:type="dxa"/>
                  <w:vAlign w:val="center"/>
                </w:tcPr>
                <w:p w14:paraId="7ADAB86F">
                  <w:pPr>
                    <w:pStyle w:val="20"/>
                    <w:adjustRightInd w:val="0"/>
                    <w:snapToGrid w:val="0"/>
                    <w:spacing w:after="0" w:line="240" w:lineRule="auto"/>
                    <w:ind w:left="0" w:leftChars="0"/>
                    <w:jc w:val="center"/>
                  </w:pPr>
                  <w:r>
                    <w:rPr>
                      <w:rFonts w:hint="eastAsia"/>
                    </w:rPr>
                    <w:t>0.03</w:t>
                  </w:r>
                </w:p>
              </w:tc>
              <w:tc>
                <w:tcPr>
                  <w:tcW w:w="954" w:type="dxa"/>
                  <w:vAlign w:val="center"/>
                </w:tcPr>
                <w:p w14:paraId="3B1B55E6">
                  <w:pPr>
                    <w:pStyle w:val="20"/>
                    <w:adjustRightInd w:val="0"/>
                    <w:snapToGrid w:val="0"/>
                    <w:spacing w:after="0" w:line="240" w:lineRule="auto"/>
                    <w:ind w:left="0" w:leftChars="0"/>
                    <w:jc w:val="center"/>
                  </w:pPr>
                  <w:r>
                    <w:rPr>
                      <w:rFonts w:hint="eastAsia"/>
                    </w:rPr>
                    <w:t>/</w:t>
                  </w:r>
                </w:p>
              </w:tc>
              <w:tc>
                <w:tcPr>
                  <w:tcW w:w="606" w:type="dxa"/>
                  <w:vAlign w:val="center"/>
                </w:tcPr>
                <w:p w14:paraId="0637A5C4">
                  <w:pPr>
                    <w:pStyle w:val="20"/>
                    <w:adjustRightInd w:val="0"/>
                    <w:snapToGrid w:val="0"/>
                    <w:spacing w:after="0" w:line="240" w:lineRule="auto"/>
                    <w:ind w:left="0" w:leftChars="0"/>
                    <w:jc w:val="center"/>
                  </w:pPr>
                  <w:r>
                    <w:rPr>
                      <w:rFonts w:hint="eastAsia"/>
                    </w:rPr>
                    <w:t>/</w:t>
                  </w:r>
                </w:p>
              </w:tc>
              <w:tc>
                <w:tcPr>
                  <w:tcW w:w="954" w:type="dxa"/>
                  <w:vAlign w:val="center"/>
                </w:tcPr>
                <w:p w14:paraId="1FBDED97">
                  <w:pPr>
                    <w:pStyle w:val="20"/>
                    <w:adjustRightInd w:val="0"/>
                    <w:snapToGrid w:val="0"/>
                    <w:spacing w:after="0" w:line="240" w:lineRule="auto"/>
                    <w:ind w:left="0" w:leftChars="0"/>
                    <w:jc w:val="center"/>
                  </w:pPr>
                  <w:r>
                    <w:rPr>
                      <w:rFonts w:hint="eastAsia"/>
                    </w:rPr>
                    <w:t>/</w:t>
                  </w:r>
                </w:p>
              </w:tc>
              <w:tc>
                <w:tcPr>
                  <w:tcW w:w="775" w:type="dxa"/>
                  <w:vAlign w:val="center"/>
                </w:tcPr>
                <w:p w14:paraId="2516F506">
                  <w:pPr>
                    <w:pStyle w:val="20"/>
                    <w:adjustRightInd w:val="0"/>
                    <w:snapToGrid w:val="0"/>
                    <w:spacing w:after="0" w:line="240" w:lineRule="auto"/>
                    <w:ind w:left="0" w:leftChars="0"/>
                    <w:jc w:val="center"/>
                  </w:pPr>
                  <w:r>
                    <w:rPr>
                      <w:rFonts w:hint="eastAsia"/>
                    </w:rPr>
                    <w:t>/</w:t>
                  </w:r>
                </w:p>
              </w:tc>
              <w:tc>
                <w:tcPr>
                  <w:tcW w:w="775" w:type="dxa"/>
                  <w:vAlign w:val="center"/>
                </w:tcPr>
                <w:p w14:paraId="6FEC8E65">
                  <w:pPr>
                    <w:pStyle w:val="20"/>
                    <w:adjustRightInd w:val="0"/>
                    <w:snapToGrid w:val="0"/>
                    <w:spacing w:after="0" w:line="240" w:lineRule="auto"/>
                    <w:ind w:left="0" w:leftChars="0"/>
                    <w:jc w:val="center"/>
                  </w:pPr>
                  <w:r>
                    <w:rPr>
                      <w:rFonts w:hint="eastAsia"/>
                    </w:rPr>
                    <w:t>1.00</w:t>
                  </w:r>
                </w:p>
              </w:tc>
              <w:tc>
                <w:tcPr>
                  <w:tcW w:w="775" w:type="dxa"/>
                  <w:vAlign w:val="center"/>
                </w:tcPr>
                <w:p w14:paraId="15F23DC4">
                  <w:pPr>
                    <w:pStyle w:val="20"/>
                    <w:adjustRightInd w:val="0"/>
                    <w:snapToGrid w:val="0"/>
                    <w:spacing w:after="0" w:line="240" w:lineRule="auto"/>
                    <w:ind w:left="0" w:leftChars="0"/>
                    <w:jc w:val="center"/>
                  </w:pPr>
                  <w:r>
                    <w:rPr>
                      <w:rFonts w:hint="eastAsia"/>
                    </w:rPr>
                    <w:t>0.18</w:t>
                  </w:r>
                </w:p>
              </w:tc>
            </w:tr>
            <w:tr w14:paraId="039B0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73" w:type="dxa"/>
                  <w:vAlign w:val="center"/>
                </w:tcPr>
                <w:p w14:paraId="7E85D5FE">
                  <w:pPr>
                    <w:pStyle w:val="20"/>
                    <w:adjustRightInd w:val="0"/>
                    <w:snapToGrid w:val="0"/>
                    <w:spacing w:after="0" w:line="240" w:lineRule="auto"/>
                    <w:ind w:left="0" w:leftChars="0"/>
                    <w:jc w:val="center"/>
                  </w:pPr>
                  <w:r>
                    <w:t>合计</w:t>
                  </w:r>
                </w:p>
              </w:tc>
              <w:tc>
                <w:tcPr>
                  <w:tcW w:w="584" w:type="dxa"/>
                  <w:vAlign w:val="center"/>
                </w:tcPr>
                <w:p w14:paraId="7A217BD8">
                  <w:pPr>
                    <w:pStyle w:val="20"/>
                    <w:adjustRightInd w:val="0"/>
                    <w:snapToGrid w:val="0"/>
                    <w:spacing w:after="0" w:line="240" w:lineRule="auto"/>
                    <w:ind w:left="0" w:leftChars="0"/>
                    <w:jc w:val="center"/>
                  </w:pPr>
                  <w:r>
                    <w:rPr>
                      <w:rFonts w:hint="eastAsia"/>
                    </w:rPr>
                    <w:t>1.20</w:t>
                  </w:r>
                </w:p>
              </w:tc>
              <w:tc>
                <w:tcPr>
                  <w:tcW w:w="689" w:type="dxa"/>
                  <w:vAlign w:val="center"/>
                </w:tcPr>
                <w:p w14:paraId="2C332156">
                  <w:pPr>
                    <w:pStyle w:val="20"/>
                    <w:adjustRightInd w:val="0"/>
                    <w:snapToGrid w:val="0"/>
                    <w:spacing w:after="0" w:line="240" w:lineRule="auto"/>
                    <w:ind w:left="0" w:leftChars="0"/>
                    <w:jc w:val="center"/>
                  </w:pPr>
                  <w:r>
                    <w:rPr>
                      <w:rFonts w:hint="eastAsia"/>
                    </w:rPr>
                    <w:t>99.55</w:t>
                  </w:r>
                </w:p>
              </w:tc>
              <w:tc>
                <w:tcPr>
                  <w:tcW w:w="803" w:type="dxa"/>
                  <w:vAlign w:val="center"/>
                </w:tcPr>
                <w:p w14:paraId="0C94BB30">
                  <w:pPr>
                    <w:pStyle w:val="20"/>
                    <w:adjustRightInd w:val="0"/>
                    <w:snapToGrid w:val="0"/>
                    <w:spacing w:after="0" w:line="240" w:lineRule="auto"/>
                    <w:ind w:left="0" w:leftChars="0"/>
                    <w:jc w:val="center"/>
                  </w:pPr>
                  <w:r>
                    <w:rPr>
                      <w:rFonts w:hint="eastAsia"/>
                    </w:rPr>
                    <w:t>12.54</w:t>
                  </w:r>
                </w:p>
              </w:tc>
              <w:tc>
                <w:tcPr>
                  <w:tcW w:w="689" w:type="dxa"/>
                  <w:vAlign w:val="center"/>
                </w:tcPr>
                <w:p w14:paraId="197FF923">
                  <w:pPr>
                    <w:pStyle w:val="20"/>
                    <w:adjustRightInd w:val="0"/>
                    <w:snapToGrid w:val="0"/>
                    <w:spacing w:after="0" w:line="240" w:lineRule="auto"/>
                    <w:ind w:left="0" w:leftChars="0"/>
                    <w:jc w:val="center"/>
                  </w:pPr>
                  <w:r>
                    <w:rPr>
                      <w:rFonts w:hint="eastAsia"/>
                    </w:rPr>
                    <w:t>62.34</w:t>
                  </w:r>
                </w:p>
              </w:tc>
              <w:tc>
                <w:tcPr>
                  <w:tcW w:w="954" w:type="dxa"/>
                  <w:vAlign w:val="center"/>
                </w:tcPr>
                <w:p w14:paraId="4C7BB77B">
                  <w:pPr>
                    <w:pStyle w:val="20"/>
                    <w:adjustRightInd w:val="0"/>
                    <w:snapToGrid w:val="0"/>
                    <w:spacing w:after="0" w:line="240" w:lineRule="auto"/>
                    <w:ind w:left="0" w:leftChars="0"/>
                    <w:jc w:val="center"/>
                  </w:pPr>
                  <w:r>
                    <w:rPr>
                      <w:rFonts w:hint="eastAsia"/>
                    </w:rPr>
                    <w:t>/</w:t>
                  </w:r>
                </w:p>
              </w:tc>
              <w:tc>
                <w:tcPr>
                  <w:tcW w:w="606" w:type="dxa"/>
                  <w:vAlign w:val="center"/>
                </w:tcPr>
                <w:p w14:paraId="0C1E97A5">
                  <w:pPr>
                    <w:pStyle w:val="20"/>
                    <w:adjustRightInd w:val="0"/>
                    <w:snapToGrid w:val="0"/>
                    <w:spacing w:after="0" w:line="240" w:lineRule="auto"/>
                    <w:ind w:left="0" w:leftChars="0"/>
                    <w:jc w:val="center"/>
                  </w:pPr>
                  <w:r>
                    <w:rPr>
                      <w:rFonts w:hint="eastAsia"/>
                    </w:rPr>
                    <w:t>4.05</w:t>
                  </w:r>
                </w:p>
              </w:tc>
              <w:tc>
                <w:tcPr>
                  <w:tcW w:w="954" w:type="dxa"/>
                  <w:vAlign w:val="center"/>
                </w:tcPr>
                <w:p w14:paraId="0508C65B">
                  <w:pPr>
                    <w:pStyle w:val="20"/>
                    <w:adjustRightInd w:val="0"/>
                    <w:snapToGrid w:val="0"/>
                    <w:spacing w:after="0" w:line="240" w:lineRule="auto"/>
                    <w:ind w:left="0" w:leftChars="0"/>
                    <w:jc w:val="center"/>
                  </w:pPr>
                  <w:r>
                    <w:rPr>
                      <w:rFonts w:hint="eastAsia"/>
                    </w:rPr>
                    <w:t>/</w:t>
                  </w:r>
                </w:p>
              </w:tc>
              <w:tc>
                <w:tcPr>
                  <w:tcW w:w="775" w:type="dxa"/>
                  <w:vAlign w:val="center"/>
                </w:tcPr>
                <w:p w14:paraId="3B834D7F">
                  <w:pPr>
                    <w:pStyle w:val="20"/>
                    <w:adjustRightInd w:val="0"/>
                    <w:snapToGrid w:val="0"/>
                    <w:spacing w:after="0" w:line="240" w:lineRule="auto"/>
                    <w:ind w:left="0" w:leftChars="0"/>
                    <w:jc w:val="center"/>
                  </w:pPr>
                  <w:r>
                    <w:rPr>
                      <w:rFonts w:hint="eastAsia"/>
                    </w:rPr>
                    <w:t>4.05</w:t>
                  </w:r>
                </w:p>
              </w:tc>
              <w:tc>
                <w:tcPr>
                  <w:tcW w:w="775" w:type="dxa"/>
                  <w:vAlign w:val="center"/>
                </w:tcPr>
                <w:p w14:paraId="11E35287">
                  <w:pPr>
                    <w:pStyle w:val="20"/>
                    <w:adjustRightInd w:val="0"/>
                    <w:snapToGrid w:val="0"/>
                    <w:spacing w:after="0" w:line="240" w:lineRule="auto"/>
                    <w:ind w:left="0" w:leftChars="0"/>
                    <w:jc w:val="center"/>
                  </w:pPr>
                  <w:r>
                    <w:rPr>
                      <w:rFonts w:hint="eastAsia"/>
                    </w:rPr>
                    <w:t>45.78</w:t>
                  </w:r>
                </w:p>
              </w:tc>
              <w:tc>
                <w:tcPr>
                  <w:tcW w:w="775" w:type="dxa"/>
                  <w:vAlign w:val="center"/>
                </w:tcPr>
                <w:p w14:paraId="38A9EC6A">
                  <w:pPr>
                    <w:pStyle w:val="20"/>
                    <w:adjustRightInd w:val="0"/>
                    <w:snapToGrid w:val="0"/>
                    <w:spacing w:after="0" w:line="240" w:lineRule="auto"/>
                    <w:ind w:left="0" w:leftChars="0"/>
                    <w:jc w:val="center"/>
                  </w:pPr>
                  <w:r>
                    <w:t>37.21</w:t>
                  </w:r>
                </w:p>
              </w:tc>
            </w:tr>
          </w:tbl>
          <w:p w14:paraId="4D9AC8F1">
            <w:pPr>
              <w:pStyle w:val="21"/>
            </w:pPr>
          </w:p>
        </w:tc>
      </w:tr>
      <w:tr w14:paraId="707F16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2DF09414">
            <w:pPr>
              <w:adjustRightInd w:val="0"/>
              <w:snapToGrid w:val="0"/>
              <w:jc w:val="center"/>
              <w:rPr>
                <w:rFonts w:ascii="宋体" w:hAnsi="宋体" w:cs="宋体"/>
                <w:b/>
                <w:kern w:val="0"/>
                <w:szCs w:val="21"/>
              </w:rPr>
            </w:pPr>
            <w:r>
              <w:rPr>
                <w:rFonts w:hint="eastAsia" w:ascii="宋体" w:hAnsi="宋体" w:cs="宋体"/>
                <w:b/>
                <w:kern w:val="0"/>
                <w:szCs w:val="21"/>
              </w:rPr>
              <w:t>总平面及现场布置</w:t>
            </w:r>
          </w:p>
        </w:tc>
        <w:tc>
          <w:tcPr>
            <w:tcW w:w="4748" w:type="pct"/>
            <w:vAlign w:val="center"/>
          </w:tcPr>
          <w:p w14:paraId="297ED8F4">
            <w:pPr>
              <w:adjustRightInd w:val="0"/>
              <w:snapToGrid w:val="0"/>
              <w:spacing w:line="360" w:lineRule="auto"/>
              <w:rPr>
                <w:b/>
                <w:bCs/>
                <w:sz w:val="24"/>
                <w:szCs w:val="32"/>
              </w:rPr>
            </w:pPr>
            <w:r>
              <w:rPr>
                <w:b/>
                <w:bCs/>
                <w:sz w:val="24"/>
                <w:szCs w:val="32"/>
              </w:rPr>
              <w:t>一</w:t>
            </w:r>
            <w:r>
              <w:rPr>
                <w:rFonts w:hint="eastAsia"/>
                <w:b/>
                <w:bCs/>
                <w:sz w:val="24"/>
                <w:szCs w:val="32"/>
              </w:rPr>
              <w:t>、总体布置</w:t>
            </w:r>
          </w:p>
          <w:p w14:paraId="498F5A3F">
            <w:pPr>
              <w:pStyle w:val="5"/>
              <w:ind w:firstLine="480"/>
            </w:pPr>
            <w:r>
              <w:rPr>
                <w:rFonts w:hint="eastAsia"/>
              </w:rPr>
              <w:t>本项目位于大英县城区范围，属于城市规划道路，路线方案设计唯一，为必选方案，无比选方案。</w:t>
            </w:r>
          </w:p>
          <w:p w14:paraId="7BA37149">
            <w:pPr>
              <w:pStyle w:val="5"/>
              <w:ind w:firstLine="0" w:firstLineChars="0"/>
              <w:rPr>
                <w:b/>
              </w:rPr>
            </w:pPr>
            <w:r>
              <w:rPr>
                <w:rFonts w:hint="eastAsia"/>
              </w:rPr>
              <w:t>二</w:t>
            </w:r>
            <w:r>
              <w:rPr>
                <w:rFonts w:hint="eastAsia"/>
                <w:b/>
              </w:rPr>
              <w:t>、现场施工布置</w:t>
            </w:r>
          </w:p>
          <w:p w14:paraId="118B84EA">
            <w:pPr>
              <w:pStyle w:val="5"/>
              <w:ind w:firstLine="482"/>
              <w:rPr>
                <w:b/>
              </w:rPr>
            </w:pPr>
            <w:r>
              <w:rPr>
                <w:rFonts w:hint="eastAsia"/>
                <w:b/>
              </w:rPr>
              <w:t>（1）临时施工场地</w:t>
            </w:r>
          </w:p>
          <w:p w14:paraId="5AB95DD1">
            <w:pPr>
              <w:pStyle w:val="5"/>
              <w:ind w:firstLine="482"/>
            </w:pPr>
            <w:r>
              <w:rPr>
                <w:rFonts w:hint="eastAsia"/>
                <w:b/>
              </w:rPr>
              <w:t>施工营地</w:t>
            </w:r>
            <w:r>
              <w:rPr>
                <w:rFonts w:hint="eastAsia"/>
              </w:rPr>
              <w:t>：项目不设置施工营地，就近租用沿线现有民房作为施工营地。</w:t>
            </w:r>
          </w:p>
          <w:p w14:paraId="7050F492">
            <w:pPr>
              <w:pStyle w:val="5"/>
              <w:ind w:firstLine="482"/>
            </w:pPr>
            <w:r>
              <w:rPr>
                <w:rFonts w:hint="eastAsia"/>
                <w:b/>
              </w:rPr>
              <w:t>施工料场、取土场</w:t>
            </w:r>
            <w:r>
              <w:rPr>
                <w:rFonts w:hint="eastAsia"/>
              </w:rPr>
              <w:t>：本项目所用的砂石、其他建材等都从当地合法料场购买，路面沥青砼采用商品砼方式解决，不自建取料场、砂石加工场；项目所需借方主要来自外购砂石料场，工程全线不设取土场。</w:t>
            </w:r>
          </w:p>
          <w:p w14:paraId="58D4047D">
            <w:pPr>
              <w:pStyle w:val="5"/>
              <w:ind w:firstLine="482"/>
            </w:pPr>
            <w:r>
              <w:rPr>
                <w:rFonts w:hint="eastAsia"/>
                <w:b/>
              </w:rPr>
              <w:t>施工便道</w:t>
            </w:r>
            <w:r>
              <w:rPr>
                <w:rFonts w:hint="eastAsia"/>
              </w:rPr>
              <w:t>：道路建设区周边有其他在建项目，筑路材料运输均可充分利用区域内现有道路直达工程区，工程区场地内的道路可作为施工临时运输道路，现有道路状况基本满足要求。故本项目施工过程无需设置施工便道。</w:t>
            </w:r>
          </w:p>
          <w:p w14:paraId="13797F06">
            <w:pPr>
              <w:pStyle w:val="5"/>
              <w:ind w:firstLine="482"/>
            </w:pPr>
            <w:r>
              <w:rPr>
                <w:rFonts w:hint="eastAsia"/>
                <w:b/>
              </w:rPr>
              <w:t>拌合站</w:t>
            </w:r>
            <w:r>
              <w:rPr>
                <w:rFonts w:hint="eastAsia"/>
              </w:rPr>
              <w:t>：项目所需混凝土和沥青混凝土均在附近商品拌合站购买成品，由汽车外运到场，不设置现场拌合站。</w:t>
            </w:r>
          </w:p>
          <w:p w14:paraId="21C02902">
            <w:pPr>
              <w:pStyle w:val="5"/>
              <w:ind w:firstLine="482"/>
            </w:pPr>
            <w:r>
              <w:rPr>
                <w:rFonts w:hint="eastAsia"/>
                <w:b/>
              </w:rPr>
              <w:t>临时施工场地：</w:t>
            </w:r>
            <w:r>
              <w:rPr>
                <w:rFonts w:hint="eastAsia"/>
              </w:rPr>
              <w:t>3处，占地面积约10000m</w:t>
            </w:r>
            <w:r>
              <w:rPr>
                <w:rFonts w:hint="eastAsia"/>
                <w:vertAlign w:val="superscript"/>
              </w:rPr>
              <w:t>2</w:t>
            </w:r>
            <w:r>
              <w:rPr>
                <w:rFonts w:hint="eastAsia"/>
              </w:rPr>
              <w:t>，位于项目用地红线范围内（科学城北路立交节点范围内），主要用于施工机械停放、材料堆放及钢筋加工等，不新增占地。</w:t>
            </w:r>
          </w:p>
          <w:p w14:paraId="5B0DB0EA">
            <w:pPr>
              <w:pStyle w:val="5"/>
              <w:ind w:firstLine="482"/>
            </w:pPr>
            <w:r>
              <w:rPr>
                <w:rFonts w:hint="eastAsia"/>
                <w:b/>
              </w:rPr>
              <w:t>临时表土堆场</w:t>
            </w:r>
            <w:r>
              <w:rPr>
                <w:rFonts w:hint="eastAsia"/>
              </w:rPr>
              <w:t>：3处，分别在各</w:t>
            </w:r>
            <w:r>
              <w:t>路段施工区域</w:t>
            </w:r>
            <w:r>
              <w:rPr>
                <w:rFonts w:hint="eastAsia"/>
              </w:rPr>
              <w:t>设置1处临时堆场，合计占地面积约10000m</w:t>
            </w:r>
            <w:r>
              <w:rPr>
                <w:rFonts w:hint="eastAsia"/>
                <w:vertAlign w:val="superscript"/>
              </w:rPr>
              <w:t>2</w:t>
            </w:r>
            <w:r>
              <w:rPr>
                <w:rFonts w:hint="eastAsia"/>
              </w:rPr>
              <w:t>，用于临时堆放因施工而剥离的项目区域开挖土石方及弃渣。临时堆场土方采取篷布覆盖，设置截排水沟和雨水沉淀池。</w:t>
            </w:r>
          </w:p>
          <w:p w14:paraId="0B475595">
            <w:pPr>
              <w:pStyle w:val="5"/>
              <w:ind w:firstLine="482"/>
              <w:rPr>
                <w:b/>
              </w:rPr>
            </w:pPr>
            <w:r>
              <w:rPr>
                <w:rFonts w:hint="eastAsia"/>
                <w:b/>
              </w:rPr>
              <w:t>（2）弃渣场</w:t>
            </w:r>
          </w:p>
          <w:p w14:paraId="38D6841D">
            <w:pPr>
              <w:pStyle w:val="5"/>
              <w:ind w:firstLine="480"/>
            </w:pPr>
            <w:r>
              <w:rPr>
                <w:rFonts w:hint="eastAsia"/>
              </w:rPr>
              <w:t>项目施工开挖产生的表土暂存于临时堆土场内，后期用于本项目绿化回填。根据本项目水土保持报告，弃土方量为</w:t>
            </w:r>
            <w:r>
              <w:rPr>
                <w:rFonts w:hint="eastAsia"/>
                <w:kern w:val="0"/>
              </w:rPr>
              <w:t>37.21</w:t>
            </w:r>
            <w:r>
              <w:rPr>
                <w:rFonts w:hint="eastAsia"/>
              </w:rPr>
              <w:t>万m</w:t>
            </w:r>
            <w:r>
              <w:rPr>
                <w:rFonts w:hint="eastAsia"/>
                <w:vertAlign w:val="superscript"/>
              </w:rPr>
              <w:t>3</w:t>
            </w:r>
            <w:r>
              <w:rPr>
                <w:rFonts w:hint="eastAsia"/>
              </w:rPr>
              <w:t>，回填利用点计划占用约4~5hm+消耗本工程产生余方（大英盐井片区城市有机更新建设项目A标段、B标段根据会议纪要计划占地约7.83hm</w:t>
            </w:r>
            <w:r>
              <w:rPr>
                <w:rFonts w:hint="eastAsia"/>
                <w:vertAlign w:val="superscript"/>
              </w:rPr>
              <w:t>2</w:t>
            </w:r>
            <w:r>
              <w:rPr>
                <w:rFonts w:hint="eastAsia"/>
              </w:rPr>
              <w:t>，共计需约70万m³土石方进行回填利用，自然方），平均填筑高度约8~10m，回填利用点距本项目约7km，沿途经太吉大道、环城路、火象路可到达场地，土石方转运采取边转运边回填的方式进行施工（余方运至余方综合利用点后及时回填利用，不进行临时堆存），无需二次转运，</w:t>
            </w:r>
          </w:p>
          <w:p w14:paraId="5917FCCA">
            <w:pPr>
              <w:pStyle w:val="5"/>
              <w:ind w:firstLine="480"/>
            </w:pPr>
            <w:r>
              <w:rPr>
                <w:rFonts w:hint="eastAsia" w:ascii="黑体" w:hAnsi="黑体" w:eastAsia="黑体"/>
              </w:rPr>
              <w:t>环评要求：</w:t>
            </w:r>
            <w:r>
              <w:rPr>
                <w:rFonts w:hint="eastAsia"/>
              </w:rPr>
              <w:t>以上施工期临时工程中的施工场地、临时堆土场布置在远离河道两侧、居民区、学校等环境敏感点，主要占地类型为耕地、林地、荒草地，均不涉及风景名胜区和饮用水源保护区，施工结束后进行迹地恢复。</w:t>
            </w:r>
          </w:p>
          <w:p w14:paraId="43E73858">
            <w:pPr>
              <w:pStyle w:val="5"/>
              <w:ind w:firstLine="480"/>
            </w:pPr>
            <w:r>
              <w:rPr>
                <w:rFonts w:hint="eastAsia"/>
              </w:rPr>
              <w:t>合理选择运输时间及运输路线，避免运输过程产生的扬尘和噪声影响运输路线两侧居民造成影响；弃渣装车时应密封车斗，避免弃渣运输过程中洒落至地面；运输车辆进出场时应对车身及轮胎进行清洗，避免将施工场地内泥土带出至城市道路内；合理安排弃渣运输时间。</w:t>
            </w:r>
          </w:p>
          <w:p w14:paraId="158B56D6">
            <w:pPr>
              <w:pStyle w:val="5"/>
              <w:ind w:firstLine="480"/>
            </w:pPr>
            <w:r>
              <w:rPr>
                <w:rFonts w:hint="eastAsia"/>
              </w:rPr>
              <w:t>场地物料堆存采用篷布进行覆盖，定期洒水降尘，通过采取有效措施后，不会对周边敏感点产生大的影响。临时占地选址合理。</w:t>
            </w:r>
          </w:p>
          <w:p w14:paraId="15BD2029">
            <w:pPr>
              <w:pStyle w:val="5"/>
              <w:ind w:firstLine="0" w:firstLineChars="0"/>
              <w:rPr>
                <w:b/>
              </w:rPr>
            </w:pPr>
            <w:r>
              <w:rPr>
                <w:rFonts w:hint="eastAsia"/>
              </w:rPr>
              <w:t>三</w:t>
            </w:r>
            <w:r>
              <w:rPr>
                <w:rFonts w:hint="eastAsia"/>
                <w:b/>
              </w:rPr>
              <w:t>、临时施工场地设置合理性分析</w:t>
            </w:r>
          </w:p>
          <w:p w14:paraId="3D513334">
            <w:pPr>
              <w:pStyle w:val="5"/>
              <w:ind w:firstLine="480"/>
            </w:pPr>
            <w:r>
              <w:rPr>
                <w:rFonts w:hint="eastAsia"/>
              </w:rPr>
              <w:t>经沿线实地踏勘，项目临时施工场地占地类型为草地、耕地、荒地，周边200m范围内无居民分布，该场地主要用于施工机械停放、材料堆放及钢筋加工位于施工场地内，无影响污染途径；</w:t>
            </w:r>
          </w:p>
          <w:p w14:paraId="69F64A52">
            <w:pPr>
              <w:pStyle w:val="5"/>
              <w:ind w:firstLine="480"/>
            </w:pPr>
            <w:r>
              <w:rPr>
                <w:rFonts w:hint="eastAsia"/>
              </w:rPr>
              <w:t>临时堆土场占地类型为林草地、荒地，占地生态影响较小，周边200m范围内无居民分布，选址位于整体线路中部，弃渣运距较短，避免了远距离运输产生粉尘和水土流失的影响。</w:t>
            </w:r>
          </w:p>
          <w:p w14:paraId="671FEDF1">
            <w:pPr>
              <w:pStyle w:val="5"/>
              <w:ind w:firstLine="480"/>
            </w:pPr>
            <w:r>
              <w:rPr>
                <w:rFonts w:hint="eastAsia" w:ascii="黑体" w:hAnsi="黑体" w:eastAsia="黑体"/>
              </w:rPr>
              <w:t>环评要求：</w:t>
            </w:r>
            <w:r>
              <w:rPr>
                <w:rFonts w:hint="eastAsia"/>
              </w:rPr>
              <w:t>做好堆料场和临时弃渣场周边排水沟、挡墙和表面覆盖等工程防护措施，降低水土流失和风吹产生的扬尘对大气环境的影响。施工结束后，对堆料场、临时拌和场和临时弃渣场的占地进行清理，并采取植被恢复等措施。</w:t>
            </w:r>
          </w:p>
          <w:p w14:paraId="5BB381A0">
            <w:pPr>
              <w:pStyle w:val="5"/>
              <w:ind w:firstLine="482"/>
              <w:rPr>
                <w:b/>
              </w:rPr>
            </w:pPr>
            <w:r>
              <w:rPr>
                <w:rFonts w:hint="eastAsia"/>
                <w:b/>
              </w:rPr>
              <w:t>因此，临时工程选址周围无居民分布，不涉及基本农田、风景名胜区和饮用水源保护区等，施工结束后进行迹地恢复，选址基本合理可行，与外环境相容。</w:t>
            </w:r>
          </w:p>
        </w:tc>
      </w:tr>
      <w:tr w14:paraId="7C5206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E34F7C4">
            <w:pPr>
              <w:adjustRightInd w:val="0"/>
              <w:snapToGrid w:val="0"/>
              <w:jc w:val="center"/>
              <w:rPr>
                <w:rFonts w:ascii="宋体" w:hAnsi="宋体" w:cs="宋体"/>
                <w:b/>
                <w:kern w:val="0"/>
                <w:szCs w:val="21"/>
              </w:rPr>
            </w:pPr>
            <w:r>
              <w:rPr>
                <w:rFonts w:hint="eastAsia" w:ascii="宋体" w:hAnsi="宋体" w:cs="宋体"/>
                <w:b/>
                <w:kern w:val="0"/>
                <w:sz w:val="22"/>
                <w:szCs w:val="21"/>
              </w:rPr>
              <w:t>施工方案</w:t>
            </w:r>
          </w:p>
        </w:tc>
        <w:tc>
          <w:tcPr>
            <w:tcW w:w="4748" w:type="pct"/>
            <w:vAlign w:val="center"/>
          </w:tcPr>
          <w:p w14:paraId="65DD6E55">
            <w:pPr>
              <w:pStyle w:val="69"/>
              <w:ind w:firstLine="482"/>
              <w:rPr>
                <w:b/>
              </w:rPr>
            </w:pPr>
            <w:r>
              <w:rPr>
                <w:rFonts w:hint="eastAsia"/>
                <w:b/>
              </w:rPr>
              <w:t>1、施工组织</w:t>
            </w:r>
          </w:p>
          <w:p w14:paraId="55902C50">
            <w:pPr>
              <w:pStyle w:val="69"/>
              <w:ind w:firstLine="480"/>
            </w:pPr>
            <w:r>
              <w:rPr>
                <w:rFonts w:hint="eastAsia"/>
              </w:rPr>
              <w:t>本项目成立专门的工程建设指挥部及工程监理部门，以便对全段施工计划、财务、外购材料、施工机具设备、质量要求、施工验收及工程决算进行统一管理。</w:t>
            </w:r>
          </w:p>
          <w:p w14:paraId="56576CF4">
            <w:pPr>
              <w:pStyle w:val="69"/>
              <w:ind w:firstLine="480"/>
            </w:pPr>
            <w:r>
              <w:rPr>
                <w:rFonts w:hint="eastAsia"/>
              </w:rPr>
              <w:t>工程监理机构对工程质量进行监督、计量与支付，确保工程质量和工期。选择资质条件优良的施工队伍，各施工单位进行周密的施工进度计划，组织精良的施工队伍，配备先进的机械设备，采购充足的筑路材料；加强各分项工程施工的紧密衔接与配合，采取切实有效的措施在雨季和冬季进行路基施工。招标书和施工合同中要有明确的环保条款，施工单位应承诺执行和落实本环境影响报告表中提出的各项环保措施。</w:t>
            </w:r>
          </w:p>
          <w:p w14:paraId="3DC5E131">
            <w:pPr>
              <w:pStyle w:val="69"/>
              <w:ind w:firstLine="480"/>
            </w:pPr>
            <w:r>
              <w:rPr>
                <w:rFonts w:hint="eastAsia"/>
              </w:rPr>
              <w:t>全段施工组织应结合本项目区域特有的气象气候，路基工程、排水工程、管线工程的基础工程，宜安排在旱季施工，以避免雨季造成基础水位上升或雨水冲刷对基础工程的影响，从而确保工程质量，加快工程进度，对起控制作用的关键工程，以机械创造多个作业面同时展开施工，确保全段按时完工，及时发挥效益。</w:t>
            </w:r>
          </w:p>
          <w:p w14:paraId="392275E5">
            <w:pPr>
              <w:pStyle w:val="69"/>
              <w:ind w:firstLine="480"/>
            </w:pPr>
            <w:r>
              <w:rPr>
                <w:rFonts w:hint="eastAsia"/>
              </w:rPr>
              <w:t>各分项工程遵循从准备工作→认可施工报告→实施→检测合格→转入下道工序的原则。作好各分项工程和各工序施工间，特别是路基与环保工程施工之间的衔接、协调与配合，有条不紊。此外，项目在运输原辅料时，尽量选择远离居民集中区的道路，避免运输过程中产生的扬尘、噪声等扰民。</w:t>
            </w:r>
          </w:p>
          <w:p w14:paraId="30AFD8B9">
            <w:pPr>
              <w:pStyle w:val="5"/>
              <w:ind w:firstLine="480"/>
            </w:pPr>
            <w:r>
              <w:rPr>
                <w:rFonts w:hint="eastAsia"/>
              </w:rPr>
              <w:t>施工期用电尽量利用附近已有市政电网或电源；施工期生产用水以本项目附近的沟渠为水源；生活用水利用附近自来水。</w:t>
            </w:r>
          </w:p>
          <w:p w14:paraId="1EB19CCC">
            <w:pPr>
              <w:pStyle w:val="69"/>
              <w:ind w:firstLine="482"/>
              <w:rPr>
                <w:b/>
              </w:rPr>
            </w:pPr>
            <w:r>
              <w:rPr>
                <w:rFonts w:hint="eastAsia"/>
                <w:b/>
              </w:rPr>
              <w:t>2、工期安排</w:t>
            </w:r>
          </w:p>
          <w:p w14:paraId="6E7A953B">
            <w:pPr>
              <w:pStyle w:val="69"/>
              <w:ind w:firstLine="480"/>
            </w:pPr>
            <w:r>
              <w:rPr>
                <w:rFonts w:hint="eastAsia"/>
              </w:rPr>
              <w:t>本项目施工期为2025年5月~2027年4月，施工时间为24个月。同时，要求建设方严格控制施工时限，为避免扰民，施工时间控制在昼间（6:00~22:00）。综合管廊工程宜尽早开工，以确保整个工程按期建成。</w:t>
            </w:r>
          </w:p>
          <w:p w14:paraId="49D5F8B4">
            <w:pPr>
              <w:pStyle w:val="69"/>
              <w:ind w:firstLine="482"/>
              <w:rPr>
                <w:b/>
              </w:rPr>
            </w:pPr>
            <w:r>
              <w:rPr>
                <w:rFonts w:hint="eastAsia"/>
                <w:b/>
              </w:rPr>
              <w:t>3、施工工序</w:t>
            </w:r>
          </w:p>
          <w:p w14:paraId="20FF2ABB">
            <w:pPr>
              <w:pStyle w:val="69"/>
              <w:ind w:firstLine="480"/>
            </w:pPr>
            <w:r>
              <w:rPr>
                <w:rFonts w:hint="eastAsia"/>
              </w:rPr>
              <w:t>本项目为市政道路建设工程，施工期作业类型较多，主要施工工序如下：</w:t>
            </w:r>
          </w:p>
          <w:p w14:paraId="313933A8">
            <w:pPr>
              <w:pStyle w:val="69"/>
              <w:ind w:firstLine="480"/>
            </w:pPr>
            <w:r>
              <w:rPr>
                <w:rFonts w:hint="eastAsia"/>
              </w:rPr>
              <w:t>（1）施工队伍、施工机械入场；</w:t>
            </w:r>
          </w:p>
          <w:p w14:paraId="1329C0AD">
            <w:pPr>
              <w:pStyle w:val="69"/>
              <w:ind w:firstLine="480"/>
            </w:pPr>
            <w:r>
              <w:rPr>
                <w:rFonts w:hint="eastAsia"/>
              </w:rPr>
              <w:t>（2）清表、既有公路路面破除；</w:t>
            </w:r>
          </w:p>
          <w:p w14:paraId="31A24C72">
            <w:pPr>
              <w:pStyle w:val="69"/>
              <w:ind w:firstLine="480"/>
            </w:pPr>
            <w:r>
              <w:rPr>
                <w:rFonts w:hint="eastAsia"/>
              </w:rPr>
              <w:t>（3）桥梁及涵洞施工；</w:t>
            </w:r>
          </w:p>
          <w:p w14:paraId="4BA873D7">
            <w:pPr>
              <w:pStyle w:val="69"/>
              <w:ind w:firstLine="480"/>
            </w:pPr>
            <w:r>
              <w:rPr>
                <w:rFonts w:hint="eastAsia"/>
              </w:rPr>
              <w:t>（4）路基、路面施工；</w:t>
            </w:r>
          </w:p>
          <w:p w14:paraId="616926C4">
            <w:pPr>
              <w:pStyle w:val="69"/>
              <w:ind w:firstLine="460"/>
              <w:rPr>
                <w:sz w:val="23"/>
                <w:szCs w:val="23"/>
              </w:rPr>
            </w:pPr>
            <w:r>
              <w:rPr>
                <w:sz w:val="23"/>
                <w:szCs w:val="23"/>
              </w:rPr>
              <w:t>（5）道路附属设施及绿化工程施工等。</w:t>
            </w:r>
          </w:p>
          <w:p w14:paraId="15CF58A2">
            <w:pPr>
              <w:pStyle w:val="69"/>
              <w:ind w:firstLine="460"/>
            </w:pPr>
            <w:r>
              <w:rPr>
                <w:sz w:val="23"/>
                <w:szCs w:val="23"/>
              </w:rPr>
              <w:t>项目主要施工工序</w:t>
            </w:r>
            <w:r>
              <w:rPr>
                <w:rFonts w:hint="eastAsia"/>
                <w:sz w:val="23"/>
                <w:szCs w:val="23"/>
              </w:rPr>
              <w:t>示意图</w:t>
            </w:r>
            <w:r>
              <w:rPr>
                <w:sz w:val="23"/>
                <w:szCs w:val="23"/>
              </w:rPr>
              <w:t>，详见下图。</w:t>
            </w:r>
          </w:p>
          <w:p w14:paraId="202B84EC">
            <w:pPr>
              <w:pStyle w:val="69"/>
              <w:ind w:firstLine="0" w:firstLineChars="0"/>
              <w:jc w:val="center"/>
            </w:pPr>
            <w:r>
              <w:drawing>
                <wp:inline distT="0" distB="0" distL="0" distR="0">
                  <wp:extent cx="4615815" cy="3218180"/>
                  <wp:effectExtent l="0" t="0" r="0" b="127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8"/>
                          <a:stretch>
                            <a:fillRect/>
                          </a:stretch>
                        </pic:blipFill>
                        <pic:spPr>
                          <a:xfrm>
                            <a:off x="0" y="0"/>
                            <a:ext cx="4620332" cy="3220963"/>
                          </a:xfrm>
                          <a:prstGeom prst="rect">
                            <a:avLst/>
                          </a:prstGeom>
                        </pic:spPr>
                      </pic:pic>
                    </a:graphicData>
                  </a:graphic>
                </wp:inline>
              </w:drawing>
            </w:r>
          </w:p>
          <w:p w14:paraId="06B6E43E">
            <w:pPr>
              <w:pStyle w:val="4"/>
              <w:numPr>
                <w:ilvl w:val="1"/>
                <w:numId w:val="0"/>
              </w:numPr>
              <w:spacing w:line="240" w:lineRule="auto"/>
              <w:rPr>
                <w:rFonts w:eastAsia="黑体"/>
                <w:b w:val="0"/>
              </w:rPr>
            </w:pPr>
            <w:bookmarkStart w:id="10" w:name="_Toc150173893"/>
            <w:r>
              <w:rPr>
                <w:rFonts w:hint="eastAsia" w:eastAsia="黑体"/>
                <w:b w:val="0"/>
                <w:sz w:val="21"/>
                <w:szCs w:val="21"/>
              </w:rPr>
              <w:t>图</w:t>
            </w:r>
            <w:r>
              <w:rPr>
                <w:rFonts w:eastAsia="黑体"/>
                <w:b w:val="0"/>
                <w:sz w:val="21"/>
                <w:szCs w:val="21"/>
              </w:rPr>
              <w:t>2-</w:t>
            </w:r>
            <w:r>
              <w:rPr>
                <w:rFonts w:hint="eastAsia" w:eastAsia="黑体"/>
                <w:b w:val="0"/>
                <w:sz w:val="21"/>
                <w:szCs w:val="21"/>
              </w:rPr>
              <w:t>9    项目总体施工工艺工序示意图</w:t>
            </w:r>
            <w:bookmarkEnd w:id="10"/>
          </w:p>
          <w:p w14:paraId="15A7AB53">
            <w:pPr>
              <w:pStyle w:val="69"/>
              <w:ind w:firstLine="482"/>
              <w:rPr>
                <w:b/>
              </w:rPr>
            </w:pPr>
            <w:r>
              <w:rPr>
                <w:rFonts w:hint="eastAsia"/>
                <w:b/>
              </w:rPr>
              <w:t>4、具体施工工艺流程</w:t>
            </w:r>
          </w:p>
          <w:p w14:paraId="0C1FBEEA">
            <w:pPr>
              <w:pStyle w:val="69"/>
              <w:ind w:firstLine="480"/>
            </w:pPr>
            <w:r>
              <w:rPr>
                <w:rFonts w:hint="eastAsia"/>
              </w:rPr>
              <w:t>道路主要由路基挖填、路基防护、涵洞工程及排水、管网、路面及附属工程等组成。整个施工过程将产生施工废气、施工扬尘、施工废水、施工噪声、废渣、弃土等以及造成水土流失，其对环境的不利影响是短暂的，将随着施工期的结束而消失。</w:t>
            </w:r>
          </w:p>
          <w:p w14:paraId="60D74675">
            <w:pPr>
              <w:pStyle w:val="69"/>
              <w:ind w:firstLine="0" w:firstLineChars="0"/>
              <w:jc w:val="center"/>
            </w:pPr>
            <w:r>
              <w:drawing>
                <wp:inline distT="0" distB="0" distL="0" distR="0">
                  <wp:extent cx="5322570" cy="209740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9"/>
                          <a:stretch>
                            <a:fillRect/>
                          </a:stretch>
                        </pic:blipFill>
                        <pic:spPr>
                          <a:xfrm>
                            <a:off x="0" y="0"/>
                            <a:ext cx="5324104" cy="2098214"/>
                          </a:xfrm>
                          <a:prstGeom prst="rect">
                            <a:avLst/>
                          </a:prstGeom>
                        </pic:spPr>
                      </pic:pic>
                    </a:graphicData>
                  </a:graphic>
                </wp:inline>
              </w:drawing>
            </w:r>
          </w:p>
          <w:p w14:paraId="783F1DD6">
            <w:pPr>
              <w:pStyle w:val="4"/>
              <w:numPr>
                <w:ilvl w:val="1"/>
                <w:numId w:val="0"/>
              </w:numPr>
              <w:spacing w:line="240" w:lineRule="auto"/>
              <w:rPr>
                <w:rFonts w:eastAsia="黑体"/>
                <w:b w:val="0"/>
              </w:rPr>
            </w:pPr>
            <w:bookmarkStart w:id="11" w:name="_Toc150173894"/>
            <w:r>
              <w:rPr>
                <w:rFonts w:hint="eastAsia" w:eastAsia="黑体"/>
                <w:b w:val="0"/>
                <w:sz w:val="21"/>
                <w:szCs w:val="21"/>
              </w:rPr>
              <w:t>图</w:t>
            </w:r>
            <w:r>
              <w:rPr>
                <w:rFonts w:eastAsia="黑体"/>
                <w:b w:val="0"/>
                <w:sz w:val="21"/>
                <w:szCs w:val="21"/>
              </w:rPr>
              <w:t>2-</w:t>
            </w:r>
            <w:r>
              <w:rPr>
                <w:rFonts w:hint="eastAsia" w:eastAsia="黑体"/>
                <w:b w:val="0"/>
                <w:sz w:val="21"/>
                <w:szCs w:val="21"/>
              </w:rPr>
              <w:t>10   项目施工工艺及产污环节图</w:t>
            </w:r>
            <w:bookmarkEnd w:id="11"/>
          </w:p>
          <w:p w14:paraId="18D18DC4">
            <w:pPr>
              <w:pStyle w:val="69"/>
              <w:ind w:firstLine="482"/>
              <w:rPr>
                <w:b/>
              </w:rPr>
            </w:pPr>
            <w:r>
              <w:rPr>
                <w:rFonts w:hint="eastAsia"/>
                <w:b/>
              </w:rPr>
              <w:t>主要施工工艺简述：</w:t>
            </w:r>
          </w:p>
          <w:p w14:paraId="07B6FFBE">
            <w:pPr>
              <w:pStyle w:val="69"/>
              <w:ind w:firstLine="482"/>
              <w:rPr>
                <w:b/>
              </w:rPr>
            </w:pPr>
            <w:r>
              <w:rPr>
                <w:rFonts w:hint="eastAsia"/>
                <w:b/>
              </w:rPr>
              <w:t>（1）清表、拆除工程</w:t>
            </w:r>
          </w:p>
          <w:p w14:paraId="1F5119FE">
            <w:pPr>
              <w:pStyle w:val="69"/>
              <w:ind w:firstLine="480"/>
            </w:pPr>
            <w:r>
              <w:rPr>
                <w:rFonts w:hint="eastAsia"/>
              </w:rPr>
              <w:t>本项目位于遂宁市大英县城区</w:t>
            </w:r>
            <w:r>
              <w:rPr>
                <w:rFonts w:hint="eastAsia"/>
                <w:kern w:val="0"/>
              </w:rPr>
              <w:t>盐井街道</w:t>
            </w:r>
            <w:r>
              <w:rPr>
                <w:rFonts w:hint="eastAsia"/>
              </w:rPr>
              <w:t>太吉片区，线路沿目前分布有林地、耕地、荒草地等。</w:t>
            </w:r>
          </w:p>
          <w:p w14:paraId="65D8626A">
            <w:pPr>
              <w:pStyle w:val="69"/>
              <w:ind w:firstLine="480"/>
            </w:pPr>
            <w:r>
              <w:rPr>
                <w:rFonts w:hint="eastAsia"/>
              </w:rPr>
              <w:t>拆除工艺流程可简化为：施工准备→施工打围→建筑拆除施工→挖机清理→建渣清运。</w:t>
            </w:r>
          </w:p>
          <w:p w14:paraId="2359702F">
            <w:pPr>
              <w:pStyle w:val="69"/>
              <w:ind w:firstLine="480"/>
            </w:pPr>
            <w:r>
              <w:rPr>
                <w:rFonts w:hint="eastAsia"/>
              </w:rPr>
              <w:t>清表工程：在项目实际建设中，需要先对表土进行剥离，采用推土机等施工械进行表土剥离，并由自卸卡车运输至临时堆场放，以便用于后期的绿化或复垦，一般原始地形清表50cm，拆除工程处清表60cm。若工程路基处存在生活垃圾等，需全部清除。</w:t>
            </w:r>
          </w:p>
          <w:p w14:paraId="2FE94A3B">
            <w:pPr>
              <w:pStyle w:val="69"/>
              <w:ind w:firstLine="480"/>
            </w:pPr>
            <w:r>
              <w:rPr>
                <w:rFonts w:hint="eastAsia"/>
              </w:rPr>
              <w:t>同时对软土路基进行处置，剥离表土暂存于临时堆场内，并进行苫盖，施工结束后表土用于项目内绿化，并对临时占地进行土地整治、复垦和绿化。</w:t>
            </w:r>
          </w:p>
          <w:p w14:paraId="154F3AAE">
            <w:pPr>
              <w:pStyle w:val="69"/>
              <w:ind w:firstLine="482"/>
              <w:rPr>
                <w:b/>
              </w:rPr>
            </w:pPr>
            <w:r>
              <w:rPr>
                <w:rFonts w:hint="eastAsia"/>
                <w:b/>
              </w:rPr>
              <w:t>（2）桥梁、涵洞施工</w:t>
            </w:r>
          </w:p>
          <w:p w14:paraId="6AB94CB7">
            <w:pPr>
              <w:pStyle w:val="69"/>
              <w:tabs>
                <w:tab w:val="left" w:pos="3065"/>
              </w:tabs>
              <w:ind w:firstLine="480"/>
            </w:pPr>
            <w:r>
              <w:rPr>
                <w:rFonts w:hint="eastAsia"/>
              </w:rPr>
              <w:t>本项目主线建设有2座跨河桥梁，分别为跨越虾子桥河。</w:t>
            </w:r>
          </w:p>
          <w:p w14:paraId="0C4542DA">
            <w:pPr>
              <w:pStyle w:val="69"/>
              <w:tabs>
                <w:tab w:val="left" w:pos="3065"/>
              </w:tabs>
              <w:ind w:firstLine="480"/>
            </w:pPr>
            <w:r>
              <w:rPr>
                <w:rFonts w:hint="eastAsia"/>
              </w:rPr>
              <w:t>桥梁上部结构采用预应力混凝土小箱梁，下部结构桥台采用桩帽台，目前，上述水系桥涵方案，已通过行洪论证取得审查意见（附件4），均无涉水桥墩设置。其施工工艺如下：</w:t>
            </w:r>
          </w:p>
          <w:p w14:paraId="70123767">
            <w:pPr>
              <w:pStyle w:val="69"/>
              <w:ind w:left="-107" w:leftChars="-51" w:firstLine="0" w:firstLineChars="0"/>
              <w:jc w:val="center"/>
            </w:pPr>
            <w:r>
              <w:drawing>
                <wp:inline distT="0" distB="0" distL="0" distR="0">
                  <wp:extent cx="5201920" cy="160337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08830" cy="1605673"/>
                          </a:xfrm>
                          <a:prstGeom prst="rect">
                            <a:avLst/>
                          </a:prstGeom>
                          <a:noFill/>
                          <a:ln>
                            <a:noFill/>
                          </a:ln>
                        </pic:spPr>
                      </pic:pic>
                    </a:graphicData>
                  </a:graphic>
                </wp:inline>
              </w:drawing>
            </w:r>
          </w:p>
          <w:p w14:paraId="217CCF4A">
            <w:pPr>
              <w:pStyle w:val="4"/>
              <w:numPr>
                <w:ilvl w:val="1"/>
                <w:numId w:val="0"/>
              </w:numPr>
              <w:spacing w:line="240" w:lineRule="auto"/>
              <w:rPr>
                <w:rFonts w:eastAsia="黑体"/>
                <w:b w:val="0"/>
                <w:sz w:val="21"/>
                <w:szCs w:val="21"/>
              </w:rPr>
            </w:pPr>
            <w:bookmarkStart w:id="12" w:name="_Toc150173895"/>
            <w:r>
              <w:rPr>
                <w:rFonts w:hint="eastAsia" w:eastAsia="黑体"/>
                <w:b w:val="0"/>
                <w:sz w:val="21"/>
                <w:szCs w:val="21"/>
              </w:rPr>
              <w:t>图</w:t>
            </w:r>
            <w:r>
              <w:rPr>
                <w:rFonts w:eastAsia="黑体"/>
                <w:b w:val="0"/>
                <w:sz w:val="21"/>
                <w:szCs w:val="21"/>
              </w:rPr>
              <w:t>2-</w:t>
            </w:r>
            <w:r>
              <w:rPr>
                <w:rFonts w:hint="eastAsia" w:eastAsia="黑体"/>
                <w:b w:val="0"/>
                <w:sz w:val="21"/>
                <w:szCs w:val="21"/>
              </w:rPr>
              <w:t>11   桥梁、涵洞施工工艺及产污流程图</w:t>
            </w:r>
            <w:bookmarkEnd w:id="12"/>
          </w:p>
          <w:p w14:paraId="19C58D3A">
            <w:pPr>
              <w:pStyle w:val="5"/>
              <w:ind w:firstLine="482"/>
              <w:rPr>
                <w:b/>
              </w:rPr>
            </w:pPr>
            <w:r>
              <w:rPr>
                <w:rFonts w:hint="eastAsia"/>
                <w:b/>
              </w:rPr>
              <w:t>主要施工程序：</w:t>
            </w:r>
          </w:p>
          <w:p w14:paraId="6553324C">
            <w:pPr>
              <w:pStyle w:val="5"/>
              <w:ind w:firstLine="480"/>
            </w:pPr>
            <w:r>
              <w:rPr>
                <w:rFonts w:hint="eastAsia"/>
              </w:rPr>
              <w:t>①桩基施工：冲击钻钻孔的方法施工。桥梁选择在枯水期进行施工，采用土石堰围挡进行挡水围堰，并结合明渠进行导流。围堰内采用潜水泵进行排水，桩基施工采用转孔机进行转孔，在所转的孔内进行基础桩作业。</w:t>
            </w:r>
          </w:p>
          <w:p w14:paraId="799DD40A">
            <w:pPr>
              <w:pStyle w:val="5"/>
              <w:ind w:firstLine="480"/>
            </w:pPr>
            <w:r>
              <w:rPr>
                <w:rFonts w:hint="eastAsia"/>
              </w:rPr>
              <w:t>②下部结构施工：将钢筋等内部结构人工绑扎完成后，混凝土采用商品混凝土。采用搅拌车将混凝土原料直接运输至施工现场，后通过汽车起重机吊混凝土料斗入仓，插入式振捣器进行振捣进行小型结构的混凝土浇筑；大型结构的混凝土浇筑，采用砼泵车泵直接吊送灌入仓，再由机械进行振捣。桥梁墩柱、盖梁等结构均采用定型钢制模板；柱式墩采用定型钢模组装，空心板梁板预制采用定型组合钢模，既能保证质量，又可加快支模速度。确保支架的质量、安全。</w:t>
            </w:r>
          </w:p>
          <w:p w14:paraId="5DE46EEC">
            <w:pPr>
              <w:pStyle w:val="5"/>
              <w:ind w:firstLine="480"/>
            </w:pPr>
            <w:r>
              <w:rPr>
                <w:rFonts w:hint="eastAsia"/>
              </w:rPr>
              <w:t>③安装小箱梁：购买混凝土预制件成品，由汽车配送至施工现场，预制小箱梁采用起重机进行吊装安装。</w:t>
            </w:r>
          </w:p>
          <w:p w14:paraId="5EB2EBBD">
            <w:pPr>
              <w:pStyle w:val="5"/>
              <w:ind w:firstLine="480"/>
            </w:pPr>
            <w:r>
              <w:rPr>
                <w:rFonts w:hint="eastAsia"/>
              </w:rPr>
              <w:t>④桥面护栏施工：沥青混凝土铺设桥面，由全自动摊铺机进行路面摊铺，护栏购买成品，汽车运至现场由人工进行安装。</w:t>
            </w:r>
          </w:p>
          <w:p w14:paraId="356D799C">
            <w:pPr>
              <w:pStyle w:val="5"/>
              <w:ind w:firstLine="482"/>
            </w:pPr>
            <w:r>
              <w:rPr>
                <w:rFonts w:hint="eastAsia"/>
                <w:b/>
              </w:rPr>
              <w:t>环评要求：本工程施工期堆渣不得堆放于现有天然河道和建后河道内。</w:t>
            </w:r>
          </w:p>
          <w:p w14:paraId="102FA9B3">
            <w:pPr>
              <w:pStyle w:val="5"/>
              <w:ind w:firstLine="482"/>
              <w:rPr>
                <w:b/>
              </w:rPr>
            </w:pPr>
            <w:r>
              <w:rPr>
                <w:rFonts w:hint="eastAsia"/>
                <w:b/>
              </w:rPr>
              <w:t>（3）路基施工</w:t>
            </w:r>
          </w:p>
          <w:p w14:paraId="276BE059">
            <w:pPr>
              <w:pStyle w:val="5"/>
              <w:ind w:firstLine="480"/>
            </w:pPr>
            <w:r>
              <w:rPr>
                <w:rFonts w:hint="eastAsia"/>
              </w:rPr>
              <w:t>路基施工采用多种防护措施确保路基、路堑稳定。应注重土质台阶的设置或采用适宜的土工材料，加强路基的防滑移处理。沿河路段坡脚采用砌石护坡、浸水挡土墙等防护，或设置导流构造物等。</w:t>
            </w:r>
          </w:p>
          <w:p w14:paraId="37C4576B">
            <w:pPr>
              <w:pStyle w:val="5"/>
              <w:ind w:firstLine="480"/>
            </w:pPr>
            <w:r>
              <w:rPr>
                <w:rFonts w:hint="eastAsia"/>
              </w:rPr>
              <w:t>施工工艺及各环节产污情况见下图。</w:t>
            </w:r>
          </w:p>
          <w:p w14:paraId="7A3EA50B">
            <w:pPr>
              <w:pStyle w:val="5"/>
              <w:ind w:left="-107" w:leftChars="-51" w:firstLine="0" w:firstLineChars="0"/>
              <w:jc w:val="center"/>
            </w:pPr>
            <w:r>
              <w:drawing>
                <wp:inline distT="0" distB="0" distL="0" distR="0">
                  <wp:extent cx="5397500" cy="1306195"/>
                  <wp:effectExtent l="0" t="0" r="0" b="825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21"/>
                          <a:stretch>
                            <a:fillRect/>
                          </a:stretch>
                        </pic:blipFill>
                        <pic:spPr>
                          <a:xfrm>
                            <a:off x="0" y="0"/>
                            <a:ext cx="5413804" cy="1310216"/>
                          </a:xfrm>
                          <a:prstGeom prst="rect">
                            <a:avLst/>
                          </a:prstGeom>
                        </pic:spPr>
                      </pic:pic>
                    </a:graphicData>
                  </a:graphic>
                </wp:inline>
              </w:drawing>
            </w:r>
          </w:p>
          <w:p w14:paraId="2D2DE65C">
            <w:pPr>
              <w:pStyle w:val="4"/>
              <w:numPr>
                <w:ilvl w:val="1"/>
                <w:numId w:val="0"/>
              </w:numPr>
              <w:spacing w:line="240" w:lineRule="auto"/>
              <w:rPr>
                <w:rFonts w:eastAsia="黑体"/>
                <w:b w:val="0"/>
                <w:sz w:val="21"/>
                <w:szCs w:val="21"/>
              </w:rPr>
            </w:pPr>
            <w:bookmarkStart w:id="13" w:name="_Toc150173896"/>
            <w:r>
              <w:rPr>
                <w:rFonts w:hint="eastAsia" w:eastAsia="黑体"/>
                <w:b w:val="0"/>
                <w:sz w:val="21"/>
                <w:szCs w:val="21"/>
              </w:rPr>
              <w:t>图</w:t>
            </w:r>
            <w:r>
              <w:rPr>
                <w:rFonts w:eastAsia="黑体"/>
                <w:b w:val="0"/>
                <w:sz w:val="21"/>
                <w:szCs w:val="21"/>
              </w:rPr>
              <w:t>2-</w:t>
            </w:r>
            <w:r>
              <w:rPr>
                <w:rFonts w:hint="eastAsia" w:eastAsia="黑体"/>
                <w:b w:val="0"/>
                <w:sz w:val="21"/>
                <w:szCs w:val="21"/>
              </w:rPr>
              <w:t>12    路基工程施工产污影响分析图</w:t>
            </w:r>
            <w:bookmarkEnd w:id="13"/>
          </w:p>
          <w:p w14:paraId="2203DDEA">
            <w:pPr>
              <w:pStyle w:val="5"/>
              <w:ind w:firstLine="482"/>
              <w:rPr>
                <w:b/>
              </w:rPr>
            </w:pPr>
            <w:r>
              <w:rPr>
                <w:rFonts w:hint="eastAsia"/>
                <w:b/>
              </w:rPr>
              <w:t>主要施工程序：</w:t>
            </w:r>
          </w:p>
          <w:p w14:paraId="42BB7354">
            <w:pPr>
              <w:pStyle w:val="5"/>
              <w:ind w:firstLine="480"/>
            </w:pPr>
            <w:r>
              <w:rPr>
                <w:rFonts w:hint="eastAsia"/>
              </w:rPr>
              <w:t>①路基土石方开挖：路基土方施工主要依靠推土机配合挖掘机或装载机进行，分段自上而下分级挖土装车，使用自卸车就近运至项目填方路段进行填筑路堤或拟设临时堆场暂存。路基石方开挖多采用机械开挖，深挖路基逐级开挖，逐级进行防护。路基施工期间配合洒水降尘措施。</w:t>
            </w:r>
          </w:p>
          <w:p w14:paraId="371402A2">
            <w:pPr>
              <w:pStyle w:val="5"/>
              <w:ind w:firstLine="480"/>
            </w:pPr>
            <w:r>
              <w:rPr>
                <w:rFonts w:hint="eastAsia"/>
              </w:rPr>
              <w:t>②路基填筑施工：施工顺序运料→堆料→分层填筑→压实。对软弱路基段，结合实际情况采用抛石挤淤或换填方式处理，压实基底后进行填筑。</w:t>
            </w:r>
          </w:p>
          <w:p w14:paraId="72AB68E1">
            <w:pPr>
              <w:pStyle w:val="5"/>
              <w:ind w:firstLine="480"/>
            </w:pPr>
            <w:r>
              <w:rPr>
                <w:rFonts w:hint="eastAsia"/>
              </w:rPr>
              <w:t>③路基底基层施工：</w:t>
            </w:r>
          </w:p>
          <w:p w14:paraId="4A2F253F">
            <w:pPr>
              <w:pStyle w:val="5"/>
              <w:ind w:firstLine="480"/>
            </w:pPr>
            <w:r>
              <w:rPr>
                <w:rFonts w:hint="eastAsia"/>
              </w:rPr>
              <w:t>在施工用地范围内，拌和料主要以机械拌和提供（不在现场人工拌合），物料通过自卸汽车运料，推土机配合摊铺机摊铺，推土机整平，振动压路机配合20~40t三轮压路机碾压，分层铺筑。</w:t>
            </w:r>
          </w:p>
          <w:p w14:paraId="628AFD7D">
            <w:pPr>
              <w:pStyle w:val="5"/>
              <w:ind w:firstLine="482"/>
              <w:rPr>
                <w:b/>
              </w:rPr>
            </w:pPr>
            <w:r>
              <w:rPr>
                <w:rFonts w:hint="eastAsia"/>
                <w:b/>
              </w:rPr>
              <w:t>（4）管线工程</w:t>
            </w:r>
          </w:p>
          <w:p w14:paraId="7950A626">
            <w:pPr>
              <w:pStyle w:val="5"/>
              <w:ind w:firstLine="480"/>
            </w:pPr>
            <w:r>
              <w:rPr>
                <w:rFonts w:hint="eastAsia"/>
              </w:rPr>
              <w:t>本项目新建管线施工随道路工程同时进行，采用施工机械进行沟槽开挖或独立槽开挖，待各类管道、电缆沟等基本成形后，进行支线管施工。</w:t>
            </w:r>
          </w:p>
          <w:p w14:paraId="40CD74F3">
            <w:pPr>
              <w:pStyle w:val="5"/>
              <w:ind w:firstLine="480"/>
            </w:pPr>
            <w:r>
              <w:rPr>
                <w:rFonts w:hint="eastAsia"/>
              </w:rPr>
              <w:t>管线施工工序大致分为：沟/管槽开挖→管道线吊装/砼浇筑→排管→管道基础和护管砼浇筑→焊接/盖板安装→管道试压试验→沟槽回填等。</w:t>
            </w:r>
          </w:p>
          <w:p w14:paraId="20866830">
            <w:pPr>
              <w:pStyle w:val="5"/>
              <w:ind w:firstLine="480"/>
            </w:pPr>
            <w:r>
              <w:rPr>
                <w:rFonts w:hint="eastAsia"/>
              </w:rPr>
              <w:t>地下管线布置原则：地下管线的合理安排顺序，应是从建筑物基础外缘向道路中心，由浅入深的安排通行电缆、电力电缆、燃气管、给水管、雨水管和污水管。地下管线一般宜敷设在车行道以外的地段，特殊困难时采用加固措施，后将检修较少的给水管和排水管布置在车行道下。饮用水管应避免与排水管及其他含酸碱腐蚀、有毒物料管线共沟敷设，避免将直流电力电缆与其他金属管线靠近敷设。尽可能将性质类似、埋深接近的管线并排在一起，有条件的可共沟敷设。地下管线可敷设在道路绿化带下方，但不宜布置在乔木下。</w:t>
            </w:r>
          </w:p>
          <w:p w14:paraId="6A8245AC">
            <w:pPr>
              <w:pStyle w:val="5"/>
              <w:ind w:firstLine="480"/>
            </w:pPr>
            <w:r>
              <w:rPr>
                <w:rFonts w:hint="eastAsia"/>
              </w:rPr>
              <w:t>管网施工按“先深后浅”的原则顺序安排施工作业。道路工程施工在水泥稳定碎石基础施工前，必须完成道路上所有管线铺设施工作业的原则。小三线管线施工→土路床施工→级配砂砾基层施工→雨水进水管施工→5%水泥稳定基础层施工→路缘石、平石施工→沥青路面施工→电力浅沟施工→人行道施工→工程整理→工程竣工验收→投入使用→质量保修。</w:t>
            </w:r>
          </w:p>
          <w:p w14:paraId="2872B51C">
            <w:pPr>
              <w:pStyle w:val="5"/>
              <w:ind w:firstLine="482"/>
              <w:rPr>
                <w:b/>
              </w:rPr>
            </w:pPr>
            <w:r>
              <w:rPr>
                <w:rFonts w:hint="eastAsia"/>
                <w:b/>
              </w:rPr>
              <w:t>（5）路面施工工艺</w:t>
            </w:r>
          </w:p>
          <w:p w14:paraId="3AAF6C84">
            <w:pPr>
              <w:pStyle w:val="5"/>
              <w:ind w:firstLine="480"/>
            </w:pPr>
            <w:r>
              <w:rPr>
                <w:rFonts w:hint="eastAsia"/>
              </w:rPr>
              <w:t>为确保路面工程的平整度和质量，路面各结构层全部由专业队伍承担，底基层、基层均采用机械拌合，摊铺机分层摊铺，压路机压实；</w:t>
            </w:r>
          </w:p>
          <w:p w14:paraId="7165FC6B">
            <w:pPr>
              <w:pStyle w:val="5"/>
              <w:ind w:firstLine="480"/>
            </w:pPr>
            <w:r>
              <w:rPr>
                <w:rFonts w:hint="eastAsia"/>
              </w:rPr>
              <w:t>各面层采用洒布机喷洒透层油，摊铺机配以自卸车连续摊铺沥青拌和料，压路机碾压密实成型；</w:t>
            </w:r>
          </w:p>
          <w:p w14:paraId="5CA48F49">
            <w:pPr>
              <w:pStyle w:val="5"/>
              <w:ind w:firstLine="480"/>
            </w:pPr>
            <w:r>
              <w:rPr>
                <w:rFonts w:hint="eastAsia"/>
              </w:rPr>
              <w:t>需说明的是，本项目各种拌和材料由均外购，不在现场自行拌合。</w:t>
            </w:r>
          </w:p>
          <w:p w14:paraId="55338958">
            <w:pPr>
              <w:pStyle w:val="5"/>
              <w:ind w:firstLine="480"/>
            </w:pPr>
            <w:r>
              <w:rPr>
                <w:rFonts w:hint="eastAsia"/>
              </w:rPr>
              <w:t>路面工程一般施工工艺及环节产污情况见下图。</w:t>
            </w:r>
          </w:p>
          <w:p w14:paraId="5C04AB5C">
            <w:pPr>
              <w:pStyle w:val="5"/>
              <w:ind w:firstLine="480"/>
              <w:rPr>
                <w:rFonts w:eastAsia="黑体"/>
              </w:rPr>
            </w:pPr>
            <w:r>
              <w:rPr>
                <w:rFonts w:hint="eastAsia" w:ascii="宋体" w:hAnsi="宋体" w:cs="宋体"/>
              </w:rPr>
              <w:t>①</w:t>
            </w:r>
            <w:r>
              <w:rPr>
                <w:rFonts w:eastAsia="黑体"/>
              </w:rPr>
              <w:t>水泥稳定层</w:t>
            </w:r>
          </w:p>
          <w:p w14:paraId="05A85E94">
            <w:pPr>
              <w:pStyle w:val="5"/>
              <w:ind w:firstLine="0" w:firstLineChars="0"/>
              <w:jc w:val="center"/>
            </w:pPr>
            <w:r>
              <w:drawing>
                <wp:inline distT="0" distB="0" distL="0" distR="0">
                  <wp:extent cx="5115560" cy="1050925"/>
                  <wp:effectExtent l="0" t="0" r="889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2"/>
                          <a:stretch>
                            <a:fillRect/>
                          </a:stretch>
                        </pic:blipFill>
                        <pic:spPr>
                          <a:xfrm>
                            <a:off x="0" y="0"/>
                            <a:ext cx="5162293" cy="1060512"/>
                          </a:xfrm>
                          <a:prstGeom prst="rect">
                            <a:avLst/>
                          </a:prstGeom>
                        </pic:spPr>
                      </pic:pic>
                    </a:graphicData>
                  </a:graphic>
                </wp:inline>
              </w:drawing>
            </w:r>
          </w:p>
          <w:p w14:paraId="50D627AE">
            <w:pPr>
              <w:pStyle w:val="4"/>
              <w:numPr>
                <w:ilvl w:val="1"/>
                <w:numId w:val="0"/>
              </w:numPr>
              <w:spacing w:line="240" w:lineRule="auto"/>
              <w:rPr>
                <w:rFonts w:eastAsia="黑体"/>
                <w:b w:val="0"/>
                <w:sz w:val="21"/>
                <w:szCs w:val="21"/>
              </w:rPr>
            </w:pPr>
            <w:bookmarkStart w:id="14" w:name="_Toc150173897"/>
            <w:r>
              <w:rPr>
                <w:rFonts w:hint="eastAsia" w:eastAsia="黑体"/>
                <w:b w:val="0"/>
                <w:sz w:val="21"/>
                <w:szCs w:val="21"/>
              </w:rPr>
              <w:t>图</w:t>
            </w:r>
            <w:r>
              <w:rPr>
                <w:rFonts w:eastAsia="黑体"/>
                <w:b w:val="0"/>
                <w:sz w:val="21"/>
                <w:szCs w:val="21"/>
              </w:rPr>
              <w:t>2-</w:t>
            </w:r>
            <w:r>
              <w:rPr>
                <w:rFonts w:hint="eastAsia" w:eastAsia="黑体"/>
                <w:b w:val="0"/>
                <w:sz w:val="21"/>
                <w:szCs w:val="21"/>
              </w:rPr>
              <w:t>13  水泥稳定层施工工艺及产污图</w:t>
            </w:r>
            <w:bookmarkEnd w:id="14"/>
          </w:p>
          <w:p w14:paraId="60A86C83">
            <w:pPr>
              <w:pStyle w:val="5"/>
              <w:ind w:firstLine="480"/>
              <w:rPr>
                <w:rFonts w:eastAsia="黑体"/>
              </w:rPr>
            </w:pPr>
            <w:r>
              <w:rPr>
                <w:rFonts w:hint="eastAsia" w:ascii="宋体" w:hAnsi="宋体" w:cs="宋体"/>
              </w:rPr>
              <w:t>②</w:t>
            </w:r>
            <w:r>
              <w:rPr>
                <w:rFonts w:eastAsia="黑体"/>
              </w:rPr>
              <w:t>人行道及附属工程</w:t>
            </w:r>
          </w:p>
          <w:p w14:paraId="0ED5186B">
            <w:pPr>
              <w:pStyle w:val="69"/>
              <w:ind w:firstLine="0" w:firstLineChars="0"/>
              <w:jc w:val="center"/>
            </w:pPr>
            <w:r>
              <w:drawing>
                <wp:inline distT="0" distB="0" distL="0" distR="0">
                  <wp:extent cx="4940935" cy="274891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3"/>
                          <a:stretch>
                            <a:fillRect/>
                          </a:stretch>
                        </pic:blipFill>
                        <pic:spPr>
                          <a:xfrm>
                            <a:off x="0" y="0"/>
                            <a:ext cx="4945395" cy="2751449"/>
                          </a:xfrm>
                          <a:prstGeom prst="rect">
                            <a:avLst/>
                          </a:prstGeom>
                        </pic:spPr>
                      </pic:pic>
                    </a:graphicData>
                  </a:graphic>
                </wp:inline>
              </w:drawing>
            </w:r>
          </w:p>
          <w:p w14:paraId="2D56FA05">
            <w:pPr>
              <w:pStyle w:val="4"/>
              <w:numPr>
                <w:ilvl w:val="1"/>
                <w:numId w:val="0"/>
              </w:numPr>
              <w:spacing w:line="240" w:lineRule="auto"/>
              <w:rPr>
                <w:rFonts w:eastAsia="黑体"/>
                <w:b w:val="0"/>
                <w:sz w:val="21"/>
                <w:szCs w:val="21"/>
              </w:rPr>
            </w:pPr>
            <w:bookmarkStart w:id="15" w:name="_Toc150173899"/>
            <w:r>
              <w:rPr>
                <w:rFonts w:hint="eastAsia" w:eastAsia="黑体"/>
                <w:b w:val="0"/>
                <w:sz w:val="21"/>
                <w:szCs w:val="21"/>
              </w:rPr>
              <w:t>图</w:t>
            </w:r>
            <w:r>
              <w:rPr>
                <w:rFonts w:eastAsia="黑体"/>
                <w:b w:val="0"/>
                <w:sz w:val="21"/>
                <w:szCs w:val="21"/>
              </w:rPr>
              <w:t>2-</w:t>
            </w:r>
            <w:r>
              <w:rPr>
                <w:rFonts w:hint="eastAsia" w:eastAsia="黑体"/>
                <w:b w:val="0"/>
                <w:sz w:val="21"/>
                <w:szCs w:val="21"/>
              </w:rPr>
              <w:t>14 人行道及附属工程工艺流程及产污图</w:t>
            </w:r>
            <w:bookmarkEnd w:id="15"/>
          </w:p>
          <w:p w14:paraId="2A7240C0">
            <w:pPr>
              <w:pStyle w:val="5"/>
              <w:ind w:firstLine="480"/>
              <w:rPr>
                <w:rFonts w:eastAsia="黑体"/>
              </w:rPr>
            </w:pPr>
            <w:r>
              <w:rPr>
                <w:rFonts w:hint="eastAsia" w:eastAsia="黑体"/>
              </w:rPr>
              <w:t>③</w:t>
            </w:r>
            <w:r>
              <w:rPr>
                <w:rFonts w:eastAsia="黑体"/>
              </w:rPr>
              <w:t>沥青面层</w:t>
            </w:r>
          </w:p>
          <w:p w14:paraId="34A31DF8">
            <w:pPr>
              <w:pStyle w:val="69"/>
              <w:ind w:firstLine="0" w:firstLineChars="0"/>
              <w:jc w:val="center"/>
            </w:pPr>
            <w:r>
              <w:drawing>
                <wp:inline distT="0" distB="0" distL="0" distR="0">
                  <wp:extent cx="5292725" cy="1068705"/>
                  <wp:effectExtent l="0" t="0" r="317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4"/>
                          <a:stretch>
                            <a:fillRect/>
                          </a:stretch>
                        </pic:blipFill>
                        <pic:spPr>
                          <a:xfrm>
                            <a:off x="0" y="0"/>
                            <a:ext cx="5328665" cy="1075998"/>
                          </a:xfrm>
                          <a:prstGeom prst="rect">
                            <a:avLst/>
                          </a:prstGeom>
                        </pic:spPr>
                      </pic:pic>
                    </a:graphicData>
                  </a:graphic>
                </wp:inline>
              </w:drawing>
            </w:r>
          </w:p>
          <w:p w14:paraId="3BEF5995">
            <w:pPr>
              <w:pStyle w:val="4"/>
              <w:numPr>
                <w:ilvl w:val="1"/>
                <w:numId w:val="0"/>
              </w:numPr>
              <w:spacing w:line="240" w:lineRule="auto"/>
              <w:rPr>
                <w:rFonts w:eastAsia="黑体"/>
                <w:b w:val="0"/>
                <w:sz w:val="21"/>
                <w:szCs w:val="21"/>
              </w:rPr>
            </w:pPr>
            <w:bookmarkStart w:id="16" w:name="_Toc150173898"/>
            <w:r>
              <w:rPr>
                <w:rFonts w:hint="eastAsia" w:eastAsia="黑体"/>
                <w:b w:val="0"/>
                <w:sz w:val="21"/>
                <w:szCs w:val="21"/>
              </w:rPr>
              <w:t>图</w:t>
            </w:r>
            <w:r>
              <w:rPr>
                <w:rFonts w:eastAsia="黑体"/>
                <w:b w:val="0"/>
                <w:sz w:val="21"/>
                <w:szCs w:val="21"/>
              </w:rPr>
              <w:t>2-</w:t>
            </w:r>
            <w:r>
              <w:rPr>
                <w:rFonts w:hint="eastAsia" w:eastAsia="黑体"/>
                <w:b w:val="0"/>
                <w:sz w:val="21"/>
                <w:szCs w:val="21"/>
              </w:rPr>
              <w:t>15  沥青面层施工工艺及产污图</w:t>
            </w:r>
            <w:bookmarkEnd w:id="16"/>
          </w:p>
          <w:p w14:paraId="6BCA5DB8">
            <w:pPr>
              <w:pStyle w:val="5"/>
              <w:spacing w:before="240"/>
              <w:ind w:firstLine="482"/>
              <w:rPr>
                <w:b/>
              </w:rPr>
            </w:pPr>
            <w:r>
              <w:rPr>
                <w:rFonts w:hint="eastAsia"/>
                <w:b/>
              </w:rPr>
              <w:t>（6）绿化工程及附属工程施工</w:t>
            </w:r>
          </w:p>
          <w:p w14:paraId="3B6144EB">
            <w:pPr>
              <w:pStyle w:val="69"/>
              <w:ind w:firstLine="480"/>
              <w:rPr>
                <w:szCs w:val="22"/>
              </w:rPr>
            </w:pPr>
            <w:r>
              <w:rPr>
                <w:rFonts w:hint="eastAsia"/>
                <w:szCs w:val="22"/>
              </w:rPr>
              <w:t>绿化工程在路基工程施工完毕后进行，利用施工前剥离的表土对路堤边坡、护坡道、排水沟内侧等区域覆土后绿化。撒播植草、灌木挖坑、栽植、浇水、覆土等均采用人工方法施工。</w:t>
            </w:r>
          </w:p>
          <w:p w14:paraId="015890EA">
            <w:pPr>
              <w:pStyle w:val="69"/>
              <w:ind w:firstLine="480"/>
              <w:rPr>
                <w:szCs w:val="22"/>
              </w:rPr>
            </w:pPr>
            <w:r>
              <w:rPr>
                <w:rFonts w:hint="eastAsia"/>
                <w:szCs w:val="22"/>
              </w:rPr>
              <w:t>附属工程主要是道路交通安全设施的安装、公交站牌安装、残障设施安装，包括交通标志、标线、护栏等。附属工程在路基完成后基本建成，均在道路用地范围内建设，采用外购设备材料后人工进行安装。</w:t>
            </w:r>
          </w:p>
          <w:p w14:paraId="66138E03">
            <w:pPr>
              <w:pStyle w:val="69"/>
              <w:ind w:firstLine="482"/>
              <w:rPr>
                <w:b/>
                <w:szCs w:val="22"/>
              </w:rPr>
            </w:pPr>
            <w:r>
              <w:rPr>
                <w:rFonts w:hint="eastAsia"/>
                <w:b/>
                <w:szCs w:val="22"/>
              </w:rPr>
              <w:t>5、施工期产污环节</w:t>
            </w:r>
          </w:p>
          <w:p w14:paraId="10511F24">
            <w:pPr>
              <w:pStyle w:val="69"/>
              <w:ind w:firstLine="480"/>
              <w:rPr>
                <w:szCs w:val="22"/>
              </w:rPr>
            </w:pPr>
            <w:r>
              <w:rPr>
                <w:rFonts w:hint="eastAsia"/>
                <w:szCs w:val="22"/>
              </w:rPr>
              <w:t>本项目施工期包括：施工准备、路基工程、桥涵工程、管网工程、路面工程、附属工程等。施工期主要污染产生情况如下：</w:t>
            </w:r>
          </w:p>
          <w:p w14:paraId="69FEA091">
            <w:pPr>
              <w:pStyle w:val="69"/>
              <w:ind w:firstLine="480"/>
              <w:rPr>
                <w:szCs w:val="22"/>
              </w:rPr>
            </w:pPr>
            <w:r>
              <w:rPr>
                <w:rFonts w:hint="eastAsia"/>
                <w:szCs w:val="22"/>
              </w:rPr>
              <w:t>（1）废气：主要为施工扬尘、临时堆土场扬尘、运输车辆扬尘、施工车辆及机械尾气、沥青烟。</w:t>
            </w:r>
          </w:p>
          <w:p w14:paraId="0A3DF587">
            <w:pPr>
              <w:pStyle w:val="69"/>
              <w:ind w:firstLine="480"/>
              <w:rPr>
                <w:szCs w:val="22"/>
              </w:rPr>
            </w:pPr>
            <w:r>
              <w:rPr>
                <w:rFonts w:hint="eastAsia"/>
                <w:szCs w:val="22"/>
              </w:rPr>
              <w:t>（2）废水：施工机械及车辆冲洗废水、施工人员生活污水、管道试压废水、混凝土养护废水、地表径流等。</w:t>
            </w:r>
          </w:p>
          <w:p w14:paraId="72DBDCCB">
            <w:pPr>
              <w:pStyle w:val="69"/>
              <w:ind w:firstLine="480"/>
              <w:rPr>
                <w:szCs w:val="22"/>
              </w:rPr>
            </w:pPr>
            <w:r>
              <w:rPr>
                <w:rFonts w:hint="eastAsia"/>
                <w:szCs w:val="22"/>
              </w:rPr>
              <w:t>（3）噪声：施工机械及运输车辆的噪声。</w:t>
            </w:r>
          </w:p>
          <w:p w14:paraId="0376F6D9">
            <w:pPr>
              <w:pStyle w:val="69"/>
              <w:ind w:firstLine="480"/>
            </w:pPr>
            <w:r>
              <w:rPr>
                <w:rFonts w:hint="eastAsia"/>
                <w:szCs w:val="22"/>
              </w:rPr>
              <w:t>（4）固废：主要包括弃土石方、泥质土、建筑垃圾、施工人员生活垃圾。</w:t>
            </w:r>
          </w:p>
        </w:tc>
      </w:tr>
      <w:tr w14:paraId="54F389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33" w:hRule="atLeast"/>
        </w:trPr>
        <w:tc>
          <w:tcPr>
            <w:tcW w:w="252" w:type="pct"/>
            <w:vAlign w:val="center"/>
          </w:tcPr>
          <w:p w14:paraId="2AF525FF">
            <w:pPr>
              <w:adjustRightInd w:val="0"/>
              <w:snapToGrid w:val="0"/>
              <w:jc w:val="center"/>
              <w:rPr>
                <w:rFonts w:ascii="宋体" w:hAnsi="宋体" w:cs="宋体"/>
                <w:b/>
                <w:kern w:val="0"/>
                <w:sz w:val="24"/>
              </w:rPr>
            </w:pPr>
            <w:r>
              <w:rPr>
                <w:rFonts w:hint="eastAsia" w:ascii="宋体" w:hAnsi="宋体" w:cs="宋体"/>
                <w:b/>
                <w:kern w:val="0"/>
                <w:sz w:val="24"/>
              </w:rPr>
              <w:t>其他</w:t>
            </w:r>
          </w:p>
        </w:tc>
        <w:tc>
          <w:tcPr>
            <w:tcW w:w="4748" w:type="pct"/>
            <w:vAlign w:val="center"/>
          </w:tcPr>
          <w:p w14:paraId="1D6194C3">
            <w:pPr>
              <w:spacing w:line="360" w:lineRule="auto"/>
              <w:ind w:firstLine="560"/>
              <w:jc w:val="left"/>
              <w:rPr>
                <w:sz w:val="24"/>
              </w:rPr>
            </w:pPr>
            <w:r>
              <w:rPr>
                <w:rFonts w:hint="eastAsia"/>
                <w:sz w:val="24"/>
              </w:rPr>
              <w:t>无</w:t>
            </w:r>
          </w:p>
        </w:tc>
      </w:tr>
    </w:tbl>
    <w:p w14:paraId="6AFC7ACD">
      <w:pPr>
        <w:pStyle w:val="15"/>
        <w:rPr>
          <w:snapToGrid w:val="0"/>
        </w:rPr>
      </w:pPr>
      <w:bookmarkStart w:id="17" w:name="_Toc150173900"/>
    </w:p>
    <w:p w14:paraId="6BB61D0A">
      <w:pPr>
        <w:widowControl/>
        <w:jc w:val="left"/>
        <w:rPr>
          <w:rFonts w:ascii="黑体" w:hAnsi="黑体" w:eastAsia="黑体"/>
          <w:bCs/>
          <w:snapToGrid w:val="0"/>
          <w:kern w:val="44"/>
          <w:sz w:val="32"/>
          <w:szCs w:val="44"/>
        </w:rPr>
      </w:pPr>
      <w:r>
        <w:rPr>
          <w:snapToGrid w:val="0"/>
        </w:rPr>
        <w:br w:type="page"/>
      </w:r>
    </w:p>
    <w:p w14:paraId="44D48F25">
      <w:pPr>
        <w:pStyle w:val="3"/>
        <w:numPr>
          <w:ilvl w:val="0"/>
          <w:numId w:val="0"/>
        </w:numPr>
        <w:jc w:val="center"/>
        <w:rPr>
          <w:snapToGrid w:val="0"/>
        </w:rPr>
      </w:pPr>
      <w:r>
        <w:rPr>
          <w:rFonts w:hint="eastAsia"/>
          <w:snapToGrid w:val="0"/>
        </w:rPr>
        <w:t>三、生态环境现状、保护目标及评价标准</w:t>
      </w:r>
      <w:bookmarkEnd w:id="17"/>
    </w:p>
    <w:tbl>
      <w:tblPr>
        <w:tblStyle w:val="33"/>
        <w:tblW w:w="943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8"/>
        <w:gridCol w:w="8853"/>
      </w:tblGrid>
      <w:tr w14:paraId="2323B2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578" w:type="dxa"/>
            <w:vAlign w:val="center"/>
          </w:tcPr>
          <w:p w14:paraId="3286BB06">
            <w:pPr>
              <w:adjustRightInd w:val="0"/>
              <w:snapToGrid w:val="0"/>
              <w:spacing w:line="360" w:lineRule="auto"/>
              <w:ind w:firstLine="480" w:firstLineChars="200"/>
              <w:jc w:val="center"/>
              <w:rPr>
                <w:bCs/>
                <w:sz w:val="24"/>
              </w:rPr>
            </w:pPr>
            <w:r>
              <w:rPr>
                <w:bCs/>
                <w:sz w:val="24"/>
              </w:rPr>
              <w:t>生生态环境现状</w:t>
            </w:r>
          </w:p>
        </w:tc>
        <w:tc>
          <w:tcPr>
            <w:tcW w:w="8853" w:type="dxa"/>
          </w:tcPr>
          <w:p w14:paraId="14A2A6DB">
            <w:pPr>
              <w:spacing w:line="360" w:lineRule="auto"/>
              <w:rPr>
                <w:b/>
                <w:sz w:val="24"/>
              </w:rPr>
            </w:pPr>
            <w:r>
              <w:rPr>
                <w:rFonts w:hint="eastAsia"/>
                <w:b/>
                <w:sz w:val="24"/>
              </w:rPr>
              <w:t>一</w:t>
            </w:r>
            <w:r>
              <w:rPr>
                <w:b/>
                <w:sz w:val="24"/>
              </w:rPr>
              <w:t>、生态环境现状</w:t>
            </w:r>
          </w:p>
          <w:p w14:paraId="518A684C">
            <w:pPr>
              <w:pStyle w:val="15"/>
              <w:spacing w:before="24" w:after="24" w:line="360" w:lineRule="auto"/>
              <w:ind w:firstLine="482" w:firstLineChars="200"/>
              <w:jc w:val="left"/>
              <w:rPr>
                <w:b/>
                <w:bCs/>
                <w:sz w:val="24"/>
                <w:szCs w:val="21"/>
                <w:lang w:val="en"/>
              </w:rPr>
            </w:pPr>
            <w:r>
              <w:rPr>
                <w:rFonts w:hint="eastAsia"/>
                <w:b/>
                <w:bCs/>
                <w:sz w:val="24"/>
                <w:szCs w:val="21"/>
              </w:rPr>
              <w:t>（一）四川省主体功能区规划</w:t>
            </w:r>
          </w:p>
          <w:p w14:paraId="45981D98">
            <w:pPr>
              <w:spacing w:line="360" w:lineRule="auto"/>
              <w:ind w:firstLine="480" w:firstLineChars="200"/>
              <w:contextualSpacing/>
              <w:rPr>
                <w:sz w:val="24"/>
              </w:rPr>
            </w:pPr>
            <w:r>
              <w:rPr>
                <w:rFonts w:hint="eastAsia"/>
                <w:sz w:val="24"/>
              </w:rPr>
              <w:t>本项目位于四川省遂宁市大英县盐井街道。根据四川省人民政府《关于印发&lt;四川省国土空间规划（2021—2035年）&gt;的通知》（川府发〔2024〕8号），本项目所在区域为“省级城市化地区”，本项目的建设符合区域主体功能区规划。</w:t>
            </w:r>
          </w:p>
          <w:p w14:paraId="1DB0D6B1">
            <w:pPr>
              <w:spacing w:line="360" w:lineRule="auto"/>
              <w:jc w:val="center"/>
              <w:rPr>
                <w:snapToGrid w:val="0"/>
                <w:sz w:val="24"/>
              </w:rPr>
            </w:pPr>
            <w:r>
              <mc:AlternateContent>
                <mc:Choice Requires="wps">
                  <w:drawing>
                    <wp:anchor distT="0" distB="0" distL="114300" distR="114300" simplePos="0" relativeHeight="251665408" behindDoc="0" locked="0" layoutInCell="1" allowOverlap="1">
                      <wp:simplePos x="0" y="0"/>
                      <wp:positionH relativeFrom="column">
                        <wp:posOffset>1816100</wp:posOffset>
                      </wp:positionH>
                      <wp:positionV relativeFrom="paragraph">
                        <wp:posOffset>1162685</wp:posOffset>
                      </wp:positionV>
                      <wp:extent cx="714375" cy="342900"/>
                      <wp:effectExtent l="7620" t="5715" r="430530" b="308610"/>
                      <wp:wrapNone/>
                      <wp:docPr id="235" name="圆角矩形标注 235"/>
                      <wp:cNvGraphicFramePr/>
                      <a:graphic xmlns:a="http://schemas.openxmlformats.org/drawingml/2006/main">
                        <a:graphicData uri="http://schemas.microsoft.com/office/word/2010/wordprocessingShape">
                          <wps:wsp>
                            <wps:cNvSpPr>
                              <a:spLocks noChangeArrowheads="1"/>
                            </wps:cNvSpPr>
                            <wps:spPr bwMode="auto">
                              <a:xfrm>
                                <a:off x="0" y="0"/>
                                <a:ext cx="714375" cy="342900"/>
                              </a:xfrm>
                              <a:prstGeom prst="wedgeRoundRectCallout">
                                <a:avLst>
                                  <a:gd name="adj1" fmla="val 99157"/>
                                  <a:gd name="adj2" fmla="val 126481"/>
                                  <a:gd name="adj3" fmla="val 16667"/>
                                </a:avLst>
                              </a:prstGeom>
                              <a:solidFill>
                                <a:srgbClr val="FFFFFF"/>
                              </a:solidFill>
                              <a:ln w="9525" cmpd="sng">
                                <a:solidFill>
                                  <a:srgbClr val="000000"/>
                                </a:solidFill>
                                <a:miter lim="800000"/>
                              </a:ln>
                              <a:effectLst/>
                            </wps:spPr>
                            <wps:txbx>
                              <w:txbxContent>
                                <w:p w14:paraId="70889409">
                                  <w:pPr>
                                    <w:jc w:val="center"/>
                                    <w:rPr>
                                      <w:bCs/>
                                    </w:rPr>
                                  </w:pPr>
                                  <w:r>
                                    <w:rPr>
                                      <w:bCs/>
                                    </w:rPr>
                                    <w:t>本项目</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43pt;margin-top:91.55pt;height:27pt;width:56.25pt;z-index:251665408;mso-width-relative:page;mso-height-relative:page;" fillcolor="#FFFFFF" filled="t" stroked="t" coordsize="21600,21600" o:gfxdata="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f&#10;E+jK2QAAAAsBAAAPAAAAAAAAAAEAIAAAACIAAABkcnMvZG93bnJldi54bWxQSwECFAAUAAAACACH&#10;TuJAYIqJmpUCAAApBQAADgAAAAAAAAABACAAAAAoAQAAZHJzL2Uyb0RvYy54bWxQSwUGAAAAAAYA&#10;BgBZAQAALwYAAAAA&#10;" adj="32218,38120,14400">
                      <v:fill on="t" focussize="0,0"/>
                      <v:stroke color="#000000" miterlimit="8" joinstyle="miter"/>
                      <v:imagedata o:title=""/>
                      <o:lock v:ext="edit" aspectratio="f"/>
                      <v:textbox>
                        <w:txbxContent>
                          <w:p w14:paraId="70889409">
                            <w:pPr>
                              <w:jc w:val="center"/>
                              <w:rPr>
                                <w:bCs/>
                              </w:rPr>
                            </w:pPr>
                            <w:r>
                              <w:rPr>
                                <w:bCs/>
                              </w:rPr>
                              <w:t>本项目</w:t>
                            </w:r>
                          </w:p>
                        </w:txbxContent>
                      </v:textbox>
                    </v:shape>
                  </w:pict>
                </mc:Fallback>
              </mc:AlternateContent>
            </w:r>
            <w:r>
              <w:drawing>
                <wp:inline distT="0" distB="0" distL="0" distR="0">
                  <wp:extent cx="5177790" cy="3663315"/>
                  <wp:effectExtent l="0" t="0" r="381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177790" cy="3663315"/>
                          </a:xfrm>
                          <a:prstGeom prst="rect">
                            <a:avLst/>
                          </a:prstGeom>
                          <a:noFill/>
                          <a:ln>
                            <a:noFill/>
                          </a:ln>
                          <a:effectLst/>
                        </pic:spPr>
                      </pic:pic>
                    </a:graphicData>
                  </a:graphic>
                </wp:inline>
              </w:drawing>
            </w:r>
          </w:p>
          <w:p w14:paraId="01DA86EE">
            <w:pPr>
              <w:numPr>
                <w:ilvl w:val="0"/>
                <w:numId w:val="5"/>
              </w:numPr>
              <w:spacing w:line="360" w:lineRule="auto"/>
              <w:jc w:val="center"/>
              <w:rPr>
                <w:sz w:val="24"/>
                <w:szCs w:val="21"/>
              </w:rPr>
            </w:pPr>
            <w:r>
              <w:rPr>
                <w:b/>
              </w:rPr>
              <w:t>主体功能区</w:t>
            </w:r>
            <w:r>
              <w:rPr>
                <w:rFonts w:hint="eastAsia"/>
                <w:b/>
              </w:rPr>
              <w:t>分布图</w:t>
            </w:r>
          </w:p>
          <w:p w14:paraId="24AE22B6">
            <w:pPr>
              <w:pStyle w:val="15"/>
              <w:spacing w:before="24" w:after="24" w:line="360" w:lineRule="auto"/>
              <w:ind w:firstLine="482" w:firstLineChars="200"/>
              <w:jc w:val="left"/>
              <w:rPr>
                <w:b/>
                <w:bCs/>
                <w:sz w:val="24"/>
              </w:rPr>
            </w:pPr>
            <w:r>
              <w:rPr>
                <w:rFonts w:hint="eastAsia"/>
                <w:b/>
                <w:bCs/>
                <w:sz w:val="24"/>
              </w:rPr>
              <w:t>（二）四川省生态功能区划</w:t>
            </w:r>
          </w:p>
          <w:p w14:paraId="796C5A80">
            <w:pPr>
              <w:pStyle w:val="15"/>
              <w:spacing w:before="24" w:after="24" w:line="360" w:lineRule="auto"/>
              <w:ind w:firstLine="480" w:firstLineChars="200"/>
              <w:jc w:val="left"/>
              <w:rPr>
                <w:sz w:val="24"/>
                <w:lang w:val="en"/>
              </w:rPr>
            </w:pPr>
            <w:r>
              <w:rPr>
                <w:rFonts w:hint="eastAsia"/>
                <w:sz w:val="24"/>
                <w:lang w:val="en"/>
              </w:rPr>
              <w:t>根据《四川省生态功能区划》（川府函〔2006〕100号，2006年5月31日），本项目</w:t>
            </w:r>
            <w:r>
              <w:rPr>
                <w:rFonts w:hint="eastAsia"/>
                <w:sz w:val="24"/>
              </w:rPr>
              <w:t>位于</w:t>
            </w:r>
            <w:r>
              <w:rPr>
                <w:rFonts w:hint="eastAsia"/>
                <w:sz w:val="24"/>
                <w:lang w:val="en"/>
              </w:rPr>
              <w:t>四川省遂宁市大英县河边镇，所在区域属四川省生态功能区划中的：I 四川盆地亚热带农林生态区—Ⅰ2盆中丘陵农林复合生态亚区—Ⅰ2-</w:t>
            </w:r>
            <w:r>
              <w:rPr>
                <w:rFonts w:hint="eastAsia"/>
                <w:sz w:val="24"/>
              </w:rPr>
              <w:t>4涪江中下游农业生态功能区</w:t>
            </w:r>
            <w:r>
              <w:rPr>
                <w:rFonts w:hint="eastAsia"/>
                <w:sz w:val="24"/>
                <w:lang w:val="en"/>
              </w:rPr>
              <w:t>。项目区生态功能分区特征见下表。</w:t>
            </w:r>
          </w:p>
          <w:p w14:paraId="3B9BF621">
            <w:pPr>
              <w:numPr>
                <w:ilvl w:val="0"/>
                <w:numId w:val="6"/>
              </w:numPr>
              <w:kinsoku w:val="0"/>
              <w:overflowPunct w:val="0"/>
              <w:autoSpaceDE w:val="0"/>
              <w:autoSpaceDN w:val="0"/>
              <w:adjustRightInd w:val="0"/>
              <w:snapToGrid w:val="0"/>
              <w:jc w:val="center"/>
              <w:rPr>
                <w:b/>
                <w:bCs/>
                <w:szCs w:val="21"/>
              </w:rPr>
            </w:pPr>
            <w:r>
              <w:rPr>
                <w:rFonts w:hint="eastAsia"/>
                <w:b/>
                <w:bCs/>
                <w:szCs w:val="21"/>
              </w:rPr>
              <w:t xml:space="preserve">    项目区生态功能分区特征表</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3"/>
              <w:gridCol w:w="610"/>
              <w:gridCol w:w="705"/>
              <w:gridCol w:w="862"/>
              <w:gridCol w:w="1275"/>
              <w:gridCol w:w="746"/>
              <w:gridCol w:w="829"/>
              <w:gridCol w:w="1318"/>
              <w:gridCol w:w="1719"/>
            </w:tblGrid>
            <w:tr w14:paraId="7C1EF1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tcMar>
                    <w:left w:w="11" w:type="dxa"/>
                    <w:right w:w="11" w:type="dxa"/>
                  </w:tcMar>
                  <w:vAlign w:val="center"/>
                </w:tcPr>
                <w:p w14:paraId="090F6EFA">
                  <w:pPr>
                    <w:pStyle w:val="83"/>
                    <w:jc w:val="center"/>
                    <w:rPr>
                      <w:b/>
                      <w:bCs w:val="0"/>
                    </w:rPr>
                  </w:pPr>
                  <w:r>
                    <w:rPr>
                      <w:b/>
                      <w:bCs w:val="0"/>
                    </w:rPr>
                    <w:t>生态区</w:t>
                  </w:r>
                </w:p>
              </w:tc>
              <w:tc>
                <w:tcPr>
                  <w:tcW w:w="353" w:type="pct"/>
                  <w:tcMar>
                    <w:left w:w="11" w:type="dxa"/>
                    <w:right w:w="11" w:type="dxa"/>
                  </w:tcMar>
                  <w:vAlign w:val="center"/>
                </w:tcPr>
                <w:p w14:paraId="43B234DD">
                  <w:pPr>
                    <w:pStyle w:val="83"/>
                    <w:jc w:val="center"/>
                    <w:rPr>
                      <w:b/>
                      <w:bCs w:val="0"/>
                    </w:rPr>
                  </w:pPr>
                  <w:r>
                    <w:rPr>
                      <w:b/>
                      <w:bCs w:val="0"/>
                    </w:rPr>
                    <w:t>生态亚区</w:t>
                  </w:r>
                </w:p>
              </w:tc>
              <w:tc>
                <w:tcPr>
                  <w:tcW w:w="408" w:type="pct"/>
                  <w:tcMar>
                    <w:left w:w="11" w:type="dxa"/>
                    <w:right w:w="11" w:type="dxa"/>
                  </w:tcMar>
                  <w:vAlign w:val="center"/>
                </w:tcPr>
                <w:p w14:paraId="5717399A">
                  <w:pPr>
                    <w:pStyle w:val="83"/>
                    <w:jc w:val="center"/>
                    <w:rPr>
                      <w:b/>
                      <w:bCs w:val="0"/>
                    </w:rPr>
                  </w:pPr>
                  <w:r>
                    <w:rPr>
                      <w:b/>
                      <w:bCs w:val="0"/>
                    </w:rPr>
                    <w:t>生态功能区</w:t>
                  </w:r>
                </w:p>
              </w:tc>
              <w:tc>
                <w:tcPr>
                  <w:tcW w:w="499" w:type="pct"/>
                  <w:tcMar>
                    <w:left w:w="11" w:type="dxa"/>
                    <w:right w:w="11" w:type="dxa"/>
                  </w:tcMar>
                  <w:vAlign w:val="center"/>
                </w:tcPr>
                <w:p w14:paraId="6AF4352B">
                  <w:pPr>
                    <w:pStyle w:val="83"/>
                    <w:jc w:val="center"/>
                    <w:rPr>
                      <w:b/>
                      <w:bCs w:val="0"/>
                    </w:rPr>
                  </w:pPr>
                  <w:r>
                    <w:rPr>
                      <w:b/>
                      <w:bCs w:val="0"/>
                    </w:rPr>
                    <w:t>所在区域与面积</w:t>
                  </w:r>
                </w:p>
              </w:tc>
              <w:tc>
                <w:tcPr>
                  <w:tcW w:w="737" w:type="pct"/>
                  <w:tcMar>
                    <w:left w:w="11" w:type="dxa"/>
                    <w:right w:w="11" w:type="dxa"/>
                  </w:tcMar>
                  <w:vAlign w:val="center"/>
                </w:tcPr>
                <w:p w14:paraId="3243CCFB">
                  <w:pPr>
                    <w:pStyle w:val="83"/>
                    <w:jc w:val="center"/>
                    <w:rPr>
                      <w:b/>
                      <w:bCs w:val="0"/>
                    </w:rPr>
                  </w:pPr>
                  <w:r>
                    <w:rPr>
                      <w:b/>
                      <w:bCs w:val="0"/>
                    </w:rPr>
                    <w:t>典型生态系统</w:t>
                  </w:r>
                </w:p>
              </w:tc>
              <w:tc>
                <w:tcPr>
                  <w:tcW w:w="432" w:type="pct"/>
                  <w:tcMar>
                    <w:left w:w="11" w:type="dxa"/>
                    <w:right w:w="11" w:type="dxa"/>
                  </w:tcMar>
                  <w:vAlign w:val="center"/>
                </w:tcPr>
                <w:p w14:paraId="1C0A1160">
                  <w:pPr>
                    <w:pStyle w:val="83"/>
                    <w:jc w:val="center"/>
                    <w:rPr>
                      <w:b/>
                      <w:bCs w:val="0"/>
                    </w:rPr>
                  </w:pPr>
                  <w:r>
                    <w:rPr>
                      <w:b/>
                      <w:bCs w:val="0"/>
                    </w:rPr>
                    <w:t>主要生态问题</w:t>
                  </w:r>
                </w:p>
              </w:tc>
              <w:tc>
                <w:tcPr>
                  <w:tcW w:w="480" w:type="pct"/>
                  <w:tcMar>
                    <w:left w:w="11" w:type="dxa"/>
                    <w:right w:w="11" w:type="dxa"/>
                  </w:tcMar>
                  <w:vAlign w:val="center"/>
                </w:tcPr>
                <w:p w14:paraId="6B239A23">
                  <w:pPr>
                    <w:pStyle w:val="83"/>
                    <w:jc w:val="center"/>
                    <w:rPr>
                      <w:b/>
                      <w:bCs w:val="0"/>
                    </w:rPr>
                  </w:pPr>
                  <w:r>
                    <w:rPr>
                      <w:b/>
                      <w:bCs w:val="0"/>
                    </w:rPr>
                    <w:t>生态环境敏感性</w:t>
                  </w:r>
                </w:p>
              </w:tc>
              <w:tc>
                <w:tcPr>
                  <w:tcW w:w="762" w:type="pct"/>
                  <w:tcMar>
                    <w:left w:w="11" w:type="dxa"/>
                    <w:right w:w="11" w:type="dxa"/>
                  </w:tcMar>
                  <w:vAlign w:val="center"/>
                </w:tcPr>
                <w:p w14:paraId="20D78F05">
                  <w:pPr>
                    <w:pStyle w:val="83"/>
                    <w:jc w:val="center"/>
                    <w:rPr>
                      <w:b/>
                      <w:bCs w:val="0"/>
                    </w:rPr>
                  </w:pPr>
                  <w:r>
                    <w:rPr>
                      <w:b/>
                      <w:bCs w:val="0"/>
                    </w:rPr>
                    <w:t>主要生态服务功能重要性</w:t>
                  </w:r>
                </w:p>
              </w:tc>
              <w:tc>
                <w:tcPr>
                  <w:tcW w:w="994" w:type="pct"/>
                  <w:tcMar>
                    <w:left w:w="11" w:type="dxa"/>
                    <w:right w:w="11" w:type="dxa"/>
                  </w:tcMar>
                  <w:vAlign w:val="center"/>
                </w:tcPr>
                <w:p w14:paraId="77D7A7B8">
                  <w:pPr>
                    <w:pStyle w:val="83"/>
                    <w:jc w:val="center"/>
                    <w:rPr>
                      <w:b/>
                      <w:bCs w:val="0"/>
                    </w:rPr>
                  </w:pPr>
                  <w:r>
                    <w:rPr>
                      <w:b/>
                      <w:bCs w:val="0"/>
                    </w:rPr>
                    <w:t>生态保护与发展方向</w:t>
                  </w:r>
                </w:p>
              </w:tc>
            </w:tr>
            <w:tr w14:paraId="62A6D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tcMar>
                    <w:left w:w="11" w:type="dxa"/>
                    <w:right w:w="11" w:type="dxa"/>
                  </w:tcMar>
                  <w:vAlign w:val="center"/>
                </w:tcPr>
                <w:p w14:paraId="23F39262">
                  <w:pPr>
                    <w:pStyle w:val="83"/>
                    <w:jc w:val="center"/>
                  </w:pPr>
                  <w:r>
                    <w:t>Ⅰ四川盆地亚热带农林生态区</w:t>
                  </w:r>
                </w:p>
              </w:tc>
              <w:tc>
                <w:tcPr>
                  <w:tcW w:w="353" w:type="pct"/>
                  <w:tcMar>
                    <w:left w:w="11" w:type="dxa"/>
                    <w:right w:w="11" w:type="dxa"/>
                  </w:tcMar>
                  <w:vAlign w:val="center"/>
                </w:tcPr>
                <w:p w14:paraId="7630FDA6">
                  <w:pPr>
                    <w:pStyle w:val="83"/>
                    <w:jc w:val="center"/>
                  </w:pPr>
                  <w:r>
                    <w:t>Ⅰ2盆中丘陵农林复合生态亚区</w:t>
                  </w:r>
                </w:p>
              </w:tc>
              <w:tc>
                <w:tcPr>
                  <w:tcW w:w="408" w:type="pct"/>
                  <w:tcMar>
                    <w:left w:w="11" w:type="dxa"/>
                    <w:right w:w="11" w:type="dxa"/>
                  </w:tcMar>
                  <w:vAlign w:val="center"/>
                </w:tcPr>
                <w:p w14:paraId="17846475">
                  <w:pPr>
                    <w:pStyle w:val="83"/>
                    <w:jc w:val="center"/>
                  </w:pPr>
                  <w:r>
                    <w:rPr>
                      <w:rFonts w:hint="eastAsia"/>
                    </w:rPr>
                    <w:t>Ⅰ2-4涪江中下游农业生态功能区</w:t>
                  </w:r>
                </w:p>
              </w:tc>
              <w:tc>
                <w:tcPr>
                  <w:tcW w:w="499" w:type="pct"/>
                  <w:tcMar>
                    <w:left w:w="11" w:type="dxa"/>
                    <w:right w:w="11" w:type="dxa"/>
                  </w:tcMar>
                  <w:vAlign w:val="center"/>
                </w:tcPr>
                <w:p w14:paraId="4DC3D700">
                  <w:pPr>
                    <w:pStyle w:val="83"/>
                    <w:jc w:val="center"/>
                  </w:pPr>
                  <w:r>
                    <w:rPr>
                      <w:rFonts w:hint="eastAsia"/>
                    </w:rPr>
                    <w:t>在四川盆地中西部，涉及绵阳、德阳、遂宁、资阳市的12个县级行政区。面积1.45万平方公里</w:t>
                  </w:r>
                </w:p>
              </w:tc>
              <w:tc>
                <w:tcPr>
                  <w:tcW w:w="737" w:type="pct"/>
                  <w:tcMar>
                    <w:left w:w="11" w:type="dxa"/>
                    <w:right w:w="11" w:type="dxa"/>
                  </w:tcMar>
                  <w:vAlign w:val="center"/>
                </w:tcPr>
                <w:p w14:paraId="52321394">
                  <w:pPr>
                    <w:pStyle w:val="83"/>
                    <w:jc w:val="center"/>
                  </w:pPr>
                  <w:r>
                    <w:rPr>
                      <w:rFonts w:hint="eastAsia"/>
                    </w:rPr>
                    <w:t>地貌以丘陵为主。年均气温16.4~17.5℃，≥10℃活动积温5300℃左右，年降水量864~1027毫米。区内河流均属涪江水系。森林植被主要有人工或次生马尾松林、柏木林，次为杉木林和竹林</w:t>
                  </w:r>
                </w:p>
              </w:tc>
              <w:tc>
                <w:tcPr>
                  <w:tcW w:w="432" w:type="pct"/>
                  <w:tcMar>
                    <w:left w:w="11" w:type="dxa"/>
                    <w:right w:w="11" w:type="dxa"/>
                  </w:tcMar>
                  <w:vAlign w:val="center"/>
                </w:tcPr>
                <w:p w14:paraId="7738FA00">
                  <w:pPr>
                    <w:pStyle w:val="83"/>
                    <w:jc w:val="center"/>
                  </w:pPr>
                  <w:r>
                    <w:rPr>
                      <w:rFonts w:hint="eastAsia"/>
                    </w:rPr>
                    <w:t>森林覆盖率低，水土流失，土地垦殖过度，农村面源污染，河流支流污染较严重，旱灾频发</w:t>
                  </w:r>
                </w:p>
              </w:tc>
              <w:tc>
                <w:tcPr>
                  <w:tcW w:w="480" w:type="pct"/>
                  <w:tcMar>
                    <w:left w:w="11" w:type="dxa"/>
                    <w:right w:w="11" w:type="dxa"/>
                  </w:tcMar>
                  <w:vAlign w:val="center"/>
                </w:tcPr>
                <w:p w14:paraId="63D70AA3">
                  <w:pPr>
                    <w:pStyle w:val="83"/>
                    <w:jc w:val="center"/>
                  </w:pPr>
                  <w:r>
                    <w:rPr>
                      <w:rFonts w:hint="eastAsia"/>
                    </w:rPr>
                    <w:t>土壤侵蚀中度敏感水环境污染高度敏感，酸雨轻度敏感</w:t>
                  </w:r>
                </w:p>
              </w:tc>
              <w:tc>
                <w:tcPr>
                  <w:tcW w:w="762" w:type="pct"/>
                  <w:tcMar>
                    <w:left w:w="11" w:type="dxa"/>
                    <w:right w:w="11" w:type="dxa"/>
                  </w:tcMar>
                  <w:vAlign w:val="center"/>
                </w:tcPr>
                <w:p w14:paraId="414CFDF4">
                  <w:pPr>
                    <w:pStyle w:val="83"/>
                    <w:jc w:val="center"/>
                  </w:pPr>
                  <w:r>
                    <w:rPr>
                      <w:rFonts w:hint="eastAsia"/>
                    </w:rPr>
                    <w:t>农产品提供功能，人居保障功能</w:t>
                  </w:r>
                </w:p>
              </w:tc>
              <w:tc>
                <w:tcPr>
                  <w:tcW w:w="994" w:type="pct"/>
                  <w:tcMar>
                    <w:left w:w="11" w:type="dxa"/>
                    <w:right w:w="11" w:type="dxa"/>
                  </w:tcMar>
                  <w:vAlign w:val="center"/>
                </w:tcPr>
                <w:p w14:paraId="095B020A">
                  <w:pPr>
                    <w:pStyle w:val="83"/>
                    <w:jc w:val="center"/>
                  </w:pPr>
                  <w:r>
                    <w:rPr>
                      <w:rFonts w:hint="eastAsia"/>
                    </w:rPr>
                    <w:t>发挥区域中心城市辐射作用，优化人居环境。加强基本农田保护和建设，完善水利设施。改善农村能源结构，发展沼气等清洁能源。发展生态农业、节水型农业、生态养殖业。建设现代轻纺、农产品加工工业基地。限制高耗水的产业。防治农村面源污染和水环境污染，保障饮用水安全</w:t>
                  </w:r>
                </w:p>
              </w:tc>
            </w:tr>
          </w:tbl>
          <w:p w14:paraId="6FB693C1">
            <w:pPr>
              <w:ind w:firstLine="480"/>
              <w:rPr>
                <w:sz w:val="24"/>
              </w:rPr>
            </w:pPr>
          </w:p>
          <w:p w14:paraId="4D9E1366">
            <w:pPr>
              <w:pStyle w:val="15"/>
              <w:spacing w:line="360" w:lineRule="auto"/>
              <w:rPr>
                <w:szCs w:val="21"/>
              </w:rPr>
            </w:pPr>
            <w:r>
              <mc:AlternateContent>
                <mc:Choice Requires="wps">
                  <w:drawing>
                    <wp:anchor distT="0" distB="0" distL="114300" distR="114300" simplePos="0" relativeHeight="251664384" behindDoc="0" locked="0" layoutInCell="1" allowOverlap="1">
                      <wp:simplePos x="0" y="0"/>
                      <wp:positionH relativeFrom="column">
                        <wp:posOffset>2666365</wp:posOffset>
                      </wp:positionH>
                      <wp:positionV relativeFrom="paragraph">
                        <wp:posOffset>1588770</wp:posOffset>
                      </wp:positionV>
                      <wp:extent cx="634365" cy="265430"/>
                      <wp:effectExtent l="0" t="0" r="203835" b="248920"/>
                      <wp:wrapNone/>
                      <wp:docPr id="252" name="矩形标注 252"/>
                      <wp:cNvGraphicFramePr/>
                      <a:graphic xmlns:a="http://schemas.openxmlformats.org/drawingml/2006/main">
                        <a:graphicData uri="http://schemas.microsoft.com/office/word/2010/wordprocessingShape">
                          <wps:wsp>
                            <wps:cNvSpPr/>
                            <wps:spPr>
                              <a:xfrm>
                                <a:off x="0" y="0"/>
                                <a:ext cx="634365" cy="265430"/>
                              </a:xfrm>
                              <a:prstGeom prst="wedgeRectCallout">
                                <a:avLst>
                                  <a:gd name="adj1" fmla="val 71523"/>
                                  <a:gd name="adj2" fmla="val 120815"/>
                                </a:avLst>
                              </a:prstGeom>
                              <a:solidFill>
                                <a:srgbClr val="FFFFFF"/>
                              </a:solidFill>
                              <a:ln w="9525" cap="flat" cmpd="sng">
                                <a:solidFill>
                                  <a:srgbClr val="000000"/>
                                </a:solidFill>
                                <a:prstDash val="solid"/>
                                <a:miter/>
                                <a:headEnd type="none" w="med" len="med"/>
                                <a:tailEnd type="none" w="med" len="med"/>
                              </a:ln>
                            </wps:spPr>
                            <wps:txbx>
                              <w:txbxContent>
                                <w:p w14:paraId="6EA6EE39">
                                  <w:pPr>
                                    <w:jc w:val="center"/>
                                  </w:pPr>
                                  <w:r>
                                    <w:rPr>
                                      <w:rFonts w:hint="eastAsia"/>
                                    </w:rPr>
                                    <w:t>本项目</w:t>
                                  </w:r>
                                </w:p>
                              </w:txbxContent>
                            </wps:txbx>
                            <wps:bodyPr upright="1"/>
                          </wps:wsp>
                        </a:graphicData>
                      </a:graphic>
                    </wp:anchor>
                  </w:drawing>
                </mc:Choice>
                <mc:Fallback>
                  <w:pict>
                    <v:shape id="_x0000_s1026" o:spid="_x0000_s1026" o:spt="61" type="#_x0000_t61" style="position:absolute;left:0pt;margin-left:209.95pt;margin-top:125.1pt;height:20.9pt;width:49.95pt;z-index:251664384;mso-width-relative:page;mso-height-relative:page;" fillcolor="#FFFFFF" filled="t" stroked="t" coordsize="21600,21600" o:gfxdata="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zVPre9kAAAALAQAADwAAAAAAAAABACAAAAAiAAAAZHJzL2Rv&#10;d25yZXYueG1sUEsBAhQAFAAAAAgAh07iQOLb0NY5AgAAkAQAAA4AAAAAAAAAAQAgAAAAKAEAAGRy&#10;cy9lMm9Eb2MueG1sUEsFBgAAAAAGAAYAWQEAANMFAAAAAA==&#10;" adj="26249,36896">
                      <v:fill on="t" focussize="0,0"/>
                      <v:stroke color="#000000" joinstyle="miter"/>
                      <v:imagedata o:title=""/>
                      <o:lock v:ext="edit" aspectratio="f"/>
                      <v:textbox>
                        <w:txbxContent>
                          <w:p w14:paraId="6EA6EE39">
                            <w:pPr>
                              <w:jc w:val="center"/>
                            </w:pPr>
                            <w:r>
                              <w:rPr>
                                <w:rFonts w:hint="eastAsia"/>
                              </w:rPr>
                              <w:t>本项目</w:t>
                            </w:r>
                          </w:p>
                        </w:txbxContent>
                      </v:textbox>
                    </v:shape>
                  </w:pict>
                </mc:Fallback>
              </mc:AlternateContent>
            </w:r>
            <w:r>
              <w:drawing>
                <wp:inline distT="0" distB="0" distL="0" distR="0">
                  <wp:extent cx="4981575" cy="4340225"/>
                  <wp:effectExtent l="0" t="0" r="9525" b="317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981575" cy="4340225"/>
                          </a:xfrm>
                          <a:prstGeom prst="rect">
                            <a:avLst/>
                          </a:prstGeom>
                          <a:noFill/>
                          <a:ln>
                            <a:noFill/>
                          </a:ln>
                          <a:effectLst/>
                        </pic:spPr>
                      </pic:pic>
                    </a:graphicData>
                  </a:graphic>
                </wp:inline>
              </w:drawing>
            </w:r>
          </w:p>
          <w:p w14:paraId="0F70C39D">
            <w:pPr>
              <w:numPr>
                <w:ilvl w:val="0"/>
                <w:numId w:val="5"/>
              </w:numPr>
              <w:jc w:val="center"/>
              <w:rPr>
                <w:b/>
              </w:rPr>
            </w:pPr>
            <w:r>
              <w:rPr>
                <w:rFonts w:hint="eastAsia"/>
                <w:b/>
              </w:rPr>
              <w:t xml:space="preserve">       </w:t>
            </w:r>
            <w:r>
              <w:rPr>
                <w:b/>
              </w:rPr>
              <w:t>四川生态功能区划图</w:t>
            </w:r>
          </w:p>
          <w:p w14:paraId="79977CF3">
            <w:pPr>
              <w:pStyle w:val="15"/>
              <w:spacing w:before="24" w:after="24" w:line="360" w:lineRule="auto"/>
              <w:ind w:firstLine="480" w:firstLineChars="200"/>
              <w:jc w:val="left"/>
              <w:rPr>
                <w:sz w:val="24"/>
                <w:lang w:val="en"/>
              </w:rPr>
            </w:pPr>
            <w:r>
              <w:rPr>
                <w:rFonts w:hint="eastAsia"/>
                <w:sz w:val="24"/>
                <w:lang w:val="en"/>
              </w:rPr>
              <w:t>本项目严格按规范建设，严格落实环境保护措施，加强管理，同时本项目为河湖整治工程，周边人类活动频繁，本项目的建设不会使生态环境和自然景观遭到严重破坏，因此本项目与《四川省生态功能区划》不冲突。</w:t>
            </w:r>
          </w:p>
          <w:p w14:paraId="4F3AF895">
            <w:pPr>
              <w:pStyle w:val="27"/>
              <w:spacing w:after="0" w:line="360" w:lineRule="auto"/>
              <w:ind w:left="0" w:leftChars="0" w:firstLine="482" w:firstLineChars="200"/>
              <w:rPr>
                <w:b/>
                <w:bCs/>
                <w:sz w:val="24"/>
                <w:szCs w:val="24"/>
              </w:rPr>
            </w:pPr>
            <w:r>
              <w:rPr>
                <w:rFonts w:hint="eastAsia"/>
                <w:b/>
                <w:bCs/>
                <w:sz w:val="24"/>
                <w:szCs w:val="24"/>
              </w:rPr>
              <w:t>（三）陆生生态现状调查</w:t>
            </w:r>
          </w:p>
          <w:p w14:paraId="45EEFE30">
            <w:pPr>
              <w:pStyle w:val="27"/>
              <w:spacing w:after="0" w:line="360" w:lineRule="auto"/>
              <w:ind w:left="0" w:leftChars="0" w:firstLine="480" w:firstLineChars="200"/>
              <w:rPr>
                <w:sz w:val="24"/>
                <w:szCs w:val="24"/>
              </w:rPr>
            </w:pPr>
            <w:r>
              <w:rPr>
                <w:rFonts w:hint="eastAsia"/>
                <w:sz w:val="24"/>
                <w:szCs w:val="24"/>
              </w:rPr>
              <w:t>工程区域所处的位置在四川植被区系中属川中盆地偏湿性常绿阔叶林亚带，属四川盆地中部底部丘陵低山植被区中的低山植被小区。受江河气候影响，气温较高，雨量较充沛，植物生长季节长，主要植物类型为亚热带的经济林木及亚热带竹、柏木林和针叶松松林。</w:t>
            </w:r>
          </w:p>
          <w:p w14:paraId="18FE00C0">
            <w:pPr>
              <w:pStyle w:val="27"/>
              <w:spacing w:after="0" w:line="360" w:lineRule="auto"/>
              <w:ind w:left="0" w:leftChars="0" w:firstLine="480" w:firstLineChars="200"/>
              <w:rPr>
                <w:sz w:val="24"/>
                <w:szCs w:val="24"/>
              </w:rPr>
            </w:pPr>
            <w:r>
              <w:rPr>
                <w:rFonts w:hint="eastAsia"/>
                <w:sz w:val="24"/>
                <w:szCs w:val="24"/>
              </w:rPr>
              <w:t>郪江大英段气候温和，水域宽阔，陆生生物种类和数量丰富，同时也是周边陆生野生动物和多种水禽栖息的良好场所。区内分布有10多种水禽，主要有苍鹭、白鹭、夜鹭、潜鸭、翠鸟、红尾水鸭等，其栖息环境多在河中沙洲笼埂、碛坝经及岸边岩石上，一般地域开阔，不易接近。</w:t>
            </w:r>
          </w:p>
          <w:p w14:paraId="4FB4B836">
            <w:pPr>
              <w:pStyle w:val="27"/>
              <w:spacing w:after="0" w:line="360" w:lineRule="auto"/>
              <w:ind w:left="0" w:leftChars="0" w:firstLine="480" w:firstLineChars="200"/>
              <w:rPr>
                <w:sz w:val="24"/>
                <w:szCs w:val="24"/>
              </w:rPr>
            </w:pPr>
            <w:r>
              <w:rPr>
                <w:rFonts w:hint="eastAsia"/>
                <w:sz w:val="24"/>
                <w:szCs w:val="24"/>
              </w:rPr>
              <w:t>工程区域周边植被主要以农田植被、灌草丛为主，不涉及野生陆生保护植物和古树名木。工程评价范围内野生动物主要以爬行动物、鸟类、昆虫和软体动物为主。爬行动物有壁虎、蛇，均分布在周边灌草丛附近；鸟类有家燕、八哥、麻雀等；兽类主要为小型啮齿目鼠类；昆虫类如瓢虫、蚂蚁、蝴蝶等；软体动物，如蚯蚓等。</w:t>
            </w:r>
          </w:p>
          <w:p w14:paraId="2ABE538E">
            <w:pPr>
              <w:pStyle w:val="27"/>
              <w:spacing w:after="0" w:line="360" w:lineRule="auto"/>
              <w:ind w:left="0" w:leftChars="0" w:firstLine="480" w:firstLineChars="200"/>
              <w:rPr>
                <w:sz w:val="24"/>
                <w:szCs w:val="24"/>
              </w:rPr>
            </w:pPr>
            <w:r>
              <w:rPr>
                <w:rFonts w:hint="eastAsia"/>
                <w:sz w:val="24"/>
                <w:szCs w:val="24"/>
              </w:rPr>
              <w:t>本项目所在地受人类活动影响较明显，区域内野生动物数量较少，未发现国家重点保护植物和省级保护植物分布，未发现有挂牌的古树名木，未发现国家重点保护野生动物，无鸟类集中栖息地与鸟类迁徙通道分布。</w:t>
            </w:r>
          </w:p>
          <w:p w14:paraId="12032344">
            <w:pPr>
              <w:pStyle w:val="27"/>
              <w:spacing w:after="0" w:line="360" w:lineRule="auto"/>
              <w:ind w:left="0" w:leftChars="0" w:firstLine="482" w:firstLineChars="200"/>
              <w:rPr>
                <w:b/>
                <w:bCs/>
                <w:sz w:val="24"/>
                <w:szCs w:val="24"/>
              </w:rPr>
            </w:pPr>
            <w:r>
              <w:rPr>
                <w:rFonts w:hint="eastAsia"/>
                <w:b/>
                <w:bCs/>
                <w:sz w:val="24"/>
                <w:szCs w:val="24"/>
              </w:rPr>
              <w:t>（四）水生生态现状调查</w:t>
            </w:r>
          </w:p>
          <w:p w14:paraId="036457CD">
            <w:pPr>
              <w:pStyle w:val="27"/>
              <w:spacing w:after="0" w:line="360" w:lineRule="auto"/>
              <w:ind w:left="0" w:leftChars="0" w:firstLine="480" w:firstLineChars="200"/>
              <w:rPr>
                <w:sz w:val="24"/>
                <w:szCs w:val="24"/>
              </w:rPr>
            </w:pPr>
            <w:r>
              <w:rPr>
                <w:rFonts w:hint="eastAsia"/>
                <w:sz w:val="24"/>
                <w:szCs w:val="24"/>
              </w:rPr>
              <w:t>1、鱼类资源现状</w:t>
            </w:r>
          </w:p>
          <w:p w14:paraId="7C4CA40D">
            <w:pPr>
              <w:pStyle w:val="27"/>
              <w:spacing w:after="0" w:line="360" w:lineRule="auto"/>
              <w:ind w:left="0" w:leftChars="0" w:firstLine="480" w:firstLineChars="200"/>
              <w:rPr>
                <w:sz w:val="24"/>
                <w:szCs w:val="24"/>
              </w:rPr>
            </w:pPr>
            <w:r>
              <w:rPr>
                <w:rFonts w:hint="eastAsia"/>
                <w:sz w:val="24"/>
                <w:szCs w:val="24"/>
              </w:rPr>
              <w:t>根据《</w:t>
            </w:r>
            <w:bookmarkStart w:id="18" w:name="OLE_LINK7"/>
            <w:r>
              <w:rPr>
                <w:rFonts w:hint="eastAsia"/>
                <w:sz w:val="24"/>
                <w:szCs w:val="24"/>
              </w:rPr>
              <w:t>郪江流域生态环境调查与评估郪江干流水生生态调查评价报告</w:t>
            </w:r>
            <w:bookmarkEnd w:id="18"/>
            <w:r>
              <w:rPr>
                <w:rFonts w:hint="eastAsia"/>
                <w:sz w:val="24"/>
                <w:szCs w:val="24"/>
              </w:rPr>
              <w:t>》，大英县境内郪江干流共有鱼类52种，隶属4目11科39属。鲤形目鱼类为主要类群，有3科28属36种；鲇形目3科6属9种；鲈形目4科4属6种；</w:t>
            </w:r>
            <w:bookmarkStart w:id="19" w:name="OLE_LINK8"/>
            <w:r>
              <w:rPr>
                <w:rFonts w:hint="eastAsia"/>
                <w:sz w:val="24"/>
                <w:szCs w:val="24"/>
              </w:rPr>
              <w:t>合鳃目</w:t>
            </w:r>
            <w:bookmarkEnd w:id="19"/>
            <w:r>
              <w:rPr>
                <w:rFonts w:hint="eastAsia"/>
                <w:sz w:val="24"/>
                <w:szCs w:val="24"/>
              </w:rPr>
              <w:t>为1科1属1种。</w:t>
            </w:r>
          </w:p>
          <w:p w14:paraId="2FBC31C7">
            <w:pPr>
              <w:pStyle w:val="27"/>
              <w:spacing w:after="0" w:line="360" w:lineRule="auto"/>
              <w:ind w:left="0" w:leftChars="0" w:firstLine="480" w:firstLineChars="200"/>
              <w:rPr>
                <w:sz w:val="24"/>
                <w:szCs w:val="24"/>
              </w:rPr>
            </w:pPr>
            <w:r>
              <w:rPr>
                <w:rFonts w:hint="eastAsia"/>
                <w:sz w:val="24"/>
                <w:szCs w:val="24"/>
              </w:rPr>
              <w:t>根据调查以及咨询得到的相关资料，郪江大英段分布有鱼类52种，主要经济鱼类有草鱼、鲢、鳙、唇鱼骨、鲤鱼、鲫鱼、大鳍鳠以及黄颡类等。近年来，除鲤、鲫等外，这些经济鱼类的资源量不断下降。但自2020年禁捕以来，鱼类种群有所恢复，鱼类个体明显增大，数量也有显著增加。郪江大英段有四川省重点保护鱼类1种鳡鱼。列入《中国濒危动物红皮书》和《中国物种红色名录》的仅有易危物种（VU）宜宾鲴一种。长江上游及其支流中约有特有鱼类112种，郪江干流分布的长江上游特有鱼类8种，分别为短体副鳅、宜宾鲴、四川华鳊、黑尾近红鲌、黑尾、宽口光唇鱼、华鲮、四川华吸鳅等。这些特有鱼类有些具有重要的经济价值和科研价值，作为长江上游特有的地域性分布物种，采取一些措施对其种质资源进行保护非常重要。</w:t>
            </w:r>
          </w:p>
          <w:p w14:paraId="2B8DB5B5">
            <w:pPr>
              <w:numPr>
                <w:ilvl w:val="0"/>
                <w:numId w:val="6"/>
              </w:numPr>
              <w:kinsoku w:val="0"/>
              <w:overflowPunct w:val="0"/>
              <w:autoSpaceDE w:val="0"/>
              <w:autoSpaceDN w:val="0"/>
              <w:adjustRightInd w:val="0"/>
              <w:snapToGrid w:val="0"/>
              <w:jc w:val="center"/>
              <w:rPr>
                <w:b/>
                <w:bCs/>
                <w:szCs w:val="21"/>
              </w:rPr>
            </w:pPr>
            <w:r>
              <w:rPr>
                <w:rFonts w:hint="eastAsia"/>
                <w:b/>
                <w:bCs/>
                <w:szCs w:val="21"/>
              </w:rPr>
              <w:t xml:space="preserve">     鱼类种类组成</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73"/>
              <w:gridCol w:w="2129"/>
              <w:gridCol w:w="2001"/>
              <w:gridCol w:w="2224"/>
            </w:tblGrid>
            <w:tr w14:paraId="0CD39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7" w:type="pct"/>
                  <w:vAlign w:val="center"/>
                </w:tcPr>
                <w:p w14:paraId="5ED11AB0">
                  <w:pPr>
                    <w:pStyle w:val="120"/>
                    <w:rPr>
                      <w:b/>
                      <w:szCs w:val="21"/>
                    </w:rPr>
                  </w:pPr>
                  <w:r>
                    <w:rPr>
                      <w:rFonts w:hint="eastAsia"/>
                      <w:b/>
                      <w:szCs w:val="21"/>
                    </w:rPr>
                    <w:t>目</w:t>
                  </w:r>
                </w:p>
              </w:tc>
              <w:tc>
                <w:tcPr>
                  <w:tcW w:w="1233" w:type="pct"/>
                  <w:vAlign w:val="center"/>
                </w:tcPr>
                <w:p w14:paraId="6612F46D">
                  <w:pPr>
                    <w:pStyle w:val="120"/>
                    <w:rPr>
                      <w:b/>
                      <w:szCs w:val="21"/>
                    </w:rPr>
                  </w:pPr>
                  <w:r>
                    <w:rPr>
                      <w:rFonts w:hint="eastAsia"/>
                      <w:b/>
                      <w:szCs w:val="21"/>
                    </w:rPr>
                    <w:t>科</w:t>
                  </w:r>
                </w:p>
              </w:tc>
              <w:tc>
                <w:tcPr>
                  <w:tcW w:w="1159" w:type="pct"/>
                  <w:vAlign w:val="center"/>
                </w:tcPr>
                <w:p w14:paraId="3BE9405D">
                  <w:pPr>
                    <w:pStyle w:val="120"/>
                    <w:rPr>
                      <w:b/>
                      <w:szCs w:val="21"/>
                    </w:rPr>
                  </w:pPr>
                  <w:r>
                    <w:rPr>
                      <w:rFonts w:hint="eastAsia"/>
                      <w:b/>
                      <w:szCs w:val="21"/>
                    </w:rPr>
                    <w:t>属</w:t>
                  </w:r>
                </w:p>
              </w:tc>
              <w:tc>
                <w:tcPr>
                  <w:tcW w:w="1288" w:type="pct"/>
                  <w:vAlign w:val="center"/>
                </w:tcPr>
                <w:p w14:paraId="487B3062">
                  <w:pPr>
                    <w:pStyle w:val="120"/>
                    <w:rPr>
                      <w:b/>
                      <w:szCs w:val="21"/>
                    </w:rPr>
                  </w:pPr>
                  <w:r>
                    <w:rPr>
                      <w:rFonts w:hint="eastAsia"/>
                      <w:b/>
                      <w:szCs w:val="21"/>
                    </w:rPr>
                    <w:t>种</w:t>
                  </w:r>
                </w:p>
              </w:tc>
            </w:tr>
            <w:tr w14:paraId="54947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7" w:type="pct"/>
                  <w:vAlign w:val="center"/>
                </w:tcPr>
                <w:p w14:paraId="242FF240">
                  <w:pPr>
                    <w:pStyle w:val="120"/>
                    <w:rPr>
                      <w:szCs w:val="21"/>
                    </w:rPr>
                  </w:pPr>
                  <w:r>
                    <w:rPr>
                      <w:rFonts w:hint="eastAsia"/>
                      <w:szCs w:val="21"/>
                    </w:rPr>
                    <w:t>鲤形目</w:t>
                  </w:r>
                </w:p>
              </w:tc>
              <w:tc>
                <w:tcPr>
                  <w:tcW w:w="1233" w:type="pct"/>
                  <w:vAlign w:val="center"/>
                </w:tcPr>
                <w:p w14:paraId="4A50DB98">
                  <w:pPr>
                    <w:pStyle w:val="120"/>
                    <w:rPr>
                      <w:szCs w:val="21"/>
                    </w:rPr>
                  </w:pPr>
                  <w:r>
                    <w:rPr>
                      <w:rFonts w:hint="eastAsia"/>
                      <w:szCs w:val="21"/>
                    </w:rPr>
                    <w:t>3</w:t>
                  </w:r>
                </w:p>
              </w:tc>
              <w:tc>
                <w:tcPr>
                  <w:tcW w:w="1159" w:type="pct"/>
                  <w:vAlign w:val="center"/>
                </w:tcPr>
                <w:p w14:paraId="21DF5105">
                  <w:pPr>
                    <w:pStyle w:val="120"/>
                    <w:rPr>
                      <w:szCs w:val="21"/>
                    </w:rPr>
                  </w:pPr>
                  <w:r>
                    <w:rPr>
                      <w:rFonts w:hint="eastAsia"/>
                      <w:szCs w:val="21"/>
                    </w:rPr>
                    <w:t>28</w:t>
                  </w:r>
                </w:p>
              </w:tc>
              <w:tc>
                <w:tcPr>
                  <w:tcW w:w="1288" w:type="pct"/>
                  <w:vAlign w:val="center"/>
                </w:tcPr>
                <w:p w14:paraId="7CD62C1A">
                  <w:pPr>
                    <w:pStyle w:val="120"/>
                    <w:rPr>
                      <w:szCs w:val="21"/>
                    </w:rPr>
                  </w:pPr>
                  <w:r>
                    <w:rPr>
                      <w:rFonts w:hint="eastAsia"/>
                      <w:szCs w:val="21"/>
                    </w:rPr>
                    <w:t>36</w:t>
                  </w:r>
                </w:p>
              </w:tc>
            </w:tr>
            <w:tr w14:paraId="24B43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7" w:type="pct"/>
                  <w:vAlign w:val="center"/>
                </w:tcPr>
                <w:p w14:paraId="65F8E2FD">
                  <w:pPr>
                    <w:pStyle w:val="120"/>
                    <w:rPr>
                      <w:szCs w:val="21"/>
                    </w:rPr>
                  </w:pPr>
                  <w:r>
                    <w:rPr>
                      <w:rFonts w:hint="eastAsia"/>
                      <w:szCs w:val="21"/>
                    </w:rPr>
                    <w:t>鲇形目</w:t>
                  </w:r>
                </w:p>
              </w:tc>
              <w:tc>
                <w:tcPr>
                  <w:tcW w:w="1233" w:type="pct"/>
                  <w:vAlign w:val="center"/>
                </w:tcPr>
                <w:p w14:paraId="647BA997">
                  <w:pPr>
                    <w:pStyle w:val="120"/>
                    <w:rPr>
                      <w:szCs w:val="21"/>
                    </w:rPr>
                  </w:pPr>
                  <w:r>
                    <w:rPr>
                      <w:rFonts w:hint="eastAsia"/>
                      <w:szCs w:val="21"/>
                    </w:rPr>
                    <w:t>3</w:t>
                  </w:r>
                </w:p>
              </w:tc>
              <w:tc>
                <w:tcPr>
                  <w:tcW w:w="1159" w:type="pct"/>
                  <w:vAlign w:val="center"/>
                </w:tcPr>
                <w:p w14:paraId="4D32575F">
                  <w:pPr>
                    <w:pStyle w:val="120"/>
                    <w:rPr>
                      <w:szCs w:val="21"/>
                    </w:rPr>
                  </w:pPr>
                  <w:r>
                    <w:rPr>
                      <w:rFonts w:hint="eastAsia"/>
                      <w:szCs w:val="21"/>
                    </w:rPr>
                    <w:t>6</w:t>
                  </w:r>
                </w:p>
              </w:tc>
              <w:tc>
                <w:tcPr>
                  <w:tcW w:w="1288" w:type="pct"/>
                  <w:vAlign w:val="center"/>
                </w:tcPr>
                <w:p w14:paraId="4EE3652D">
                  <w:pPr>
                    <w:pStyle w:val="120"/>
                    <w:rPr>
                      <w:szCs w:val="21"/>
                    </w:rPr>
                  </w:pPr>
                  <w:r>
                    <w:rPr>
                      <w:rFonts w:hint="eastAsia"/>
                      <w:szCs w:val="21"/>
                    </w:rPr>
                    <w:t>9</w:t>
                  </w:r>
                </w:p>
              </w:tc>
            </w:tr>
            <w:tr w14:paraId="39CB8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7" w:type="pct"/>
                  <w:vAlign w:val="center"/>
                </w:tcPr>
                <w:p w14:paraId="4CB51266">
                  <w:pPr>
                    <w:pStyle w:val="120"/>
                    <w:rPr>
                      <w:szCs w:val="21"/>
                    </w:rPr>
                  </w:pPr>
                  <w:r>
                    <w:rPr>
                      <w:rFonts w:hint="eastAsia"/>
                      <w:szCs w:val="21"/>
                    </w:rPr>
                    <w:t>鲈形目</w:t>
                  </w:r>
                </w:p>
              </w:tc>
              <w:tc>
                <w:tcPr>
                  <w:tcW w:w="1233" w:type="pct"/>
                  <w:vAlign w:val="center"/>
                </w:tcPr>
                <w:p w14:paraId="587B3957">
                  <w:pPr>
                    <w:pStyle w:val="120"/>
                    <w:rPr>
                      <w:szCs w:val="21"/>
                    </w:rPr>
                  </w:pPr>
                  <w:r>
                    <w:rPr>
                      <w:rFonts w:hint="eastAsia"/>
                      <w:szCs w:val="21"/>
                    </w:rPr>
                    <w:t>4</w:t>
                  </w:r>
                </w:p>
              </w:tc>
              <w:tc>
                <w:tcPr>
                  <w:tcW w:w="1159" w:type="pct"/>
                  <w:vAlign w:val="center"/>
                </w:tcPr>
                <w:p w14:paraId="51DD183C">
                  <w:pPr>
                    <w:pStyle w:val="120"/>
                    <w:rPr>
                      <w:szCs w:val="21"/>
                    </w:rPr>
                  </w:pPr>
                  <w:r>
                    <w:rPr>
                      <w:rFonts w:hint="eastAsia"/>
                      <w:szCs w:val="21"/>
                    </w:rPr>
                    <w:t>4</w:t>
                  </w:r>
                </w:p>
              </w:tc>
              <w:tc>
                <w:tcPr>
                  <w:tcW w:w="1288" w:type="pct"/>
                  <w:vAlign w:val="center"/>
                </w:tcPr>
                <w:p w14:paraId="274F91BD">
                  <w:pPr>
                    <w:pStyle w:val="120"/>
                    <w:rPr>
                      <w:szCs w:val="21"/>
                    </w:rPr>
                  </w:pPr>
                  <w:r>
                    <w:rPr>
                      <w:rFonts w:hint="eastAsia"/>
                      <w:szCs w:val="21"/>
                    </w:rPr>
                    <w:t>6</w:t>
                  </w:r>
                </w:p>
              </w:tc>
            </w:tr>
            <w:tr w14:paraId="6EBAC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7" w:type="pct"/>
                  <w:vAlign w:val="center"/>
                </w:tcPr>
                <w:p w14:paraId="152D58E7">
                  <w:pPr>
                    <w:pStyle w:val="120"/>
                    <w:rPr>
                      <w:szCs w:val="21"/>
                    </w:rPr>
                  </w:pPr>
                  <w:r>
                    <w:rPr>
                      <w:rFonts w:hint="eastAsia"/>
                      <w:szCs w:val="21"/>
                    </w:rPr>
                    <w:t>合鳃目</w:t>
                  </w:r>
                </w:p>
              </w:tc>
              <w:tc>
                <w:tcPr>
                  <w:tcW w:w="1233" w:type="pct"/>
                  <w:vAlign w:val="center"/>
                </w:tcPr>
                <w:p w14:paraId="5AFED3F6">
                  <w:pPr>
                    <w:pStyle w:val="120"/>
                    <w:rPr>
                      <w:szCs w:val="21"/>
                    </w:rPr>
                  </w:pPr>
                  <w:r>
                    <w:rPr>
                      <w:rFonts w:hint="eastAsia"/>
                      <w:szCs w:val="21"/>
                    </w:rPr>
                    <w:t>1</w:t>
                  </w:r>
                </w:p>
              </w:tc>
              <w:tc>
                <w:tcPr>
                  <w:tcW w:w="1159" w:type="pct"/>
                  <w:vAlign w:val="center"/>
                </w:tcPr>
                <w:p w14:paraId="6CFC5A76">
                  <w:pPr>
                    <w:pStyle w:val="120"/>
                    <w:rPr>
                      <w:szCs w:val="21"/>
                    </w:rPr>
                  </w:pPr>
                  <w:r>
                    <w:rPr>
                      <w:rFonts w:hint="eastAsia"/>
                      <w:szCs w:val="21"/>
                    </w:rPr>
                    <w:t>1</w:t>
                  </w:r>
                </w:p>
              </w:tc>
              <w:tc>
                <w:tcPr>
                  <w:tcW w:w="1288" w:type="pct"/>
                  <w:vAlign w:val="center"/>
                </w:tcPr>
                <w:p w14:paraId="3EE4A784">
                  <w:pPr>
                    <w:pStyle w:val="120"/>
                    <w:rPr>
                      <w:szCs w:val="21"/>
                    </w:rPr>
                  </w:pPr>
                  <w:r>
                    <w:rPr>
                      <w:rFonts w:hint="eastAsia"/>
                      <w:szCs w:val="21"/>
                    </w:rPr>
                    <w:t>1</w:t>
                  </w:r>
                </w:p>
              </w:tc>
            </w:tr>
            <w:tr w14:paraId="508D7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7" w:type="pct"/>
                  <w:vAlign w:val="center"/>
                </w:tcPr>
                <w:p w14:paraId="619F92AB">
                  <w:pPr>
                    <w:pStyle w:val="120"/>
                    <w:rPr>
                      <w:szCs w:val="21"/>
                    </w:rPr>
                  </w:pPr>
                  <w:r>
                    <w:rPr>
                      <w:rFonts w:hint="eastAsia"/>
                      <w:szCs w:val="21"/>
                    </w:rPr>
                    <w:t>合计</w:t>
                  </w:r>
                </w:p>
              </w:tc>
              <w:tc>
                <w:tcPr>
                  <w:tcW w:w="1233" w:type="pct"/>
                  <w:vAlign w:val="center"/>
                </w:tcPr>
                <w:p w14:paraId="79D17ACD">
                  <w:pPr>
                    <w:pStyle w:val="120"/>
                    <w:rPr>
                      <w:szCs w:val="21"/>
                    </w:rPr>
                  </w:pPr>
                  <w:r>
                    <w:rPr>
                      <w:rFonts w:hint="eastAsia"/>
                      <w:szCs w:val="21"/>
                    </w:rPr>
                    <w:t>11</w:t>
                  </w:r>
                </w:p>
              </w:tc>
              <w:tc>
                <w:tcPr>
                  <w:tcW w:w="1159" w:type="pct"/>
                  <w:vAlign w:val="center"/>
                </w:tcPr>
                <w:p w14:paraId="66BE7A05">
                  <w:pPr>
                    <w:pStyle w:val="120"/>
                    <w:rPr>
                      <w:szCs w:val="21"/>
                    </w:rPr>
                  </w:pPr>
                  <w:r>
                    <w:rPr>
                      <w:rFonts w:hint="eastAsia"/>
                      <w:szCs w:val="21"/>
                    </w:rPr>
                    <w:t>39</w:t>
                  </w:r>
                </w:p>
              </w:tc>
              <w:tc>
                <w:tcPr>
                  <w:tcW w:w="1288" w:type="pct"/>
                  <w:vAlign w:val="center"/>
                </w:tcPr>
                <w:p w14:paraId="08720428">
                  <w:pPr>
                    <w:pStyle w:val="120"/>
                    <w:rPr>
                      <w:szCs w:val="21"/>
                    </w:rPr>
                  </w:pPr>
                  <w:r>
                    <w:rPr>
                      <w:rFonts w:hint="eastAsia"/>
                      <w:szCs w:val="21"/>
                    </w:rPr>
                    <w:t>52</w:t>
                  </w:r>
                </w:p>
              </w:tc>
            </w:tr>
          </w:tbl>
          <w:p w14:paraId="30D0412B">
            <w:pPr>
              <w:pStyle w:val="27"/>
              <w:spacing w:after="0" w:line="360" w:lineRule="auto"/>
              <w:ind w:left="0" w:leftChars="0" w:firstLine="480" w:firstLineChars="200"/>
              <w:rPr>
                <w:sz w:val="24"/>
                <w:szCs w:val="24"/>
              </w:rPr>
            </w:pPr>
            <w:r>
              <w:rPr>
                <w:rFonts w:hint="eastAsia"/>
                <w:sz w:val="24"/>
                <w:szCs w:val="24"/>
              </w:rPr>
              <w:t>2、浮游动植物</w:t>
            </w:r>
          </w:p>
          <w:p w14:paraId="3F13E8AF">
            <w:pPr>
              <w:pStyle w:val="27"/>
              <w:spacing w:after="0" w:line="360" w:lineRule="auto"/>
              <w:ind w:left="0" w:leftChars="0" w:firstLine="480" w:firstLineChars="200"/>
              <w:rPr>
                <w:sz w:val="24"/>
                <w:szCs w:val="24"/>
              </w:rPr>
            </w:pPr>
            <w:r>
              <w:rPr>
                <w:rFonts w:hint="eastAsia"/>
                <w:sz w:val="24"/>
                <w:szCs w:val="24"/>
              </w:rPr>
              <w:t>引用《郪江流域生态环境调查与评估郪江干流水生生态调查评价报告》，郪江（大英段）河湖流域藻类植物5门、21科、31属、122种（含变种）。其中蓝藻门2科、2属、5种；硅藻门10科、20属、100种；甲藻门1科、1属、6种；黄藻门1科、1属、2种；绿藻门7科、7属、9种。</w:t>
            </w:r>
          </w:p>
          <w:p w14:paraId="1EA4D6C7">
            <w:pPr>
              <w:pStyle w:val="27"/>
              <w:spacing w:after="0" w:line="360" w:lineRule="auto"/>
              <w:ind w:left="0" w:leftChars="0" w:firstLine="480" w:firstLineChars="200"/>
              <w:rPr>
                <w:sz w:val="24"/>
                <w:szCs w:val="24"/>
              </w:rPr>
            </w:pPr>
            <w:r>
              <w:rPr>
                <w:rFonts w:hint="eastAsia"/>
                <w:sz w:val="24"/>
                <w:szCs w:val="24"/>
              </w:rPr>
              <w:t>郪江（大英段）有浮游动物37种，以枝角类为最多，其次为轮虫。保护区内底栖动物有四大类，共有17种，以水生昆虫占绝大多数。其余为环节动物，甲壳动物常见为罗卜螺和水蚯蚓。</w:t>
            </w:r>
          </w:p>
          <w:p w14:paraId="5D2EB903">
            <w:pPr>
              <w:pStyle w:val="27"/>
              <w:spacing w:after="0" w:line="360" w:lineRule="auto"/>
              <w:ind w:left="0" w:leftChars="0" w:firstLine="482" w:firstLineChars="200"/>
              <w:rPr>
                <w:b/>
                <w:bCs/>
                <w:sz w:val="24"/>
                <w:szCs w:val="24"/>
              </w:rPr>
            </w:pPr>
            <w:r>
              <w:rPr>
                <w:rFonts w:hint="eastAsia"/>
                <w:b/>
                <w:bCs/>
                <w:sz w:val="24"/>
                <w:szCs w:val="24"/>
              </w:rPr>
              <w:t>（五）生态敏感区调查</w:t>
            </w:r>
          </w:p>
          <w:p w14:paraId="18BF4480">
            <w:pPr>
              <w:pStyle w:val="27"/>
              <w:spacing w:after="0" w:line="360" w:lineRule="auto"/>
              <w:ind w:left="0" w:leftChars="0" w:firstLine="480" w:firstLineChars="200"/>
              <w:rPr>
                <w:sz w:val="24"/>
                <w:szCs w:val="24"/>
              </w:rPr>
            </w:pPr>
            <w:r>
              <w:rPr>
                <w:rFonts w:hint="eastAsia"/>
                <w:sz w:val="24"/>
                <w:szCs w:val="24"/>
              </w:rPr>
              <w:t>根据中华人民共和国生态环境部网站公布的《全国自然保护区名录》、四川省生态环境厅网站公布的《四川省自然保护区名录》、四川省住房和城乡建设厅网站公布的《四川省及各市风景名胜区名录》、四川省人民政府网站公布的《四川省人民政府办公厅关于公布四川省林业地方级自然保护区名录的通知》（川办函〔2013〕109号）、文物保护单位等资料，本项目评价范围内不涉及国家公园、自然保护区、自然公园等自然保护地，不涉及发布的重要物种重要生境及鱼类“三场”。</w:t>
            </w:r>
          </w:p>
          <w:p w14:paraId="4D26552F">
            <w:pPr>
              <w:snapToGrid w:val="0"/>
              <w:spacing w:line="360" w:lineRule="auto"/>
              <w:rPr>
                <w:rFonts w:eastAsia="宋"/>
                <w:b/>
                <w:bCs/>
                <w:sz w:val="24"/>
              </w:rPr>
            </w:pPr>
            <w:r>
              <w:rPr>
                <w:rFonts w:hint="eastAsia" w:eastAsia="宋"/>
                <w:b/>
                <w:bCs/>
                <w:sz w:val="24"/>
              </w:rPr>
              <w:t>二</w:t>
            </w:r>
            <w:r>
              <w:rPr>
                <w:rFonts w:eastAsia="宋"/>
                <w:b/>
                <w:bCs/>
                <w:sz w:val="24"/>
              </w:rPr>
              <w:t>、大气环境</w:t>
            </w:r>
            <w:r>
              <w:rPr>
                <w:rFonts w:hint="eastAsia" w:eastAsia="宋"/>
                <w:b/>
                <w:bCs/>
                <w:sz w:val="24"/>
              </w:rPr>
              <w:t>质量</w:t>
            </w:r>
            <w:r>
              <w:rPr>
                <w:rFonts w:eastAsia="宋"/>
                <w:b/>
                <w:bCs/>
                <w:sz w:val="24"/>
              </w:rPr>
              <w:t>现状</w:t>
            </w:r>
          </w:p>
          <w:p w14:paraId="3CFDA380">
            <w:pPr>
              <w:spacing w:line="360" w:lineRule="auto"/>
              <w:ind w:left="-2" w:leftChars="-1" w:firstLine="482" w:firstLineChars="200"/>
              <w:jc w:val="left"/>
              <w:rPr>
                <w:b/>
                <w:bCs/>
                <w:kern w:val="0"/>
                <w:sz w:val="24"/>
              </w:rPr>
            </w:pPr>
            <w:r>
              <w:rPr>
                <w:rFonts w:hint="eastAsia"/>
                <w:b/>
                <w:bCs/>
                <w:kern w:val="0"/>
                <w:sz w:val="24"/>
              </w:rPr>
              <w:t>1、区域环境空气达标区判定</w:t>
            </w:r>
          </w:p>
          <w:p w14:paraId="677460FD">
            <w:pPr>
              <w:spacing w:line="360" w:lineRule="auto"/>
              <w:ind w:left="-2" w:leftChars="-1" w:firstLine="480" w:firstLineChars="200"/>
              <w:jc w:val="left"/>
              <w:rPr>
                <w:kern w:val="0"/>
                <w:sz w:val="24"/>
              </w:rPr>
            </w:pPr>
            <w:r>
              <w:rPr>
                <w:rFonts w:hint="eastAsia"/>
                <w:kern w:val="0"/>
                <w:sz w:val="24"/>
              </w:rPr>
              <w:t>根据《建设项目环境影响报告表编制技术指南（生态影响类）》要求，本项目优先选用国家或地方生态环境主管部门公开发布的评价基准年环境质量公告或环境质量公告中的数据或结论。因此，本次项目所在区域达标判定采用遂宁市生态环境保护委员会办公室《关于2024年12月全市地表水和环境空气质量排名情况的通报》（遂环委办〔2025〕7号）中的环境空气质量数据。</w:t>
            </w:r>
          </w:p>
          <w:p w14:paraId="1A43F10C">
            <w:pPr>
              <w:spacing w:line="360" w:lineRule="auto"/>
              <w:ind w:left="-2" w:leftChars="-1" w:firstLine="480" w:firstLineChars="200"/>
              <w:jc w:val="left"/>
              <w:rPr>
                <w:kern w:val="0"/>
                <w:sz w:val="24"/>
              </w:rPr>
            </w:pPr>
            <w:r>
              <w:rPr>
                <w:rFonts w:hint="eastAsia"/>
                <w:kern w:val="0"/>
                <w:sz w:val="24"/>
              </w:rPr>
              <w:t>2024年大英县主要污染物SO</w:t>
            </w:r>
            <w:r>
              <w:rPr>
                <w:rFonts w:hint="eastAsia"/>
                <w:kern w:val="0"/>
                <w:sz w:val="24"/>
                <w:vertAlign w:val="subscript"/>
              </w:rPr>
              <w:t>2</w:t>
            </w:r>
            <w:r>
              <w:rPr>
                <w:rFonts w:hint="eastAsia"/>
                <w:kern w:val="0"/>
                <w:sz w:val="24"/>
              </w:rPr>
              <w:t>、NO</w:t>
            </w:r>
            <w:r>
              <w:rPr>
                <w:rFonts w:hint="eastAsia"/>
                <w:kern w:val="0"/>
                <w:sz w:val="24"/>
                <w:vertAlign w:val="subscript"/>
              </w:rPr>
              <w:t>2</w:t>
            </w:r>
            <w:r>
              <w:rPr>
                <w:rFonts w:hint="eastAsia"/>
                <w:kern w:val="0"/>
                <w:sz w:val="24"/>
              </w:rPr>
              <w:t>、PM</w:t>
            </w:r>
            <w:r>
              <w:rPr>
                <w:rFonts w:hint="eastAsia"/>
                <w:kern w:val="0"/>
                <w:sz w:val="24"/>
                <w:vertAlign w:val="subscript"/>
              </w:rPr>
              <w:t>10</w:t>
            </w:r>
            <w:r>
              <w:rPr>
                <w:rFonts w:hint="eastAsia"/>
                <w:kern w:val="0"/>
                <w:sz w:val="24"/>
              </w:rPr>
              <w:t>、PM</w:t>
            </w:r>
            <w:r>
              <w:rPr>
                <w:rFonts w:hint="eastAsia"/>
                <w:kern w:val="0"/>
                <w:sz w:val="24"/>
                <w:vertAlign w:val="subscript"/>
              </w:rPr>
              <w:t>2.5</w:t>
            </w:r>
            <w:r>
              <w:rPr>
                <w:rFonts w:hint="eastAsia"/>
                <w:kern w:val="0"/>
                <w:sz w:val="24"/>
              </w:rPr>
              <w:t>、CO和O</w:t>
            </w:r>
            <w:r>
              <w:rPr>
                <w:rFonts w:hint="eastAsia"/>
                <w:kern w:val="0"/>
                <w:sz w:val="24"/>
                <w:vertAlign w:val="subscript"/>
              </w:rPr>
              <w:t>3</w:t>
            </w:r>
            <w:r>
              <w:rPr>
                <w:rFonts w:hint="eastAsia"/>
                <w:kern w:val="0"/>
                <w:sz w:val="24"/>
              </w:rPr>
              <w:t>的年均值分别为5.0微克/立方米、13.6微克/立方米、34.3微克/立方米、22.4微克/立方米、1.0毫克/立方米和140微克/立方米。同比SO</w:t>
            </w:r>
            <w:r>
              <w:rPr>
                <w:rFonts w:hint="eastAsia"/>
                <w:kern w:val="0"/>
                <w:sz w:val="24"/>
                <w:vertAlign w:val="subscript"/>
              </w:rPr>
              <w:t>2</w:t>
            </w:r>
            <w:r>
              <w:rPr>
                <w:rFonts w:hint="eastAsia"/>
                <w:kern w:val="0"/>
                <w:sz w:val="24"/>
              </w:rPr>
              <w:t>、PM</w:t>
            </w:r>
            <w:r>
              <w:rPr>
                <w:rFonts w:hint="eastAsia"/>
                <w:kern w:val="0"/>
                <w:sz w:val="24"/>
                <w:vertAlign w:val="subscript"/>
              </w:rPr>
              <w:t>10</w:t>
            </w:r>
            <w:r>
              <w:rPr>
                <w:rFonts w:hint="eastAsia"/>
                <w:kern w:val="0"/>
                <w:sz w:val="24"/>
              </w:rPr>
              <w:t>、O</w:t>
            </w:r>
            <w:r>
              <w:rPr>
                <w:rFonts w:hint="eastAsia"/>
                <w:kern w:val="0"/>
                <w:sz w:val="24"/>
                <w:vertAlign w:val="subscript"/>
              </w:rPr>
              <w:t>3</w:t>
            </w:r>
            <w:r>
              <w:rPr>
                <w:rFonts w:hint="eastAsia"/>
                <w:kern w:val="0"/>
                <w:sz w:val="24"/>
              </w:rPr>
              <w:t>、PM</w:t>
            </w:r>
            <w:r>
              <w:rPr>
                <w:rFonts w:hint="eastAsia"/>
                <w:kern w:val="0"/>
                <w:sz w:val="24"/>
                <w:vertAlign w:val="subscript"/>
              </w:rPr>
              <w:t>2.5</w:t>
            </w:r>
            <w:r>
              <w:rPr>
                <w:rFonts w:hint="eastAsia"/>
                <w:kern w:val="0"/>
                <w:sz w:val="24"/>
              </w:rPr>
              <w:t>浓度分别下降了10.7%、13.8%、0.8%、13.2%，NO</w:t>
            </w:r>
            <w:r>
              <w:rPr>
                <w:rFonts w:hint="eastAsia"/>
                <w:kern w:val="0"/>
                <w:sz w:val="24"/>
                <w:vertAlign w:val="subscript"/>
              </w:rPr>
              <w:t>2</w:t>
            </w:r>
            <w:r>
              <w:rPr>
                <w:rFonts w:hint="eastAsia"/>
                <w:kern w:val="0"/>
                <w:sz w:val="24"/>
              </w:rPr>
              <w:t>浓度分别上升了1.5%。</w:t>
            </w:r>
          </w:p>
          <w:p w14:paraId="5B20A7A5">
            <w:pPr>
              <w:pStyle w:val="15"/>
              <w:kinsoku w:val="0"/>
              <w:overflowPunct w:val="0"/>
              <w:autoSpaceDE w:val="0"/>
              <w:autoSpaceDN w:val="0"/>
              <w:spacing w:line="360" w:lineRule="auto"/>
              <w:ind w:firstLine="480" w:firstLineChars="200"/>
              <w:jc w:val="left"/>
              <w:rPr>
                <w:sz w:val="24"/>
              </w:rPr>
            </w:pPr>
            <w:r>
              <w:rPr>
                <w:rFonts w:hint="eastAsia"/>
                <w:sz w:val="24"/>
              </w:rPr>
              <w:t>综上所述，该区域为环境空气质量达标区域。</w:t>
            </w:r>
          </w:p>
          <w:p w14:paraId="081ACFAA">
            <w:pPr>
              <w:spacing w:line="360" w:lineRule="auto"/>
              <w:rPr>
                <w:sz w:val="24"/>
              </w:rPr>
            </w:pPr>
            <w:r>
              <w:rPr>
                <w:rFonts w:hint="eastAsia" w:eastAsia="宋"/>
                <w:b/>
                <w:sz w:val="24"/>
              </w:rPr>
              <w:t>三</w:t>
            </w:r>
            <w:r>
              <w:rPr>
                <w:rFonts w:eastAsia="宋"/>
                <w:b/>
                <w:sz w:val="24"/>
              </w:rPr>
              <w:t>、</w:t>
            </w:r>
            <w:r>
              <w:rPr>
                <w:rFonts w:hint="eastAsia" w:eastAsia="宋"/>
                <w:b/>
                <w:sz w:val="24"/>
              </w:rPr>
              <w:t>地表水环境质量现状</w:t>
            </w:r>
          </w:p>
          <w:p w14:paraId="53548252">
            <w:pPr>
              <w:kinsoku w:val="0"/>
              <w:overflowPunct w:val="0"/>
              <w:autoSpaceDE w:val="0"/>
              <w:autoSpaceDN w:val="0"/>
              <w:adjustRightInd w:val="0"/>
              <w:snapToGrid w:val="0"/>
              <w:spacing w:line="360" w:lineRule="auto"/>
              <w:ind w:firstLine="482" w:firstLineChars="200"/>
              <w:rPr>
                <w:b/>
                <w:bCs/>
                <w:sz w:val="24"/>
              </w:rPr>
            </w:pPr>
            <w:r>
              <w:rPr>
                <w:rFonts w:hint="eastAsia"/>
                <w:b/>
                <w:bCs/>
                <w:sz w:val="24"/>
              </w:rPr>
              <w:t>1、区域河流水文特征</w:t>
            </w:r>
          </w:p>
          <w:p w14:paraId="5CDE0F36">
            <w:pPr>
              <w:kinsoku w:val="0"/>
              <w:overflowPunct w:val="0"/>
              <w:autoSpaceDE w:val="0"/>
              <w:autoSpaceDN w:val="0"/>
              <w:adjustRightInd w:val="0"/>
              <w:snapToGrid w:val="0"/>
              <w:spacing w:line="360" w:lineRule="auto"/>
              <w:ind w:firstLine="482" w:firstLineChars="200"/>
              <w:rPr>
                <w:b/>
                <w:bCs/>
                <w:sz w:val="24"/>
              </w:rPr>
            </w:pPr>
            <w:r>
              <w:rPr>
                <w:rFonts w:hint="eastAsia"/>
                <w:b/>
                <w:bCs/>
                <w:sz w:val="24"/>
              </w:rPr>
              <w:t>（1）流域概况</w:t>
            </w:r>
          </w:p>
          <w:p w14:paraId="2589BFC9">
            <w:pPr>
              <w:kinsoku w:val="0"/>
              <w:overflowPunct w:val="0"/>
              <w:autoSpaceDE w:val="0"/>
              <w:autoSpaceDN w:val="0"/>
              <w:adjustRightInd w:val="0"/>
              <w:snapToGrid w:val="0"/>
              <w:spacing w:line="360" w:lineRule="auto"/>
              <w:ind w:firstLine="480" w:firstLineChars="200"/>
              <w:rPr>
                <w:sz w:val="24"/>
              </w:rPr>
            </w:pPr>
            <w:r>
              <w:rPr>
                <w:rFonts w:hint="eastAsia"/>
                <w:sz w:val="24"/>
              </w:rPr>
              <w:t>寸塘口河古称灵溪，又名河边溪、边场河、河边河，发源于资阳市乐至县境，从河边镇高滩子村流经星花、河边、八里、马头、寸塘口、红林和太吉等总支，于蓬莱镇滨江东路临江桥注入郪江，全长41.3km，总流域面积为168km</w:t>
            </w:r>
            <w:r>
              <w:rPr>
                <w:rFonts w:hint="eastAsia"/>
                <w:sz w:val="24"/>
                <w:vertAlign w:val="superscript"/>
              </w:rPr>
              <w:t>2</w:t>
            </w:r>
            <w:r>
              <w:rPr>
                <w:rFonts w:hint="eastAsia"/>
                <w:sz w:val="24"/>
              </w:rPr>
              <w:t>。流域内有2座中型水库（星花水库、寸塘口水库），4座小型水库（青狮水库、石龙水库、龙王水库、四五水库）。流域水系呈树枝状不对称分布。</w:t>
            </w:r>
          </w:p>
          <w:p w14:paraId="52B51B06">
            <w:pPr>
              <w:kinsoku w:val="0"/>
              <w:overflowPunct w:val="0"/>
              <w:autoSpaceDE w:val="0"/>
              <w:autoSpaceDN w:val="0"/>
              <w:adjustRightInd w:val="0"/>
              <w:snapToGrid w:val="0"/>
              <w:spacing w:line="360" w:lineRule="auto"/>
              <w:ind w:firstLine="480" w:firstLineChars="200"/>
              <w:rPr>
                <w:sz w:val="24"/>
              </w:rPr>
            </w:pPr>
            <w:r>
              <w:rPr>
                <w:rFonts w:hint="eastAsia"/>
                <w:sz w:val="24"/>
              </w:rPr>
              <w:t>虾子桥河又名小溪河，为寸塘口河左岸一级支流，发源与蓬莱镇与玉峰镇交界，东南流经查家湾、张家坝，在太吉社区汇入寸塘口河，河道全长7.2km，流域面积11.4km</w:t>
            </w:r>
            <w:r>
              <w:rPr>
                <w:rFonts w:hint="eastAsia"/>
                <w:sz w:val="24"/>
                <w:vertAlign w:val="superscript"/>
              </w:rPr>
              <w:t>2</w:t>
            </w:r>
            <w:r>
              <w:rPr>
                <w:rFonts w:hint="eastAsia"/>
                <w:sz w:val="24"/>
              </w:rPr>
              <w:t>，平均比降5.5‰，径流主要由降水补给，沿河两岸漫滩和阶地发育。河流形态蜿蜒曲折，河道内修建有拦河堰及中小型桥梁，工程河段现状河道防洪能力5~10年一遇。太吉大道一号桥距河口0.6km，控制集雨面积10.7km</w:t>
            </w:r>
            <w:r>
              <w:rPr>
                <w:rFonts w:hint="eastAsia"/>
                <w:sz w:val="24"/>
                <w:vertAlign w:val="superscript"/>
              </w:rPr>
              <w:t>2</w:t>
            </w:r>
            <w:r>
              <w:rPr>
                <w:rFonts w:hint="eastAsia"/>
                <w:sz w:val="24"/>
              </w:rPr>
              <w:t>，太吉大道二号桥距河口2.5km，控制集雨面积7.8km</w:t>
            </w:r>
            <w:r>
              <w:rPr>
                <w:rFonts w:hint="eastAsia"/>
                <w:sz w:val="24"/>
                <w:vertAlign w:val="superscript"/>
              </w:rPr>
              <w:t>2</w:t>
            </w:r>
            <w:r>
              <w:rPr>
                <w:rFonts w:hint="eastAsia"/>
                <w:sz w:val="24"/>
              </w:rPr>
              <w:t>。</w:t>
            </w:r>
          </w:p>
          <w:p w14:paraId="5210E870">
            <w:pPr>
              <w:kinsoku w:val="0"/>
              <w:overflowPunct w:val="0"/>
              <w:autoSpaceDE w:val="0"/>
              <w:autoSpaceDN w:val="0"/>
              <w:adjustRightInd w:val="0"/>
              <w:snapToGrid w:val="0"/>
              <w:spacing w:line="360" w:lineRule="auto"/>
              <w:ind w:firstLine="480" w:firstLineChars="200"/>
              <w:rPr>
                <w:sz w:val="24"/>
              </w:rPr>
            </w:pPr>
            <w:r>
              <w:rPr>
                <w:rFonts w:hint="eastAsia"/>
                <w:sz w:val="24"/>
              </w:rPr>
              <w:t>郪江古称郪水、玉江，地处四川省中部丘陵区，为涪江右岸一级支流；流域北依凯江流域；西临沱江左岸支流阳化河流域；南与琼江支流白马河相邻；东抵涪江右岸。地理位置介于东经104°29′～105°30′，北纬30°08′～31°15′之间。郪江干流发源于中江县龙台镇大田湾，自西北往东南流，于象山镇入大英县境，自西向东横贯大英县，在郪口汇入涪江；干流全长139.5km，流域面积2144km</w:t>
            </w:r>
            <w:r>
              <w:rPr>
                <w:rFonts w:hint="eastAsia"/>
                <w:sz w:val="24"/>
                <w:vertAlign w:val="superscript"/>
              </w:rPr>
              <w:t>2</w:t>
            </w:r>
            <w:r>
              <w:rPr>
                <w:rFonts w:hint="eastAsia"/>
                <w:sz w:val="24"/>
              </w:rPr>
              <w:t>，平均比降0.41‰。</w:t>
            </w:r>
          </w:p>
          <w:p w14:paraId="77C83BF0">
            <w:pPr>
              <w:kinsoku w:val="0"/>
              <w:overflowPunct w:val="0"/>
              <w:autoSpaceDE w:val="0"/>
              <w:autoSpaceDN w:val="0"/>
              <w:adjustRightInd w:val="0"/>
              <w:snapToGrid w:val="0"/>
              <w:spacing w:line="360" w:lineRule="auto"/>
              <w:ind w:firstLine="480" w:firstLineChars="200"/>
              <w:rPr>
                <w:sz w:val="24"/>
              </w:rPr>
            </w:pPr>
            <w:r>
              <w:rPr>
                <w:rFonts w:hint="eastAsia"/>
                <w:sz w:val="24"/>
              </w:rPr>
              <w:t>郪江干流大英境内段长65.4km，流域面积588km</w:t>
            </w:r>
            <w:r>
              <w:rPr>
                <w:rFonts w:hint="eastAsia"/>
                <w:sz w:val="24"/>
                <w:vertAlign w:val="superscript"/>
              </w:rPr>
              <w:t>2</w:t>
            </w:r>
            <w:r>
              <w:rPr>
                <w:rFonts w:hint="eastAsia"/>
                <w:sz w:val="24"/>
              </w:rPr>
              <w:t>，落差24m。两岸一级支流有龙溪河、马力河、</w:t>
            </w:r>
            <w:r>
              <w:rPr>
                <w:rFonts w:hint="eastAsia"/>
                <w:b/>
                <w:bCs/>
                <w:sz w:val="24"/>
              </w:rPr>
              <w:t>寸塘口河</w:t>
            </w:r>
            <w:r>
              <w:rPr>
                <w:rFonts w:hint="eastAsia"/>
                <w:sz w:val="24"/>
              </w:rPr>
              <w:t>、古柏溪、通仙溪、黄腊溪、小蒜溪、瑰溪。其中龙溪河发源于三台境内，流经黄连、象山，在象山镇场西北注入郪江，流域面积185km</w:t>
            </w:r>
            <w:r>
              <w:rPr>
                <w:rFonts w:hint="eastAsia"/>
                <w:sz w:val="24"/>
                <w:vertAlign w:val="superscript"/>
              </w:rPr>
              <w:t>2</w:t>
            </w:r>
            <w:r>
              <w:rPr>
                <w:rFonts w:hint="eastAsia"/>
                <w:sz w:val="24"/>
              </w:rPr>
              <w:t>。马力河发源于资阳市乐至县境内，流经福禄、智水、玉峰、团结、象山，在马蹄垭村注入郪江，流域面积167km</w:t>
            </w:r>
            <w:r>
              <w:rPr>
                <w:rFonts w:hint="eastAsia"/>
                <w:sz w:val="24"/>
                <w:vertAlign w:val="superscript"/>
              </w:rPr>
              <w:t>2</w:t>
            </w:r>
            <w:r>
              <w:rPr>
                <w:rFonts w:hint="eastAsia"/>
                <w:sz w:val="24"/>
              </w:rPr>
              <w:t>。</w:t>
            </w:r>
          </w:p>
          <w:p w14:paraId="67789F25">
            <w:pPr>
              <w:kinsoku w:val="0"/>
              <w:overflowPunct w:val="0"/>
              <w:autoSpaceDE w:val="0"/>
              <w:autoSpaceDN w:val="0"/>
              <w:adjustRightInd w:val="0"/>
              <w:snapToGrid w:val="0"/>
              <w:spacing w:line="360" w:lineRule="auto"/>
              <w:ind w:firstLine="482" w:firstLineChars="200"/>
              <w:rPr>
                <w:b/>
                <w:sz w:val="24"/>
              </w:rPr>
            </w:pPr>
            <w:r>
              <w:rPr>
                <w:rFonts w:hint="eastAsia"/>
                <w:b/>
                <w:sz w:val="24"/>
              </w:rPr>
              <w:t>本工程太吉大道一号、二号桥，横跨虾子桥河，虾子桥河为寸塘口河左岸一级支流，郪江右岸二级支流，涪江右岸三级支流。</w:t>
            </w:r>
          </w:p>
          <w:p w14:paraId="3B20C456">
            <w:pPr>
              <w:kinsoku w:val="0"/>
              <w:overflowPunct w:val="0"/>
              <w:autoSpaceDE w:val="0"/>
              <w:autoSpaceDN w:val="0"/>
              <w:adjustRightInd w:val="0"/>
              <w:snapToGrid w:val="0"/>
              <w:spacing w:line="360" w:lineRule="auto"/>
              <w:ind w:firstLine="482" w:firstLineChars="200"/>
              <w:rPr>
                <w:b/>
                <w:bCs/>
                <w:sz w:val="24"/>
              </w:rPr>
            </w:pPr>
            <w:r>
              <w:rPr>
                <w:rFonts w:hint="eastAsia"/>
                <w:b/>
                <w:bCs/>
                <w:sz w:val="24"/>
              </w:rPr>
              <w:t>（2）河段概况</w:t>
            </w:r>
          </w:p>
          <w:p w14:paraId="4F8C2162">
            <w:pPr>
              <w:spacing w:line="360" w:lineRule="auto"/>
              <w:ind w:right="17" w:firstLine="480"/>
              <w:rPr>
                <w:sz w:val="24"/>
                <w:lang w:val="zh-CN"/>
              </w:rPr>
            </w:pPr>
            <w:bookmarkStart w:id="20" w:name="OLE_LINK6"/>
            <w:r>
              <w:rPr>
                <w:rFonts w:hint="eastAsia"/>
                <w:sz w:val="24"/>
              </w:rPr>
              <w:t>本次工程位于大英县城区范围内，</w:t>
            </w:r>
            <w:r>
              <w:rPr>
                <w:rFonts w:hint="eastAsia"/>
                <w:sz w:val="24"/>
                <w:szCs w:val="20"/>
              </w:rPr>
              <w:t>上游太吉大道二号桥距河口2.5km，控制集雨面积7.8km</w:t>
            </w:r>
            <w:r>
              <w:rPr>
                <w:rFonts w:hint="eastAsia"/>
                <w:sz w:val="24"/>
                <w:szCs w:val="20"/>
                <w:vertAlign w:val="superscript"/>
              </w:rPr>
              <w:t>2</w:t>
            </w:r>
            <w:r>
              <w:rPr>
                <w:rFonts w:hint="eastAsia"/>
                <w:sz w:val="24"/>
                <w:szCs w:val="20"/>
              </w:rPr>
              <w:t>，工程河段呈“Ω”弯，河道宽5~</w:t>
            </w:r>
            <w:r>
              <w:rPr>
                <w:sz w:val="24"/>
                <w:szCs w:val="20"/>
              </w:rPr>
              <w:t>25</w:t>
            </w:r>
            <w:r>
              <w:rPr>
                <w:rFonts w:hint="eastAsia"/>
                <w:sz w:val="24"/>
                <w:szCs w:val="20"/>
              </w:rPr>
              <w:t>m，桥位河道宽1</w:t>
            </w:r>
            <w:r>
              <w:rPr>
                <w:sz w:val="24"/>
                <w:szCs w:val="20"/>
              </w:rPr>
              <w:t>3</w:t>
            </w:r>
            <w:r>
              <w:rPr>
                <w:rFonts w:hint="eastAsia"/>
                <w:sz w:val="24"/>
                <w:szCs w:val="20"/>
              </w:rPr>
              <w:t>m，河槽为“U”型，两岸自然岸坡，植被茂密，两岸高程</w:t>
            </w:r>
            <w:r>
              <w:rPr>
                <w:sz w:val="24"/>
                <w:szCs w:val="20"/>
              </w:rPr>
              <w:t>311~313</w:t>
            </w:r>
            <w:r>
              <w:rPr>
                <w:rFonts w:hint="eastAsia"/>
                <w:sz w:val="24"/>
                <w:szCs w:val="20"/>
              </w:rPr>
              <w:t>m，河段常年水位深0</w:t>
            </w:r>
            <w:r>
              <w:rPr>
                <w:sz w:val="24"/>
                <w:szCs w:val="20"/>
              </w:rPr>
              <w:t>.5</w:t>
            </w:r>
            <w:r>
              <w:rPr>
                <w:rFonts w:hint="eastAsia"/>
                <w:sz w:val="24"/>
                <w:szCs w:val="20"/>
              </w:rPr>
              <w:t>~</w:t>
            </w:r>
            <w:r>
              <w:rPr>
                <w:sz w:val="24"/>
                <w:szCs w:val="20"/>
              </w:rPr>
              <w:t>1</w:t>
            </w:r>
            <w:r>
              <w:rPr>
                <w:rFonts w:hint="eastAsia"/>
                <w:sz w:val="24"/>
                <w:szCs w:val="20"/>
              </w:rPr>
              <w:t>m。</w:t>
            </w:r>
          </w:p>
          <w:p w14:paraId="222CAEB5">
            <w:pPr>
              <w:spacing w:line="360" w:lineRule="auto"/>
              <w:ind w:right="17" w:firstLine="480" w:firstLineChars="200"/>
              <w:rPr>
                <w:sz w:val="24"/>
                <w:szCs w:val="20"/>
              </w:rPr>
            </w:pPr>
            <w:r>
              <w:rPr>
                <w:rFonts w:hint="eastAsia"/>
                <w:sz w:val="24"/>
                <w:szCs w:val="20"/>
              </w:rPr>
              <w:t>太吉一号桥位于虾子桥河河口上游0.6km，控制集雨面积10.7km</w:t>
            </w:r>
            <w:r>
              <w:rPr>
                <w:rFonts w:hint="eastAsia"/>
                <w:sz w:val="24"/>
                <w:szCs w:val="20"/>
                <w:vertAlign w:val="superscript"/>
              </w:rPr>
              <w:t>2</w:t>
            </w:r>
            <w:r>
              <w:rPr>
                <w:rFonts w:hint="eastAsia"/>
                <w:sz w:val="24"/>
                <w:szCs w:val="20"/>
              </w:rPr>
              <w:t>，工程河段呈“S”弯，河道宽</w:t>
            </w:r>
            <w:r>
              <w:rPr>
                <w:sz w:val="24"/>
                <w:szCs w:val="20"/>
              </w:rPr>
              <w:t>15</w:t>
            </w:r>
            <w:r>
              <w:rPr>
                <w:rFonts w:hint="eastAsia"/>
                <w:sz w:val="24"/>
                <w:szCs w:val="20"/>
              </w:rPr>
              <w:t>~</w:t>
            </w:r>
            <w:r>
              <w:rPr>
                <w:sz w:val="24"/>
                <w:szCs w:val="20"/>
              </w:rPr>
              <w:t>18</w:t>
            </w:r>
            <w:r>
              <w:rPr>
                <w:rFonts w:hint="eastAsia"/>
                <w:sz w:val="24"/>
                <w:szCs w:val="20"/>
              </w:rPr>
              <w:t>m，桥位河道宽1</w:t>
            </w:r>
            <w:r>
              <w:rPr>
                <w:sz w:val="24"/>
                <w:szCs w:val="20"/>
              </w:rPr>
              <w:t>5</w:t>
            </w:r>
            <w:r>
              <w:rPr>
                <w:rFonts w:hint="eastAsia"/>
                <w:sz w:val="24"/>
                <w:szCs w:val="20"/>
              </w:rPr>
              <w:t>m，河槽为“U”型，两岸自然岸坡，植被茂密，两岸高程</w:t>
            </w:r>
            <w:r>
              <w:rPr>
                <w:sz w:val="24"/>
                <w:szCs w:val="20"/>
              </w:rPr>
              <w:t>303</w:t>
            </w:r>
            <w:r>
              <w:rPr>
                <w:rFonts w:hint="eastAsia"/>
                <w:sz w:val="24"/>
                <w:szCs w:val="20"/>
              </w:rPr>
              <w:t>~</w:t>
            </w:r>
            <w:r>
              <w:rPr>
                <w:sz w:val="24"/>
                <w:szCs w:val="20"/>
              </w:rPr>
              <w:t>309</w:t>
            </w:r>
            <w:r>
              <w:rPr>
                <w:rFonts w:hint="eastAsia"/>
                <w:sz w:val="24"/>
                <w:szCs w:val="20"/>
              </w:rPr>
              <w:t>m，河段常年水位深0</w:t>
            </w:r>
            <w:r>
              <w:rPr>
                <w:sz w:val="24"/>
                <w:szCs w:val="20"/>
              </w:rPr>
              <w:t>.5</w:t>
            </w:r>
            <w:r>
              <w:rPr>
                <w:rFonts w:hint="eastAsia"/>
                <w:sz w:val="24"/>
                <w:szCs w:val="20"/>
              </w:rPr>
              <w:t>~</w:t>
            </w:r>
            <w:r>
              <w:rPr>
                <w:sz w:val="24"/>
                <w:szCs w:val="20"/>
              </w:rPr>
              <w:t>1</w:t>
            </w:r>
            <w:r>
              <w:rPr>
                <w:rFonts w:hint="eastAsia"/>
                <w:sz w:val="24"/>
                <w:szCs w:val="20"/>
              </w:rPr>
              <w:t>m。</w:t>
            </w:r>
          </w:p>
          <w:p w14:paraId="11515EE7">
            <w:pPr>
              <w:spacing w:line="360" w:lineRule="auto"/>
              <w:ind w:firstLine="480" w:firstLineChars="200"/>
              <w:rPr>
                <w:sz w:val="24"/>
                <w:szCs w:val="20"/>
                <w:lang w:val="zh-CN"/>
              </w:rPr>
            </w:pPr>
            <w:r>
              <w:rPr>
                <w:rFonts w:hint="eastAsia"/>
                <w:sz w:val="24"/>
                <w:szCs w:val="20"/>
              </w:rPr>
              <w:t>河道流向东南，</w:t>
            </w:r>
            <w:r>
              <w:rPr>
                <w:rFonts w:hint="eastAsia"/>
                <w:sz w:val="24"/>
                <w:szCs w:val="20"/>
                <w:lang w:val="zh-CN"/>
              </w:rPr>
              <w:t>桥区河段河床质稳定，比降小，流速缓，河段以淤积发展为主，河床粒径较小，淤泥层较厚。已基本达到冲淤平衡；河床较稳定。</w:t>
            </w:r>
            <w:r>
              <w:rPr>
                <w:rFonts w:hint="eastAsia"/>
                <w:sz w:val="24"/>
                <w:szCs w:val="20"/>
              </w:rPr>
              <w:t>河流形态蜿蜒曲折，</w:t>
            </w:r>
            <w:r>
              <w:rPr>
                <w:rFonts w:hint="eastAsia"/>
                <w:sz w:val="24"/>
                <w:szCs w:val="20"/>
                <w:lang w:val="zh-CN"/>
              </w:rPr>
              <w:t>左右岸阶地发育，</w:t>
            </w:r>
            <w:r>
              <w:rPr>
                <w:rFonts w:hint="eastAsia"/>
                <w:sz w:val="24"/>
                <w:szCs w:val="20"/>
              </w:rPr>
              <w:t>河道内修建有拦河堰及中小型桥梁，河道联通性较差</w:t>
            </w:r>
            <w:r>
              <w:rPr>
                <w:rFonts w:hint="eastAsia"/>
                <w:sz w:val="24"/>
                <w:szCs w:val="20"/>
                <w:lang w:val="zh-CN"/>
              </w:rPr>
              <w:t>，遭遇洪水时常见洪水漫滩，</w:t>
            </w:r>
            <w:r>
              <w:rPr>
                <w:rFonts w:hint="eastAsia"/>
                <w:sz w:val="24"/>
                <w:szCs w:val="20"/>
              </w:rPr>
              <w:t>河段现状防洪标准为</w:t>
            </w:r>
            <w:r>
              <w:rPr>
                <w:sz w:val="24"/>
                <w:szCs w:val="20"/>
              </w:rPr>
              <w:t>5</w:t>
            </w:r>
            <w:r>
              <w:rPr>
                <w:rFonts w:hint="eastAsia"/>
                <w:sz w:val="24"/>
                <w:szCs w:val="20"/>
              </w:rPr>
              <w:t>~</w:t>
            </w:r>
            <w:r>
              <w:rPr>
                <w:sz w:val="24"/>
                <w:szCs w:val="20"/>
              </w:rPr>
              <w:t>10</w:t>
            </w:r>
            <w:r>
              <w:rPr>
                <w:rFonts w:hint="eastAsia"/>
                <w:sz w:val="24"/>
                <w:szCs w:val="20"/>
              </w:rPr>
              <w:t>年一遇</w:t>
            </w:r>
            <w:r>
              <w:rPr>
                <w:sz w:val="24"/>
                <w:szCs w:val="20"/>
                <w:lang w:val="zh-CN"/>
              </w:rPr>
              <w:t>。</w:t>
            </w:r>
          </w:p>
          <w:p w14:paraId="48C3F140">
            <w:pPr>
              <w:jc w:val="center"/>
              <w:rPr>
                <w:lang w:val="zh-CN"/>
              </w:rPr>
            </w:pPr>
            <w:r>
              <w:drawing>
                <wp:inline distT="0" distB="0" distL="0" distR="0">
                  <wp:extent cx="4882515" cy="2933065"/>
                  <wp:effectExtent l="0" t="0" r="0" b="63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889862" cy="2937599"/>
                          </a:xfrm>
                          <a:prstGeom prst="rect">
                            <a:avLst/>
                          </a:prstGeom>
                          <a:noFill/>
                          <a:ln>
                            <a:noFill/>
                          </a:ln>
                        </pic:spPr>
                      </pic:pic>
                    </a:graphicData>
                  </a:graphic>
                </wp:inline>
              </w:drawing>
            </w:r>
          </w:p>
          <w:p w14:paraId="6A60AE68">
            <w:pPr>
              <w:pStyle w:val="122"/>
            </w:pPr>
            <w:r>
              <w:rPr>
                <w:rFonts w:hint="eastAsia"/>
              </w:rPr>
              <w:t>图3-3  太吉大道西延线二号桥位现状图</w:t>
            </w:r>
          </w:p>
          <w:p w14:paraId="10318DE8">
            <w:pPr>
              <w:ind w:right="17"/>
              <w:jc w:val="center"/>
              <w:rPr>
                <w:lang w:val="zh-CN"/>
              </w:rPr>
            </w:pPr>
            <w:r>
              <w:drawing>
                <wp:inline distT="0" distB="0" distL="0" distR="0">
                  <wp:extent cx="5086985" cy="3408045"/>
                  <wp:effectExtent l="0" t="0" r="0" b="190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28" cstate="print">
                            <a:extLst>
                              <a:ext uri="{28A0092B-C50C-407E-A947-70E740481C1C}">
                                <a14:useLocalDpi xmlns:a14="http://schemas.microsoft.com/office/drawing/2010/main" val="0"/>
                              </a:ext>
                            </a:extLst>
                          </a:blip>
                          <a:srcRect t="9799"/>
                          <a:stretch>
                            <a:fillRect/>
                          </a:stretch>
                        </pic:blipFill>
                        <pic:spPr>
                          <a:xfrm>
                            <a:off x="0" y="0"/>
                            <a:ext cx="5092751" cy="3411828"/>
                          </a:xfrm>
                          <a:prstGeom prst="rect">
                            <a:avLst/>
                          </a:prstGeom>
                          <a:noFill/>
                          <a:ln>
                            <a:noFill/>
                          </a:ln>
                        </pic:spPr>
                      </pic:pic>
                    </a:graphicData>
                  </a:graphic>
                </wp:inline>
              </w:drawing>
            </w:r>
          </w:p>
          <w:p w14:paraId="18E4EC1C">
            <w:pPr>
              <w:pStyle w:val="122"/>
              <w:ind w:firstLine="480"/>
            </w:pPr>
            <w:r>
              <w:rPr>
                <w:rFonts w:hint="eastAsia"/>
              </w:rPr>
              <w:t>图3-4  太吉大道西延线一号桥位现状图</w:t>
            </w:r>
          </w:p>
          <w:bookmarkEnd w:id="20"/>
          <w:p w14:paraId="1DCA44A4">
            <w:pPr>
              <w:kinsoku w:val="0"/>
              <w:overflowPunct w:val="0"/>
              <w:autoSpaceDE w:val="0"/>
              <w:autoSpaceDN w:val="0"/>
              <w:adjustRightInd w:val="0"/>
              <w:snapToGrid w:val="0"/>
              <w:spacing w:line="360" w:lineRule="auto"/>
              <w:ind w:firstLine="482" w:firstLineChars="200"/>
              <w:rPr>
                <w:b/>
                <w:bCs/>
                <w:sz w:val="24"/>
              </w:rPr>
            </w:pPr>
            <w:r>
              <w:rPr>
                <w:rFonts w:hint="eastAsia"/>
                <w:b/>
                <w:bCs/>
                <w:sz w:val="24"/>
              </w:rPr>
              <w:t>（3）暴雨洪水</w:t>
            </w:r>
          </w:p>
          <w:p w14:paraId="6DEAEE99">
            <w:pPr>
              <w:kinsoku w:val="0"/>
              <w:overflowPunct w:val="0"/>
              <w:autoSpaceDE w:val="0"/>
              <w:autoSpaceDN w:val="0"/>
              <w:adjustRightInd w:val="0"/>
              <w:snapToGrid w:val="0"/>
              <w:spacing w:line="360" w:lineRule="auto"/>
              <w:ind w:firstLine="480" w:firstLineChars="200"/>
              <w:rPr>
                <w:sz w:val="24"/>
              </w:rPr>
            </w:pPr>
            <w:r>
              <w:rPr>
                <w:rFonts w:hint="eastAsia"/>
                <w:sz w:val="24"/>
              </w:rPr>
              <w:t>①暴雨洪水特性</w:t>
            </w:r>
          </w:p>
          <w:p w14:paraId="0B2EA81D">
            <w:pPr>
              <w:kinsoku w:val="0"/>
              <w:overflowPunct w:val="0"/>
              <w:autoSpaceDE w:val="0"/>
              <w:autoSpaceDN w:val="0"/>
              <w:adjustRightInd w:val="0"/>
              <w:snapToGrid w:val="0"/>
              <w:spacing w:line="360" w:lineRule="auto"/>
              <w:ind w:firstLine="480" w:firstLineChars="200"/>
              <w:rPr>
                <w:sz w:val="24"/>
              </w:rPr>
            </w:pPr>
            <w:r>
              <w:rPr>
                <w:rFonts w:hint="eastAsia"/>
                <w:sz w:val="24"/>
              </w:rPr>
              <w:t>郪江流域洪水由暴雨形成，流域汛期暴雨频繁。域内暴雨发生时间一般是5~10月，大暴雨多出现在7~9月，以7月频率高、强度大；有的年份也发生在6月，最大24小时点暴雨量240.0mm（元兴场，1981.7.13）。</w:t>
            </w:r>
          </w:p>
          <w:p w14:paraId="0E48DD3D">
            <w:pPr>
              <w:kinsoku w:val="0"/>
              <w:overflowPunct w:val="0"/>
              <w:autoSpaceDE w:val="0"/>
              <w:autoSpaceDN w:val="0"/>
              <w:adjustRightInd w:val="0"/>
              <w:snapToGrid w:val="0"/>
              <w:spacing w:line="360" w:lineRule="auto"/>
              <w:ind w:firstLine="480" w:firstLineChars="200"/>
              <w:rPr>
                <w:sz w:val="24"/>
              </w:rPr>
            </w:pPr>
            <w:r>
              <w:rPr>
                <w:rFonts w:hint="eastAsia"/>
                <w:sz w:val="24"/>
              </w:rPr>
              <w:t>郪江主汛期为5~10月，由于郪江流域形状狭长，干、支流的洪峰不易遭遇。干流洪水过程多为尖瘦单峰，一次洪水历时3~5d。</w:t>
            </w:r>
          </w:p>
          <w:p w14:paraId="189EEFD3">
            <w:pPr>
              <w:kinsoku w:val="0"/>
              <w:overflowPunct w:val="0"/>
              <w:autoSpaceDE w:val="0"/>
              <w:autoSpaceDN w:val="0"/>
              <w:adjustRightInd w:val="0"/>
              <w:snapToGrid w:val="0"/>
              <w:spacing w:line="360" w:lineRule="auto"/>
              <w:ind w:firstLine="480" w:firstLineChars="200"/>
              <w:rPr>
                <w:sz w:val="24"/>
              </w:rPr>
            </w:pPr>
            <w:r>
              <w:rPr>
                <w:rFonts w:hint="eastAsia"/>
                <w:sz w:val="24"/>
              </w:rPr>
              <w:t>②历史洪水</w:t>
            </w:r>
          </w:p>
          <w:p w14:paraId="5B150BF2">
            <w:pPr>
              <w:kinsoku w:val="0"/>
              <w:overflowPunct w:val="0"/>
              <w:autoSpaceDE w:val="0"/>
              <w:autoSpaceDN w:val="0"/>
              <w:adjustRightInd w:val="0"/>
              <w:snapToGrid w:val="0"/>
              <w:spacing w:line="360" w:lineRule="auto"/>
              <w:ind w:firstLine="480" w:firstLineChars="200"/>
              <w:rPr>
                <w:sz w:val="24"/>
              </w:rPr>
            </w:pPr>
            <w:r>
              <w:rPr>
                <w:rFonts w:hint="eastAsia"/>
                <w:sz w:val="24"/>
              </w:rPr>
              <w:t>郪江干流比降较缓，沿岸阶地人类活动频繁，农田较多，历史洪水调查时洪痕较少，历史洪水调查主要以大英城区历史文献及近年特大洪水资料考证为主。</w:t>
            </w:r>
          </w:p>
          <w:p w14:paraId="45923B38">
            <w:pPr>
              <w:kinsoku w:val="0"/>
              <w:overflowPunct w:val="0"/>
              <w:autoSpaceDE w:val="0"/>
              <w:autoSpaceDN w:val="0"/>
              <w:adjustRightInd w:val="0"/>
              <w:snapToGrid w:val="0"/>
              <w:spacing w:line="360" w:lineRule="auto"/>
              <w:ind w:firstLine="480" w:firstLineChars="200"/>
              <w:rPr>
                <w:sz w:val="24"/>
              </w:rPr>
            </w:pPr>
            <w:r>
              <w:rPr>
                <w:rFonts w:hint="eastAsia"/>
                <w:sz w:val="24"/>
              </w:rPr>
              <w:t>根据1984年刊印的《四川省洪水调查资料》，铁二院为修建郪江铁路桥，在郪江中游文星河段进行了历史洪水调查，共调查到1937、1963年两场历史大洪水。采用比降法1937年洪峰流量为3050m</w:t>
            </w:r>
            <w:r>
              <w:rPr>
                <w:rFonts w:hint="eastAsia"/>
                <w:sz w:val="24"/>
                <w:vertAlign w:val="superscript"/>
              </w:rPr>
              <w:t>3</w:t>
            </w:r>
            <w:r>
              <w:rPr>
                <w:rFonts w:hint="eastAsia"/>
                <w:sz w:val="24"/>
              </w:rPr>
              <w:t>/s，1963年洪峰流量为1610m</w:t>
            </w:r>
            <w:r>
              <w:rPr>
                <w:rFonts w:hint="eastAsia"/>
                <w:sz w:val="24"/>
                <w:vertAlign w:val="superscript"/>
              </w:rPr>
              <w:t>3</w:t>
            </w:r>
            <w:r>
              <w:rPr>
                <w:rFonts w:hint="eastAsia"/>
                <w:sz w:val="24"/>
              </w:rPr>
              <w:t>/s。根据1963年9月7日胡家坝实测最高水位推求站址最大洪峰流量为1690m</w:t>
            </w:r>
            <w:r>
              <w:rPr>
                <w:rFonts w:hint="eastAsia"/>
                <w:sz w:val="24"/>
                <w:vertAlign w:val="superscript"/>
              </w:rPr>
              <w:t>3</w:t>
            </w:r>
            <w:r>
              <w:rPr>
                <w:rFonts w:hint="eastAsia"/>
                <w:sz w:val="24"/>
              </w:rPr>
              <w:t>/s。</w:t>
            </w:r>
          </w:p>
          <w:p w14:paraId="56F21A24">
            <w:pPr>
              <w:kinsoku w:val="0"/>
              <w:overflowPunct w:val="0"/>
              <w:autoSpaceDE w:val="0"/>
              <w:autoSpaceDN w:val="0"/>
              <w:adjustRightInd w:val="0"/>
              <w:snapToGrid w:val="0"/>
              <w:spacing w:line="360" w:lineRule="auto"/>
              <w:ind w:firstLine="480" w:firstLineChars="200"/>
              <w:rPr>
                <w:sz w:val="24"/>
              </w:rPr>
            </w:pPr>
            <w:r>
              <w:rPr>
                <w:rFonts w:hint="eastAsia"/>
                <w:sz w:val="24"/>
              </w:rPr>
              <w:t>根据《四川省遂宁市大英县山洪灾害调查报告》，大英县的胡家坝水位站2012年“9.10”1小时降水量已达到70年一遇，6小时的降水重现期为60年一遇。因此对于小流域来讲，2012年“9.10”洪水基本在百年一遇，对于较大流域，2012年“9.10”洪水的重现期为60～70年一遇左右。</w:t>
            </w:r>
          </w:p>
          <w:p w14:paraId="7E5172A8">
            <w:pPr>
              <w:kinsoku w:val="0"/>
              <w:overflowPunct w:val="0"/>
              <w:autoSpaceDE w:val="0"/>
              <w:autoSpaceDN w:val="0"/>
              <w:adjustRightInd w:val="0"/>
              <w:snapToGrid w:val="0"/>
              <w:spacing w:line="360" w:lineRule="auto"/>
              <w:ind w:firstLine="480" w:firstLineChars="200"/>
              <w:rPr>
                <w:sz w:val="24"/>
              </w:rPr>
            </w:pPr>
            <w:r>
              <w:rPr>
                <w:rFonts w:hint="eastAsia"/>
                <w:sz w:val="24"/>
              </w:rPr>
              <w:t>《大英县山洪灾害调查历史洪水调查报告》进行了郪江典型历史洪水调查，由于大英县的2012年“9.10”山洪发生时间近、洪水等级高，该山洪的典型洪水调查在大英县全县所有危险区调查均主要调查这场洪水。</w:t>
            </w:r>
          </w:p>
          <w:p w14:paraId="44FD89AE">
            <w:pPr>
              <w:kinsoku w:val="0"/>
              <w:overflowPunct w:val="0"/>
              <w:autoSpaceDE w:val="0"/>
              <w:autoSpaceDN w:val="0"/>
              <w:adjustRightInd w:val="0"/>
              <w:snapToGrid w:val="0"/>
              <w:spacing w:line="360" w:lineRule="auto"/>
              <w:ind w:firstLine="480" w:firstLineChars="200"/>
              <w:rPr>
                <w:sz w:val="24"/>
              </w:rPr>
            </w:pPr>
            <w:r>
              <w:rPr>
                <w:rFonts w:hint="eastAsia"/>
                <w:sz w:val="24"/>
              </w:rPr>
              <w:t>③设计洪水</w:t>
            </w:r>
          </w:p>
          <w:p w14:paraId="66628627">
            <w:pPr>
              <w:kinsoku w:val="0"/>
              <w:overflowPunct w:val="0"/>
              <w:autoSpaceDE w:val="0"/>
              <w:autoSpaceDN w:val="0"/>
              <w:adjustRightInd w:val="0"/>
              <w:snapToGrid w:val="0"/>
              <w:spacing w:line="360" w:lineRule="auto"/>
              <w:ind w:firstLine="480" w:firstLineChars="200"/>
              <w:rPr>
                <w:sz w:val="24"/>
              </w:rPr>
            </w:pPr>
            <w:r>
              <w:rPr>
                <w:rFonts w:hint="eastAsia"/>
                <w:sz w:val="24"/>
              </w:rPr>
              <w:t>本次项目集水坡块各参数的确定是在万分之一的地形图上，沿着山顶确定分水线，现场确定各坡块的界线，然后将所需要的地形图在万分之一电脑版图上求各坡块的面积F、坡块长度L、坡块平均比降J等参数，再根据灌区设计暴雨成果，采用推理公式法推求各小流域及坡面设计洪水。</w:t>
            </w:r>
          </w:p>
          <w:p w14:paraId="5500FBDE">
            <w:pPr>
              <w:kinsoku w:val="0"/>
              <w:overflowPunct w:val="0"/>
              <w:autoSpaceDE w:val="0"/>
              <w:autoSpaceDN w:val="0"/>
              <w:adjustRightInd w:val="0"/>
              <w:snapToGrid w:val="0"/>
              <w:spacing w:line="360" w:lineRule="auto"/>
              <w:ind w:firstLine="482" w:firstLineChars="200"/>
              <w:rPr>
                <w:b/>
                <w:bCs/>
                <w:sz w:val="24"/>
              </w:rPr>
            </w:pPr>
            <w:r>
              <w:rPr>
                <w:rFonts w:hint="eastAsia"/>
                <w:b/>
                <w:bCs/>
                <w:sz w:val="24"/>
              </w:rPr>
              <w:t>（4）泥沙</w:t>
            </w:r>
          </w:p>
          <w:p w14:paraId="1405E10C">
            <w:pPr>
              <w:kinsoku w:val="0"/>
              <w:overflowPunct w:val="0"/>
              <w:autoSpaceDE w:val="0"/>
              <w:autoSpaceDN w:val="0"/>
              <w:adjustRightInd w:val="0"/>
              <w:snapToGrid w:val="0"/>
              <w:spacing w:line="360" w:lineRule="auto"/>
              <w:ind w:firstLine="480" w:firstLineChars="200"/>
              <w:rPr>
                <w:sz w:val="24"/>
              </w:rPr>
            </w:pPr>
            <w:r>
              <w:rPr>
                <w:rFonts w:hint="eastAsia"/>
                <w:sz w:val="24"/>
              </w:rPr>
              <w:t>本片区流域属盆中构造剥蚀方山盆地浅丘区地貌，流域地势总体为西北高，东南低。河谷两岸丘顶高程一般介于300～440m，相对高差一般介于40～60m，峰谷高差较小，区内山梁纵横，山梁之间广布浸蚀洼地，区内两大地貌单元为构造剥蚀地貌和侵蚀堆积地貌，在外营力作用下，呈现园顶山、馒头山及梯状平台地貌景观，山间为宽缓冲沟及洼地，由于流域内人口较多，受耕作等人类活动影响，流域内水土流失较重。</w:t>
            </w:r>
          </w:p>
          <w:p w14:paraId="2150632C">
            <w:pPr>
              <w:kinsoku w:val="0"/>
              <w:overflowPunct w:val="0"/>
              <w:autoSpaceDE w:val="0"/>
              <w:autoSpaceDN w:val="0"/>
              <w:adjustRightInd w:val="0"/>
              <w:snapToGrid w:val="0"/>
              <w:spacing w:line="360" w:lineRule="auto"/>
              <w:ind w:firstLine="482" w:firstLineChars="200"/>
              <w:rPr>
                <w:b/>
                <w:bCs/>
                <w:sz w:val="24"/>
              </w:rPr>
            </w:pPr>
            <w:r>
              <w:rPr>
                <w:rFonts w:hint="eastAsia"/>
                <w:b/>
                <w:bCs/>
                <w:sz w:val="24"/>
              </w:rPr>
              <w:t>2、地表水现状</w:t>
            </w:r>
          </w:p>
          <w:p w14:paraId="7D6594EB">
            <w:pPr>
              <w:kinsoku w:val="0"/>
              <w:overflowPunct w:val="0"/>
              <w:autoSpaceDE w:val="0"/>
              <w:autoSpaceDN w:val="0"/>
              <w:adjustRightInd w:val="0"/>
              <w:snapToGrid w:val="0"/>
              <w:spacing w:line="360" w:lineRule="auto"/>
              <w:ind w:firstLine="480" w:firstLineChars="200"/>
              <w:rPr>
                <w:sz w:val="24"/>
              </w:rPr>
            </w:pPr>
            <w:r>
              <w:rPr>
                <w:rFonts w:hint="eastAsia"/>
                <w:sz w:val="24"/>
              </w:rPr>
              <w:t>本项目运营期无废水外排。</w:t>
            </w:r>
          </w:p>
          <w:p w14:paraId="50A5E012">
            <w:pPr>
              <w:wordWrap w:val="0"/>
              <w:spacing w:line="360" w:lineRule="auto"/>
              <w:ind w:firstLine="480" w:firstLineChars="200"/>
              <w:rPr>
                <w:kern w:val="24"/>
                <w:sz w:val="24"/>
                <w:lang w:bidi="ar"/>
              </w:rPr>
            </w:pPr>
            <w:r>
              <w:rPr>
                <w:kern w:val="24"/>
                <w:sz w:val="24"/>
                <w:lang w:bidi="ar"/>
              </w:rPr>
              <w:t>根据《建设项目环境影响报告表编制技术指南（生态影响类）》要求，本项目优先选用国家或地方生态环境主管部门公开发布的评价基准年环境质量公告或环境质量公告中的数据或结论。根据</w:t>
            </w:r>
            <w:r>
              <w:rPr>
                <w:rFonts w:hint="eastAsia"/>
                <w:kern w:val="24"/>
                <w:sz w:val="24"/>
                <w:lang w:bidi="ar"/>
              </w:rPr>
              <w:t>遂宁市生态环境保护委员会办公室《关于2024年12月全市地表水和环境空气质量排名情况的通报》（遂环委办〔2025〕7号）</w:t>
            </w:r>
            <w:r>
              <w:rPr>
                <w:kern w:val="24"/>
                <w:sz w:val="24"/>
                <w:lang w:bidi="ar"/>
              </w:rPr>
              <w:t>，项目所在区域</w:t>
            </w:r>
            <w:r>
              <w:rPr>
                <w:rFonts w:hint="eastAsia"/>
                <w:kern w:val="24"/>
                <w:sz w:val="24"/>
                <w:lang w:bidi="ar"/>
              </w:rPr>
              <w:t>河流</w:t>
            </w:r>
            <w:r>
              <w:rPr>
                <w:kern w:val="24"/>
                <w:sz w:val="24"/>
                <w:lang w:bidi="ar"/>
              </w:rPr>
              <w:t>水质情况如下</w:t>
            </w:r>
            <w:r>
              <w:rPr>
                <w:rFonts w:hint="eastAsia"/>
                <w:kern w:val="24"/>
                <w:sz w:val="24"/>
                <w:lang w:bidi="ar"/>
              </w:rPr>
              <w:t>：</w:t>
            </w:r>
          </w:p>
          <w:p w14:paraId="3FDBB8EE">
            <w:pPr>
              <w:numPr>
                <w:ilvl w:val="0"/>
                <w:numId w:val="6"/>
              </w:numPr>
              <w:kinsoku w:val="0"/>
              <w:overflowPunct w:val="0"/>
              <w:autoSpaceDE w:val="0"/>
              <w:autoSpaceDN w:val="0"/>
              <w:adjustRightInd w:val="0"/>
              <w:snapToGrid w:val="0"/>
              <w:jc w:val="center"/>
              <w:rPr>
                <w:b/>
                <w:bCs/>
                <w:szCs w:val="21"/>
              </w:rPr>
            </w:pPr>
            <w:r>
              <w:rPr>
                <w:rFonts w:hint="eastAsia"/>
                <w:b/>
                <w:bCs/>
                <w:szCs w:val="21"/>
              </w:rPr>
              <w:t xml:space="preserve">    2024年项目区域水质状况</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73"/>
              <w:gridCol w:w="1391"/>
              <w:gridCol w:w="1420"/>
              <w:gridCol w:w="1750"/>
              <w:gridCol w:w="1793"/>
            </w:tblGrid>
            <w:tr w14:paraId="0C84D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7" w:type="pct"/>
                  <w:vAlign w:val="center"/>
                </w:tcPr>
                <w:p w14:paraId="41CF8E1C">
                  <w:pPr>
                    <w:pStyle w:val="120"/>
                  </w:pPr>
                  <w:r>
                    <w:rPr>
                      <w:rFonts w:hint="eastAsia"/>
                    </w:rPr>
                    <w:t>断面名称</w:t>
                  </w:r>
                </w:p>
              </w:tc>
              <w:tc>
                <w:tcPr>
                  <w:tcW w:w="806" w:type="pct"/>
                  <w:vAlign w:val="center"/>
                </w:tcPr>
                <w:p w14:paraId="5ADBC098">
                  <w:pPr>
                    <w:pStyle w:val="120"/>
                  </w:pPr>
                  <w:r>
                    <w:rPr>
                      <w:rFonts w:hint="eastAsia"/>
                    </w:rPr>
                    <w:t>所在地</w:t>
                  </w:r>
                </w:p>
              </w:tc>
              <w:tc>
                <w:tcPr>
                  <w:tcW w:w="823" w:type="pct"/>
                  <w:vAlign w:val="center"/>
                </w:tcPr>
                <w:p w14:paraId="5D8D2145">
                  <w:pPr>
                    <w:pStyle w:val="120"/>
                  </w:pPr>
                  <w:r>
                    <w:rPr>
                      <w:rFonts w:hint="eastAsia"/>
                    </w:rPr>
                    <w:t>断面类别</w:t>
                  </w:r>
                </w:p>
              </w:tc>
              <w:tc>
                <w:tcPr>
                  <w:tcW w:w="1013" w:type="pct"/>
                  <w:vAlign w:val="center"/>
                </w:tcPr>
                <w:p w14:paraId="1484E6F2">
                  <w:pPr>
                    <w:pStyle w:val="120"/>
                  </w:pPr>
                  <w:r>
                    <w:rPr>
                      <w:rFonts w:hint="eastAsia"/>
                    </w:rPr>
                    <w:t>规定类别</w:t>
                  </w:r>
                </w:p>
              </w:tc>
              <w:tc>
                <w:tcPr>
                  <w:tcW w:w="1038" w:type="pct"/>
                  <w:vAlign w:val="center"/>
                </w:tcPr>
                <w:p w14:paraId="412E6D6D">
                  <w:pPr>
                    <w:pStyle w:val="120"/>
                  </w:pPr>
                  <w:r>
                    <w:rPr>
                      <w:rFonts w:hint="eastAsia"/>
                    </w:rPr>
                    <w:t>实测类别</w:t>
                  </w:r>
                </w:p>
              </w:tc>
            </w:tr>
            <w:tr w14:paraId="4B78C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7" w:type="pct"/>
                  <w:vAlign w:val="center"/>
                </w:tcPr>
                <w:p w14:paraId="142BAB4A">
                  <w:pPr>
                    <w:pStyle w:val="120"/>
                  </w:pPr>
                  <w:r>
                    <w:t>寸塘口</w:t>
                  </w:r>
                  <w:r>
                    <w:rPr>
                      <w:rFonts w:hint="eastAsia"/>
                    </w:rPr>
                    <w:t>河</w:t>
                  </w:r>
                </w:p>
              </w:tc>
              <w:tc>
                <w:tcPr>
                  <w:tcW w:w="806" w:type="pct"/>
                  <w:vAlign w:val="center"/>
                </w:tcPr>
                <w:p w14:paraId="69DE2BAD">
                  <w:pPr>
                    <w:jc w:val="center"/>
                  </w:pPr>
                  <w:r>
                    <w:rPr>
                      <w:rFonts w:hint="eastAsia"/>
                    </w:rPr>
                    <w:t>大英县</w:t>
                  </w:r>
                </w:p>
              </w:tc>
              <w:tc>
                <w:tcPr>
                  <w:tcW w:w="823" w:type="pct"/>
                  <w:vAlign w:val="center"/>
                </w:tcPr>
                <w:p w14:paraId="0C51FA37">
                  <w:pPr>
                    <w:jc w:val="center"/>
                  </w:pPr>
                  <w:r>
                    <w:rPr>
                      <w:rFonts w:hint="eastAsia"/>
                    </w:rPr>
                    <w:t>市控</w:t>
                  </w:r>
                </w:p>
              </w:tc>
              <w:tc>
                <w:tcPr>
                  <w:tcW w:w="1013" w:type="pct"/>
                  <w:vAlign w:val="center"/>
                </w:tcPr>
                <w:p w14:paraId="28808249">
                  <w:pPr>
                    <w:pStyle w:val="120"/>
                  </w:pPr>
                  <w:r>
                    <w:t>Ⅲ</w:t>
                  </w:r>
                </w:p>
              </w:tc>
              <w:tc>
                <w:tcPr>
                  <w:tcW w:w="1038" w:type="pct"/>
                  <w:vAlign w:val="center"/>
                </w:tcPr>
                <w:p w14:paraId="762E7DA9">
                  <w:pPr>
                    <w:pStyle w:val="120"/>
                  </w:pPr>
                  <w:r>
                    <w:t>Ⅲ</w:t>
                  </w:r>
                </w:p>
              </w:tc>
            </w:tr>
            <w:tr w14:paraId="17D8C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7" w:type="pct"/>
                  <w:vAlign w:val="center"/>
                </w:tcPr>
                <w:p w14:paraId="0C70C847">
                  <w:pPr>
                    <w:pStyle w:val="120"/>
                  </w:pPr>
                  <w:r>
                    <w:rPr>
                      <w:rFonts w:hint="eastAsia"/>
                    </w:rPr>
                    <w:t>郪江</w:t>
                  </w:r>
                </w:p>
              </w:tc>
              <w:tc>
                <w:tcPr>
                  <w:tcW w:w="806" w:type="pct"/>
                  <w:vAlign w:val="center"/>
                </w:tcPr>
                <w:p w14:paraId="17AC408E">
                  <w:pPr>
                    <w:jc w:val="center"/>
                  </w:pPr>
                  <w:r>
                    <w:rPr>
                      <w:rFonts w:hint="eastAsia"/>
                    </w:rPr>
                    <w:t>大英县</w:t>
                  </w:r>
                </w:p>
              </w:tc>
              <w:tc>
                <w:tcPr>
                  <w:tcW w:w="823" w:type="pct"/>
                  <w:vAlign w:val="center"/>
                </w:tcPr>
                <w:p w14:paraId="2B050516">
                  <w:pPr>
                    <w:jc w:val="center"/>
                  </w:pPr>
                  <w:r>
                    <w:t>国控</w:t>
                  </w:r>
                </w:p>
              </w:tc>
              <w:tc>
                <w:tcPr>
                  <w:tcW w:w="1013" w:type="pct"/>
                  <w:vAlign w:val="center"/>
                </w:tcPr>
                <w:p w14:paraId="3B0A756C">
                  <w:pPr>
                    <w:pStyle w:val="120"/>
                  </w:pPr>
                  <w:r>
                    <w:t>Ⅲ</w:t>
                  </w:r>
                </w:p>
              </w:tc>
              <w:tc>
                <w:tcPr>
                  <w:tcW w:w="1038" w:type="pct"/>
                  <w:vAlign w:val="center"/>
                </w:tcPr>
                <w:p w14:paraId="711B88AC">
                  <w:pPr>
                    <w:pStyle w:val="120"/>
                  </w:pPr>
                  <w:r>
                    <w:t>Ⅲ</w:t>
                  </w:r>
                </w:p>
              </w:tc>
            </w:tr>
          </w:tbl>
          <w:p w14:paraId="2D9D8127">
            <w:pPr>
              <w:kinsoku w:val="0"/>
              <w:overflowPunct w:val="0"/>
              <w:autoSpaceDE w:val="0"/>
              <w:autoSpaceDN w:val="0"/>
              <w:adjustRightInd w:val="0"/>
              <w:snapToGrid w:val="0"/>
              <w:spacing w:line="360" w:lineRule="auto"/>
              <w:ind w:firstLine="480" w:firstLineChars="200"/>
              <w:rPr>
                <w:sz w:val="24"/>
              </w:rPr>
            </w:pPr>
            <w:r>
              <w:rPr>
                <w:rFonts w:hint="eastAsia"/>
                <w:sz w:val="24"/>
              </w:rPr>
              <w:t>由上表可知，项目区域地表水环境质量现状能够满足《地表水环境质量标准》（GB 3838-2002）中Ⅲ水质标准限值要求，水质状况良好，属于达标区。</w:t>
            </w:r>
          </w:p>
          <w:p w14:paraId="17C344DD">
            <w:pPr>
              <w:spacing w:line="312" w:lineRule="auto"/>
              <w:rPr>
                <w:rFonts w:eastAsia="宋"/>
                <w:sz w:val="24"/>
              </w:rPr>
            </w:pPr>
            <w:r>
              <w:rPr>
                <w:rFonts w:hint="eastAsia" w:eastAsia="宋"/>
                <w:b/>
                <w:bCs/>
                <w:sz w:val="24"/>
              </w:rPr>
              <w:t>四</w:t>
            </w:r>
            <w:r>
              <w:rPr>
                <w:rFonts w:eastAsia="宋"/>
                <w:b/>
                <w:bCs/>
                <w:sz w:val="24"/>
              </w:rPr>
              <w:t>、声环境质量现状</w:t>
            </w:r>
          </w:p>
          <w:p w14:paraId="3A67A178">
            <w:pPr>
              <w:spacing w:line="360" w:lineRule="auto"/>
              <w:ind w:firstLine="480" w:firstLineChars="200"/>
              <w:rPr>
                <w:rFonts w:eastAsia="宋"/>
                <w:sz w:val="24"/>
              </w:rPr>
            </w:pPr>
            <w:r>
              <w:rPr>
                <w:rFonts w:hint="eastAsia" w:eastAsia="宋"/>
                <w:sz w:val="24"/>
              </w:rPr>
              <w:t>为了解评价区声学环境质量，四川力博检测有限公司于2025年4月对项目周边敏感点进行了采样监测。</w:t>
            </w:r>
          </w:p>
          <w:p w14:paraId="74F5CD2E">
            <w:pPr>
              <w:spacing w:line="360" w:lineRule="auto"/>
              <w:ind w:firstLine="480" w:firstLineChars="200"/>
              <w:rPr>
                <w:rFonts w:eastAsia="宋"/>
                <w:sz w:val="24"/>
              </w:rPr>
            </w:pPr>
            <w:r>
              <w:rPr>
                <w:rFonts w:hint="eastAsia" w:eastAsia="宋"/>
                <w:sz w:val="24"/>
              </w:rPr>
              <w:t>（1）噪声监测布点</w:t>
            </w:r>
          </w:p>
          <w:p w14:paraId="76D0C0E1">
            <w:pPr>
              <w:spacing w:line="360" w:lineRule="auto"/>
              <w:ind w:firstLine="480" w:firstLineChars="200"/>
              <w:rPr>
                <w:rFonts w:eastAsia="宋"/>
                <w:sz w:val="24"/>
              </w:rPr>
            </w:pPr>
            <w:r>
              <w:rPr>
                <w:rFonts w:hint="eastAsia" w:eastAsia="宋"/>
                <w:sz w:val="24"/>
              </w:rPr>
              <w:t>根据本工程拟建地周边环境的具体现状，本项目共布设6个环境噪声监测点，具体监测点布设见下表。</w:t>
            </w:r>
          </w:p>
          <w:p w14:paraId="0DCF5660">
            <w:pPr>
              <w:numPr>
                <w:ilvl w:val="0"/>
                <w:numId w:val="6"/>
              </w:numPr>
              <w:kinsoku w:val="0"/>
              <w:overflowPunct w:val="0"/>
              <w:autoSpaceDE w:val="0"/>
              <w:autoSpaceDN w:val="0"/>
              <w:adjustRightInd w:val="0"/>
              <w:snapToGrid w:val="0"/>
              <w:jc w:val="center"/>
              <w:rPr>
                <w:b/>
                <w:bCs/>
                <w:szCs w:val="21"/>
              </w:rPr>
            </w:pPr>
            <w:r>
              <w:rPr>
                <w:rFonts w:hint="eastAsia"/>
                <w:b/>
                <w:bCs/>
                <w:szCs w:val="21"/>
              </w:rPr>
              <w:t xml:space="preserve">   噪声监测点位设置</w:t>
            </w:r>
          </w:p>
          <w:tbl>
            <w:tblPr>
              <w:tblStyle w:val="33"/>
              <w:tblW w:w="50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0"/>
              <w:gridCol w:w="1527"/>
              <w:gridCol w:w="1539"/>
              <w:gridCol w:w="2150"/>
              <w:gridCol w:w="1002"/>
              <w:gridCol w:w="575"/>
              <w:gridCol w:w="575"/>
              <w:gridCol w:w="999"/>
            </w:tblGrid>
            <w:tr w14:paraId="75DF5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0" w:type="pct"/>
                  <w:vMerge w:val="restart"/>
                  <w:vAlign w:val="center"/>
                </w:tcPr>
                <w:p w14:paraId="7315723D">
                  <w:pPr>
                    <w:widowControl/>
                    <w:adjustRightInd w:val="0"/>
                    <w:snapToGrid w:val="0"/>
                    <w:ind w:left="-105" w:leftChars="-50" w:right="-105" w:rightChars="-50"/>
                    <w:jc w:val="center"/>
                    <w:rPr>
                      <w:rFonts w:hAnsi="宋体"/>
                      <w:b/>
                      <w:bCs/>
                      <w:caps/>
                      <w:kern w:val="0"/>
                      <w:szCs w:val="21"/>
                    </w:rPr>
                  </w:pPr>
                  <w:r>
                    <w:rPr>
                      <w:rFonts w:hAnsi="宋体"/>
                      <w:b/>
                      <w:bCs/>
                      <w:caps/>
                      <w:kern w:val="0"/>
                      <w:szCs w:val="21"/>
                    </w:rPr>
                    <w:t>序号</w:t>
                  </w:r>
                  <w:r>
                    <w:rPr>
                      <w:rFonts w:hint="eastAsia" w:hAnsi="宋体"/>
                      <w:b/>
                      <w:bCs/>
                      <w:caps/>
                      <w:kern w:val="0"/>
                      <w:szCs w:val="21"/>
                    </w:rPr>
                    <w:t xml:space="preserve">  </w:t>
                  </w:r>
                </w:p>
              </w:tc>
              <w:tc>
                <w:tcPr>
                  <w:tcW w:w="876" w:type="pct"/>
                  <w:vMerge w:val="restart"/>
                  <w:vAlign w:val="center"/>
                </w:tcPr>
                <w:p w14:paraId="722B2CC2">
                  <w:pPr>
                    <w:widowControl/>
                    <w:adjustRightInd w:val="0"/>
                    <w:snapToGrid w:val="0"/>
                    <w:ind w:left="-105" w:leftChars="-50" w:right="-105" w:rightChars="-50"/>
                    <w:jc w:val="center"/>
                    <w:rPr>
                      <w:b/>
                      <w:bCs/>
                      <w:caps/>
                      <w:kern w:val="0"/>
                      <w:szCs w:val="21"/>
                    </w:rPr>
                  </w:pPr>
                  <w:r>
                    <w:rPr>
                      <w:rFonts w:hAnsi="宋体"/>
                      <w:b/>
                      <w:bCs/>
                      <w:caps/>
                      <w:kern w:val="0"/>
                      <w:szCs w:val="21"/>
                    </w:rPr>
                    <w:t>敏感点名称</w:t>
                  </w:r>
                </w:p>
              </w:tc>
              <w:tc>
                <w:tcPr>
                  <w:tcW w:w="883" w:type="pct"/>
                  <w:vMerge w:val="restart"/>
                  <w:vAlign w:val="center"/>
                </w:tcPr>
                <w:p w14:paraId="0CAB2D36">
                  <w:pPr>
                    <w:widowControl/>
                    <w:adjustRightInd w:val="0"/>
                    <w:snapToGrid w:val="0"/>
                    <w:ind w:left="-105" w:leftChars="-50" w:right="-105" w:rightChars="-50"/>
                    <w:jc w:val="center"/>
                    <w:rPr>
                      <w:b/>
                      <w:bCs/>
                      <w:caps/>
                      <w:kern w:val="0"/>
                      <w:szCs w:val="21"/>
                    </w:rPr>
                  </w:pPr>
                  <w:r>
                    <w:rPr>
                      <w:rFonts w:hint="eastAsia" w:hAnsi="宋体"/>
                      <w:b/>
                      <w:bCs/>
                      <w:caps/>
                      <w:kern w:val="0"/>
                      <w:szCs w:val="21"/>
                    </w:rPr>
                    <w:t>所在</w:t>
                  </w:r>
                  <w:r>
                    <w:rPr>
                      <w:rFonts w:hAnsi="宋体"/>
                      <w:b/>
                      <w:bCs/>
                      <w:caps/>
                      <w:kern w:val="0"/>
                      <w:szCs w:val="21"/>
                    </w:rPr>
                    <w:t>路段</w:t>
                  </w:r>
                </w:p>
              </w:tc>
              <w:tc>
                <w:tcPr>
                  <w:tcW w:w="1233" w:type="pct"/>
                  <w:vMerge w:val="restart"/>
                  <w:vAlign w:val="center"/>
                </w:tcPr>
                <w:p w14:paraId="00806284">
                  <w:pPr>
                    <w:widowControl/>
                    <w:adjustRightInd w:val="0"/>
                    <w:snapToGrid w:val="0"/>
                    <w:ind w:left="-105" w:leftChars="-50" w:right="-105" w:rightChars="-50"/>
                    <w:jc w:val="center"/>
                    <w:rPr>
                      <w:b/>
                      <w:bCs/>
                      <w:caps/>
                      <w:kern w:val="0"/>
                      <w:szCs w:val="21"/>
                    </w:rPr>
                  </w:pPr>
                  <w:r>
                    <w:rPr>
                      <w:b/>
                      <w:bCs/>
                      <w:caps/>
                      <w:kern w:val="0"/>
                      <w:szCs w:val="21"/>
                    </w:rPr>
                    <w:t>监测点位</w:t>
                  </w:r>
                </w:p>
              </w:tc>
              <w:tc>
                <w:tcPr>
                  <w:tcW w:w="1234" w:type="pct"/>
                  <w:gridSpan w:val="3"/>
                  <w:vAlign w:val="center"/>
                </w:tcPr>
                <w:p w14:paraId="0E87567D">
                  <w:pPr>
                    <w:widowControl/>
                    <w:adjustRightInd w:val="0"/>
                    <w:snapToGrid w:val="0"/>
                    <w:ind w:left="-105" w:leftChars="-50" w:right="-105" w:rightChars="-50"/>
                    <w:jc w:val="center"/>
                    <w:rPr>
                      <w:b/>
                      <w:bCs/>
                      <w:caps/>
                      <w:kern w:val="0"/>
                      <w:szCs w:val="21"/>
                    </w:rPr>
                  </w:pPr>
                  <w:r>
                    <w:rPr>
                      <w:b/>
                      <w:bCs/>
                      <w:caps/>
                      <w:kern w:val="0"/>
                      <w:szCs w:val="21"/>
                    </w:rPr>
                    <w:t>相对位置</w:t>
                  </w:r>
                </w:p>
              </w:tc>
              <w:tc>
                <w:tcPr>
                  <w:tcW w:w="573" w:type="pct"/>
                  <w:vMerge w:val="restart"/>
                  <w:vAlign w:val="center"/>
                </w:tcPr>
                <w:p w14:paraId="3C21954D">
                  <w:pPr>
                    <w:widowControl/>
                    <w:adjustRightInd w:val="0"/>
                    <w:snapToGrid w:val="0"/>
                    <w:ind w:left="-105" w:leftChars="-50" w:right="-105" w:rightChars="-50"/>
                    <w:jc w:val="center"/>
                    <w:rPr>
                      <w:b/>
                      <w:bCs/>
                      <w:caps/>
                      <w:kern w:val="0"/>
                      <w:szCs w:val="21"/>
                    </w:rPr>
                  </w:pPr>
                  <w:r>
                    <w:rPr>
                      <w:b/>
                      <w:bCs/>
                      <w:caps/>
                      <w:kern w:val="0"/>
                      <w:szCs w:val="21"/>
                    </w:rPr>
                    <w:t>声环境质量标准</w:t>
                  </w:r>
                </w:p>
              </w:tc>
            </w:tr>
            <w:tr w14:paraId="1A56D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blHeader/>
                <w:jc w:val="center"/>
              </w:trPr>
              <w:tc>
                <w:tcPr>
                  <w:tcW w:w="200" w:type="pct"/>
                  <w:vMerge w:val="continue"/>
                  <w:vAlign w:val="center"/>
                </w:tcPr>
                <w:p w14:paraId="7919BB89">
                  <w:pPr>
                    <w:widowControl/>
                    <w:adjustRightInd w:val="0"/>
                    <w:snapToGrid w:val="0"/>
                    <w:ind w:left="-105" w:leftChars="-50" w:right="-105" w:rightChars="-50"/>
                    <w:jc w:val="center"/>
                    <w:rPr>
                      <w:b/>
                      <w:bCs/>
                      <w:caps/>
                      <w:kern w:val="0"/>
                      <w:szCs w:val="21"/>
                    </w:rPr>
                  </w:pPr>
                </w:p>
              </w:tc>
              <w:tc>
                <w:tcPr>
                  <w:tcW w:w="876" w:type="pct"/>
                  <w:vMerge w:val="continue"/>
                  <w:vAlign w:val="center"/>
                </w:tcPr>
                <w:p w14:paraId="1507A7BE">
                  <w:pPr>
                    <w:widowControl/>
                    <w:adjustRightInd w:val="0"/>
                    <w:snapToGrid w:val="0"/>
                    <w:ind w:left="-105" w:leftChars="-50" w:right="-105" w:rightChars="-50"/>
                    <w:jc w:val="center"/>
                    <w:rPr>
                      <w:b/>
                      <w:bCs/>
                      <w:caps/>
                      <w:kern w:val="0"/>
                      <w:szCs w:val="21"/>
                    </w:rPr>
                  </w:pPr>
                </w:p>
              </w:tc>
              <w:tc>
                <w:tcPr>
                  <w:tcW w:w="883" w:type="pct"/>
                  <w:vMerge w:val="continue"/>
                  <w:vAlign w:val="center"/>
                </w:tcPr>
                <w:p w14:paraId="5BED7261">
                  <w:pPr>
                    <w:widowControl/>
                    <w:adjustRightInd w:val="0"/>
                    <w:snapToGrid w:val="0"/>
                    <w:ind w:left="-105" w:leftChars="-50" w:right="-105" w:rightChars="-50"/>
                    <w:jc w:val="center"/>
                    <w:rPr>
                      <w:b/>
                      <w:bCs/>
                      <w:caps/>
                      <w:kern w:val="0"/>
                      <w:szCs w:val="21"/>
                    </w:rPr>
                  </w:pPr>
                </w:p>
              </w:tc>
              <w:tc>
                <w:tcPr>
                  <w:tcW w:w="1233" w:type="pct"/>
                  <w:vMerge w:val="continue"/>
                  <w:vAlign w:val="center"/>
                </w:tcPr>
                <w:p w14:paraId="57477582">
                  <w:pPr>
                    <w:widowControl/>
                    <w:adjustRightInd w:val="0"/>
                    <w:snapToGrid w:val="0"/>
                    <w:ind w:left="-105" w:leftChars="-50" w:right="-105" w:rightChars="-50"/>
                    <w:jc w:val="center"/>
                    <w:rPr>
                      <w:b/>
                      <w:bCs/>
                      <w:caps/>
                      <w:kern w:val="0"/>
                      <w:szCs w:val="21"/>
                    </w:rPr>
                  </w:pPr>
                </w:p>
              </w:tc>
              <w:tc>
                <w:tcPr>
                  <w:tcW w:w="575" w:type="pct"/>
                  <w:vAlign w:val="center"/>
                </w:tcPr>
                <w:p w14:paraId="22A7A45B">
                  <w:pPr>
                    <w:widowControl/>
                    <w:adjustRightInd w:val="0"/>
                    <w:snapToGrid w:val="0"/>
                    <w:ind w:left="-105" w:leftChars="-50" w:right="-105" w:rightChars="-50"/>
                    <w:jc w:val="center"/>
                    <w:rPr>
                      <w:b/>
                      <w:bCs/>
                      <w:caps/>
                      <w:kern w:val="0"/>
                      <w:szCs w:val="21"/>
                    </w:rPr>
                  </w:pPr>
                  <w:r>
                    <w:rPr>
                      <w:b/>
                      <w:bCs/>
                      <w:caps/>
                      <w:kern w:val="0"/>
                      <w:szCs w:val="21"/>
                    </w:rPr>
                    <w:t>工程</w:t>
                  </w:r>
                </w:p>
                <w:p w14:paraId="50E18033">
                  <w:pPr>
                    <w:widowControl/>
                    <w:adjustRightInd w:val="0"/>
                    <w:snapToGrid w:val="0"/>
                    <w:ind w:left="-105" w:leftChars="-50" w:right="-105" w:rightChars="-50"/>
                    <w:jc w:val="center"/>
                    <w:rPr>
                      <w:b/>
                      <w:bCs/>
                      <w:caps/>
                      <w:kern w:val="0"/>
                      <w:szCs w:val="21"/>
                    </w:rPr>
                  </w:pPr>
                  <w:r>
                    <w:rPr>
                      <w:b/>
                      <w:bCs/>
                      <w:caps/>
                      <w:kern w:val="0"/>
                      <w:szCs w:val="21"/>
                    </w:rPr>
                    <w:t>形式</w:t>
                  </w:r>
                </w:p>
              </w:tc>
              <w:tc>
                <w:tcPr>
                  <w:tcW w:w="330" w:type="pct"/>
                  <w:vAlign w:val="center"/>
                </w:tcPr>
                <w:p w14:paraId="69D3B891">
                  <w:pPr>
                    <w:widowControl/>
                    <w:adjustRightInd w:val="0"/>
                    <w:snapToGrid w:val="0"/>
                    <w:ind w:left="-105" w:leftChars="-50" w:right="-105" w:rightChars="-50"/>
                    <w:jc w:val="center"/>
                    <w:rPr>
                      <w:b/>
                      <w:bCs/>
                      <w:caps/>
                      <w:kern w:val="0"/>
                      <w:szCs w:val="21"/>
                    </w:rPr>
                  </w:pPr>
                  <w:r>
                    <w:rPr>
                      <w:b/>
                      <w:bCs/>
                      <w:caps/>
                      <w:kern w:val="0"/>
                      <w:szCs w:val="21"/>
                    </w:rPr>
                    <w:t>高差</w:t>
                  </w:r>
                  <w:r>
                    <w:rPr>
                      <w:rFonts w:hint="eastAsia" w:hAnsi="宋体"/>
                      <w:b/>
                      <w:bCs/>
                      <w:caps/>
                      <w:kern w:val="0"/>
                      <w:szCs w:val="21"/>
                    </w:rPr>
                    <w:t>（</w:t>
                  </w:r>
                  <w:r>
                    <w:rPr>
                      <w:rFonts w:hAnsi="宋体"/>
                      <w:b/>
                      <w:bCs/>
                      <w:kern w:val="0"/>
                      <w:szCs w:val="21"/>
                    </w:rPr>
                    <w:t>m</w:t>
                  </w:r>
                  <w:r>
                    <w:rPr>
                      <w:rFonts w:hint="eastAsia" w:hAnsi="宋体"/>
                      <w:b/>
                      <w:bCs/>
                      <w:caps/>
                      <w:kern w:val="0"/>
                      <w:szCs w:val="21"/>
                    </w:rPr>
                    <w:t>）</w:t>
                  </w:r>
                </w:p>
              </w:tc>
              <w:tc>
                <w:tcPr>
                  <w:tcW w:w="330" w:type="pct"/>
                  <w:vAlign w:val="center"/>
                </w:tcPr>
                <w:p w14:paraId="206EA295">
                  <w:pPr>
                    <w:widowControl/>
                    <w:adjustRightInd w:val="0"/>
                    <w:snapToGrid w:val="0"/>
                    <w:ind w:left="-105" w:leftChars="-50" w:right="-105" w:rightChars="-50"/>
                    <w:jc w:val="center"/>
                    <w:rPr>
                      <w:b/>
                      <w:bCs/>
                      <w:caps/>
                      <w:kern w:val="0"/>
                      <w:szCs w:val="21"/>
                    </w:rPr>
                  </w:pPr>
                  <w:r>
                    <w:rPr>
                      <w:rFonts w:hAnsi="宋体"/>
                      <w:b/>
                      <w:bCs/>
                      <w:caps/>
                      <w:kern w:val="0"/>
                      <w:szCs w:val="21"/>
                    </w:rPr>
                    <w:t>位置</w:t>
                  </w:r>
                </w:p>
              </w:tc>
              <w:tc>
                <w:tcPr>
                  <w:tcW w:w="573" w:type="pct"/>
                  <w:vMerge w:val="continue"/>
                  <w:vAlign w:val="center"/>
                </w:tcPr>
                <w:p w14:paraId="401AC71B">
                  <w:pPr>
                    <w:widowControl/>
                    <w:adjustRightInd w:val="0"/>
                    <w:snapToGrid w:val="0"/>
                    <w:ind w:left="-105" w:leftChars="-50" w:right="-105" w:rightChars="-50"/>
                    <w:jc w:val="center"/>
                    <w:rPr>
                      <w:rFonts w:hAnsi="宋体"/>
                      <w:b/>
                      <w:bCs/>
                      <w:caps/>
                      <w:kern w:val="0"/>
                      <w:szCs w:val="21"/>
                    </w:rPr>
                  </w:pPr>
                </w:p>
              </w:tc>
            </w:tr>
            <w:tr w14:paraId="7861E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restart"/>
                  <w:vAlign w:val="center"/>
                </w:tcPr>
                <w:p w14:paraId="35DB147D">
                  <w:pPr>
                    <w:widowControl/>
                    <w:adjustRightInd w:val="0"/>
                    <w:snapToGrid w:val="0"/>
                    <w:ind w:left="-105" w:leftChars="-50" w:right="-105" w:rightChars="-50"/>
                    <w:jc w:val="center"/>
                    <w:rPr>
                      <w:rFonts w:hAnsi="宋体"/>
                      <w:caps/>
                      <w:kern w:val="0"/>
                      <w:szCs w:val="21"/>
                    </w:rPr>
                  </w:pPr>
                  <w:r>
                    <w:rPr>
                      <w:rFonts w:hint="eastAsia" w:hAnsi="宋体"/>
                      <w:caps/>
                      <w:kern w:val="0"/>
                      <w:szCs w:val="21"/>
                    </w:rPr>
                    <w:t>1#</w:t>
                  </w:r>
                </w:p>
              </w:tc>
              <w:tc>
                <w:tcPr>
                  <w:tcW w:w="876" w:type="pct"/>
                  <w:vMerge w:val="restart"/>
                  <w:vAlign w:val="center"/>
                </w:tcPr>
                <w:p w14:paraId="178E0045">
                  <w:pPr>
                    <w:widowControl/>
                    <w:adjustRightInd w:val="0"/>
                    <w:snapToGrid w:val="0"/>
                    <w:ind w:left="-105" w:leftChars="-50" w:right="-105" w:rightChars="-50"/>
                    <w:jc w:val="center"/>
                    <w:rPr>
                      <w:b/>
                      <w:caps/>
                      <w:kern w:val="0"/>
                      <w:szCs w:val="21"/>
                    </w:rPr>
                  </w:pPr>
                  <w:r>
                    <w:rPr>
                      <w:rFonts w:hint="eastAsia"/>
                      <w:b/>
                      <w:caps/>
                      <w:kern w:val="0"/>
                      <w:szCs w:val="21"/>
                    </w:rPr>
                    <w:t>新苗安置小区</w:t>
                  </w:r>
                </w:p>
                <w:p w14:paraId="73A915BB">
                  <w:pPr>
                    <w:widowControl/>
                    <w:adjustRightInd w:val="0"/>
                    <w:snapToGrid w:val="0"/>
                    <w:ind w:left="-105" w:leftChars="-50" w:right="-105" w:rightChars="-50"/>
                    <w:jc w:val="center"/>
                    <w:rPr>
                      <w:b/>
                      <w:caps/>
                      <w:kern w:val="0"/>
                      <w:szCs w:val="21"/>
                    </w:rPr>
                  </w:pPr>
                  <w:r>
                    <w:rPr>
                      <w:rFonts w:hint="eastAsia"/>
                      <w:b/>
                      <w:caps/>
                      <w:kern w:val="0"/>
                      <w:szCs w:val="21"/>
                    </w:rPr>
                    <w:t>3F楼房</w:t>
                  </w:r>
                </w:p>
              </w:tc>
              <w:tc>
                <w:tcPr>
                  <w:tcW w:w="883" w:type="pct"/>
                  <w:vMerge w:val="restart"/>
                  <w:noWrap/>
                  <w:vAlign w:val="center"/>
                </w:tcPr>
                <w:p w14:paraId="24D25782">
                  <w:pPr>
                    <w:widowControl/>
                    <w:adjustRightInd w:val="0"/>
                    <w:snapToGrid w:val="0"/>
                    <w:ind w:left="-105" w:leftChars="-50" w:right="-105" w:rightChars="-50"/>
                    <w:jc w:val="center"/>
                    <w:rPr>
                      <w:caps/>
                      <w:kern w:val="0"/>
                      <w:szCs w:val="21"/>
                    </w:rPr>
                  </w:pPr>
                  <w:r>
                    <w:rPr>
                      <w:rFonts w:hint="eastAsia"/>
                      <w:caps/>
                      <w:kern w:val="0"/>
                      <w:szCs w:val="21"/>
                    </w:rPr>
                    <w:t>城南大道连接线（现状火象路）</w:t>
                  </w:r>
                </w:p>
              </w:tc>
              <w:tc>
                <w:tcPr>
                  <w:tcW w:w="1233" w:type="pct"/>
                  <w:noWrap/>
                  <w:vAlign w:val="center"/>
                </w:tcPr>
                <w:p w14:paraId="3580B655">
                  <w:pPr>
                    <w:widowControl/>
                    <w:adjustRightInd w:val="0"/>
                    <w:snapToGrid w:val="0"/>
                    <w:ind w:left="-105" w:leftChars="-50" w:right="-105" w:rightChars="-50"/>
                    <w:jc w:val="center"/>
                    <w:rPr>
                      <w:caps/>
                      <w:kern w:val="0"/>
                      <w:szCs w:val="21"/>
                    </w:rPr>
                  </w:pPr>
                  <w:r>
                    <w:rPr>
                      <w:rFonts w:hint="eastAsia"/>
                      <w:caps/>
                      <w:kern w:val="0"/>
                      <w:szCs w:val="21"/>
                    </w:rPr>
                    <w:t>1F房屋墙前1</w:t>
                  </w:r>
                  <w:r>
                    <w:rPr>
                      <w:kern w:val="0"/>
                      <w:szCs w:val="21"/>
                    </w:rPr>
                    <w:t>m</w:t>
                  </w:r>
                  <w:r>
                    <w:rPr>
                      <w:rFonts w:hint="eastAsia"/>
                      <w:caps/>
                      <w:kern w:val="0"/>
                      <w:szCs w:val="21"/>
                    </w:rPr>
                    <w:t>处</w:t>
                  </w:r>
                </w:p>
              </w:tc>
              <w:tc>
                <w:tcPr>
                  <w:tcW w:w="575" w:type="pct"/>
                  <w:vMerge w:val="restart"/>
                  <w:vAlign w:val="center"/>
                </w:tcPr>
                <w:p w14:paraId="77BAD49E">
                  <w:pPr>
                    <w:widowControl/>
                    <w:adjustRightInd w:val="0"/>
                    <w:snapToGrid w:val="0"/>
                    <w:ind w:left="-105" w:leftChars="-50" w:right="-105" w:rightChars="-50"/>
                    <w:jc w:val="center"/>
                    <w:rPr>
                      <w:rFonts w:hAnsi="宋体"/>
                      <w:caps/>
                      <w:kern w:val="0"/>
                      <w:szCs w:val="21"/>
                    </w:rPr>
                  </w:pPr>
                  <w:r>
                    <w:rPr>
                      <w:rFonts w:hint="eastAsia" w:hAnsi="宋体"/>
                      <w:caps/>
                      <w:kern w:val="0"/>
                      <w:szCs w:val="21"/>
                    </w:rPr>
                    <w:t>路基</w:t>
                  </w:r>
                </w:p>
              </w:tc>
              <w:tc>
                <w:tcPr>
                  <w:tcW w:w="330" w:type="pct"/>
                  <w:vAlign w:val="center"/>
                </w:tcPr>
                <w:p w14:paraId="31CC6A50">
                  <w:pPr>
                    <w:widowControl/>
                    <w:adjustRightInd w:val="0"/>
                    <w:snapToGrid w:val="0"/>
                    <w:ind w:left="-105" w:leftChars="-50" w:right="-105" w:rightChars="-50"/>
                    <w:jc w:val="center"/>
                    <w:rPr>
                      <w:rFonts w:hAnsi="宋体"/>
                      <w:caps/>
                      <w:kern w:val="0"/>
                      <w:szCs w:val="21"/>
                    </w:rPr>
                  </w:pPr>
                  <w:r>
                    <w:rPr>
                      <w:rFonts w:hint="eastAsia" w:hAnsi="宋体"/>
                      <w:caps/>
                      <w:kern w:val="0"/>
                      <w:szCs w:val="21"/>
                    </w:rPr>
                    <w:t>+1.2</w:t>
                  </w:r>
                </w:p>
              </w:tc>
              <w:tc>
                <w:tcPr>
                  <w:tcW w:w="330" w:type="pct"/>
                  <w:vMerge w:val="restart"/>
                  <w:noWrap/>
                  <w:vAlign w:val="center"/>
                </w:tcPr>
                <w:p w14:paraId="3CDDEFB9">
                  <w:pPr>
                    <w:widowControl/>
                    <w:adjustRightInd w:val="0"/>
                    <w:snapToGrid w:val="0"/>
                    <w:ind w:left="-105" w:leftChars="-50" w:right="-105" w:rightChars="-50"/>
                    <w:jc w:val="center"/>
                    <w:rPr>
                      <w:caps/>
                      <w:kern w:val="0"/>
                      <w:szCs w:val="21"/>
                    </w:rPr>
                  </w:pPr>
                  <w:r>
                    <w:rPr>
                      <w:rFonts w:hint="eastAsia" w:hAnsi="宋体"/>
                      <w:caps/>
                      <w:kern w:val="0"/>
                      <w:szCs w:val="21"/>
                    </w:rPr>
                    <w:t>右侧</w:t>
                  </w:r>
                </w:p>
              </w:tc>
              <w:tc>
                <w:tcPr>
                  <w:tcW w:w="573" w:type="pct"/>
                  <w:vMerge w:val="restart"/>
                  <w:vAlign w:val="center"/>
                </w:tcPr>
                <w:p w14:paraId="79D79599">
                  <w:pPr>
                    <w:widowControl/>
                    <w:adjustRightInd w:val="0"/>
                    <w:snapToGrid w:val="0"/>
                    <w:ind w:left="-105" w:leftChars="-50" w:right="-105" w:rightChars="-50"/>
                    <w:jc w:val="center"/>
                    <w:rPr>
                      <w:rFonts w:hAnsi="宋体"/>
                      <w:caps/>
                      <w:kern w:val="0"/>
                      <w:szCs w:val="21"/>
                    </w:rPr>
                  </w:pPr>
                  <w:r>
                    <w:rPr>
                      <w:rFonts w:hint="eastAsia" w:hAnsi="宋体"/>
                      <w:caps/>
                      <w:kern w:val="0"/>
                      <w:szCs w:val="21"/>
                    </w:rPr>
                    <w:t>4</w:t>
                  </w:r>
                  <w:r>
                    <w:rPr>
                      <w:rFonts w:hAnsi="宋体"/>
                      <w:kern w:val="0"/>
                      <w:szCs w:val="21"/>
                    </w:rPr>
                    <w:t>a</w:t>
                  </w:r>
                  <w:r>
                    <w:rPr>
                      <w:rFonts w:hint="eastAsia" w:hAnsi="宋体"/>
                      <w:kern w:val="0"/>
                      <w:szCs w:val="21"/>
                    </w:rPr>
                    <w:t>类</w:t>
                  </w:r>
                </w:p>
              </w:tc>
            </w:tr>
            <w:tr w14:paraId="5ACB3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continue"/>
                  <w:vAlign w:val="center"/>
                </w:tcPr>
                <w:p w14:paraId="72C37482">
                  <w:pPr>
                    <w:widowControl/>
                    <w:adjustRightInd w:val="0"/>
                    <w:snapToGrid w:val="0"/>
                    <w:ind w:left="-105" w:leftChars="-50" w:right="-105" w:rightChars="-50"/>
                    <w:jc w:val="center"/>
                    <w:rPr>
                      <w:rFonts w:hAnsi="宋体"/>
                      <w:caps/>
                      <w:kern w:val="0"/>
                      <w:szCs w:val="21"/>
                    </w:rPr>
                  </w:pPr>
                </w:p>
              </w:tc>
              <w:tc>
                <w:tcPr>
                  <w:tcW w:w="876" w:type="pct"/>
                  <w:vMerge w:val="continue"/>
                  <w:vAlign w:val="center"/>
                </w:tcPr>
                <w:p w14:paraId="46753C17">
                  <w:pPr>
                    <w:widowControl/>
                    <w:adjustRightInd w:val="0"/>
                    <w:snapToGrid w:val="0"/>
                    <w:ind w:left="-105" w:leftChars="-50" w:right="-105" w:rightChars="-50"/>
                    <w:jc w:val="center"/>
                    <w:rPr>
                      <w:b/>
                      <w:caps/>
                      <w:kern w:val="0"/>
                      <w:szCs w:val="21"/>
                    </w:rPr>
                  </w:pPr>
                </w:p>
              </w:tc>
              <w:tc>
                <w:tcPr>
                  <w:tcW w:w="883" w:type="pct"/>
                  <w:vMerge w:val="continue"/>
                  <w:noWrap/>
                  <w:vAlign w:val="center"/>
                </w:tcPr>
                <w:p w14:paraId="001A1984">
                  <w:pPr>
                    <w:widowControl/>
                    <w:adjustRightInd w:val="0"/>
                    <w:snapToGrid w:val="0"/>
                    <w:ind w:left="-105" w:leftChars="-50" w:right="-105" w:rightChars="-50"/>
                    <w:jc w:val="center"/>
                    <w:rPr>
                      <w:caps/>
                      <w:kern w:val="0"/>
                      <w:szCs w:val="21"/>
                    </w:rPr>
                  </w:pPr>
                </w:p>
              </w:tc>
              <w:tc>
                <w:tcPr>
                  <w:tcW w:w="1233" w:type="pct"/>
                  <w:noWrap/>
                  <w:vAlign w:val="center"/>
                </w:tcPr>
                <w:p w14:paraId="0C273354">
                  <w:pPr>
                    <w:widowControl/>
                    <w:adjustRightInd w:val="0"/>
                    <w:snapToGrid w:val="0"/>
                    <w:ind w:left="-105" w:leftChars="-50" w:right="-105" w:rightChars="-50"/>
                    <w:jc w:val="center"/>
                    <w:rPr>
                      <w:caps/>
                      <w:kern w:val="0"/>
                      <w:szCs w:val="21"/>
                    </w:rPr>
                  </w:pPr>
                  <w:r>
                    <w:rPr>
                      <w:rFonts w:hint="eastAsia"/>
                      <w:caps/>
                      <w:kern w:val="0"/>
                      <w:szCs w:val="21"/>
                    </w:rPr>
                    <w:t>3F房屋墙前1</w:t>
                  </w:r>
                  <w:r>
                    <w:rPr>
                      <w:kern w:val="0"/>
                      <w:szCs w:val="21"/>
                    </w:rPr>
                    <w:t>m</w:t>
                  </w:r>
                  <w:r>
                    <w:rPr>
                      <w:rFonts w:hint="eastAsia"/>
                      <w:caps/>
                      <w:kern w:val="0"/>
                      <w:szCs w:val="21"/>
                    </w:rPr>
                    <w:t>处</w:t>
                  </w:r>
                </w:p>
              </w:tc>
              <w:tc>
                <w:tcPr>
                  <w:tcW w:w="575" w:type="pct"/>
                  <w:vMerge w:val="continue"/>
                  <w:vAlign w:val="center"/>
                </w:tcPr>
                <w:p w14:paraId="3D60C10D">
                  <w:pPr>
                    <w:widowControl/>
                    <w:adjustRightInd w:val="0"/>
                    <w:snapToGrid w:val="0"/>
                    <w:ind w:left="-105" w:leftChars="-50" w:right="-105" w:rightChars="-50"/>
                    <w:jc w:val="center"/>
                    <w:rPr>
                      <w:rFonts w:hAnsi="宋体"/>
                      <w:caps/>
                      <w:kern w:val="0"/>
                      <w:szCs w:val="21"/>
                    </w:rPr>
                  </w:pPr>
                </w:p>
              </w:tc>
              <w:tc>
                <w:tcPr>
                  <w:tcW w:w="330" w:type="pct"/>
                  <w:vAlign w:val="center"/>
                </w:tcPr>
                <w:p w14:paraId="6404BE42">
                  <w:pPr>
                    <w:widowControl/>
                    <w:adjustRightInd w:val="0"/>
                    <w:snapToGrid w:val="0"/>
                    <w:ind w:left="-105" w:leftChars="-50" w:right="-105" w:rightChars="-50"/>
                    <w:jc w:val="center"/>
                    <w:rPr>
                      <w:rFonts w:hAnsi="宋体"/>
                      <w:caps/>
                      <w:kern w:val="0"/>
                      <w:szCs w:val="21"/>
                    </w:rPr>
                  </w:pPr>
                  <w:r>
                    <w:rPr>
                      <w:rFonts w:hint="eastAsia" w:hAnsi="宋体"/>
                      <w:caps/>
                      <w:kern w:val="0"/>
                      <w:szCs w:val="21"/>
                    </w:rPr>
                    <w:t>+7.2</w:t>
                  </w:r>
                </w:p>
              </w:tc>
              <w:tc>
                <w:tcPr>
                  <w:tcW w:w="330" w:type="pct"/>
                  <w:vMerge w:val="continue"/>
                  <w:noWrap/>
                  <w:vAlign w:val="center"/>
                </w:tcPr>
                <w:p w14:paraId="43D40903">
                  <w:pPr>
                    <w:widowControl/>
                    <w:adjustRightInd w:val="0"/>
                    <w:snapToGrid w:val="0"/>
                    <w:ind w:left="-105" w:leftChars="-50" w:right="-105" w:rightChars="-50"/>
                    <w:jc w:val="center"/>
                    <w:rPr>
                      <w:rFonts w:hAnsi="宋体"/>
                      <w:caps/>
                      <w:kern w:val="0"/>
                      <w:szCs w:val="21"/>
                    </w:rPr>
                  </w:pPr>
                </w:p>
              </w:tc>
              <w:tc>
                <w:tcPr>
                  <w:tcW w:w="573" w:type="pct"/>
                  <w:vMerge w:val="continue"/>
                  <w:vAlign w:val="center"/>
                </w:tcPr>
                <w:p w14:paraId="308301F9">
                  <w:pPr>
                    <w:widowControl/>
                    <w:adjustRightInd w:val="0"/>
                    <w:snapToGrid w:val="0"/>
                    <w:ind w:left="-105" w:leftChars="-50" w:right="-105" w:rightChars="-50"/>
                    <w:jc w:val="center"/>
                    <w:rPr>
                      <w:rFonts w:hAnsi="宋体"/>
                      <w:caps/>
                      <w:kern w:val="0"/>
                      <w:szCs w:val="21"/>
                    </w:rPr>
                  </w:pPr>
                </w:p>
              </w:tc>
            </w:tr>
            <w:tr w14:paraId="43DE9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restart"/>
                  <w:vAlign w:val="center"/>
                </w:tcPr>
                <w:p w14:paraId="47138862">
                  <w:pPr>
                    <w:widowControl/>
                    <w:adjustRightInd w:val="0"/>
                    <w:snapToGrid w:val="0"/>
                    <w:ind w:left="-105" w:leftChars="-50" w:right="-105" w:rightChars="-50"/>
                    <w:jc w:val="center"/>
                    <w:rPr>
                      <w:rFonts w:hAnsi="宋体"/>
                      <w:caps/>
                      <w:kern w:val="0"/>
                      <w:szCs w:val="21"/>
                    </w:rPr>
                  </w:pPr>
                  <w:r>
                    <w:rPr>
                      <w:rFonts w:hint="eastAsia" w:hAnsi="宋体"/>
                      <w:caps/>
                      <w:kern w:val="0"/>
                      <w:szCs w:val="21"/>
                    </w:rPr>
                    <w:t>2#</w:t>
                  </w:r>
                </w:p>
              </w:tc>
              <w:tc>
                <w:tcPr>
                  <w:tcW w:w="876" w:type="pct"/>
                  <w:vMerge w:val="restart"/>
                  <w:vAlign w:val="center"/>
                </w:tcPr>
                <w:p w14:paraId="7B9385F5">
                  <w:pPr>
                    <w:widowControl/>
                    <w:adjustRightInd w:val="0"/>
                    <w:snapToGrid w:val="0"/>
                    <w:ind w:left="-105" w:leftChars="-50" w:right="-105" w:rightChars="-50"/>
                    <w:jc w:val="center"/>
                    <w:rPr>
                      <w:b/>
                      <w:caps/>
                      <w:kern w:val="0"/>
                      <w:szCs w:val="21"/>
                    </w:rPr>
                  </w:pPr>
                  <w:r>
                    <w:rPr>
                      <w:rFonts w:hint="eastAsia"/>
                      <w:b/>
                      <w:caps/>
                      <w:kern w:val="0"/>
                      <w:szCs w:val="21"/>
                    </w:rPr>
                    <w:t>新苗安置小区</w:t>
                  </w:r>
                </w:p>
                <w:p w14:paraId="4CB6D4A3">
                  <w:pPr>
                    <w:widowControl/>
                    <w:adjustRightInd w:val="0"/>
                    <w:snapToGrid w:val="0"/>
                    <w:ind w:left="-105" w:leftChars="-50" w:right="-105" w:rightChars="-50"/>
                    <w:jc w:val="center"/>
                    <w:rPr>
                      <w:b/>
                      <w:caps/>
                      <w:kern w:val="0"/>
                      <w:szCs w:val="21"/>
                    </w:rPr>
                  </w:pPr>
                  <w:r>
                    <w:rPr>
                      <w:rFonts w:hint="eastAsia"/>
                      <w:b/>
                      <w:caps/>
                      <w:kern w:val="0"/>
                      <w:szCs w:val="21"/>
                    </w:rPr>
                    <w:t>7F楼房</w:t>
                  </w:r>
                </w:p>
              </w:tc>
              <w:tc>
                <w:tcPr>
                  <w:tcW w:w="883" w:type="pct"/>
                  <w:vMerge w:val="restart"/>
                  <w:noWrap/>
                  <w:vAlign w:val="center"/>
                </w:tcPr>
                <w:p w14:paraId="746938A0">
                  <w:pPr>
                    <w:widowControl/>
                    <w:adjustRightInd w:val="0"/>
                    <w:snapToGrid w:val="0"/>
                    <w:ind w:left="-105" w:leftChars="-50" w:right="-105" w:rightChars="-50"/>
                    <w:jc w:val="center"/>
                    <w:rPr>
                      <w:caps/>
                      <w:kern w:val="0"/>
                      <w:szCs w:val="21"/>
                    </w:rPr>
                  </w:pPr>
                  <w:r>
                    <w:rPr>
                      <w:rFonts w:hint="eastAsia"/>
                      <w:caps/>
                      <w:kern w:val="0"/>
                      <w:szCs w:val="21"/>
                    </w:rPr>
                    <w:t>城南大道连接线（现状火象路）</w:t>
                  </w:r>
                </w:p>
              </w:tc>
              <w:tc>
                <w:tcPr>
                  <w:tcW w:w="1233" w:type="pct"/>
                  <w:noWrap/>
                  <w:vAlign w:val="center"/>
                </w:tcPr>
                <w:p w14:paraId="641CB8CD">
                  <w:pPr>
                    <w:widowControl/>
                    <w:adjustRightInd w:val="0"/>
                    <w:snapToGrid w:val="0"/>
                    <w:ind w:left="-105" w:leftChars="-50" w:right="-105" w:rightChars="-50"/>
                    <w:jc w:val="center"/>
                    <w:rPr>
                      <w:caps/>
                      <w:kern w:val="0"/>
                      <w:szCs w:val="21"/>
                    </w:rPr>
                  </w:pPr>
                  <w:r>
                    <w:rPr>
                      <w:rFonts w:hint="eastAsia"/>
                      <w:caps/>
                      <w:kern w:val="0"/>
                      <w:szCs w:val="21"/>
                    </w:rPr>
                    <w:t>1F房屋墙前1</w:t>
                  </w:r>
                  <w:r>
                    <w:rPr>
                      <w:kern w:val="0"/>
                      <w:szCs w:val="21"/>
                    </w:rPr>
                    <w:t>m</w:t>
                  </w:r>
                  <w:r>
                    <w:rPr>
                      <w:rFonts w:hint="eastAsia"/>
                      <w:caps/>
                      <w:kern w:val="0"/>
                      <w:szCs w:val="21"/>
                    </w:rPr>
                    <w:t>处</w:t>
                  </w:r>
                </w:p>
              </w:tc>
              <w:tc>
                <w:tcPr>
                  <w:tcW w:w="575" w:type="pct"/>
                  <w:vMerge w:val="restart"/>
                  <w:vAlign w:val="center"/>
                </w:tcPr>
                <w:p w14:paraId="0C98E958">
                  <w:pPr>
                    <w:widowControl/>
                    <w:adjustRightInd w:val="0"/>
                    <w:snapToGrid w:val="0"/>
                    <w:ind w:left="-105" w:leftChars="-50" w:right="-105" w:rightChars="-50"/>
                    <w:jc w:val="center"/>
                    <w:rPr>
                      <w:rFonts w:hAnsi="宋体"/>
                      <w:caps/>
                      <w:kern w:val="0"/>
                      <w:szCs w:val="21"/>
                    </w:rPr>
                  </w:pPr>
                  <w:r>
                    <w:rPr>
                      <w:rFonts w:hint="eastAsia" w:hAnsi="宋体"/>
                      <w:caps/>
                      <w:kern w:val="0"/>
                      <w:szCs w:val="21"/>
                    </w:rPr>
                    <w:t>路基</w:t>
                  </w:r>
                </w:p>
              </w:tc>
              <w:tc>
                <w:tcPr>
                  <w:tcW w:w="330" w:type="pct"/>
                  <w:vAlign w:val="center"/>
                </w:tcPr>
                <w:p w14:paraId="7ED88538">
                  <w:pPr>
                    <w:widowControl/>
                    <w:adjustRightInd w:val="0"/>
                    <w:snapToGrid w:val="0"/>
                    <w:ind w:left="-105" w:leftChars="-50" w:right="-105" w:rightChars="-50"/>
                    <w:jc w:val="center"/>
                    <w:rPr>
                      <w:rFonts w:hAnsi="宋体"/>
                      <w:caps/>
                      <w:kern w:val="0"/>
                      <w:szCs w:val="21"/>
                    </w:rPr>
                  </w:pPr>
                  <w:r>
                    <w:rPr>
                      <w:rFonts w:hint="eastAsia" w:hAnsi="宋体"/>
                      <w:caps/>
                      <w:kern w:val="0"/>
                      <w:szCs w:val="21"/>
                    </w:rPr>
                    <w:t>+1.2</w:t>
                  </w:r>
                </w:p>
              </w:tc>
              <w:tc>
                <w:tcPr>
                  <w:tcW w:w="330" w:type="pct"/>
                  <w:vMerge w:val="restart"/>
                  <w:noWrap/>
                  <w:vAlign w:val="center"/>
                </w:tcPr>
                <w:p w14:paraId="4EEF4F5B">
                  <w:pPr>
                    <w:widowControl/>
                    <w:adjustRightInd w:val="0"/>
                    <w:snapToGrid w:val="0"/>
                    <w:ind w:left="-105" w:leftChars="-50" w:right="-105" w:rightChars="-50"/>
                    <w:jc w:val="center"/>
                    <w:rPr>
                      <w:rFonts w:hAnsi="宋体"/>
                      <w:caps/>
                      <w:kern w:val="0"/>
                      <w:szCs w:val="21"/>
                    </w:rPr>
                  </w:pPr>
                  <w:r>
                    <w:rPr>
                      <w:rFonts w:hint="eastAsia" w:hAnsi="宋体"/>
                      <w:caps/>
                      <w:kern w:val="0"/>
                      <w:szCs w:val="21"/>
                    </w:rPr>
                    <w:t>右侧</w:t>
                  </w:r>
                </w:p>
              </w:tc>
              <w:tc>
                <w:tcPr>
                  <w:tcW w:w="573" w:type="pct"/>
                  <w:vMerge w:val="restart"/>
                  <w:vAlign w:val="center"/>
                </w:tcPr>
                <w:p w14:paraId="6805A81C">
                  <w:pPr>
                    <w:widowControl/>
                    <w:adjustRightInd w:val="0"/>
                    <w:snapToGrid w:val="0"/>
                    <w:ind w:left="-105" w:leftChars="-50" w:right="-105" w:rightChars="-50"/>
                    <w:jc w:val="center"/>
                    <w:rPr>
                      <w:rFonts w:hAnsi="宋体"/>
                      <w:caps/>
                      <w:kern w:val="0"/>
                      <w:szCs w:val="21"/>
                    </w:rPr>
                  </w:pPr>
                  <w:r>
                    <w:rPr>
                      <w:rFonts w:hint="eastAsia" w:hAnsi="宋体"/>
                      <w:caps/>
                      <w:kern w:val="0"/>
                      <w:szCs w:val="21"/>
                    </w:rPr>
                    <w:t>4</w:t>
                  </w:r>
                  <w:r>
                    <w:rPr>
                      <w:rFonts w:hAnsi="宋体"/>
                      <w:kern w:val="0"/>
                      <w:szCs w:val="21"/>
                    </w:rPr>
                    <w:t>a</w:t>
                  </w:r>
                  <w:r>
                    <w:rPr>
                      <w:rFonts w:hint="eastAsia" w:hAnsi="宋体"/>
                      <w:kern w:val="0"/>
                      <w:szCs w:val="21"/>
                    </w:rPr>
                    <w:t>类</w:t>
                  </w:r>
                </w:p>
              </w:tc>
            </w:tr>
            <w:tr w14:paraId="77E55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continue"/>
                  <w:vAlign w:val="center"/>
                </w:tcPr>
                <w:p w14:paraId="7DCA9E0C">
                  <w:pPr>
                    <w:widowControl/>
                    <w:adjustRightInd w:val="0"/>
                    <w:snapToGrid w:val="0"/>
                    <w:ind w:left="-105" w:leftChars="-50" w:right="-105" w:rightChars="-50"/>
                    <w:jc w:val="center"/>
                    <w:rPr>
                      <w:rFonts w:hAnsi="宋体"/>
                      <w:caps/>
                      <w:kern w:val="0"/>
                      <w:szCs w:val="21"/>
                    </w:rPr>
                  </w:pPr>
                </w:p>
              </w:tc>
              <w:tc>
                <w:tcPr>
                  <w:tcW w:w="876" w:type="pct"/>
                  <w:vMerge w:val="continue"/>
                  <w:vAlign w:val="center"/>
                </w:tcPr>
                <w:p w14:paraId="24D03418">
                  <w:pPr>
                    <w:widowControl/>
                    <w:adjustRightInd w:val="0"/>
                    <w:snapToGrid w:val="0"/>
                    <w:ind w:left="-105" w:leftChars="-50" w:right="-105" w:rightChars="-50"/>
                    <w:jc w:val="center"/>
                    <w:rPr>
                      <w:b/>
                      <w:caps/>
                      <w:kern w:val="0"/>
                      <w:szCs w:val="21"/>
                    </w:rPr>
                  </w:pPr>
                </w:p>
              </w:tc>
              <w:tc>
                <w:tcPr>
                  <w:tcW w:w="883" w:type="pct"/>
                  <w:vMerge w:val="continue"/>
                  <w:noWrap/>
                  <w:vAlign w:val="center"/>
                </w:tcPr>
                <w:p w14:paraId="211922F3">
                  <w:pPr>
                    <w:widowControl/>
                    <w:adjustRightInd w:val="0"/>
                    <w:snapToGrid w:val="0"/>
                    <w:ind w:left="-105" w:leftChars="-50" w:right="-105" w:rightChars="-50"/>
                    <w:jc w:val="center"/>
                    <w:rPr>
                      <w:caps/>
                      <w:kern w:val="0"/>
                      <w:szCs w:val="21"/>
                    </w:rPr>
                  </w:pPr>
                </w:p>
              </w:tc>
              <w:tc>
                <w:tcPr>
                  <w:tcW w:w="1233" w:type="pct"/>
                  <w:noWrap/>
                  <w:vAlign w:val="center"/>
                </w:tcPr>
                <w:p w14:paraId="70975872">
                  <w:pPr>
                    <w:widowControl/>
                    <w:adjustRightInd w:val="0"/>
                    <w:snapToGrid w:val="0"/>
                    <w:ind w:left="-105" w:leftChars="-50" w:right="-105" w:rightChars="-50"/>
                    <w:jc w:val="center"/>
                    <w:rPr>
                      <w:caps/>
                      <w:kern w:val="0"/>
                      <w:szCs w:val="21"/>
                    </w:rPr>
                  </w:pPr>
                  <w:r>
                    <w:rPr>
                      <w:rFonts w:hint="eastAsia"/>
                      <w:caps/>
                      <w:kern w:val="0"/>
                      <w:szCs w:val="21"/>
                    </w:rPr>
                    <w:t>5F房屋墙前1</w:t>
                  </w:r>
                  <w:r>
                    <w:rPr>
                      <w:kern w:val="0"/>
                      <w:szCs w:val="21"/>
                    </w:rPr>
                    <w:t>m</w:t>
                  </w:r>
                  <w:r>
                    <w:rPr>
                      <w:rFonts w:hint="eastAsia"/>
                      <w:caps/>
                      <w:kern w:val="0"/>
                      <w:szCs w:val="21"/>
                    </w:rPr>
                    <w:t>处</w:t>
                  </w:r>
                </w:p>
              </w:tc>
              <w:tc>
                <w:tcPr>
                  <w:tcW w:w="575" w:type="pct"/>
                  <w:vMerge w:val="continue"/>
                  <w:vAlign w:val="center"/>
                </w:tcPr>
                <w:p w14:paraId="52FAE379">
                  <w:pPr>
                    <w:widowControl/>
                    <w:adjustRightInd w:val="0"/>
                    <w:snapToGrid w:val="0"/>
                    <w:ind w:left="-105" w:leftChars="-50" w:right="-105" w:rightChars="-50"/>
                    <w:jc w:val="center"/>
                    <w:rPr>
                      <w:rFonts w:hAnsi="宋体"/>
                      <w:caps/>
                      <w:kern w:val="0"/>
                      <w:szCs w:val="21"/>
                    </w:rPr>
                  </w:pPr>
                </w:p>
              </w:tc>
              <w:tc>
                <w:tcPr>
                  <w:tcW w:w="330" w:type="pct"/>
                  <w:vAlign w:val="center"/>
                </w:tcPr>
                <w:p w14:paraId="57AC3FDC">
                  <w:pPr>
                    <w:widowControl/>
                    <w:adjustRightInd w:val="0"/>
                    <w:snapToGrid w:val="0"/>
                    <w:ind w:left="-105" w:leftChars="-50" w:right="-105" w:rightChars="-50"/>
                    <w:jc w:val="center"/>
                    <w:rPr>
                      <w:rFonts w:hAnsi="宋体"/>
                      <w:caps/>
                      <w:kern w:val="0"/>
                      <w:szCs w:val="21"/>
                    </w:rPr>
                  </w:pPr>
                  <w:r>
                    <w:rPr>
                      <w:rFonts w:hint="eastAsia" w:hAnsi="宋体"/>
                      <w:caps/>
                      <w:kern w:val="0"/>
                      <w:szCs w:val="21"/>
                    </w:rPr>
                    <w:t>+13.2</w:t>
                  </w:r>
                </w:p>
              </w:tc>
              <w:tc>
                <w:tcPr>
                  <w:tcW w:w="330" w:type="pct"/>
                  <w:vMerge w:val="continue"/>
                  <w:noWrap/>
                  <w:vAlign w:val="center"/>
                </w:tcPr>
                <w:p w14:paraId="4072A519">
                  <w:pPr>
                    <w:adjustRightInd w:val="0"/>
                    <w:snapToGrid w:val="0"/>
                    <w:ind w:left="-105" w:leftChars="-50" w:right="-105" w:rightChars="-50"/>
                    <w:jc w:val="center"/>
                    <w:rPr>
                      <w:rFonts w:hAnsi="宋体"/>
                      <w:caps/>
                      <w:kern w:val="0"/>
                      <w:szCs w:val="21"/>
                    </w:rPr>
                  </w:pPr>
                </w:p>
              </w:tc>
              <w:tc>
                <w:tcPr>
                  <w:tcW w:w="573" w:type="pct"/>
                  <w:vMerge w:val="continue"/>
                  <w:vAlign w:val="center"/>
                </w:tcPr>
                <w:p w14:paraId="20292AA4">
                  <w:pPr>
                    <w:adjustRightInd w:val="0"/>
                    <w:snapToGrid w:val="0"/>
                    <w:ind w:left="-105" w:leftChars="-50" w:right="-105" w:rightChars="-50"/>
                    <w:jc w:val="center"/>
                    <w:rPr>
                      <w:rFonts w:hAnsi="宋体"/>
                      <w:caps/>
                      <w:kern w:val="0"/>
                      <w:szCs w:val="21"/>
                    </w:rPr>
                  </w:pPr>
                </w:p>
              </w:tc>
            </w:tr>
            <w:tr w14:paraId="532A2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continue"/>
                  <w:vAlign w:val="center"/>
                </w:tcPr>
                <w:p w14:paraId="728191B8">
                  <w:pPr>
                    <w:widowControl/>
                    <w:adjustRightInd w:val="0"/>
                    <w:snapToGrid w:val="0"/>
                    <w:ind w:left="-105" w:leftChars="-50" w:right="-105" w:rightChars="-50"/>
                    <w:jc w:val="center"/>
                    <w:rPr>
                      <w:rFonts w:hAnsi="宋体"/>
                      <w:caps/>
                      <w:kern w:val="0"/>
                      <w:szCs w:val="21"/>
                    </w:rPr>
                  </w:pPr>
                </w:p>
              </w:tc>
              <w:tc>
                <w:tcPr>
                  <w:tcW w:w="876" w:type="pct"/>
                  <w:vMerge w:val="continue"/>
                  <w:vAlign w:val="center"/>
                </w:tcPr>
                <w:p w14:paraId="71E77E6B">
                  <w:pPr>
                    <w:widowControl/>
                    <w:adjustRightInd w:val="0"/>
                    <w:snapToGrid w:val="0"/>
                    <w:ind w:left="-105" w:leftChars="-50" w:right="-105" w:rightChars="-50"/>
                    <w:jc w:val="center"/>
                    <w:rPr>
                      <w:b/>
                      <w:caps/>
                      <w:kern w:val="0"/>
                      <w:szCs w:val="21"/>
                    </w:rPr>
                  </w:pPr>
                </w:p>
              </w:tc>
              <w:tc>
                <w:tcPr>
                  <w:tcW w:w="883" w:type="pct"/>
                  <w:vMerge w:val="continue"/>
                  <w:noWrap/>
                  <w:vAlign w:val="center"/>
                </w:tcPr>
                <w:p w14:paraId="1F670511">
                  <w:pPr>
                    <w:widowControl/>
                    <w:adjustRightInd w:val="0"/>
                    <w:snapToGrid w:val="0"/>
                    <w:ind w:left="-105" w:leftChars="-50" w:right="-105" w:rightChars="-50"/>
                    <w:jc w:val="center"/>
                    <w:rPr>
                      <w:caps/>
                      <w:kern w:val="0"/>
                      <w:szCs w:val="21"/>
                    </w:rPr>
                  </w:pPr>
                </w:p>
              </w:tc>
              <w:tc>
                <w:tcPr>
                  <w:tcW w:w="1233" w:type="pct"/>
                  <w:noWrap/>
                  <w:vAlign w:val="center"/>
                </w:tcPr>
                <w:p w14:paraId="28B0DD33">
                  <w:pPr>
                    <w:widowControl/>
                    <w:adjustRightInd w:val="0"/>
                    <w:snapToGrid w:val="0"/>
                    <w:ind w:left="-105" w:leftChars="-50" w:right="-105" w:rightChars="-50"/>
                    <w:jc w:val="center"/>
                    <w:rPr>
                      <w:caps/>
                      <w:kern w:val="0"/>
                      <w:szCs w:val="21"/>
                    </w:rPr>
                  </w:pPr>
                  <w:r>
                    <w:rPr>
                      <w:rFonts w:hint="eastAsia"/>
                      <w:caps/>
                      <w:kern w:val="0"/>
                      <w:szCs w:val="21"/>
                    </w:rPr>
                    <w:t>7F房屋墙前1</w:t>
                  </w:r>
                  <w:r>
                    <w:rPr>
                      <w:kern w:val="0"/>
                      <w:szCs w:val="21"/>
                    </w:rPr>
                    <w:t>m</w:t>
                  </w:r>
                  <w:r>
                    <w:rPr>
                      <w:rFonts w:hint="eastAsia"/>
                      <w:caps/>
                      <w:kern w:val="0"/>
                      <w:szCs w:val="21"/>
                    </w:rPr>
                    <w:t>处</w:t>
                  </w:r>
                </w:p>
              </w:tc>
              <w:tc>
                <w:tcPr>
                  <w:tcW w:w="575" w:type="pct"/>
                  <w:vMerge w:val="continue"/>
                  <w:vAlign w:val="center"/>
                </w:tcPr>
                <w:p w14:paraId="193F7A07">
                  <w:pPr>
                    <w:widowControl/>
                    <w:adjustRightInd w:val="0"/>
                    <w:snapToGrid w:val="0"/>
                    <w:ind w:left="-105" w:leftChars="-50" w:right="-105" w:rightChars="-50"/>
                    <w:jc w:val="center"/>
                    <w:rPr>
                      <w:rFonts w:hAnsi="宋体"/>
                      <w:caps/>
                      <w:kern w:val="0"/>
                      <w:szCs w:val="21"/>
                    </w:rPr>
                  </w:pPr>
                </w:p>
              </w:tc>
              <w:tc>
                <w:tcPr>
                  <w:tcW w:w="330" w:type="pct"/>
                  <w:vAlign w:val="center"/>
                </w:tcPr>
                <w:p w14:paraId="383A80A8">
                  <w:pPr>
                    <w:widowControl/>
                    <w:adjustRightInd w:val="0"/>
                    <w:snapToGrid w:val="0"/>
                    <w:ind w:left="-105" w:leftChars="-50" w:right="-105" w:rightChars="-50"/>
                    <w:jc w:val="center"/>
                    <w:rPr>
                      <w:rFonts w:hAnsi="宋体"/>
                      <w:caps/>
                      <w:kern w:val="0"/>
                      <w:szCs w:val="21"/>
                    </w:rPr>
                  </w:pPr>
                  <w:r>
                    <w:rPr>
                      <w:rFonts w:hint="eastAsia" w:hAnsi="宋体"/>
                      <w:caps/>
                      <w:kern w:val="0"/>
                      <w:szCs w:val="21"/>
                    </w:rPr>
                    <w:t>+19.2</w:t>
                  </w:r>
                </w:p>
              </w:tc>
              <w:tc>
                <w:tcPr>
                  <w:tcW w:w="330" w:type="pct"/>
                  <w:vMerge w:val="continue"/>
                  <w:noWrap/>
                  <w:vAlign w:val="center"/>
                </w:tcPr>
                <w:p w14:paraId="606B1BCF">
                  <w:pPr>
                    <w:widowControl/>
                    <w:adjustRightInd w:val="0"/>
                    <w:snapToGrid w:val="0"/>
                    <w:ind w:left="-105" w:leftChars="-50" w:right="-105" w:rightChars="-50"/>
                    <w:jc w:val="center"/>
                    <w:rPr>
                      <w:rFonts w:hAnsi="宋体"/>
                      <w:caps/>
                      <w:kern w:val="0"/>
                      <w:szCs w:val="21"/>
                    </w:rPr>
                  </w:pPr>
                </w:p>
              </w:tc>
              <w:tc>
                <w:tcPr>
                  <w:tcW w:w="573" w:type="pct"/>
                  <w:vMerge w:val="continue"/>
                  <w:vAlign w:val="center"/>
                </w:tcPr>
                <w:p w14:paraId="0289A9B4">
                  <w:pPr>
                    <w:widowControl/>
                    <w:adjustRightInd w:val="0"/>
                    <w:snapToGrid w:val="0"/>
                    <w:ind w:left="-105" w:leftChars="-50" w:right="-105" w:rightChars="-50"/>
                    <w:jc w:val="center"/>
                    <w:rPr>
                      <w:rFonts w:hAnsi="宋体"/>
                      <w:caps/>
                      <w:kern w:val="0"/>
                      <w:szCs w:val="21"/>
                    </w:rPr>
                  </w:pPr>
                </w:p>
              </w:tc>
            </w:tr>
            <w:tr w14:paraId="026FC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restart"/>
                  <w:vAlign w:val="center"/>
                </w:tcPr>
                <w:p w14:paraId="1811A192">
                  <w:pPr>
                    <w:widowControl/>
                    <w:adjustRightInd w:val="0"/>
                    <w:snapToGrid w:val="0"/>
                    <w:ind w:left="-105" w:leftChars="-50" w:right="-105" w:rightChars="-50"/>
                    <w:jc w:val="center"/>
                    <w:rPr>
                      <w:rFonts w:hAnsi="宋体"/>
                      <w:caps/>
                      <w:kern w:val="0"/>
                      <w:szCs w:val="21"/>
                    </w:rPr>
                  </w:pPr>
                  <w:r>
                    <w:rPr>
                      <w:rFonts w:hint="eastAsia" w:hAnsi="宋体"/>
                      <w:caps/>
                      <w:kern w:val="0"/>
                      <w:szCs w:val="21"/>
                    </w:rPr>
                    <w:t>3#</w:t>
                  </w:r>
                </w:p>
              </w:tc>
              <w:tc>
                <w:tcPr>
                  <w:tcW w:w="876" w:type="pct"/>
                  <w:vMerge w:val="restart"/>
                  <w:vAlign w:val="center"/>
                </w:tcPr>
                <w:p w14:paraId="1946F55B">
                  <w:pPr>
                    <w:widowControl/>
                    <w:adjustRightInd w:val="0"/>
                    <w:snapToGrid w:val="0"/>
                    <w:ind w:left="-105" w:leftChars="-50" w:right="-105" w:rightChars="-50"/>
                    <w:jc w:val="center"/>
                    <w:rPr>
                      <w:b/>
                      <w:caps/>
                      <w:kern w:val="0"/>
                      <w:szCs w:val="21"/>
                    </w:rPr>
                  </w:pPr>
                  <w:r>
                    <w:rPr>
                      <w:rFonts w:hint="eastAsia"/>
                      <w:b/>
                      <w:caps/>
                      <w:kern w:val="0"/>
                      <w:szCs w:val="21"/>
                    </w:rPr>
                    <w:t>新苗安置小区</w:t>
                  </w:r>
                </w:p>
                <w:p w14:paraId="38FF6896">
                  <w:pPr>
                    <w:widowControl/>
                    <w:adjustRightInd w:val="0"/>
                    <w:snapToGrid w:val="0"/>
                    <w:ind w:left="-105" w:leftChars="-50" w:right="-105" w:rightChars="-50"/>
                    <w:jc w:val="center"/>
                    <w:rPr>
                      <w:b/>
                      <w:caps/>
                      <w:kern w:val="0"/>
                      <w:szCs w:val="21"/>
                    </w:rPr>
                  </w:pPr>
                  <w:r>
                    <w:rPr>
                      <w:rFonts w:hint="eastAsia"/>
                      <w:b/>
                      <w:caps/>
                      <w:kern w:val="0"/>
                      <w:szCs w:val="21"/>
                    </w:rPr>
                    <w:t>17F楼房</w:t>
                  </w:r>
                </w:p>
              </w:tc>
              <w:tc>
                <w:tcPr>
                  <w:tcW w:w="883" w:type="pct"/>
                  <w:vMerge w:val="restart"/>
                  <w:noWrap/>
                  <w:vAlign w:val="center"/>
                </w:tcPr>
                <w:p w14:paraId="3E28BE2A">
                  <w:pPr>
                    <w:widowControl/>
                    <w:adjustRightInd w:val="0"/>
                    <w:snapToGrid w:val="0"/>
                    <w:ind w:left="-105" w:leftChars="-50" w:right="-105" w:rightChars="-50"/>
                    <w:jc w:val="center"/>
                    <w:rPr>
                      <w:caps/>
                      <w:kern w:val="0"/>
                      <w:szCs w:val="21"/>
                    </w:rPr>
                  </w:pPr>
                  <w:r>
                    <w:rPr>
                      <w:rFonts w:hint="eastAsia"/>
                      <w:caps/>
                      <w:kern w:val="0"/>
                      <w:szCs w:val="21"/>
                    </w:rPr>
                    <w:t>城南大道连接线（现状火象路）</w:t>
                  </w:r>
                </w:p>
              </w:tc>
              <w:tc>
                <w:tcPr>
                  <w:tcW w:w="1233" w:type="pct"/>
                  <w:noWrap/>
                  <w:vAlign w:val="center"/>
                </w:tcPr>
                <w:p w14:paraId="466A911E">
                  <w:pPr>
                    <w:widowControl/>
                    <w:adjustRightInd w:val="0"/>
                    <w:snapToGrid w:val="0"/>
                    <w:ind w:left="-105" w:leftChars="-50" w:right="-105" w:rightChars="-50"/>
                    <w:jc w:val="center"/>
                    <w:rPr>
                      <w:caps/>
                      <w:kern w:val="0"/>
                      <w:szCs w:val="21"/>
                    </w:rPr>
                  </w:pPr>
                  <w:r>
                    <w:rPr>
                      <w:rFonts w:hint="eastAsia"/>
                      <w:caps/>
                      <w:kern w:val="0"/>
                      <w:szCs w:val="21"/>
                    </w:rPr>
                    <w:t>1F房屋墙前1</w:t>
                  </w:r>
                  <w:r>
                    <w:rPr>
                      <w:kern w:val="0"/>
                      <w:szCs w:val="21"/>
                    </w:rPr>
                    <w:t>m</w:t>
                  </w:r>
                  <w:r>
                    <w:rPr>
                      <w:rFonts w:hint="eastAsia"/>
                      <w:caps/>
                      <w:kern w:val="0"/>
                      <w:szCs w:val="21"/>
                    </w:rPr>
                    <w:t>处</w:t>
                  </w:r>
                </w:p>
              </w:tc>
              <w:tc>
                <w:tcPr>
                  <w:tcW w:w="575" w:type="pct"/>
                  <w:vMerge w:val="restart"/>
                  <w:vAlign w:val="center"/>
                </w:tcPr>
                <w:p w14:paraId="1128A68C">
                  <w:pPr>
                    <w:widowControl/>
                    <w:adjustRightInd w:val="0"/>
                    <w:snapToGrid w:val="0"/>
                    <w:ind w:left="-105" w:leftChars="-50" w:right="-105" w:rightChars="-50"/>
                    <w:jc w:val="center"/>
                    <w:rPr>
                      <w:rFonts w:hAnsi="宋体"/>
                      <w:caps/>
                      <w:kern w:val="0"/>
                      <w:szCs w:val="21"/>
                    </w:rPr>
                  </w:pPr>
                  <w:r>
                    <w:rPr>
                      <w:rFonts w:hint="eastAsia" w:hAnsi="宋体"/>
                      <w:caps/>
                      <w:kern w:val="0"/>
                      <w:szCs w:val="21"/>
                    </w:rPr>
                    <w:t>路基</w:t>
                  </w:r>
                </w:p>
              </w:tc>
              <w:tc>
                <w:tcPr>
                  <w:tcW w:w="330" w:type="pct"/>
                  <w:vAlign w:val="center"/>
                </w:tcPr>
                <w:p w14:paraId="48F38624">
                  <w:pPr>
                    <w:widowControl/>
                    <w:adjustRightInd w:val="0"/>
                    <w:snapToGrid w:val="0"/>
                    <w:ind w:left="-105" w:leftChars="-50" w:right="-105" w:rightChars="-50"/>
                    <w:jc w:val="center"/>
                    <w:rPr>
                      <w:rFonts w:hAnsi="宋体"/>
                      <w:caps/>
                      <w:kern w:val="0"/>
                      <w:szCs w:val="21"/>
                    </w:rPr>
                  </w:pPr>
                  <w:r>
                    <w:rPr>
                      <w:rFonts w:hint="eastAsia" w:hAnsi="宋体"/>
                      <w:caps/>
                      <w:kern w:val="0"/>
                      <w:szCs w:val="21"/>
                    </w:rPr>
                    <w:t>+1.2</w:t>
                  </w:r>
                </w:p>
              </w:tc>
              <w:tc>
                <w:tcPr>
                  <w:tcW w:w="330" w:type="pct"/>
                  <w:vMerge w:val="restart"/>
                  <w:noWrap/>
                  <w:vAlign w:val="center"/>
                </w:tcPr>
                <w:p w14:paraId="17444ADE">
                  <w:pPr>
                    <w:widowControl/>
                    <w:adjustRightInd w:val="0"/>
                    <w:snapToGrid w:val="0"/>
                    <w:ind w:left="-105" w:leftChars="-50" w:right="-105" w:rightChars="-50"/>
                    <w:jc w:val="center"/>
                    <w:rPr>
                      <w:rFonts w:hAnsi="宋体"/>
                      <w:caps/>
                      <w:kern w:val="0"/>
                      <w:szCs w:val="21"/>
                    </w:rPr>
                  </w:pPr>
                  <w:r>
                    <w:rPr>
                      <w:rFonts w:hint="eastAsia" w:hAnsi="宋体"/>
                      <w:caps/>
                      <w:kern w:val="0"/>
                      <w:szCs w:val="21"/>
                    </w:rPr>
                    <w:t>右侧</w:t>
                  </w:r>
                </w:p>
              </w:tc>
              <w:tc>
                <w:tcPr>
                  <w:tcW w:w="573" w:type="pct"/>
                  <w:vMerge w:val="restart"/>
                  <w:vAlign w:val="center"/>
                </w:tcPr>
                <w:p w14:paraId="11FD9AA8">
                  <w:pPr>
                    <w:widowControl/>
                    <w:adjustRightInd w:val="0"/>
                    <w:snapToGrid w:val="0"/>
                    <w:ind w:left="-105" w:leftChars="-50" w:right="-105" w:rightChars="-50"/>
                    <w:jc w:val="center"/>
                    <w:rPr>
                      <w:rFonts w:hAnsi="宋体"/>
                      <w:caps/>
                      <w:kern w:val="0"/>
                      <w:szCs w:val="21"/>
                    </w:rPr>
                  </w:pPr>
                  <w:r>
                    <w:rPr>
                      <w:rFonts w:hint="eastAsia" w:hAnsi="宋体"/>
                      <w:caps/>
                      <w:kern w:val="0"/>
                      <w:szCs w:val="21"/>
                    </w:rPr>
                    <w:t>2类</w:t>
                  </w:r>
                </w:p>
              </w:tc>
            </w:tr>
            <w:tr w14:paraId="64079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continue"/>
                  <w:vAlign w:val="center"/>
                </w:tcPr>
                <w:p w14:paraId="2B89C2A8">
                  <w:pPr>
                    <w:widowControl/>
                    <w:adjustRightInd w:val="0"/>
                    <w:snapToGrid w:val="0"/>
                    <w:ind w:left="-105" w:leftChars="-50" w:right="-105" w:rightChars="-50"/>
                    <w:jc w:val="center"/>
                    <w:rPr>
                      <w:rFonts w:hAnsi="宋体"/>
                      <w:caps/>
                      <w:kern w:val="0"/>
                      <w:szCs w:val="21"/>
                    </w:rPr>
                  </w:pPr>
                </w:p>
              </w:tc>
              <w:tc>
                <w:tcPr>
                  <w:tcW w:w="876" w:type="pct"/>
                  <w:vMerge w:val="continue"/>
                  <w:vAlign w:val="center"/>
                </w:tcPr>
                <w:p w14:paraId="0A00733A">
                  <w:pPr>
                    <w:widowControl/>
                    <w:adjustRightInd w:val="0"/>
                    <w:snapToGrid w:val="0"/>
                    <w:ind w:left="-105" w:leftChars="-50" w:right="-105" w:rightChars="-50"/>
                    <w:jc w:val="center"/>
                    <w:rPr>
                      <w:b/>
                      <w:caps/>
                      <w:kern w:val="0"/>
                      <w:szCs w:val="21"/>
                    </w:rPr>
                  </w:pPr>
                </w:p>
              </w:tc>
              <w:tc>
                <w:tcPr>
                  <w:tcW w:w="883" w:type="pct"/>
                  <w:vMerge w:val="continue"/>
                  <w:noWrap/>
                  <w:vAlign w:val="center"/>
                </w:tcPr>
                <w:p w14:paraId="2EF17D44">
                  <w:pPr>
                    <w:widowControl/>
                    <w:adjustRightInd w:val="0"/>
                    <w:snapToGrid w:val="0"/>
                    <w:ind w:left="-105" w:leftChars="-50" w:right="-105" w:rightChars="-50"/>
                    <w:jc w:val="center"/>
                    <w:rPr>
                      <w:caps/>
                      <w:kern w:val="0"/>
                      <w:szCs w:val="21"/>
                    </w:rPr>
                  </w:pPr>
                </w:p>
              </w:tc>
              <w:tc>
                <w:tcPr>
                  <w:tcW w:w="1233" w:type="pct"/>
                  <w:noWrap/>
                  <w:vAlign w:val="center"/>
                </w:tcPr>
                <w:p w14:paraId="6137FC91">
                  <w:pPr>
                    <w:widowControl/>
                    <w:adjustRightInd w:val="0"/>
                    <w:snapToGrid w:val="0"/>
                    <w:ind w:left="-105" w:leftChars="-50" w:right="-105" w:rightChars="-50"/>
                    <w:jc w:val="center"/>
                    <w:rPr>
                      <w:caps/>
                      <w:kern w:val="0"/>
                      <w:szCs w:val="21"/>
                    </w:rPr>
                  </w:pPr>
                  <w:r>
                    <w:rPr>
                      <w:rFonts w:hint="eastAsia"/>
                      <w:caps/>
                      <w:kern w:val="0"/>
                      <w:szCs w:val="21"/>
                    </w:rPr>
                    <w:t>5F房屋墙前1</w:t>
                  </w:r>
                  <w:r>
                    <w:rPr>
                      <w:kern w:val="0"/>
                      <w:szCs w:val="21"/>
                    </w:rPr>
                    <w:t>m</w:t>
                  </w:r>
                  <w:r>
                    <w:rPr>
                      <w:rFonts w:hint="eastAsia"/>
                      <w:caps/>
                      <w:kern w:val="0"/>
                      <w:szCs w:val="21"/>
                    </w:rPr>
                    <w:t>处</w:t>
                  </w:r>
                </w:p>
              </w:tc>
              <w:tc>
                <w:tcPr>
                  <w:tcW w:w="575" w:type="pct"/>
                  <w:vMerge w:val="continue"/>
                  <w:vAlign w:val="center"/>
                </w:tcPr>
                <w:p w14:paraId="3B3DB7FA">
                  <w:pPr>
                    <w:widowControl/>
                    <w:adjustRightInd w:val="0"/>
                    <w:snapToGrid w:val="0"/>
                    <w:ind w:left="-105" w:leftChars="-50" w:right="-105" w:rightChars="-50"/>
                    <w:jc w:val="center"/>
                    <w:rPr>
                      <w:rFonts w:hAnsi="宋体"/>
                      <w:caps/>
                      <w:kern w:val="0"/>
                      <w:szCs w:val="21"/>
                    </w:rPr>
                  </w:pPr>
                </w:p>
              </w:tc>
              <w:tc>
                <w:tcPr>
                  <w:tcW w:w="330" w:type="pct"/>
                  <w:vAlign w:val="center"/>
                </w:tcPr>
                <w:p w14:paraId="174E1A45">
                  <w:pPr>
                    <w:widowControl/>
                    <w:adjustRightInd w:val="0"/>
                    <w:snapToGrid w:val="0"/>
                    <w:ind w:left="-105" w:leftChars="-50" w:right="-105" w:rightChars="-50"/>
                    <w:jc w:val="center"/>
                    <w:rPr>
                      <w:rFonts w:hAnsi="宋体"/>
                      <w:caps/>
                      <w:kern w:val="0"/>
                      <w:szCs w:val="21"/>
                    </w:rPr>
                  </w:pPr>
                  <w:r>
                    <w:rPr>
                      <w:rFonts w:hint="eastAsia" w:hAnsi="宋体"/>
                      <w:caps/>
                      <w:kern w:val="0"/>
                      <w:szCs w:val="21"/>
                    </w:rPr>
                    <w:t>+13.2</w:t>
                  </w:r>
                </w:p>
              </w:tc>
              <w:tc>
                <w:tcPr>
                  <w:tcW w:w="330" w:type="pct"/>
                  <w:vMerge w:val="continue"/>
                  <w:noWrap/>
                  <w:vAlign w:val="center"/>
                </w:tcPr>
                <w:p w14:paraId="51036111">
                  <w:pPr>
                    <w:adjustRightInd w:val="0"/>
                    <w:snapToGrid w:val="0"/>
                    <w:ind w:left="-105" w:leftChars="-50" w:right="-105" w:rightChars="-50"/>
                    <w:jc w:val="center"/>
                    <w:rPr>
                      <w:rFonts w:hAnsi="宋体"/>
                      <w:caps/>
                      <w:kern w:val="0"/>
                      <w:szCs w:val="21"/>
                    </w:rPr>
                  </w:pPr>
                </w:p>
              </w:tc>
              <w:tc>
                <w:tcPr>
                  <w:tcW w:w="573" w:type="pct"/>
                  <w:vMerge w:val="continue"/>
                  <w:vAlign w:val="center"/>
                </w:tcPr>
                <w:p w14:paraId="0A627D88">
                  <w:pPr>
                    <w:adjustRightInd w:val="0"/>
                    <w:snapToGrid w:val="0"/>
                    <w:ind w:left="-105" w:leftChars="-50" w:right="-105" w:rightChars="-50"/>
                    <w:jc w:val="center"/>
                    <w:rPr>
                      <w:rFonts w:hAnsi="宋体"/>
                      <w:caps/>
                      <w:kern w:val="0"/>
                      <w:szCs w:val="21"/>
                    </w:rPr>
                  </w:pPr>
                </w:p>
              </w:tc>
            </w:tr>
            <w:tr w14:paraId="1CD81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continue"/>
                  <w:vAlign w:val="center"/>
                </w:tcPr>
                <w:p w14:paraId="34B99085">
                  <w:pPr>
                    <w:widowControl/>
                    <w:adjustRightInd w:val="0"/>
                    <w:snapToGrid w:val="0"/>
                    <w:ind w:left="-105" w:leftChars="-50" w:right="-105" w:rightChars="-50"/>
                    <w:jc w:val="center"/>
                    <w:rPr>
                      <w:rFonts w:hAnsi="宋体"/>
                      <w:caps/>
                      <w:kern w:val="0"/>
                      <w:szCs w:val="21"/>
                    </w:rPr>
                  </w:pPr>
                </w:p>
              </w:tc>
              <w:tc>
                <w:tcPr>
                  <w:tcW w:w="876" w:type="pct"/>
                  <w:vMerge w:val="continue"/>
                  <w:vAlign w:val="center"/>
                </w:tcPr>
                <w:p w14:paraId="7D6C351A">
                  <w:pPr>
                    <w:widowControl/>
                    <w:adjustRightInd w:val="0"/>
                    <w:snapToGrid w:val="0"/>
                    <w:ind w:left="-105" w:leftChars="-50" w:right="-105" w:rightChars="-50"/>
                    <w:jc w:val="center"/>
                    <w:rPr>
                      <w:b/>
                      <w:caps/>
                      <w:kern w:val="0"/>
                      <w:szCs w:val="21"/>
                    </w:rPr>
                  </w:pPr>
                </w:p>
              </w:tc>
              <w:tc>
                <w:tcPr>
                  <w:tcW w:w="883" w:type="pct"/>
                  <w:vMerge w:val="continue"/>
                  <w:noWrap/>
                  <w:vAlign w:val="center"/>
                </w:tcPr>
                <w:p w14:paraId="0F4C8D1A">
                  <w:pPr>
                    <w:widowControl/>
                    <w:adjustRightInd w:val="0"/>
                    <w:snapToGrid w:val="0"/>
                    <w:ind w:left="-105" w:leftChars="-50" w:right="-105" w:rightChars="-50"/>
                    <w:jc w:val="center"/>
                    <w:rPr>
                      <w:caps/>
                      <w:kern w:val="0"/>
                      <w:szCs w:val="21"/>
                    </w:rPr>
                  </w:pPr>
                </w:p>
              </w:tc>
              <w:tc>
                <w:tcPr>
                  <w:tcW w:w="1233" w:type="pct"/>
                  <w:noWrap/>
                  <w:vAlign w:val="center"/>
                </w:tcPr>
                <w:p w14:paraId="7BCC8756">
                  <w:pPr>
                    <w:widowControl/>
                    <w:adjustRightInd w:val="0"/>
                    <w:snapToGrid w:val="0"/>
                    <w:ind w:left="-105" w:leftChars="-50" w:right="-105" w:rightChars="-50"/>
                    <w:jc w:val="center"/>
                    <w:rPr>
                      <w:caps/>
                      <w:kern w:val="0"/>
                      <w:szCs w:val="21"/>
                    </w:rPr>
                  </w:pPr>
                  <w:r>
                    <w:rPr>
                      <w:rFonts w:hint="eastAsia"/>
                      <w:caps/>
                      <w:kern w:val="0"/>
                      <w:szCs w:val="21"/>
                    </w:rPr>
                    <w:t>7F房屋墙前1</w:t>
                  </w:r>
                  <w:r>
                    <w:rPr>
                      <w:kern w:val="0"/>
                      <w:szCs w:val="21"/>
                    </w:rPr>
                    <w:t>m</w:t>
                  </w:r>
                  <w:r>
                    <w:rPr>
                      <w:rFonts w:hint="eastAsia"/>
                      <w:caps/>
                      <w:kern w:val="0"/>
                      <w:szCs w:val="21"/>
                    </w:rPr>
                    <w:t>处</w:t>
                  </w:r>
                </w:p>
              </w:tc>
              <w:tc>
                <w:tcPr>
                  <w:tcW w:w="575" w:type="pct"/>
                  <w:vMerge w:val="continue"/>
                  <w:vAlign w:val="center"/>
                </w:tcPr>
                <w:p w14:paraId="4E90B949">
                  <w:pPr>
                    <w:widowControl/>
                    <w:adjustRightInd w:val="0"/>
                    <w:snapToGrid w:val="0"/>
                    <w:ind w:left="-105" w:leftChars="-50" w:right="-105" w:rightChars="-50"/>
                    <w:jc w:val="center"/>
                    <w:rPr>
                      <w:rFonts w:hAnsi="宋体"/>
                      <w:caps/>
                      <w:kern w:val="0"/>
                      <w:szCs w:val="21"/>
                    </w:rPr>
                  </w:pPr>
                </w:p>
              </w:tc>
              <w:tc>
                <w:tcPr>
                  <w:tcW w:w="330" w:type="pct"/>
                  <w:vAlign w:val="center"/>
                </w:tcPr>
                <w:p w14:paraId="70AAAFC9">
                  <w:pPr>
                    <w:widowControl/>
                    <w:adjustRightInd w:val="0"/>
                    <w:snapToGrid w:val="0"/>
                    <w:ind w:left="-105" w:leftChars="-50" w:right="-105" w:rightChars="-50"/>
                    <w:jc w:val="center"/>
                    <w:rPr>
                      <w:rFonts w:hAnsi="宋体"/>
                      <w:caps/>
                      <w:kern w:val="0"/>
                      <w:szCs w:val="21"/>
                    </w:rPr>
                  </w:pPr>
                  <w:r>
                    <w:rPr>
                      <w:rFonts w:hint="eastAsia" w:hAnsi="宋体"/>
                      <w:caps/>
                      <w:kern w:val="0"/>
                      <w:szCs w:val="21"/>
                    </w:rPr>
                    <w:t>+19.2</w:t>
                  </w:r>
                </w:p>
              </w:tc>
              <w:tc>
                <w:tcPr>
                  <w:tcW w:w="330" w:type="pct"/>
                  <w:vMerge w:val="continue"/>
                  <w:noWrap/>
                  <w:vAlign w:val="center"/>
                </w:tcPr>
                <w:p w14:paraId="2BE2A92A">
                  <w:pPr>
                    <w:adjustRightInd w:val="0"/>
                    <w:snapToGrid w:val="0"/>
                    <w:ind w:left="-105" w:leftChars="-50" w:right="-105" w:rightChars="-50"/>
                    <w:jc w:val="center"/>
                    <w:rPr>
                      <w:rFonts w:hAnsi="宋体"/>
                      <w:caps/>
                      <w:kern w:val="0"/>
                      <w:szCs w:val="21"/>
                    </w:rPr>
                  </w:pPr>
                </w:p>
              </w:tc>
              <w:tc>
                <w:tcPr>
                  <w:tcW w:w="573" w:type="pct"/>
                  <w:vMerge w:val="continue"/>
                  <w:vAlign w:val="center"/>
                </w:tcPr>
                <w:p w14:paraId="2C372345">
                  <w:pPr>
                    <w:adjustRightInd w:val="0"/>
                    <w:snapToGrid w:val="0"/>
                    <w:ind w:left="-105" w:leftChars="-50" w:right="-105" w:rightChars="-50"/>
                    <w:jc w:val="center"/>
                    <w:rPr>
                      <w:rFonts w:hAnsi="宋体"/>
                      <w:caps/>
                      <w:kern w:val="0"/>
                      <w:szCs w:val="21"/>
                    </w:rPr>
                  </w:pPr>
                </w:p>
              </w:tc>
            </w:tr>
            <w:tr w14:paraId="77ACF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continue"/>
                  <w:vAlign w:val="center"/>
                </w:tcPr>
                <w:p w14:paraId="687E0E31">
                  <w:pPr>
                    <w:widowControl/>
                    <w:adjustRightInd w:val="0"/>
                    <w:snapToGrid w:val="0"/>
                    <w:ind w:left="-105" w:leftChars="-50" w:right="-105" w:rightChars="-50"/>
                    <w:jc w:val="center"/>
                    <w:rPr>
                      <w:rFonts w:hAnsi="宋体"/>
                      <w:caps/>
                      <w:kern w:val="0"/>
                      <w:szCs w:val="21"/>
                    </w:rPr>
                  </w:pPr>
                </w:p>
              </w:tc>
              <w:tc>
                <w:tcPr>
                  <w:tcW w:w="876" w:type="pct"/>
                  <w:vMerge w:val="continue"/>
                  <w:vAlign w:val="center"/>
                </w:tcPr>
                <w:p w14:paraId="61343761">
                  <w:pPr>
                    <w:widowControl/>
                    <w:adjustRightInd w:val="0"/>
                    <w:snapToGrid w:val="0"/>
                    <w:ind w:left="-105" w:leftChars="-50" w:right="-105" w:rightChars="-50"/>
                    <w:jc w:val="center"/>
                    <w:rPr>
                      <w:b/>
                      <w:caps/>
                      <w:kern w:val="0"/>
                      <w:szCs w:val="21"/>
                    </w:rPr>
                  </w:pPr>
                </w:p>
              </w:tc>
              <w:tc>
                <w:tcPr>
                  <w:tcW w:w="883" w:type="pct"/>
                  <w:vMerge w:val="continue"/>
                  <w:noWrap/>
                  <w:vAlign w:val="center"/>
                </w:tcPr>
                <w:p w14:paraId="209A5905">
                  <w:pPr>
                    <w:widowControl/>
                    <w:adjustRightInd w:val="0"/>
                    <w:snapToGrid w:val="0"/>
                    <w:ind w:left="-105" w:leftChars="-50" w:right="-105" w:rightChars="-50"/>
                    <w:jc w:val="center"/>
                    <w:rPr>
                      <w:caps/>
                      <w:kern w:val="0"/>
                      <w:szCs w:val="21"/>
                    </w:rPr>
                  </w:pPr>
                </w:p>
              </w:tc>
              <w:tc>
                <w:tcPr>
                  <w:tcW w:w="1233" w:type="pct"/>
                  <w:noWrap/>
                  <w:vAlign w:val="center"/>
                </w:tcPr>
                <w:p w14:paraId="18A3C523">
                  <w:pPr>
                    <w:widowControl/>
                    <w:adjustRightInd w:val="0"/>
                    <w:snapToGrid w:val="0"/>
                    <w:ind w:left="-105" w:leftChars="-50" w:right="-105" w:rightChars="-50"/>
                    <w:jc w:val="center"/>
                    <w:rPr>
                      <w:caps/>
                      <w:kern w:val="0"/>
                      <w:szCs w:val="21"/>
                    </w:rPr>
                  </w:pPr>
                  <w:r>
                    <w:rPr>
                      <w:rFonts w:hint="eastAsia"/>
                      <w:caps/>
                      <w:kern w:val="0"/>
                      <w:szCs w:val="21"/>
                    </w:rPr>
                    <w:t>13F房屋墙前1</w:t>
                  </w:r>
                  <w:r>
                    <w:rPr>
                      <w:kern w:val="0"/>
                      <w:szCs w:val="21"/>
                    </w:rPr>
                    <w:t>m</w:t>
                  </w:r>
                  <w:r>
                    <w:rPr>
                      <w:rFonts w:hint="eastAsia"/>
                      <w:caps/>
                      <w:kern w:val="0"/>
                      <w:szCs w:val="21"/>
                    </w:rPr>
                    <w:t>处</w:t>
                  </w:r>
                </w:p>
              </w:tc>
              <w:tc>
                <w:tcPr>
                  <w:tcW w:w="575" w:type="pct"/>
                  <w:vMerge w:val="continue"/>
                  <w:vAlign w:val="center"/>
                </w:tcPr>
                <w:p w14:paraId="371D1AA2">
                  <w:pPr>
                    <w:widowControl/>
                    <w:adjustRightInd w:val="0"/>
                    <w:snapToGrid w:val="0"/>
                    <w:ind w:left="-105" w:leftChars="-50" w:right="-105" w:rightChars="-50"/>
                    <w:jc w:val="center"/>
                    <w:rPr>
                      <w:rFonts w:hAnsi="宋体"/>
                      <w:caps/>
                      <w:kern w:val="0"/>
                      <w:szCs w:val="21"/>
                    </w:rPr>
                  </w:pPr>
                </w:p>
              </w:tc>
              <w:tc>
                <w:tcPr>
                  <w:tcW w:w="330" w:type="pct"/>
                  <w:vAlign w:val="center"/>
                </w:tcPr>
                <w:p w14:paraId="65C5C605">
                  <w:pPr>
                    <w:widowControl/>
                    <w:adjustRightInd w:val="0"/>
                    <w:snapToGrid w:val="0"/>
                    <w:ind w:left="-105" w:leftChars="-50" w:right="-105" w:rightChars="-50"/>
                    <w:jc w:val="center"/>
                    <w:rPr>
                      <w:rFonts w:hAnsi="宋体"/>
                      <w:caps/>
                      <w:kern w:val="0"/>
                      <w:szCs w:val="21"/>
                    </w:rPr>
                  </w:pPr>
                  <w:r>
                    <w:rPr>
                      <w:rFonts w:hint="eastAsia" w:hAnsi="宋体"/>
                      <w:caps/>
                      <w:kern w:val="0"/>
                      <w:szCs w:val="21"/>
                    </w:rPr>
                    <w:t>+37.2</w:t>
                  </w:r>
                </w:p>
              </w:tc>
              <w:tc>
                <w:tcPr>
                  <w:tcW w:w="330" w:type="pct"/>
                  <w:vMerge w:val="continue"/>
                  <w:noWrap/>
                  <w:vAlign w:val="center"/>
                </w:tcPr>
                <w:p w14:paraId="1699585F">
                  <w:pPr>
                    <w:adjustRightInd w:val="0"/>
                    <w:snapToGrid w:val="0"/>
                    <w:ind w:left="-105" w:leftChars="-50" w:right="-105" w:rightChars="-50"/>
                    <w:jc w:val="center"/>
                    <w:rPr>
                      <w:rFonts w:hAnsi="宋体"/>
                      <w:caps/>
                      <w:kern w:val="0"/>
                      <w:szCs w:val="21"/>
                    </w:rPr>
                  </w:pPr>
                </w:p>
              </w:tc>
              <w:tc>
                <w:tcPr>
                  <w:tcW w:w="573" w:type="pct"/>
                  <w:vMerge w:val="continue"/>
                  <w:vAlign w:val="center"/>
                </w:tcPr>
                <w:p w14:paraId="02334C2B">
                  <w:pPr>
                    <w:adjustRightInd w:val="0"/>
                    <w:snapToGrid w:val="0"/>
                    <w:ind w:left="-105" w:leftChars="-50" w:right="-105" w:rightChars="-50"/>
                    <w:jc w:val="center"/>
                    <w:rPr>
                      <w:rFonts w:hAnsi="宋体"/>
                      <w:caps/>
                      <w:kern w:val="0"/>
                      <w:szCs w:val="21"/>
                    </w:rPr>
                  </w:pPr>
                </w:p>
              </w:tc>
            </w:tr>
            <w:tr w14:paraId="7D7A4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00" w:type="pct"/>
                  <w:vMerge w:val="continue"/>
                  <w:vAlign w:val="center"/>
                </w:tcPr>
                <w:p w14:paraId="27E5A4FC">
                  <w:pPr>
                    <w:widowControl/>
                    <w:adjustRightInd w:val="0"/>
                    <w:snapToGrid w:val="0"/>
                    <w:ind w:left="-105" w:leftChars="-50" w:right="-105" w:rightChars="-50"/>
                    <w:jc w:val="center"/>
                    <w:rPr>
                      <w:rFonts w:hAnsi="宋体"/>
                      <w:caps/>
                      <w:kern w:val="0"/>
                      <w:szCs w:val="21"/>
                    </w:rPr>
                  </w:pPr>
                </w:p>
              </w:tc>
              <w:tc>
                <w:tcPr>
                  <w:tcW w:w="876" w:type="pct"/>
                  <w:vMerge w:val="continue"/>
                  <w:vAlign w:val="center"/>
                </w:tcPr>
                <w:p w14:paraId="793B29CF">
                  <w:pPr>
                    <w:widowControl/>
                    <w:adjustRightInd w:val="0"/>
                    <w:snapToGrid w:val="0"/>
                    <w:ind w:left="-105" w:leftChars="-50" w:right="-105" w:rightChars="-50"/>
                    <w:jc w:val="center"/>
                    <w:rPr>
                      <w:b/>
                      <w:caps/>
                      <w:kern w:val="0"/>
                      <w:szCs w:val="21"/>
                    </w:rPr>
                  </w:pPr>
                </w:p>
              </w:tc>
              <w:tc>
                <w:tcPr>
                  <w:tcW w:w="883" w:type="pct"/>
                  <w:vMerge w:val="continue"/>
                  <w:noWrap/>
                  <w:vAlign w:val="center"/>
                </w:tcPr>
                <w:p w14:paraId="45D05BB7">
                  <w:pPr>
                    <w:widowControl/>
                    <w:adjustRightInd w:val="0"/>
                    <w:snapToGrid w:val="0"/>
                    <w:ind w:left="-105" w:leftChars="-50" w:right="-105" w:rightChars="-50"/>
                    <w:jc w:val="center"/>
                    <w:rPr>
                      <w:caps/>
                      <w:kern w:val="0"/>
                      <w:szCs w:val="21"/>
                    </w:rPr>
                  </w:pPr>
                </w:p>
              </w:tc>
              <w:tc>
                <w:tcPr>
                  <w:tcW w:w="1233" w:type="pct"/>
                  <w:noWrap/>
                  <w:vAlign w:val="center"/>
                </w:tcPr>
                <w:p w14:paraId="5AF1DC7D">
                  <w:pPr>
                    <w:widowControl/>
                    <w:adjustRightInd w:val="0"/>
                    <w:snapToGrid w:val="0"/>
                    <w:ind w:left="-105" w:leftChars="-50" w:right="-105" w:rightChars="-50"/>
                    <w:jc w:val="center"/>
                    <w:rPr>
                      <w:caps/>
                      <w:kern w:val="0"/>
                      <w:szCs w:val="21"/>
                    </w:rPr>
                  </w:pPr>
                  <w:r>
                    <w:rPr>
                      <w:rFonts w:hint="eastAsia"/>
                      <w:caps/>
                      <w:kern w:val="0"/>
                      <w:szCs w:val="21"/>
                    </w:rPr>
                    <w:t>17F房屋墙前1</w:t>
                  </w:r>
                  <w:r>
                    <w:rPr>
                      <w:kern w:val="0"/>
                      <w:szCs w:val="21"/>
                    </w:rPr>
                    <w:t>m</w:t>
                  </w:r>
                  <w:r>
                    <w:rPr>
                      <w:rFonts w:hint="eastAsia"/>
                      <w:caps/>
                      <w:kern w:val="0"/>
                      <w:szCs w:val="21"/>
                    </w:rPr>
                    <w:t>处</w:t>
                  </w:r>
                </w:p>
              </w:tc>
              <w:tc>
                <w:tcPr>
                  <w:tcW w:w="575" w:type="pct"/>
                  <w:vMerge w:val="continue"/>
                  <w:vAlign w:val="center"/>
                </w:tcPr>
                <w:p w14:paraId="3188CFF6">
                  <w:pPr>
                    <w:widowControl/>
                    <w:adjustRightInd w:val="0"/>
                    <w:snapToGrid w:val="0"/>
                    <w:ind w:left="-105" w:leftChars="-50" w:right="-105" w:rightChars="-50"/>
                    <w:jc w:val="center"/>
                    <w:rPr>
                      <w:rFonts w:hAnsi="宋体"/>
                      <w:caps/>
                      <w:kern w:val="0"/>
                      <w:szCs w:val="21"/>
                    </w:rPr>
                  </w:pPr>
                </w:p>
              </w:tc>
              <w:tc>
                <w:tcPr>
                  <w:tcW w:w="330" w:type="pct"/>
                  <w:vAlign w:val="center"/>
                </w:tcPr>
                <w:p w14:paraId="585C9496">
                  <w:pPr>
                    <w:widowControl/>
                    <w:adjustRightInd w:val="0"/>
                    <w:snapToGrid w:val="0"/>
                    <w:ind w:left="-105" w:leftChars="-50" w:right="-105" w:rightChars="-50"/>
                    <w:jc w:val="center"/>
                    <w:rPr>
                      <w:rFonts w:hAnsi="宋体"/>
                      <w:caps/>
                      <w:kern w:val="0"/>
                      <w:szCs w:val="21"/>
                    </w:rPr>
                  </w:pPr>
                  <w:r>
                    <w:rPr>
                      <w:rFonts w:hint="eastAsia" w:hAnsi="宋体"/>
                      <w:caps/>
                      <w:kern w:val="0"/>
                      <w:szCs w:val="21"/>
                    </w:rPr>
                    <w:t>+49.2</w:t>
                  </w:r>
                </w:p>
              </w:tc>
              <w:tc>
                <w:tcPr>
                  <w:tcW w:w="330" w:type="pct"/>
                  <w:vMerge w:val="continue"/>
                  <w:noWrap/>
                  <w:vAlign w:val="center"/>
                </w:tcPr>
                <w:p w14:paraId="36F5F40F">
                  <w:pPr>
                    <w:widowControl/>
                    <w:adjustRightInd w:val="0"/>
                    <w:snapToGrid w:val="0"/>
                    <w:ind w:left="-105" w:leftChars="-50" w:right="-105" w:rightChars="-50"/>
                    <w:jc w:val="center"/>
                    <w:rPr>
                      <w:rFonts w:hAnsi="宋体"/>
                      <w:caps/>
                      <w:kern w:val="0"/>
                      <w:szCs w:val="21"/>
                    </w:rPr>
                  </w:pPr>
                </w:p>
              </w:tc>
              <w:tc>
                <w:tcPr>
                  <w:tcW w:w="573" w:type="pct"/>
                  <w:vMerge w:val="continue"/>
                  <w:vAlign w:val="center"/>
                </w:tcPr>
                <w:p w14:paraId="53359A2C">
                  <w:pPr>
                    <w:widowControl/>
                    <w:adjustRightInd w:val="0"/>
                    <w:snapToGrid w:val="0"/>
                    <w:ind w:left="-105" w:leftChars="-50" w:right="-105" w:rightChars="-50"/>
                    <w:jc w:val="center"/>
                    <w:rPr>
                      <w:rFonts w:hAnsi="宋体"/>
                      <w:caps/>
                      <w:kern w:val="0"/>
                      <w:szCs w:val="21"/>
                    </w:rPr>
                  </w:pPr>
                </w:p>
              </w:tc>
            </w:tr>
            <w:tr w14:paraId="7DF48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00" w:type="pct"/>
                  <w:vMerge w:val="restart"/>
                  <w:vAlign w:val="center"/>
                </w:tcPr>
                <w:p w14:paraId="00E14A64">
                  <w:pPr>
                    <w:widowControl/>
                    <w:adjustRightInd w:val="0"/>
                    <w:snapToGrid w:val="0"/>
                    <w:ind w:left="-105" w:leftChars="-50" w:right="-105" w:rightChars="-50"/>
                    <w:jc w:val="center"/>
                    <w:rPr>
                      <w:rFonts w:hAnsi="宋体"/>
                      <w:caps/>
                      <w:kern w:val="0"/>
                      <w:szCs w:val="21"/>
                    </w:rPr>
                  </w:pPr>
                  <w:r>
                    <w:rPr>
                      <w:rFonts w:hint="eastAsia" w:hAnsi="宋体"/>
                      <w:caps/>
                      <w:kern w:val="0"/>
                      <w:szCs w:val="21"/>
                    </w:rPr>
                    <w:t>4#</w:t>
                  </w:r>
                </w:p>
              </w:tc>
              <w:tc>
                <w:tcPr>
                  <w:tcW w:w="876" w:type="pct"/>
                  <w:vMerge w:val="restart"/>
                  <w:vAlign w:val="center"/>
                </w:tcPr>
                <w:p w14:paraId="1DBE3212">
                  <w:pPr>
                    <w:widowControl/>
                    <w:adjustRightInd w:val="0"/>
                    <w:snapToGrid w:val="0"/>
                    <w:ind w:left="-105" w:leftChars="-50" w:right="-105" w:rightChars="-50"/>
                    <w:jc w:val="center"/>
                    <w:rPr>
                      <w:b/>
                      <w:caps/>
                      <w:kern w:val="0"/>
                      <w:szCs w:val="21"/>
                    </w:rPr>
                  </w:pPr>
                  <w:r>
                    <w:rPr>
                      <w:rFonts w:hint="eastAsia"/>
                      <w:b/>
                      <w:caps/>
                      <w:kern w:val="0"/>
                      <w:szCs w:val="21"/>
                    </w:rPr>
                    <w:t>新苗安置小区</w:t>
                  </w:r>
                </w:p>
                <w:p w14:paraId="23061807">
                  <w:pPr>
                    <w:widowControl/>
                    <w:adjustRightInd w:val="0"/>
                    <w:snapToGrid w:val="0"/>
                    <w:ind w:left="-105" w:leftChars="-50" w:right="-105" w:rightChars="-50"/>
                    <w:jc w:val="center"/>
                    <w:rPr>
                      <w:b/>
                      <w:caps/>
                      <w:kern w:val="0"/>
                      <w:szCs w:val="21"/>
                    </w:rPr>
                  </w:pPr>
                  <w:r>
                    <w:rPr>
                      <w:rFonts w:hint="eastAsia"/>
                      <w:b/>
                      <w:caps/>
                      <w:kern w:val="0"/>
                      <w:szCs w:val="21"/>
                    </w:rPr>
                    <w:t>7F</w:t>
                  </w:r>
                </w:p>
              </w:tc>
              <w:tc>
                <w:tcPr>
                  <w:tcW w:w="883" w:type="pct"/>
                  <w:vMerge w:val="restart"/>
                  <w:noWrap/>
                  <w:vAlign w:val="center"/>
                </w:tcPr>
                <w:p w14:paraId="0FE74838">
                  <w:pPr>
                    <w:widowControl/>
                    <w:adjustRightInd w:val="0"/>
                    <w:snapToGrid w:val="0"/>
                    <w:ind w:left="-105" w:leftChars="-50" w:right="-105" w:rightChars="-50"/>
                    <w:jc w:val="center"/>
                    <w:rPr>
                      <w:caps/>
                      <w:kern w:val="0"/>
                      <w:szCs w:val="21"/>
                    </w:rPr>
                  </w:pPr>
                  <w:r>
                    <w:rPr>
                      <w:rFonts w:hint="eastAsia"/>
                      <w:caps/>
                      <w:kern w:val="0"/>
                      <w:szCs w:val="21"/>
                    </w:rPr>
                    <w:t>城南大道连接线（现状火象路）</w:t>
                  </w:r>
                </w:p>
              </w:tc>
              <w:tc>
                <w:tcPr>
                  <w:tcW w:w="1233" w:type="pct"/>
                  <w:noWrap/>
                  <w:vAlign w:val="center"/>
                </w:tcPr>
                <w:p w14:paraId="1CDF1050">
                  <w:pPr>
                    <w:widowControl/>
                    <w:adjustRightInd w:val="0"/>
                    <w:snapToGrid w:val="0"/>
                    <w:ind w:left="-105" w:leftChars="-50" w:right="-105" w:rightChars="-50"/>
                    <w:jc w:val="center"/>
                    <w:rPr>
                      <w:caps/>
                      <w:kern w:val="0"/>
                      <w:szCs w:val="21"/>
                    </w:rPr>
                  </w:pPr>
                  <w:r>
                    <w:rPr>
                      <w:rFonts w:hint="eastAsia"/>
                      <w:caps/>
                      <w:kern w:val="0"/>
                      <w:szCs w:val="21"/>
                    </w:rPr>
                    <w:t>1F房屋墙前1</w:t>
                  </w:r>
                  <w:r>
                    <w:rPr>
                      <w:kern w:val="0"/>
                      <w:szCs w:val="21"/>
                    </w:rPr>
                    <w:t>m</w:t>
                  </w:r>
                  <w:r>
                    <w:rPr>
                      <w:rFonts w:hint="eastAsia"/>
                      <w:caps/>
                      <w:kern w:val="0"/>
                      <w:szCs w:val="21"/>
                    </w:rPr>
                    <w:t>处</w:t>
                  </w:r>
                </w:p>
              </w:tc>
              <w:tc>
                <w:tcPr>
                  <w:tcW w:w="575" w:type="pct"/>
                  <w:vMerge w:val="restart"/>
                  <w:vAlign w:val="center"/>
                </w:tcPr>
                <w:p w14:paraId="3DDDE5CB">
                  <w:pPr>
                    <w:widowControl/>
                    <w:adjustRightInd w:val="0"/>
                    <w:snapToGrid w:val="0"/>
                    <w:ind w:left="-105" w:leftChars="-50" w:right="-105" w:rightChars="-50"/>
                    <w:jc w:val="center"/>
                    <w:rPr>
                      <w:rFonts w:hAnsi="宋体"/>
                      <w:caps/>
                      <w:kern w:val="0"/>
                      <w:szCs w:val="21"/>
                    </w:rPr>
                  </w:pPr>
                  <w:r>
                    <w:rPr>
                      <w:rFonts w:hint="eastAsia" w:hAnsi="宋体"/>
                      <w:caps/>
                      <w:kern w:val="0"/>
                      <w:szCs w:val="21"/>
                    </w:rPr>
                    <w:t>路基</w:t>
                  </w:r>
                </w:p>
              </w:tc>
              <w:tc>
                <w:tcPr>
                  <w:tcW w:w="330" w:type="pct"/>
                  <w:vAlign w:val="center"/>
                </w:tcPr>
                <w:p w14:paraId="6F76BB14">
                  <w:pPr>
                    <w:widowControl/>
                    <w:adjustRightInd w:val="0"/>
                    <w:snapToGrid w:val="0"/>
                    <w:ind w:left="-105" w:leftChars="-50" w:right="-105" w:rightChars="-50"/>
                    <w:jc w:val="center"/>
                    <w:rPr>
                      <w:rFonts w:hAnsi="宋体"/>
                      <w:caps/>
                      <w:kern w:val="0"/>
                      <w:szCs w:val="21"/>
                    </w:rPr>
                  </w:pPr>
                  <w:r>
                    <w:rPr>
                      <w:rFonts w:hint="eastAsia" w:hAnsi="宋体"/>
                      <w:caps/>
                      <w:kern w:val="0"/>
                      <w:szCs w:val="21"/>
                    </w:rPr>
                    <w:t>+1.2</w:t>
                  </w:r>
                </w:p>
              </w:tc>
              <w:tc>
                <w:tcPr>
                  <w:tcW w:w="330" w:type="pct"/>
                  <w:vMerge w:val="restart"/>
                  <w:noWrap/>
                  <w:vAlign w:val="center"/>
                </w:tcPr>
                <w:p w14:paraId="738AC526">
                  <w:pPr>
                    <w:widowControl/>
                    <w:adjustRightInd w:val="0"/>
                    <w:snapToGrid w:val="0"/>
                    <w:ind w:left="-105" w:leftChars="-50" w:right="-105" w:rightChars="-50"/>
                    <w:jc w:val="center"/>
                    <w:rPr>
                      <w:rFonts w:hAnsi="宋体"/>
                      <w:caps/>
                      <w:kern w:val="0"/>
                      <w:szCs w:val="21"/>
                    </w:rPr>
                  </w:pPr>
                  <w:r>
                    <w:rPr>
                      <w:rFonts w:hint="eastAsia" w:hAnsi="宋体"/>
                      <w:caps/>
                      <w:kern w:val="0"/>
                      <w:szCs w:val="21"/>
                    </w:rPr>
                    <w:t>右侧</w:t>
                  </w:r>
                </w:p>
              </w:tc>
              <w:tc>
                <w:tcPr>
                  <w:tcW w:w="573" w:type="pct"/>
                  <w:vMerge w:val="restart"/>
                  <w:vAlign w:val="center"/>
                </w:tcPr>
                <w:p w14:paraId="576CF9DA">
                  <w:pPr>
                    <w:widowControl/>
                    <w:adjustRightInd w:val="0"/>
                    <w:snapToGrid w:val="0"/>
                    <w:ind w:left="-105" w:leftChars="-50" w:right="-105" w:rightChars="-50"/>
                    <w:jc w:val="center"/>
                    <w:rPr>
                      <w:rFonts w:hAnsi="宋体"/>
                      <w:caps/>
                      <w:kern w:val="0"/>
                      <w:szCs w:val="21"/>
                    </w:rPr>
                  </w:pPr>
                  <w:r>
                    <w:rPr>
                      <w:rFonts w:hint="eastAsia" w:hAnsi="宋体"/>
                      <w:caps/>
                      <w:kern w:val="0"/>
                      <w:szCs w:val="21"/>
                    </w:rPr>
                    <w:t>2类</w:t>
                  </w:r>
                </w:p>
              </w:tc>
            </w:tr>
            <w:tr w14:paraId="082F3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00" w:type="pct"/>
                  <w:vMerge w:val="continue"/>
                  <w:vAlign w:val="center"/>
                </w:tcPr>
                <w:p w14:paraId="0C917DCD">
                  <w:pPr>
                    <w:widowControl/>
                    <w:adjustRightInd w:val="0"/>
                    <w:snapToGrid w:val="0"/>
                    <w:ind w:left="-105" w:leftChars="-50" w:right="-105" w:rightChars="-50"/>
                    <w:jc w:val="center"/>
                    <w:rPr>
                      <w:rFonts w:hAnsi="宋体"/>
                      <w:caps/>
                      <w:kern w:val="0"/>
                      <w:szCs w:val="21"/>
                    </w:rPr>
                  </w:pPr>
                </w:p>
              </w:tc>
              <w:tc>
                <w:tcPr>
                  <w:tcW w:w="876" w:type="pct"/>
                  <w:vMerge w:val="continue"/>
                  <w:vAlign w:val="center"/>
                </w:tcPr>
                <w:p w14:paraId="780B8967">
                  <w:pPr>
                    <w:widowControl/>
                    <w:adjustRightInd w:val="0"/>
                    <w:snapToGrid w:val="0"/>
                    <w:ind w:left="-105" w:leftChars="-50" w:right="-105" w:rightChars="-50"/>
                    <w:jc w:val="center"/>
                    <w:rPr>
                      <w:b/>
                      <w:caps/>
                      <w:kern w:val="0"/>
                      <w:szCs w:val="21"/>
                    </w:rPr>
                  </w:pPr>
                </w:p>
              </w:tc>
              <w:tc>
                <w:tcPr>
                  <w:tcW w:w="883" w:type="pct"/>
                  <w:vMerge w:val="continue"/>
                  <w:noWrap/>
                  <w:vAlign w:val="center"/>
                </w:tcPr>
                <w:p w14:paraId="779337B8">
                  <w:pPr>
                    <w:widowControl/>
                    <w:adjustRightInd w:val="0"/>
                    <w:snapToGrid w:val="0"/>
                    <w:ind w:left="-105" w:leftChars="-50" w:right="-105" w:rightChars="-50"/>
                    <w:jc w:val="center"/>
                    <w:rPr>
                      <w:caps/>
                      <w:kern w:val="0"/>
                      <w:szCs w:val="21"/>
                    </w:rPr>
                  </w:pPr>
                </w:p>
              </w:tc>
              <w:tc>
                <w:tcPr>
                  <w:tcW w:w="1233" w:type="pct"/>
                  <w:noWrap/>
                  <w:vAlign w:val="center"/>
                </w:tcPr>
                <w:p w14:paraId="0CF4433A">
                  <w:pPr>
                    <w:widowControl/>
                    <w:adjustRightInd w:val="0"/>
                    <w:snapToGrid w:val="0"/>
                    <w:ind w:left="-105" w:leftChars="-50" w:right="-105" w:rightChars="-50"/>
                    <w:jc w:val="center"/>
                    <w:rPr>
                      <w:caps/>
                      <w:kern w:val="0"/>
                      <w:szCs w:val="21"/>
                    </w:rPr>
                  </w:pPr>
                  <w:r>
                    <w:rPr>
                      <w:rFonts w:hint="eastAsia"/>
                      <w:caps/>
                      <w:kern w:val="0"/>
                      <w:szCs w:val="21"/>
                    </w:rPr>
                    <w:t>5F房屋墙前1</w:t>
                  </w:r>
                  <w:r>
                    <w:rPr>
                      <w:kern w:val="0"/>
                      <w:szCs w:val="21"/>
                    </w:rPr>
                    <w:t>m</w:t>
                  </w:r>
                  <w:r>
                    <w:rPr>
                      <w:rFonts w:hint="eastAsia"/>
                      <w:caps/>
                      <w:kern w:val="0"/>
                      <w:szCs w:val="21"/>
                    </w:rPr>
                    <w:t>处</w:t>
                  </w:r>
                </w:p>
              </w:tc>
              <w:tc>
                <w:tcPr>
                  <w:tcW w:w="575" w:type="pct"/>
                  <w:vMerge w:val="continue"/>
                  <w:vAlign w:val="center"/>
                </w:tcPr>
                <w:p w14:paraId="6E58BA15">
                  <w:pPr>
                    <w:widowControl/>
                    <w:adjustRightInd w:val="0"/>
                    <w:snapToGrid w:val="0"/>
                    <w:ind w:left="-105" w:leftChars="-50" w:right="-105" w:rightChars="-50"/>
                    <w:jc w:val="center"/>
                    <w:rPr>
                      <w:rFonts w:hAnsi="宋体"/>
                      <w:caps/>
                      <w:kern w:val="0"/>
                      <w:szCs w:val="21"/>
                    </w:rPr>
                  </w:pPr>
                </w:p>
              </w:tc>
              <w:tc>
                <w:tcPr>
                  <w:tcW w:w="330" w:type="pct"/>
                  <w:vAlign w:val="center"/>
                </w:tcPr>
                <w:p w14:paraId="6583A412">
                  <w:pPr>
                    <w:widowControl/>
                    <w:adjustRightInd w:val="0"/>
                    <w:snapToGrid w:val="0"/>
                    <w:ind w:left="-105" w:leftChars="-50" w:right="-105" w:rightChars="-50"/>
                    <w:jc w:val="center"/>
                    <w:rPr>
                      <w:rFonts w:hAnsi="宋体"/>
                      <w:caps/>
                      <w:kern w:val="0"/>
                      <w:szCs w:val="21"/>
                    </w:rPr>
                  </w:pPr>
                  <w:r>
                    <w:rPr>
                      <w:rFonts w:hint="eastAsia" w:hAnsi="宋体"/>
                      <w:caps/>
                      <w:kern w:val="0"/>
                      <w:szCs w:val="21"/>
                    </w:rPr>
                    <w:t>+13.2</w:t>
                  </w:r>
                </w:p>
              </w:tc>
              <w:tc>
                <w:tcPr>
                  <w:tcW w:w="330" w:type="pct"/>
                  <w:vMerge w:val="continue"/>
                  <w:noWrap/>
                  <w:vAlign w:val="center"/>
                </w:tcPr>
                <w:p w14:paraId="17CCB6D9">
                  <w:pPr>
                    <w:widowControl/>
                    <w:adjustRightInd w:val="0"/>
                    <w:snapToGrid w:val="0"/>
                    <w:ind w:left="-105" w:leftChars="-50" w:right="-105" w:rightChars="-50"/>
                    <w:jc w:val="center"/>
                    <w:rPr>
                      <w:rFonts w:hAnsi="宋体"/>
                      <w:caps/>
                      <w:kern w:val="0"/>
                      <w:szCs w:val="21"/>
                    </w:rPr>
                  </w:pPr>
                </w:p>
              </w:tc>
              <w:tc>
                <w:tcPr>
                  <w:tcW w:w="573" w:type="pct"/>
                  <w:vMerge w:val="continue"/>
                  <w:vAlign w:val="center"/>
                </w:tcPr>
                <w:p w14:paraId="6989526A">
                  <w:pPr>
                    <w:widowControl/>
                    <w:adjustRightInd w:val="0"/>
                    <w:snapToGrid w:val="0"/>
                    <w:ind w:left="-105" w:leftChars="-50" w:right="-105" w:rightChars="-50"/>
                    <w:jc w:val="center"/>
                    <w:rPr>
                      <w:rFonts w:hAnsi="宋体"/>
                      <w:caps/>
                      <w:kern w:val="0"/>
                      <w:szCs w:val="21"/>
                    </w:rPr>
                  </w:pPr>
                </w:p>
              </w:tc>
            </w:tr>
            <w:tr w14:paraId="6CFE4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00" w:type="pct"/>
                  <w:vMerge w:val="continue"/>
                  <w:vAlign w:val="center"/>
                </w:tcPr>
                <w:p w14:paraId="4A245734">
                  <w:pPr>
                    <w:widowControl/>
                    <w:adjustRightInd w:val="0"/>
                    <w:snapToGrid w:val="0"/>
                    <w:ind w:left="-105" w:leftChars="-50" w:right="-105" w:rightChars="-50"/>
                    <w:jc w:val="center"/>
                    <w:rPr>
                      <w:rFonts w:hAnsi="宋体"/>
                      <w:caps/>
                      <w:kern w:val="0"/>
                      <w:szCs w:val="21"/>
                    </w:rPr>
                  </w:pPr>
                </w:p>
              </w:tc>
              <w:tc>
                <w:tcPr>
                  <w:tcW w:w="876" w:type="pct"/>
                  <w:vMerge w:val="continue"/>
                  <w:vAlign w:val="center"/>
                </w:tcPr>
                <w:p w14:paraId="6E3DC9AA">
                  <w:pPr>
                    <w:widowControl/>
                    <w:adjustRightInd w:val="0"/>
                    <w:snapToGrid w:val="0"/>
                    <w:ind w:left="-105" w:leftChars="-50" w:right="-105" w:rightChars="-50"/>
                    <w:jc w:val="center"/>
                    <w:rPr>
                      <w:b/>
                      <w:caps/>
                      <w:kern w:val="0"/>
                      <w:szCs w:val="21"/>
                    </w:rPr>
                  </w:pPr>
                </w:p>
              </w:tc>
              <w:tc>
                <w:tcPr>
                  <w:tcW w:w="883" w:type="pct"/>
                  <w:vMerge w:val="continue"/>
                  <w:noWrap/>
                  <w:vAlign w:val="center"/>
                </w:tcPr>
                <w:p w14:paraId="635BFD4E">
                  <w:pPr>
                    <w:widowControl/>
                    <w:adjustRightInd w:val="0"/>
                    <w:snapToGrid w:val="0"/>
                    <w:ind w:left="-105" w:leftChars="-50" w:right="-105" w:rightChars="-50"/>
                    <w:jc w:val="center"/>
                    <w:rPr>
                      <w:caps/>
                      <w:kern w:val="0"/>
                      <w:szCs w:val="21"/>
                    </w:rPr>
                  </w:pPr>
                </w:p>
              </w:tc>
              <w:tc>
                <w:tcPr>
                  <w:tcW w:w="1233" w:type="pct"/>
                  <w:noWrap/>
                  <w:vAlign w:val="center"/>
                </w:tcPr>
                <w:p w14:paraId="2E9AC066">
                  <w:pPr>
                    <w:widowControl/>
                    <w:adjustRightInd w:val="0"/>
                    <w:snapToGrid w:val="0"/>
                    <w:ind w:left="-105" w:leftChars="-50" w:right="-105" w:rightChars="-50"/>
                    <w:jc w:val="center"/>
                    <w:rPr>
                      <w:caps/>
                      <w:kern w:val="0"/>
                      <w:szCs w:val="21"/>
                    </w:rPr>
                  </w:pPr>
                  <w:r>
                    <w:rPr>
                      <w:rFonts w:hint="eastAsia"/>
                      <w:caps/>
                      <w:kern w:val="0"/>
                      <w:szCs w:val="21"/>
                    </w:rPr>
                    <w:t>7F房屋墙前1</w:t>
                  </w:r>
                  <w:r>
                    <w:rPr>
                      <w:kern w:val="0"/>
                      <w:szCs w:val="21"/>
                    </w:rPr>
                    <w:t>m</w:t>
                  </w:r>
                  <w:r>
                    <w:rPr>
                      <w:rFonts w:hint="eastAsia"/>
                      <w:caps/>
                      <w:kern w:val="0"/>
                      <w:szCs w:val="21"/>
                    </w:rPr>
                    <w:t>处</w:t>
                  </w:r>
                </w:p>
              </w:tc>
              <w:tc>
                <w:tcPr>
                  <w:tcW w:w="575" w:type="pct"/>
                  <w:vMerge w:val="continue"/>
                  <w:vAlign w:val="center"/>
                </w:tcPr>
                <w:p w14:paraId="546C6068">
                  <w:pPr>
                    <w:widowControl/>
                    <w:adjustRightInd w:val="0"/>
                    <w:snapToGrid w:val="0"/>
                    <w:ind w:left="-105" w:leftChars="-50" w:right="-105" w:rightChars="-50"/>
                    <w:jc w:val="center"/>
                    <w:rPr>
                      <w:rFonts w:hAnsi="宋体"/>
                      <w:caps/>
                      <w:kern w:val="0"/>
                      <w:szCs w:val="21"/>
                    </w:rPr>
                  </w:pPr>
                </w:p>
              </w:tc>
              <w:tc>
                <w:tcPr>
                  <w:tcW w:w="330" w:type="pct"/>
                  <w:vAlign w:val="center"/>
                </w:tcPr>
                <w:p w14:paraId="00375B3A">
                  <w:pPr>
                    <w:widowControl/>
                    <w:adjustRightInd w:val="0"/>
                    <w:snapToGrid w:val="0"/>
                    <w:ind w:left="-105" w:leftChars="-50" w:right="-105" w:rightChars="-50"/>
                    <w:jc w:val="center"/>
                    <w:rPr>
                      <w:rFonts w:hAnsi="宋体"/>
                      <w:caps/>
                      <w:kern w:val="0"/>
                      <w:szCs w:val="21"/>
                    </w:rPr>
                  </w:pPr>
                  <w:r>
                    <w:rPr>
                      <w:rFonts w:hint="eastAsia" w:hAnsi="宋体"/>
                      <w:caps/>
                      <w:kern w:val="0"/>
                      <w:szCs w:val="21"/>
                    </w:rPr>
                    <w:t>+19.2</w:t>
                  </w:r>
                </w:p>
              </w:tc>
              <w:tc>
                <w:tcPr>
                  <w:tcW w:w="330" w:type="pct"/>
                  <w:vMerge w:val="continue"/>
                  <w:noWrap/>
                  <w:vAlign w:val="center"/>
                </w:tcPr>
                <w:p w14:paraId="78C2DFEE">
                  <w:pPr>
                    <w:widowControl/>
                    <w:adjustRightInd w:val="0"/>
                    <w:snapToGrid w:val="0"/>
                    <w:ind w:left="-105" w:leftChars="-50" w:right="-105" w:rightChars="-50"/>
                    <w:jc w:val="center"/>
                    <w:rPr>
                      <w:rFonts w:hAnsi="宋体"/>
                      <w:caps/>
                      <w:kern w:val="0"/>
                      <w:szCs w:val="21"/>
                    </w:rPr>
                  </w:pPr>
                </w:p>
              </w:tc>
              <w:tc>
                <w:tcPr>
                  <w:tcW w:w="573" w:type="pct"/>
                  <w:vMerge w:val="continue"/>
                  <w:vAlign w:val="center"/>
                </w:tcPr>
                <w:p w14:paraId="633D6744">
                  <w:pPr>
                    <w:widowControl/>
                    <w:adjustRightInd w:val="0"/>
                    <w:snapToGrid w:val="0"/>
                    <w:ind w:left="-105" w:leftChars="-50" w:right="-105" w:rightChars="-50"/>
                    <w:jc w:val="center"/>
                    <w:rPr>
                      <w:rFonts w:hAnsi="宋体"/>
                      <w:caps/>
                      <w:kern w:val="0"/>
                      <w:szCs w:val="21"/>
                    </w:rPr>
                  </w:pPr>
                </w:p>
              </w:tc>
            </w:tr>
            <w:tr w14:paraId="6B099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200" w:type="pct"/>
                  <w:vAlign w:val="center"/>
                </w:tcPr>
                <w:p w14:paraId="050E6721">
                  <w:pPr>
                    <w:widowControl/>
                    <w:adjustRightInd w:val="0"/>
                    <w:snapToGrid w:val="0"/>
                    <w:ind w:left="-105" w:leftChars="-50" w:right="-105" w:rightChars="-50"/>
                    <w:jc w:val="center"/>
                    <w:rPr>
                      <w:rFonts w:hAnsi="宋体"/>
                      <w:caps/>
                      <w:kern w:val="0"/>
                      <w:szCs w:val="21"/>
                    </w:rPr>
                  </w:pPr>
                  <w:r>
                    <w:rPr>
                      <w:rFonts w:hint="eastAsia" w:hAnsi="宋体"/>
                      <w:caps/>
                      <w:kern w:val="0"/>
                      <w:szCs w:val="21"/>
                    </w:rPr>
                    <w:t>5#</w:t>
                  </w:r>
                </w:p>
              </w:tc>
              <w:tc>
                <w:tcPr>
                  <w:tcW w:w="876" w:type="pct"/>
                  <w:vAlign w:val="center"/>
                </w:tcPr>
                <w:p w14:paraId="7FD48378">
                  <w:pPr>
                    <w:widowControl/>
                    <w:adjustRightInd w:val="0"/>
                    <w:snapToGrid w:val="0"/>
                    <w:ind w:left="-105" w:leftChars="-50" w:right="-105" w:rightChars="-50"/>
                    <w:jc w:val="center"/>
                    <w:rPr>
                      <w:b/>
                      <w:caps/>
                      <w:kern w:val="0"/>
                      <w:szCs w:val="21"/>
                    </w:rPr>
                  </w:pPr>
                  <w:r>
                    <w:rPr>
                      <w:rFonts w:hint="eastAsia"/>
                      <w:b/>
                      <w:caps/>
                      <w:kern w:val="0"/>
                      <w:szCs w:val="21"/>
                    </w:rPr>
                    <w:t>肖儿沟居民点</w:t>
                  </w:r>
                </w:p>
              </w:tc>
              <w:tc>
                <w:tcPr>
                  <w:tcW w:w="883" w:type="pct"/>
                  <w:noWrap/>
                  <w:vAlign w:val="center"/>
                </w:tcPr>
                <w:p w14:paraId="1B47511C">
                  <w:pPr>
                    <w:widowControl/>
                    <w:adjustRightInd w:val="0"/>
                    <w:snapToGrid w:val="0"/>
                    <w:ind w:left="-105" w:leftChars="-50" w:right="-105" w:rightChars="-50"/>
                    <w:jc w:val="center"/>
                    <w:rPr>
                      <w:caps/>
                      <w:kern w:val="0"/>
                      <w:szCs w:val="21"/>
                    </w:rPr>
                  </w:pPr>
                  <w:r>
                    <w:rPr>
                      <w:rFonts w:hint="eastAsia"/>
                      <w:caps/>
                      <w:kern w:val="0"/>
                      <w:szCs w:val="21"/>
                    </w:rPr>
                    <w:t>太吉大道延线</w:t>
                  </w:r>
                </w:p>
              </w:tc>
              <w:tc>
                <w:tcPr>
                  <w:tcW w:w="1233" w:type="pct"/>
                  <w:noWrap/>
                  <w:vAlign w:val="center"/>
                </w:tcPr>
                <w:p w14:paraId="22D6DCC2">
                  <w:pPr>
                    <w:widowControl/>
                    <w:adjustRightInd w:val="0"/>
                    <w:snapToGrid w:val="0"/>
                    <w:ind w:left="-105" w:leftChars="-50" w:right="-105" w:rightChars="-50"/>
                    <w:jc w:val="center"/>
                    <w:rPr>
                      <w:caps/>
                      <w:kern w:val="0"/>
                      <w:szCs w:val="21"/>
                    </w:rPr>
                  </w:pPr>
                  <w:r>
                    <w:rPr>
                      <w:rFonts w:hint="eastAsia"/>
                      <w:caps/>
                      <w:kern w:val="0"/>
                      <w:szCs w:val="21"/>
                    </w:rPr>
                    <w:t>1F房屋墙前1</w:t>
                  </w:r>
                  <w:r>
                    <w:rPr>
                      <w:kern w:val="0"/>
                      <w:szCs w:val="21"/>
                    </w:rPr>
                    <w:t>m</w:t>
                  </w:r>
                  <w:r>
                    <w:rPr>
                      <w:rFonts w:hint="eastAsia"/>
                      <w:caps/>
                      <w:kern w:val="0"/>
                      <w:szCs w:val="21"/>
                    </w:rPr>
                    <w:t>处</w:t>
                  </w:r>
                </w:p>
              </w:tc>
              <w:tc>
                <w:tcPr>
                  <w:tcW w:w="575" w:type="pct"/>
                  <w:vAlign w:val="center"/>
                </w:tcPr>
                <w:p w14:paraId="57F08087">
                  <w:pPr>
                    <w:widowControl/>
                    <w:adjustRightInd w:val="0"/>
                    <w:snapToGrid w:val="0"/>
                    <w:ind w:left="-105" w:leftChars="-50" w:right="-105" w:rightChars="-50"/>
                    <w:jc w:val="center"/>
                    <w:rPr>
                      <w:rFonts w:hAnsi="宋体"/>
                      <w:caps/>
                      <w:kern w:val="0"/>
                      <w:szCs w:val="21"/>
                    </w:rPr>
                  </w:pPr>
                  <w:r>
                    <w:rPr>
                      <w:rFonts w:hint="eastAsia" w:hAnsi="宋体"/>
                      <w:caps/>
                      <w:kern w:val="0"/>
                      <w:szCs w:val="21"/>
                    </w:rPr>
                    <w:t>路基</w:t>
                  </w:r>
                </w:p>
              </w:tc>
              <w:tc>
                <w:tcPr>
                  <w:tcW w:w="330" w:type="pct"/>
                  <w:vAlign w:val="center"/>
                </w:tcPr>
                <w:p w14:paraId="31B970EA">
                  <w:pPr>
                    <w:widowControl/>
                    <w:adjustRightInd w:val="0"/>
                    <w:snapToGrid w:val="0"/>
                    <w:ind w:left="-105" w:leftChars="-50" w:right="-105" w:rightChars="-50"/>
                    <w:jc w:val="center"/>
                    <w:rPr>
                      <w:rFonts w:hAnsi="宋体"/>
                      <w:caps/>
                      <w:kern w:val="0"/>
                      <w:szCs w:val="21"/>
                    </w:rPr>
                  </w:pPr>
                  <w:r>
                    <w:rPr>
                      <w:rFonts w:hint="eastAsia" w:hAnsi="宋体"/>
                      <w:caps/>
                      <w:kern w:val="0"/>
                      <w:szCs w:val="21"/>
                    </w:rPr>
                    <w:t>+1.2</w:t>
                  </w:r>
                </w:p>
              </w:tc>
              <w:tc>
                <w:tcPr>
                  <w:tcW w:w="330" w:type="pct"/>
                  <w:noWrap/>
                  <w:vAlign w:val="center"/>
                </w:tcPr>
                <w:p w14:paraId="44761DA1">
                  <w:pPr>
                    <w:widowControl/>
                    <w:adjustRightInd w:val="0"/>
                    <w:snapToGrid w:val="0"/>
                    <w:ind w:left="-105" w:leftChars="-50" w:right="-105" w:rightChars="-50"/>
                    <w:jc w:val="center"/>
                    <w:rPr>
                      <w:rFonts w:hAnsi="宋体"/>
                      <w:caps/>
                      <w:kern w:val="0"/>
                      <w:szCs w:val="21"/>
                    </w:rPr>
                  </w:pPr>
                  <w:r>
                    <w:rPr>
                      <w:rFonts w:hint="eastAsia" w:hAnsi="宋体"/>
                      <w:caps/>
                      <w:kern w:val="0"/>
                      <w:szCs w:val="21"/>
                    </w:rPr>
                    <w:t>左侧</w:t>
                  </w:r>
                </w:p>
              </w:tc>
              <w:tc>
                <w:tcPr>
                  <w:tcW w:w="573" w:type="pct"/>
                  <w:vAlign w:val="center"/>
                </w:tcPr>
                <w:p w14:paraId="403C6108">
                  <w:pPr>
                    <w:widowControl/>
                    <w:adjustRightInd w:val="0"/>
                    <w:snapToGrid w:val="0"/>
                    <w:ind w:left="-105" w:leftChars="-50" w:right="-105" w:rightChars="-50"/>
                    <w:jc w:val="center"/>
                    <w:rPr>
                      <w:rFonts w:hAnsi="宋体"/>
                      <w:caps/>
                      <w:kern w:val="0"/>
                      <w:szCs w:val="21"/>
                    </w:rPr>
                  </w:pPr>
                  <w:r>
                    <w:rPr>
                      <w:rFonts w:hint="eastAsia" w:hAnsi="宋体"/>
                      <w:caps/>
                      <w:kern w:val="0"/>
                      <w:szCs w:val="21"/>
                    </w:rPr>
                    <w:t>2类</w:t>
                  </w:r>
                </w:p>
              </w:tc>
            </w:tr>
            <w:tr w14:paraId="5946F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00" w:type="pct"/>
                  <w:vAlign w:val="center"/>
                </w:tcPr>
                <w:p w14:paraId="54E72A6A">
                  <w:pPr>
                    <w:widowControl/>
                    <w:adjustRightInd w:val="0"/>
                    <w:snapToGrid w:val="0"/>
                    <w:ind w:left="-105" w:leftChars="-50" w:right="-105" w:rightChars="-50"/>
                    <w:jc w:val="center"/>
                    <w:rPr>
                      <w:rFonts w:hAnsi="宋体"/>
                      <w:caps/>
                      <w:kern w:val="0"/>
                      <w:szCs w:val="21"/>
                    </w:rPr>
                  </w:pPr>
                  <w:r>
                    <w:rPr>
                      <w:rFonts w:hint="eastAsia" w:hAnsi="宋体"/>
                      <w:caps/>
                      <w:kern w:val="0"/>
                      <w:szCs w:val="21"/>
                    </w:rPr>
                    <w:t>6#</w:t>
                  </w:r>
                </w:p>
              </w:tc>
              <w:tc>
                <w:tcPr>
                  <w:tcW w:w="876" w:type="pct"/>
                  <w:vAlign w:val="center"/>
                </w:tcPr>
                <w:p w14:paraId="09B26DCA">
                  <w:pPr>
                    <w:widowControl/>
                    <w:adjustRightInd w:val="0"/>
                    <w:snapToGrid w:val="0"/>
                    <w:ind w:left="-105" w:leftChars="-50" w:right="-105" w:rightChars="-50"/>
                    <w:jc w:val="center"/>
                    <w:rPr>
                      <w:b/>
                      <w:caps/>
                      <w:kern w:val="0"/>
                      <w:szCs w:val="21"/>
                    </w:rPr>
                  </w:pPr>
                  <w:r>
                    <w:rPr>
                      <w:rFonts w:hint="eastAsia"/>
                      <w:b/>
                      <w:caps/>
                      <w:kern w:val="0"/>
                      <w:szCs w:val="21"/>
                    </w:rPr>
                    <w:t>千福村居民点</w:t>
                  </w:r>
                </w:p>
              </w:tc>
              <w:tc>
                <w:tcPr>
                  <w:tcW w:w="883" w:type="pct"/>
                  <w:noWrap/>
                  <w:vAlign w:val="center"/>
                </w:tcPr>
                <w:p w14:paraId="324A6D72">
                  <w:pPr>
                    <w:widowControl/>
                    <w:adjustRightInd w:val="0"/>
                    <w:snapToGrid w:val="0"/>
                    <w:ind w:left="-105" w:leftChars="-50" w:right="-105" w:rightChars="-50"/>
                    <w:jc w:val="center"/>
                    <w:rPr>
                      <w:caps/>
                      <w:kern w:val="0"/>
                      <w:szCs w:val="21"/>
                    </w:rPr>
                  </w:pPr>
                  <w:r>
                    <w:rPr>
                      <w:rFonts w:hint="eastAsia"/>
                      <w:caps/>
                      <w:kern w:val="0"/>
                      <w:szCs w:val="21"/>
                    </w:rPr>
                    <w:t>太吉大道延线</w:t>
                  </w:r>
                </w:p>
              </w:tc>
              <w:tc>
                <w:tcPr>
                  <w:tcW w:w="1233" w:type="pct"/>
                  <w:noWrap/>
                  <w:vAlign w:val="center"/>
                </w:tcPr>
                <w:p w14:paraId="14AED3C6">
                  <w:pPr>
                    <w:widowControl/>
                    <w:adjustRightInd w:val="0"/>
                    <w:snapToGrid w:val="0"/>
                    <w:ind w:left="-105" w:leftChars="-50" w:right="-105" w:rightChars="-50"/>
                    <w:jc w:val="center"/>
                    <w:rPr>
                      <w:caps/>
                      <w:kern w:val="0"/>
                      <w:szCs w:val="21"/>
                    </w:rPr>
                  </w:pPr>
                  <w:r>
                    <w:rPr>
                      <w:rFonts w:hint="eastAsia"/>
                      <w:caps/>
                      <w:kern w:val="0"/>
                      <w:szCs w:val="21"/>
                    </w:rPr>
                    <w:t>1F房屋墙前1</w:t>
                  </w:r>
                  <w:r>
                    <w:rPr>
                      <w:kern w:val="0"/>
                      <w:szCs w:val="21"/>
                    </w:rPr>
                    <w:t>m</w:t>
                  </w:r>
                  <w:r>
                    <w:rPr>
                      <w:rFonts w:hint="eastAsia"/>
                      <w:caps/>
                      <w:kern w:val="0"/>
                      <w:szCs w:val="21"/>
                    </w:rPr>
                    <w:t>处</w:t>
                  </w:r>
                </w:p>
              </w:tc>
              <w:tc>
                <w:tcPr>
                  <w:tcW w:w="575" w:type="pct"/>
                  <w:vAlign w:val="center"/>
                </w:tcPr>
                <w:p w14:paraId="4EEACAC3">
                  <w:pPr>
                    <w:widowControl/>
                    <w:adjustRightInd w:val="0"/>
                    <w:snapToGrid w:val="0"/>
                    <w:ind w:left="-105" w:leftChars="-50" w:right="-105" w:rightChars="-50"/>
                    <w:jc w:val="center"/>
                    <w:rPr>
                      <w:rFonts w:hAnsi="宋体"/>
                      <w:caps/>
                      <w:kern w:val="0"/>
                      <w:szCs w:val="21"/>
                    </w:rPr>
                  </w:pPr>
                  <w:r>
                    <w:rPr>
                      <w:rFonts w:hint="eastAsia" w:hAnsi="宋体"/>
                      <w:caps/>
                      <w:kern w:val="0"/>
                      <w:szCs w:val="21"/>
                    </w:rPr>
                    <w:t>路基</w:t>
                  </w:r>
                </w:p>
              </w:tc>
              <w:tc>
                <w:tcPr>
                  <w:tcW w:w="330" w:type="pct"/>
                  <w:vAlign w:val="center"/>
                </w:tcPr>
                <w:p w14:paraId="64503DAB">
                  <w:pPr>
                    <w:widowControl/>
                    <w:adjustRightInd w:val="0"/>
                    <w:snapToGrid w:val="0"/>
                    <w:ind w:left="-105" w:leftChars="-50" w:right="-105" w:rightChars="-50"/>
                    <w:jc w:val="center"/>
                    <w:rPr>
                      <w:rFonts w:hAnsi="宋体"/>
                      <w:caps/>
                      <w:kern w:val="0"/>
                      <w:szCs w:val="21"/>
                    </w:rPr>
                  </w:pPr>
                  <w:r>
                    <w:rPr>
                      <w:rFonts w:hint="eastAsia" w:hAnsi="宋体"/>
                      <w:caps/>
                      <w:kern w:val="0"/>
                      <w:szCs w:val="21"/>
                    </w:rPr>
                    <w:t>+1.2</w:t>
                  </w:r>
                </w:p>
              </w:tc>
              <w:tc>
                <w:tcPr>
                  <w:tcW w:w="330" w:type="pct"/>
                  <w:noWrap/>
                  <w:vAlign w:val="center"/>
                </w:tcPr>
                <w:p w14:paraId="663317F8">
                  <w:pPr>
                    <w:widowControl/>
                    <w:adjustRightInd w:val="0"/>
                    <w:snapToGrid w:val="0"/>
                    <w:ind w:left="-105" w:leftChars="-50" w:right="-105" w:rightChars="-50"/>
                    <w:jc w:val="center"/>
                    <w:rPr>
                      <w:rFonts w:hAnsi="宋体"/>
                      <w:caps/>
                      <w:kern w:val="0"/>
                      <w:szCs w:val="21"/>
                    </w:rPr>
                  </w:pPr>
                  <w:r>
                    <w:rPr>
                      <w:rFonts w:hint="eastAsia" w:hAnsi="宋体"/>
                      <w:caps/>
                      <w:kern w:val="0"/>
                      <w:szCs w:val="21"/>
                    </w:rPr>
                    <w:t>右侧</w:t>
                  </w:r>
                </w:p>
              </w:tc>
              <w:tc>
                <w:tcPr>
                  <w:tcW w:w="573" w:type="pct"/>
                  <w:vAlign w:val="center"/>
                </w:tcPr>
                <w:p w14:paraId="29F0C4A6">
                  <w:pPr>
                    <w:widowControl/>
                    <w:adjustRightInd w:val="0"/>
                    <w:snapToGrid w:val="0"/>
                    <w:ind w:left="-105" w:leftChars="-50" w:right="-105" w:rightChars="-50"/>
                    <w:jc w:val="center"/>
                    <w:rPr>
                      <w:rFonts w:hAnsi="宋体"/>
                      <w:caps/>
                      <w:kern w:val="0"/>
                      <w:szCs w:val="21"/>
                    </w:rPr>
                  </w:pPr>
                  <w:r>
                    <w:rPr>
                      <w:rFonts w:hint="eastAsia" w:hAnsi="宋体"/>
                      <w:caps/>
                      <w:kern w:val="0"/>
                      <w:szCs w:val="21"/>
                    </w:rPr>
                    <w:t>2类</w:t>
                  </w:r>
                </w:p>
              </w:tc>
            </w:tr>
          </w:tbl>
          <w:p w14:paraId="6300FB09">
            <w:pPr>
              <w:spacing w:before="120" w:beforeLines="50" w:line="360" w:lineRule="auto"/>
              <w:ind w:firstLine="480" w:firstLineChars="200"/>
              <w:rPr>
                <w:b/>
                <w:bCs/>
                <w:sz w:val="24"/>
              </w:rPr>
            </w:pPr>
            <w:r>
              <w:rPr>
                <w:sz w:val="24"/>
              </w:rPr>
              <w:t>（2）监测项目、监测时间及监测频次</w:t>
            </w:r>
          </w:p>
          <w:p w14:paraId="1AF4A812">
            <w:pPr>
              <w:spacing w:line="360" w:lineRule="auto"/>
              <w:ind w:firstLine="480" w:firstLineChars="200"/>
              <w:rPr>
                <w:sz w:val="24"/>
              </w:rPr>
            </w:pPr>
            <w:r>
              <w:rPr>
                <w:sz w:val="24"/>
              </w:rPr>
              <w:t>监测项目：昼间和夜间环境噪声等效连续A声级（Lep）</w:t>
            </w:r>
          </w:p>
          <w:p w14:paraId="09DBED8B">
            <w:pPr>
              <w:spacing w:line="360" w:lineRule="auto"/>
              <w:ind w:firstLine="480" w:firstLineChars="200"/>
              <w:rPr>
                <w:sz w:val="24"/>
              </w:rPr>
            </w:pPr>
            <w:r>
              <w:rPr>
                <w:sz w:val="24"/>
              </w:rPr>
              <w:t>监测时间：202</w:t>
            </w:r>
            <w:r>
              <w:rPr>
                <w:rFonts w:hint="eastAsia"/>
                <w:sz w:val="24"/>
              </w:rPr>
              <w:t>5</w:t>
            </w:r>
            <w:r>
              <w:rPr>
                <w:sz w:val="24"/>
              </w:rPr>
              <w:t>年</w:t>
            </w:r>
            <w:r>
              <w:rPr>
                <w:rFonts w:hint="eastAsia"/>
                <w:sz w:val="24"/>
              </w:rPr>
              <w:t>4</w:t>
            </w:r>
            <w:r>
              <w:rPr>
                <w:sz w:val="24"/>
              </w:rPr>
              <w:t>月</w:t>
            </w:r>
            <w:r>
              <w:rPr>
                <w:rFonts w:hint="eastAsia"/>
                <w:sz w:val="24"/>
              </w:rPr>
              <w:t>17</w:t>
            </w:r>
            <w:r>
              <w:rPr>
                <w:sz w:val="24"/>
              </w:rPr>
              <w:t>日</w:t>
            </w:r>
          </w:p>
          <w:p w14:paraId="06B654B1">
            <w:pPr>
              <w:spacing w:line="360" w:lineRule="auto"/>
              <w:ind w:firstLine="480" w:firstLineChars="200"/>
              <w:rPr>
                <w:sz w:val="24"/>
              </w:rPr>
            </w:pPr>
            <w:r>
              <w:rPr>
                <w:sz w:val="24"/>
              </w:rPr>
              <w:t>监测频次：每个噪声监测点，监测</w:t>
            </w:r>
            <w:r>
              <w:rPr>
                <w:rFonts w:hint="eastAsia"/>
                <w:sz w:val="24"/>
              </w:rPr>
              <w:t>2</w:t>
            </w:r>
            <w:r>
              <w:rPr>
                <w:sz w:val="24"/>
              </w:rPr>
              <w:t>天，昼、夜间各一次。</w:t>
            </w:r>
          </w:p>
          <w:p w14:paraId="572CAD54">
            <w:pPr>
              <w:spacing w:line="360" w:lineRule="auto"/>
              <w:ind w:firstLine="480" w:firstLineChars="200"/>
              <w:rPr>
                <w:sz w:val="24"/>
              </w:rPr>
            </w:pPr>
            <w:r>
              <w:rPr>
                <w:sz w:val="24"/>
              </w:rPr>
              <w:t>（3）监测方法</w:t>
            </w:r>
          </w:p>
          <w:p w14:paraId="3831A398">
            <w:pPr>
              <w:spacing w:line="360" w:lineRule="auto"/>
              <w:ind w:firstLine="480" w:firstLineChars="200"/>
              <w:rPr>
                <w:sz w:val="24"/>
              </w:rPr>
            </w:pPr>
            <w:r>
              <w:rPr>
                <w:sz w:val="24"/>
              </w:rPr>
              <w:t>按《声环境质量标准》</w:t>
            </w:r>
            <w:r>
              <w:rPr>
                <w:rFonts w:hint="eastAsia"/>
                <w:sz w:val="24"/>
              </w:rPr>
              <w:t>（</w:t>
            </w:r>
            <w:r>
              <w:rPr>
                <w:sz w:val="24"/>
              </w:rPr>
              <w:t>GB3096-2008</w:t>
            </w:r>
            <w:r>
              <w:rPr>
                <w:rFonts w:hint="eastAsia"/>
                <w:sz w:val="24"/>
              </w:rPr>
              <w:t>）</w:t>
            </w:r>
            <w:r>
              <w:rPr>
                <w:sz w:val="24"/>
              </w:rPr>
              <w:t>中有关规定进行。</w:t>
            </w:r>
          </w:p>
          <w:p w14:paraId="12164977">
            <w:pPr>
              <w:spacing w:before="120" w:beforeLines="50" w:line="360" w:lineRule="auto"/>
              <w:ind w:firstLine="480" w:firstLineChars="200"/>
              <w:rPr>
                <w:sz w:val="24"/>
              </w:rPr>
            </w:pPr>
            <w:r>
              <w:rPr>
                <w:sz w:val="24"/>
              </w:rPr>
              <w:t>（4）监测结果</w:t>
            </w:r>
          </w:p>
          <w:p w14:paraId="5CD8FEFF">
            <w:pPr>
              <w:spacing w:line="360" w:lineRule="auto"/>
              <w:ind w:firstLine="480" w:firstLineChars="200"/>
              <w:rPr>
                <w:sz w:val="24"/>
              </w:rPr>
            </w:pPr>
            <w:r>
              <w:rPr>
                <w:sz w:val="24"/>
              </w:rPr>
              <w:t>噪声监测结果见下表。</w:t>
            </w:r>
          </w:p>
          <w:p w14:paraId="6B1810A4">
            <w:pPr>
              <w:pStyle w:val="2"/>
            </w:pPr>
          </w:p>
          <w:p w14:paraId="0E7E95EB">
            <w:pPr>
              <w:numPr>
                <w:ilvl w:val="0"/>
                <w:numId w:val="6"/>
              </w:numPr>
              <w:kinsoku w:val="0"/>
              <w:overflowPunct w:val="0"/>
              <w:autoSpaceDE w:val="0"/>
              <w:autoSpaceDN w:val="0"/>
              <w:adjustRightInd w:val="0"/>
              <w:snapToGrid w:val="0"/>
              <w:jc w:val="center"/>
              <w:rPr>
                <w:b/>
                <w:bCs/>
                <w:szCs w:val="21"/>
              </w:rPr>
            </w:pPr>
            <w:r>
              <w:rPr>
                <w:rFonts w:hint="eastAsia"/>
                <w:b/>
                <w:bCs/>
                <w:szCs w:val="21"/>
              </w:rPr>
              <w:t xml:space="preserve">    噪声监测结果统计表</w:t>
            </w:r>
          </w:p>
          <w:p w14:paraId="48544FAE">
            <w:pPr>
              <w:spacing w:line="360" w:lineRule="auto"/>
              <w:ind w:firstLine="480" w:firstLineChars="200"/>
              <w:rPr>
                <w:bCs/>
                <w:sz w:val="24"/>
              </w:rPr>
            </w:pPr>
          </w:p>
          <w:p w14:paraId="378E274F">
            <w:pPr>
              <w:spacing w:line="360" w:lineRule="auto"/>
              <w:ind w:firstLine="480" w:firstLineChars="200"/>
              <w:rPr>
                <w:bCs/>
                <w:sz w:val="24"/>
              </w:rPr>
            </w:pPr>
          </w:p>
          <w:p w14:paraId="3E15B7ED">
            <w:pPr>
              <w:spacing w:line="360" w:lineRule="auto"/>
              <w:ind w:firstLine="480" w:firstLineChars="200"/>
              <w:rPr>
                <w:bCs/>
                <w:sz w:val="24"/>
              </w:rPr>
            </w:pPr>
            <w:r>
              <w:rPr>
                <w:bCs/>
                <w:sz w:val="24"/>
              </w:rPr>
              <w:t>从</w:t>
            </w:r>
            <w:r>
              <w:rPr>
                <w:rFonts w:hint="eastAsia"/>
                <w:bCs/>
                <w:sz w:val="24"/>
              </w:rPr>
              <w:t>上</w:t>
            </w:r>
            <w:r>
              <w:rPr>
                <w:bCs/>
                <w:sz w:val="24"/>
              </w:rPr>
              <w:t>表中可见：现状监测期间，监测点位环境噪声值均满足《声环境质量标准》（GB3096-2008）中的2类</w:t>
            </w:r>
            <w:r>
              <w:rPr>
                <w:rFonts w:hint="eastAsia"/>
                <w:bCs/>
                <w:sz w:val="24"/>
              </w:rPr>
              <w:t>及4a类</w:t>
            </w:r>
            <w:r>
              <w:rPr>
                <w:bCs/>
                <w:sz w:val="24"/>
              </w:rPr>
              <w:t>标准，即昼间</w:t>
            </w:r>
            <w:r>
              <w:rPr>
                <w:rFonts w:asciiTheme="minorEastAsia" w:hAnsiTheme="minorEastAsia" w:eastAsiaTheme="minorEastAsia"/>
                <w:bCs/>
                <w:sz w:val="24"/>
              </w:rPr>
              <w:t>≤</w:t>
            </w:r>
            <w:r>
              <w:rPr>
                <w:bCs/>
                <w:sz w:val="24"/>
              </w:rPr>
              <w:t>60dB（A），夜间</w:t>
            </w:r>
            <w:r>
              <w:rPr>
                <w:rFonts w:asciiTheme="minorEastAsia" w:hAnsiTheme="minorEastAsia" w:eastAsiaTheme="minorEastAsia"/>
                <w:bCs/>
                <w:sz w:val="24"/>
              </w:rPr>
              <w:t>≤</w:t>
            </w:r>
            <w:r>
              <w:rPr>
                <w:bCs/>
                <w:sz w:val="24"/>
              </w:rPr>
              <w:t>50dB（A）。项目所在地声环境质量良好。</w:t>
            </w:r>
          </w:p>
        </w:tc>
      </w:tr>
      <w:tr w14:paraId="2E96A7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9" w:hRule="atLeast"/>
          <w:jc w:val="center"/>
        </w:trPr>
        <w:tc>
          <w:tcPr>
            <w:tcW w:w="578" w:type="dxa"/>
            <w:vAlign w:val="center"/>
          </w:tcPr>
          <w:p w14:paraId="142A07AE">
            <w:pPr>
              <w:adjustRightInd w:val="0"/>
              <w:snapToGrid w:val="0"/>
              <w:ind w:left="-105" w:leftChars="-50" w:right="-105" w:rightChars="-50"/>
              <w:jc w:val="center"/>
              <w:rPr>
                <w:rFonts w:ascii="宋体" w:hAnsi="宋体" w:cs="宋体"/>
                <w:kern w:val="0"/>
                <w:sz w:val="24"/>
                <w:szCs w:val="21"/>
              </w:rPr>
            </w:pPr>
            <w:r>
              <w:rPr>
                <w:rFonts w:hint="eastAsia" w:ascii="宋体" w:hAnsi="宋体"/>
                <w:bCs/>
                <w:sz w:val="24"/>
                <w:szCs w:val="21"/>
              </w:rPr>
              <w:t>与项目有关的原有环境污染和生态破坏问题</w:t>
            </w:r>
          </w:p>
        </w:tc>
        <w:tc>
          <w:tcPr>
            <w:tcW w:w="8853" w:type="dxa"/>
          </w:tcPr>
          <w:p w14:paraId="3F2C6898">
            <w:pPr>
              <w:spacing w:before="3" w:line="360" w:lineRule="auto"/>
              <w:ind w:firstLine="480" w:firstLineChars="200"/>
              <w:rPr>
                <w:bCs/>
                <w:sz w:val="24"/>
              </w:rPr>
            </w:pPr>
            <w:r>
              <w:rPr>
                <w:rFonts w:hint="eastAsia"/>
                <w:bCs/>
                <w:sz w:val="24"/>
              </w:rPr>
              <w:t>本项目为新建项目，沿线现状主要以耕地、林地、荒地为主，项目所占土地规划为城市道路建设用地，临时占地位于项目已征用地红线范围内。</w:t>
            </w:r>
          </w:p>
          <w:p w14:paraId="2B923CC1">
            <w:pPr>
              <w:spacing w:before="3" w:line="360" w:lineRule="auto"/>
              <w:ind w:firstLine="480" w:firstLineChars="200"/>
            </w:pPr>
            <w:r>
              <w:rPr>
                <w:rFonts w:hint="eastAsia"/>
                <w:bCs/>
                <w:sz w:val="24"/>
              </w:rPr>
              <w:t>工程涉及的拆迁由政府部门完成，建筑垃圾清理完毕后交由建设单位送指定建渣堆放点堆放，故不存在原有污染问题。</w:t>
            </w:r>
          </w:p>
        </w:tc>
      </w:tr>
      <w:tr w14:paraId="4129A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578" w:type="dxa"/>
            <w:vAlign w:val="center"/>
          </w:tcPr>
          <w:p w14:paraId="1E845E38">
            <w:pPr>
              <w:adjustRightInd w:val="0"/>
              <w:snapToGrid w:val="0"/>
              <w:ind w:left="-105" w:leftChars="-50" w:right="-105" w:rightChars="-50"/>
              <w:jc w:val="center"/>
              <w:rPr>
                <w:rFonts w:ascii="宋体" w:hAnsi="宋体" w:cs="宋体"/>
                <w:kern w:val="0"/>
                <w:szCs w:val="21"/>
              </w:rPr>
            </w:pPr>
            <w:r>
              <w:rPr>
                <w:rFonts w:hint="eastAsia" w:ascii="宋体" w:hAnsi="宋体" w:cs="宋体"/>
                <w:kern w:val="0"/>
                <w:sz w:val="22"/>
                <w:szCs w:val="21"/>
              </w:rPr>
              <w:t>生态环境保护目标</w:t>
            </w:r>
          </w:p>
        </w:tc>
        <w:tc>
          <w:tcPr>
            <w:tcW w:w="8853" w:type="dxa"/>
            <w:vAlign w:val="center"/>
          </w:tcPr>
          <w:p w14:paraId="1A879E76">
            <w:pPr>
              <w:adjustRightInd w:val="0"/>
              <w:snapToGrid w:val="0"/>
              <w:spacing w:line="360" w:lineRule="auto"/>
              <w:ind w:firstLine="480" w:firstLineChars="200"/>
              <w:rPr>
                <w:sz w:val="24"/>
                <w:szCs w:val="20"/>
              </w:rPr>
            </w:pPr>
            <w:r>
              <w:rPr>
                <w:rFonts w:hint="eastAsia"/>
                <w:sz w:val="24"/>
                <w:szCs w:val="20"/>
              </w:rPr>
              <w:t>项目位于四川大英县遂宁中心城区文旅组团，该区域目前基础设施建设尚未完善，项目片区土地即将进入开发阶段，沿线周边现状以农村环境为主。</w:t>
            </w:r>
          </w:p>
          <w:p w14:paraId="49F854C4">
            <w:pPr>
              <w:adjustRightInd w:val="0"/>
              <w:snapToGrid w:val="0"/>
              <w:spacing w:line="360" w:lineRule="auto"/>
              <w:ind w:firstLine="480" w:firstLineChars="200"/>
              <w:rPr>
                <w:sz w:val="24"/>
                <w:szCs w:val="20"/>
              </w:rPr>
            </w:pPr>
            <w:r>
              <w:rPr>
                <w:rFonts w:hint="eastAsia"/>
                <w:sz w:val="24"/>
                <w:szCs w:val="20"/>
              </w:rPr>
              <w:t>工程沿线评价范围内，无古、大、珍、奇植物及名木古树，不涉及饮用水源保护区、自然保护区、风景名胜区、文化遗产保护区、世界文化自然遗产和森林公园、地质公园、湿地公园等特殊的环境保护区，无学校、医院保护等敏感保护目标。</w:t>
            </w:r>
          </w:p>
          <w:p w14:paraId="5788E33C">
            <w:pPr>
              <w:adjustRightInd w:val="0"/>
              <w:snapToGrid w:val="0"/>
              <w:spacing w:line="360" w:lineRule="auto"/>
              <w:ind w:firstLine="480" w:firstLineChars="200"/>
              <w:rPr>
                <w:sz w:val="24"/>
                <w:szCs w:val="20"/>
              </w:rPr>
            </w:pPr>
            <w:r>
              <w:rPr>
                <w:rFonts w:hint="eastAsia"/>
                <w:sz w:val="24"/>
                <w:szCs w:val="20"/>
              </w:rPr>
              <w:t>本项目环境保护目标见下表。</w:t>
            </w:r>
          </w:p>
          <w:p w14:paraId="7079348D">
            <w:pPr>
              <w:adjustRightInd w:val="0"/>
              <w:snapToGrid w:val="0"/>
              <w:spacing w:line="360" w:lineRule="auto"/>
              <w:ind w:firstLine="420" w:firstLineChars="200"/>
              <w:rPr>
                <w:rFonts w:ascii="宋体" w:hAnsi="宋体" w:cs="宋体"/>
                <w:kern w:val="0"/>
                <w:szCs w:val="21"/>
              </w:rPr>
            </w:pPr>
          </w:p>
        </w:tc>
      </w:tr>
    </w:tbl>
    <w:p w14:paraId="50BD1B83">
      <w:pPr>
        <w:pStyle w:val="3"/>
        <w:rPr>
          <w:snapToGrid w:val="0"/>
          <w:sz w:val="36"/>
          <w:szCs w:val="36"/>
        </w:rPr>
        <w:sectPr>
          <w:pgSz w:w="11906" w:h="16838"/>
          <w:pgMar w:top="1701" w:right="1531" w:bottom="1560" w:left="1531" w:header="851" w:footer="1077" w:gutter="0"/>
          <w:cols w:space="720" w:num="1"/>
          <w:docGrid w:linePitch="312" w:charSpace="0"/>
        </w:sectPr>
      </w:pPr>
    </w:p>
    <w:tbl>
      <w:tblPr>
        <w:tblStyle w:val="33"/>
        <w:tblW w:w="496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63"/>
        <w:gridCol w:w="6946"/>
        <w:gridCol w:w="7796"/>
      </w:tblGrid>
      <w:tr w14:paraId="4736B4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246" w:type="pct"/>
            <w:vAlign w:val="center"/>
          </w:tcPr>
          <w:p w14:paraId="3DAC58CD">
            <w:pPr>
              <w:adjustRightInd w:val="0"/>
              <w:snapToGrid w:val="0"/>
              <w:ind w:left="-141" w:leftChars="-67" w:right="-105" w:rightChars="-50"/>
              <w:jc w:val="center"/>
              <w:rPr>
                <w:rFonts w:ascii="宋体" w:hAnsi="宋体" w:cs="宋体"/>
                <w:b/>
                <w:kern w:val="0"/>
                <w:szCs w:val="21"/>
              </w:rPr>
            </w:pPr>
            <w:r>
              <w:rPr>
                <w:rFonts w:hint="eastAsia" w:ascii="宋体" w:hAnsi="宋体" w:cs="宋体"/>
                <w:b/>
                <w:kern w:val="0"/>
                <w:szCs w:val="21"/>
              </w:rPr>
              <w:t>大气、声环境保护目标</w:t>
            </w:r>
          </w:p>
        </w:tc>
        <w:tc>
          <w:tcPr>
            <w:tcW w:w="4754" w:type="pct"/>
            <w:gridSpan w:val="2"/>
            <w:tcBorders>
              <w:bottom w:val="single" w:color="auto" w:sz="4" w:space="0"/>
            </w:tcBorders>
            <w:vAlign w:val="center"/>
          </w:tcPr>
          <w:p w14:paraId="2F599C9B">
            <w:pPr>
              <w:pStyle w:val="4"/>
              <w:numPr>
                <w:ilvl w:val="1"/>
                <w:numId w:val="0"/>
              </w:numPr>
              <w:spacing w:line="240" w:lineRule="auto"/>
              <w:rPr>
                <w:rFonts w:eastAsia="黑体"/>
                <w:b w:val="0"/>
                <w:sz w:val="21"/>
                <w:szCs w:val="21"/>
              </w:rPr>
            </w:pPr>
            <w:bookmarkStart w:id="21" w:name="_Toc150173903"/>
            <w:r>
              <w:rPr>
                <w:rFonts w:eastAsia="黑体"/>
                <w:b w:val="0"/>
                <w:sz w:val="21"/>
                <w:szCs w:val="21"/>
              </w:rPr>
              <w:t>表</w:t>
            </w:r>
            <w:r>
              <w:rPr>
                <w:rFonts w:hint="eastAsia" w:eastAsia="黑体"/>
                <w:b w:val="0"/>
                <w:sz w:val="21"/>
                <w:szCs w:val="21"/>
              </w:rPr>
              <w:t xml:space="preserve">3-3   </w:t>
            </w:r>
            <w:r>
              <w:rPr>
                <w:rFonts w:eastAsia="黑体"/>
                <w:b w:val="0"/>
                <w:sz w:val="21"/>
                <w:szCs w:val="21"/>
              </w:rPr>
              <w:t>沿线声环境及环境空气保护目标一览表</w:t>
            </w:r>
            <w:bookmarkEnd w:id="21"/>
          </w:p>
          <w:tbl>
            <w:tblPr>
              <w:tblStyle w:val="33"/>
              <w:tblW w:w="13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93"/>
              <w:gridCol w:w="438"/>
              <w:gridCol w:w="604"/>
              <w:gridCol w:w="1000"/>
              <w:gridCol w:w="498"/>
              <w:gridCol w:w="495"/>
              <w:gridCol w:w="473"/>
              <w:gridCol w:w="397"/>
              <w:gridCol w:w="428"/>
              <w:gridCol w:w="767"/>
              <w:gridCol w:w="4436"/>
              <w:gridCol w:w="3362"/>
              <w:gridCol w:w="444"/>
            </w:tblGrid>
            <w:tr w14:paraId="40BF6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3" w:hRule="atLeast"/>
                <w:tblHeader/>
                <w:jc w:val="center"/>
              </w:trPr>
              <w:tc>
                <w:tcPr>
                  <w:tcW w:w="493" w:type="dxa"/>
                  <w:vMerge w:val="restart"/>
                  <w:vAlign w:val="center"/>
                </w:tcPr>
                <w:p w14:paraId="208EC4D1">
                  <w:pPr>
                    <w:snapToGrid w:val="0"/>
                    <w:jc w:val="center"/>
                    <w:rPr>
                      <w:b/>
                      <w:szCs w:val="21"/>
                    </w:rPr>
                  </w:pPr>
                  <w:r>
                    <w:rPr>
                      <w:b/>
                      <w:szCs w:val="21"/>
                    </w:rPr>
                    <w:t>路段</w:t>
                  </w:r>
                </w:p>
              </w:tc>
              <w:tc>
                <w:tcPr>
                  <w:tcW w:w="438" w:type="dxa"/>
                  <w:vMerge w:val="restart"/>
                  <w:vAlign w:val="center"/>
                </w:tcPr>
                <w:p w14:paraId="0E8A70A0">
                  <w:pPr>
                    <w:snapToGrid w:val="0"/>
                    <w:jc w:val="center"/>
                    <w:rPr>
                      <w:b/>
                      <w:szCs w:val="21"/>
                    </w:rPr>
                  </w:pPr>
                  <w:r>
                    <w:rPr>
                      <w:b/>
                      <w:szCs w:val="21"/>
                    </w:rPr>
                    <w:t>序号</w:t>
                  </w:r>
                </w:p>
              </w:tc>
              <w:tc>
                <w:tcPr>
                  <w:tcW w:w="604" w:type="dxa"/>
                  <w:vMerge w:val="restart"/>
                  <w:vAlign w:val="center"/>
                </w:tcPr>
                <w:p w14:paraId="751770E5">
                  <w:pPr>
                    <w:adjustRightInd w:val="0"/>
                    <w:snapToGrid w:val="0"/>
                    <w:jc w:val="center"/>
                    <w:rPr>
                      <w:b/>
                      <w:szCs w:val="21"/>
                    </w:rPr>
                  </w:pPr>
                  <w:r>
                    <w:rPr>
                      <w:b/>
                      <w:szCs w:val="21"/>
                    </w:rPr>
                    <w:t>敏感点名称</w:t>
                  </w:r>
                </w:p>
              </w:tc>
              <w:tc>
                <w:tcPr>
                  <w:tcW w:w="1000" w:type="dxa"/>
                  <w:vMerge w:val="restart"/>
                  <w:vAlign w:val="center"/>
                </w:tcPr>
                <w:p w14:paraId="6902187A">
                  <w:pPr>
                    <w:snapToGrid w:val="0"/>
                    <w:jc w:val="center"/>
                    <w:rPr>
                      <w:b/>
                      <w:szCs w:val="21"/>
                    </w:rPr>
                  </w:pPr>
                  <w:r>
                    <w:rPr>
                      <w:rFonts w:hint="eastAsia"/>
                      <w:b/>
                      <w:szCs w:val="21"/>
                    </w:rPr>
                    <w:t>桩号</w:t>
                  </w:r>
                </w:p>
              </w:tc>
              <w:tc>
                <w:tcPr>
                  <w:tcW w:w="498" w:type="dxa"/>
                  <w:vMerge w:val="restart"/>
                  <w:vAlign w:val="center"/>
                </w:tcPr>
                <w:p w14:paraId="77281F84">
                  <w:pPr>
                    <w:snapToGrid w:val="0"/>
                    <w:jc w:val="center"/>
                    <w:rPr>
                      <w:b/>
                      <w:szCs w:val="21"/>
                    </w:rPr>
                  </w:pPr>
                  <w:r>
                    <w:rPr>
                      <w:b/>
                      <w:szCs w:val="21"/>
                    </w:rPr>
                    <w:t>建筑层高</w:t>
                  </w:r>
                </w:p>
              </w:tc>
              <w:tc>
                <w:tcPr>
                  <w:tcW w:w="968" w:type="dxa"/>
                  <w:gridSpan w:val="2"/>
                  <w:vAlign w:val="center"/>
                </w:tcPr>
                <w:p w14:paraId="20C4B1F7">
                  <w:pPr>
                    <w:snapToGrid w:val="0"/>
                    <w:jc w:val="center"/>
                    <w:rPr>
                      <w:b/>
                      <w:szCs w:val="21"/>
                    </w:rPr>
                  </w:pPr>
                  <w:r>
                    <w:rPr>
                      <w:rFonts w:hint="eastAsia"/>
                      <w:b/>
                      <w:szCs w:val="21"/>
                    </w:rPr>
                    <w:t>与项目位</w:t>
                  </w:r>
                  <w:r>
                    <w:rPr>
                      <w:b/>
                      <w:szCs w:val="21"/>
                    </w:rPr>
                    <w:t>置关系</w:t>
                  </w:r>
                </w:p>
              </w:tc>
              <w:tc>
                <w:tcPr>
                  <w:tcW w:w="397" w:type="dxa"/>
                  <w:vMerge w:val="restart"/>
                  <w:vAlign w:val="center"/>
                </w:tcPr>
                <w:p w14:paraId="5FCB3442">
                  <w:pPr>
                    <w:snapToGrid w:val="0"/>
                    <w:jc w:val="center"/>
                    <w:rPr>
                      <w:b/>
                      <w:szCs w:val="21"/>
                    </w:rPr>
                  </w:pPr>
                  <w:r>
                    <w:rPr>
                      <w:b/>
                      <w:szCs w:val="21"/>
                    </w:rPr>
                    <w:t>方位</w:t>
                  </w:r>
                </w:p>
              </w:tc>
              <w:tc>
                <w:tcPr>
                  <w:tcW w:w="428" w:type="dxa"/>
                  <w:vMerge w:val="restart"/>
                  <w:vAlign w:val="center"/>
                </w:tcPr>
                <w:p w14:paraId="6E24C322">
                  <w:pPr>
                    <w:snapToGrid w:val="0"/>
                    <w:jc w:val="center"/>
                    <w:rPr>
                      <w:b/>
                      <w:szCs w:val="21"/>
                    </w:rPr>
                  </w:pPr>
                  <w:r>
                    <w:rPr>
                      <w:b/>
                      <w:szCs w:val="21"/>
                    </w:rPr>
                    <w:t>声功能区</w:t>
                  </w:r>
                </w:p>
              </w:tc>
              <w:tc>
                <w:tcPr>
                  <w:tcW w:w="767" w:type="dxa"/>
                  <w:vMerge w:val="restart"/>
                  <w:vAlign w:val="center"/>
                </w:tcPr>
                <w:p w14:paraId="3608CB23">
                  <w:pPr>
                    <w:snapToGrid w:val="0"/>
                    <w:jc w:val="center"/>
                    <w:rPr>
                      <w:b/>
                      <w:szCs w:val="21"/>
                    </w:rPr>
                  </w:pPr>
                  <w:r>
                    <w:rPr>
                      <w:b/>
                      <w:szCs w:val="21"/>
                    </w:rPr>
                    <w:t>影响户数/人数</w:t>
                  </w:r>
                </w:p>
              </w:tc>
              <w:tc>
                <w:tcPr>
                  <w:tcW w:w="4436" w:type="dxa"/>
                  <w:vMerge w:val="restart"/>
                  <w:vAlign w:val="center"/>
                </w:tcPr>
                <w:p w14:paraId="15065826">
                  <w:pPr>
                    <w:snapToGrid w:val="0"/>
                    <w:jc w:val="center"/>
                    <w:rPr>
                      <w:b/>
                      <w:szCs w:val="21"/>
                    </w:rPr>
                  </w:pPr>
                  <w:r>
                    <w:rPr>
                      <w:b/>
                      <w:szCs w:val="21"/>
                    </w:rPr>
                    <w:t>位置关系</w:t>
                  </w:r>
                </w:p>
              </w:tc>
              <w:tc>
                <w:tcPr>
                  <w:tcW w:w="3362" w:type="dxa"/>
                  <w:vMerge w:val="restart"/>
                  <w:vAlign w:val="center"/>
                </w:tcPr>
                <w:p w14:paraId="677DE366">
                  <w:pPr>
                    <w:snapToGrid w:val="0"/>
                    <w:jc w:val="center"/>
                    <w:rPr>
                      <w:b/>
                      <w:szCs w:val="21"/>
                    </w:rPr>
                  </w:pPr>
                  <w:r>
                    <w:rPr>
                      <w:b/>
                      <w:szCs w:val="21"/>
                    </w:rPr>
                    <w:t>现场照片</w:t>
                  </w:r>
                </w:p>
              </w:tc>
              <w:tc>
                <w:tcPr>
                  <w:tcW w:w="444" w:type="dxa"/>
                  <w:vMerge w:val="restart"/>
                  <w:tcBorders>
                    <w:bottom w:val="nil"/>
                  </w:tcBorders>
                  <w:vAlign w:val="center"/>
                </w:tcPr>
                <w:p w14:paraId="7445CF91">
                  <w:pPr>
                    <w:snapToGrid w:val="0"/>
                    <w:jc w:val="center"/>
                    <w:rPr>
                      <w:b/>
                      <w:szCs w:val="21"/>
                    </w:rPr>
                  </w:pPr>
                  <w:r>
                    <w:rPr>
                      <w:b/>
                      <w:szCs w:val="21"/>
                    </w:rPr>
                    <w:t>说明</w:t>
                  </w:r>
                </w:p>
              </w:tc>
            </w:tr>
            <w:tr w14:paraId="05AC0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8" w:hRule="atLeast"/>
                <w:tblHeader/>
                <w:jc w:val="center"/>
              </w:trPr>
              <w:tc>
                <w:tcPr>
                  <w:tcW w:w="493" w:type="dxa"/>
                  <w:vMerge w:val="continue"/>
                  <w:tcBorders>
                    <w:bottom w:val="nil"/>
                  </w:tcBorders>
                  <w:vAlign w:val="center"/>
                </w:tcPr>
                <w:p w14:paraId="774CF3E8">
                  <w:pPr>
                    <w:snapToGrid w:val="0"/>
                    <w:jc w:val="center"/>
                    <w:rPr>
                      <w:szCs w:val="21"/>
                    </w:rPr>
                  </w:pPr>
                </w:p>
              </w:tc>
              <w:tc>
                <w:tcPr>
                  <w:tcW w:w="438" w:type="dxa"/>
                  <w:vMerge w:val="continue"/>
                  <w:vAlign w:val="center"/>
                </w:tcPr>
                <w:p w14:paraId="134F8CD0">
                  <w:pPr>
                    <w:snapToGrid w:val="0"/>
                    <w:jc w:val="center"/>
                    <w:rPr>
                      <w:szCs w:val="21"/>
                    </w:rPr>
                  </w:pPr>
                </w:p>
              </w:tc>
              <w:tc>
                <w:tcPr>
                  <w:tcW w:w="604" w:type="dxa"/>
                  <w:vMerge w:val="continue"/>
                  <w:vAlign w:val="center"/>
                </w:tcPr>
                <w:p w14:paraId="36A1C28A">
                  <w:pPr>
                    <w:adjustRightInd w:val="0"/>
                    <w:snapToGrid w:val="0"/>
                    <w:jc w:val="center"/>
                    <w:rPr>
                      <w:szCs w:val="21"/>
                    </w:rPr>
                  </w:pPr>
                </w:p>
              </w:tc>
              <w:tc>
                <w:tcPr>
                  <w:tcW w:w="1000" w:type="dxa"/>
                  <w:vMerge w:val="continue"/>
                  <w:vAlign w:val="center"/>
                </w:tcPr>
                <w:p w14:paraId="5F5484C5">
                  <w:pPr>
                    <w:snapToGrid w:val="0"/>
                    <w:jc w:val="center"/>
                    <w:rPr>
                      <w:szCs w:val="21"/>
                    </w:rPr>
                  </w:pPr>
                </w:p>
              </w:tc>
              <w:tc>
                <w:tcPr>
                  <w:tcW w:w="498" w:type="dxa"/>
                  <w:vMerge w:val="continue"/>
                  <w:vAlign w:val="center"/>
                </w:tcPr>
                <w:p w14:paraId="78F353D8">
                  <w:pPr>
                    <w:snapToGrid w:val="0"/>
                    <w:jc w:val="center"/>
                    <w:rPr>
                      <w:szCs w:val="21"/>
                    </w:rPr>
                  </w:pPr>
                </w:p>
              </w:tc>
              <w:tc>
                <w:tcPr>
                  <w:tcW w:w="495" w:type="dxa"/>
                  <w:vAlign w:val="center"/>
                </w:tcPr>
                <w:p w14:paraId="6A5D9C47">
                  <w:pPr>
                    <w:snapToGrid w:val="0"/>
                    <w:jc w:val="center"/>
                    <w:rPr>
                      <w:b/>
                      <w:szCs w:val="21"/>
                    </w:rPr>
                  </w:pPr>
                  <w:r>
                    <w:rPr>
                      <w:b/>
                      <w:szCs w:val="21"/>
                    </w:rPr>
                    <w:t>中心线/m</w:t>
                  </w:r>
                </w:p>
              </w:tc>
              <w:tc>
                <w:tcPr>
                  <w:tcW w:w="473" w:type="dxa"/>
                  <w:vAlign w:val="center"/>
                </w:tcPr>
                <w:p w14:paraId="4174DA0D">
                  <w:pPr>
                    <w:snapToGrid w:val="0"/>
                    <w:jc w:val="center"/>
                    <w:rPr>
                      <w:b/>
                      <w:szCs w:val="21"/>
                    </w:rPr>
                  </w:pPr>
                  <w:r>
                    <w:rPr>
                      <w:rFonts w:hint="eastAsia"/>
                      <w:b/>
                      <w:szCs w:val="21"/>
                    </w:rPr>
                    <w:t>道路边线</w:t>
                  </w:r>
                  <w:r>
                    <w:rPr>
                      <w:b/>
                      <w:szCs w:val="21"/>
                    </w:rPr>
                    <w:t>/m</w:t>
                  </w:r>
                </w:p>
              </w:tc>
              <w:tc>
                <w:tcPr>
                  <w:tcW w:w="397" w:type="dxa"/>
                  <w:vMerge w:val="continue"/>
                  <w:vAlign w:val="center"/>
                </w:tcPr>
                <w:p w14:paraId="536DE650">
                  <w:pPr>
                    <w:snapToGrid w:val="0"/>
                    <w:jc w:val="center"/>
                    <w:rPr>
                      <w:szCs w:val="21"/>
                    </w:rPr>
                  </w:pPr>
                </w:p>
              </w:tc>
              <w:tc>
                <w:tcPr>
                  <w:tcW w:w="428" w:type="dxa"/>
                  <w:vMerge w:val="continue"/>
                  <w:vAlign w:val="center"/>
                </w:tcPr>
                <w:p w14:paraId="4F39C8D6">
                  <w:pPr>
                    <w:snapToGrid w:val="0"/>
                    <w:jc w:val="center"/>
                    <w:rPr>
                      <w:szCs w:val="21"/>
                    </w:rPr>
                  </w:pPr>
                </w:p>
              </w:tc>
              <w:tc>
                <w:tcPr>
                  <w:tcW w:w="767" w:type="dxa"/>
                  <w:vMerge w:val="continue"/>
                  <w:vAlign w:val="center"/>
                </w:tcPr>
                <w:p w14:paraId="2A23C2A7">
                  <w:pPr>
                    <w:snapToGrid w:val="0"/>
                    <w:jc w:val="center"/>
                    <w:rPr>
                      <w:szCs w:val="21"/>
                    </w:rPr>
                  </w:pPr>
                </w:p>
              </w:tc>
              <w:tc>
                <w:tcPr>
                  <w:tcW w:w="4436" w:type="dxa"/>
                  <w:vMerge w:val="continue"/>
                  <w:tcBorders>
                    <w:top w:val="nil"/>
                    <w:bottom w:val="nil"/>
                  </w:tcBorders>
                  <w:vAlign w:val="center"/>
                </w:tcPr>
                <w:p w14:paraId="618D21E4">
                  <w:pPr>
                    <w:snapToGrid w:val="0"/>
                    <w:jc w:val="center"/>
                    <w:rPr>
                      <w:szCs w:val="21"/>
                    </w:rPr>
                  </w:pPr>
                </w:p>
              </w:tc>
              <w:tc>
                <w:tcPr>
                  <w:tcW w:w="3362" w:type="dxa"/>
                  <w:vMerge w:val="continue"/>
                  <w:vAlign w:val="center"/>
                </w:tcPr>
                <w:p w14:paraId="06020F38">
                  <w:pPr>
                    <w:snapToGrid w:val="0"/>
                    <w:jc w:val="center"/>
                    <w:rPr>
                      <w:szCs w:val="21"/>
                    </w:rPr>
                  </w:pPr>
                </w:p>
              </w:tc>
              <w:tc>
                <w:tcPr>
                  <w:tcW w:w="444" w:type="dxa"/>
                  <w:vMerge w:val="continue"/>
                  <w:vAlign w:val="center"/>
                </w:tcPr>
                <w:p w14:paraId="0940B52D">
                  <w:pPr>
                    <w:snapToGrid w:val="0"/>
                    <w:jc w:val="center"/>
                    <w:rPr>
                      <w:szCs w:val="21"/>
                    </w:rPr>
                  </w:pPr>
                </w:p>
              </w:tc>
            </w:tr>
            <w:tr w14:paraId="027E1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21" w:hRule="atLeast"/>
                <w:jc w:val="center"/>
              </w:trPr>
              <w:tc>
                <w:tcPr>
                  <w:tcW w:w="493" w:type="dxa"/>
                  <w:vMerge w:val="restart"/>
                  <w:vAlign w:val="center"/>
                </w:tcPr>
                <w:p w14:paraId="00ED73E7">
                  <w:pPr>
                    <w:snapToGrid w:val="0"/>
                    <w:spacing w:line="360" w:lineRule="auto"/>
                    <w:jc w:val="center"/>
                    <w:rPr>
                      <w:szCs w:val="21"/>
                    </w:rPr>
                  </w:pPr>
                  <w:r>
                    <w:rPr>
                      <w:rFonts w:hint="eastAsia"/>
                      <w:szCs w:val="21"/>
                    </w:rPr>
                    <w:t>成南大道连接线1段</w:t>
                  </w:r>
                </w:p>
              </w:tc>
              <w:tc>
                <w:tcPr>
                  <w:tcW w:w="438" w:type="dxa"/>
                  <w:vMerge w:val="restart"/>
                  <w:vAlign w:val="center"/>
                </w:tcPr>
                <w:p w14:paraId="734A25B5">
                  <w:pPr>
                    <w:snapToGrid w:val="0"/>
                    <w:spacing w:line="360" w:lineRule="auto"/>
                    <w:jc w:val="center"/>
                    <w:rPr>
                      <w:szCs w:val="21"/>
                    </w:rPr>
                  </w:pPr>
                  <w:r>
                    <w:rPr>
                      <w:szCs w:val="21"/>
                    </w:rPr>
                    <w:t>1</w:t>
                  </w:r>
                </w:p>
              </w:tc>
              <w:tc>
                <w:tcPr>
                  <w:tcW w:w="604" w:type="dxa"/>
                  <w:vMerge w:val="restart"/>
                  <w:vAlign w:val="center"/>
                </w:tcPr>
                <w:p w14:paraId="20B725A0">
                  <w:pPr>
                    <w:widowControl/>
                    <w:adjustRightInd w:val="0"/>
                    <w:snapToGrid w:val="0"/>
                    <w:ind w:left="-105" w:leftChars="-50" w:right="-105" w:rightChars="-50"/>
                    <w:jc w:val="center"/>
                    <w:rPr>
                      <w:szCs w:val="21"/>
                    </w:rPr>
                  </w:pPr>
                  <w:r>
                    <w:rPr>
                      <w:rFonts w:hint="eastAsia"/>
                      <w:caps/>
                      <w:kern w:val="0"/>
                      <w:szCs w:val="21"/>
                    </w:rPr>
                    <w:t>新苗安置小区1</w:t>
                  </w:r>
                </w:p>
              </w:tc>
              <w:tc>
                <w:tcPr>
                  <w:tcW w:w="1000" w:type="dxa"/>
                  <w:vAlign w:val="center"/>
                </w:tcPr>
                <w:p w14:paraId="252E8978">
                  <w:pPr>
                    <w:snapToGrid w:val="0"/>
                    <w:spacing w:line="360" w:lineRule="auto"/>
                    <w:jc w:val="center"/>
                    <w:rPr>
                      <w:szCs w:val="21"/>
                    </w:rPr>
                  </w:pPr>
                  <w:r>
                    <w:rPr>
                      <w:rFonts w:hint="eastAsia"/>
                      <w:szCs w:val="21"/>
                    </w:rPr>
                    <w:t>K0+400~</w:t>
                  </w:r>
                </w:p>
                <w:p w14:paraId="42F7090E">
                  <w:pPr>
                    <w:snapToGrid w:val="0"/>
                    <w:spacing w:line="360" w:lineRule="auto"/>
                    <w:jc w:val="center"/>
                    <w:rPr>
                      <w:szCs w:val="21"/>
                    </w:rPr>
                  </w:pPr>
                  <w:r>
                    <w:rPr>
                      <w:rFonts w:hint="eastAsia"/>
                      <w:szCs w:val="21"/>
                    </w:rPr>
                    <w:t>K0+620</w:t>
                  </w:r>
                </w:p>
              </w:tc>
              <w:tc>
                <w:tcPr>
                  <w:tcW w:w="498" w:type="dxa"/>
                  <w:vAlign w:val="center"/>
                </w:tcPr>
                <w:p w14:paraId="412631A3">
                  <w:pPr>
                    <w:snapToGrid w:val="0"/>
                    <w:spacing w:line="360" w:lineRule="auto"/>
                    <w:jc w:val="center"/>
                    <w:rPr>
                      <w:szCs w:val="21"/>
                    </w:rPr>
                  </w:pPr>
                  <w:r>
                    <w:rPr>
                      <w:rFonts w:hint="eastAsia"/>
                      <w:szCs w:val="21"/>
                    </w:rPr>
                    <w:t>3</w:t>
                  </w:r>
                  <w:r>
                    <w:rPr>
                      <w:szCs w:val="21"/>
                    </w:rPr>
                    <w:t>F</w:t>
                  </w:r>
                </w:p>
              </w:tc>
              <w:tc>
                <w:tcPr>
                  <w:tcW w:w="495" w:type="dxa"/>
                  <w:vAlign w:val="center"/>
                </w:tcPr>
                <w:p w14:paraId="00117A84">
                  <w:pPr>
                    <w:jc w:val="center"/>
                    <w:rPr>
                      <w:szCs w:val="21"/>
                    </w:rPr>
                  </w:pPr>
                  <w:r>
                    <w:rPr>
                      <w:rFonts w:hint="eastAsia"/>
                      <w:szCs w:val="21"/>
                    </w:rPr>
                    <w:t>27</w:t>
                  </w:r>
                </w:p>
              </w:tc>
              <w:tc>
                <w:tcPr>
                  <w:tcW w:w="473" w:type="dxa"/>
                  <w:vAlign w:val="center"/>
                </w:tcPr>
                <w:p w14:paraId="784DA22A">
                  <w:pPr>
                    <w:jc w:val="center"/>
                    <w:rPr>
                      <w:szCs w:val="21"/>
                    </w:rPr>
                  </w:pPr>
                  <w:r>
                    <w:rPr>
                      <w:rFonts w:hint="eastAsia"/>
                      <w:szCs w:val="21"/>
                    </w:rPr>
                    <w:t>14</w:t>
                  </w:r>
                </w:p>
              </w:tc>
              <w:tc>
                <w:tcPr>
                  <w:tcW w:w="397" w:type="dxa"/>
                  <w:vAlign w:val="center"/>
                </w:tcPr>
                <w:p w14:paraId="3C7B1C1A">
                  <w:pPr>
                    <w:snapToGrid w:val="0"/>
                    <w:spacing w:line="360" w:lineRule="auto"/>
                    <w:jc w:val="center"/>
                    <w:rPr>
                      <w:szCs w:val="21"/>
                    </w:rPr>
                  </w:pPr>
                  <w:r>
                    <w:rPr>
                      <w:rFonts w:hint="eastAsia"/>
                      <w:szCs w:val="21"/>
                    </w:rPr>
                    <w:t>左侧</w:t>
                  </w:r>
                </w:p>
              </w:tc>
              <w:tc>
                <w:tcPr>
                  <w:tcW w:w="428" w:type="dxa"/>
                  <w:vAlign w:val="center"/>
                </w:tcPr>
                <w:p w14:paraId="0EEB9B5D">
                  <w:pPr>
                    <w:snapToGrid w:val="0"/>
                    <w:spacing w:line="360" w:lineRule="auto"/>
                    <w:jc w:val="center"/>
                    <w:rPr>
                      <w:szCs w:val="21"/>
                    </w:rPr>
                  </w:pPr>
                  <w:r>
                    <w:rPr>
                      <w:rFonts w:hint="eastAsia"/>
                      <w:szCs w:val="21"/>
                    </w:rPr>
                    <w:t>4a</w:t>
                  </w:r>
                  <w:r>
                    <w:rPr>
                      <w:szCs w:val="21"/>
                    </w:rPr>
                    <w:t>类</w:t>
                  </w:r>
                </w:p>
              </w:tc>
              <w:tc>
                <w:tcPr>
                  <w:tcW w:w="767" w:type="dxa"/>
                  <w:vAlign w:val="center"/>
                </w:tcPr>
                <w:p w14:paraId="77E6A9EB">
                  <w:pPr>
                    <w:snapToGrid w:val="0"/>
                    <w:jc w:val="center"/>
                    <w:rPr>
                      <w:szCs w:val="21"/>
                    </w:rPr>
                  </w:pPr>
                  <w:r>
                    <w:rPr>
                      <w:rFonts w:hint="eastAsia"/>
                      <w:szCs w:val="21"/>
                    </w:rPr>
                    <w:t>80</w:t>
                  </w:r>
                  <w:r>
                    <w:rPr>
                      <w:szCs w:val="21"/>
                    </w:rPr>
                    <w:t>户、</w:t>
                  </w:r>
                  <w:r>
                    <w:rPr>
                      <w:rFonts w:hint="eastAsia"/>
                      <w:szCs w:val="21"/>
                    </w:rPr>
                    <w:t>160人</w:t>
                  </w:r>
                </w:p>
              </w:tc>
              <w:tc>
                <w:tcPr>
                  <w:tcW w:w="4436" w:type="dxa"/>
                  <w:vMerge w:val="restart"/>
                  <w:vAlign w:val="center"/>
                </w:tcPr>
                <w:p w14:paraId="60F82657">
                  <w:pPr>
                    <w:snapToGrid w:val="0"/>
                    <w:jc w:val="center"/>
                    <w:rPr>
                      <w:szCs w:val="21"/>
                    </w:rPr>
                  </w:pPr>
                  <w:r>
                    <w:drawing>
                      <wp:inline distT="0" distB="0" distL="0" distR="0">
                        <wp:extent cx="2169795" cy="1958975"/>
                        <wp:effectExtent l="0" t="0" r="1905" b="317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29"/>
                                <a:stretch>
                                  <a:fillRect/>
                                </a:stretch>
                              </pic:blipFill>
                              <pic:spPr>
                                <a:xfrm>
                                  <a:off x="0" y="0"/>
                                  <a:ext cx="2171677" cy="1961040"/>
                                </a:xfrm>
                                <a:prstGeom prst="rect">
                                  <a:avLst/>
                                </a:prstGeom>
                              </pic:spPr>
                            </pic:pic>
                          </a:graphicData>
                        </a:graphic>
                      </wp:inline>
                    </w:drawing>
                  </w:r>
                </w:p>
              </w:tc>
              <w:tc>
                <w:tcPr>
                  <w:tcW w:w="3362" w:type="dxa"/>
                  <w:vMerge w:val="restart"/>
                  <w:vAlign w:val="center"/>
                </w:tcPr>
                <w:p w14:paraId="6BF51652">
                  <w:pPr>
                    <w:snapToGrid w:val="0"/>
                    <w:jc w:val="center"/>
                    <w:rPr>
                      <w:szCs w:val="21"/>
                    </w:rPr>
                  </w:pPr>
                  <w:r>
                    <w:drawing>
                      <wp:inline distT="0" distB="0" distL="0" distR="0">
                        <wp:extent cx="2030095" cy="1973580"/>
                        <wp:effectExtent l="0" t="0" r="8255" b="762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30"/>
                                <a:stretch>
                                  <a:fillRect/>
                                </a:stretch>
                              </pic:blipFill>
                              <pic:spPr>
                                <a:xfrm>
                                  <a:off x="0" y="0"/>
                                  <a:ext cx="2038210" cy="1981345"/>
                                </a:xfrm>
                                <a:prstGeom prst="rect">
                                  <a:avLst/>
                                </a:prstGeom>
                              </pic:spPr>
                            </pic:pic>
                          </a:graphicData>
                        </a:graphic>
                      </wp:inline>
                    </w:drawing>
                  </w:r>
                </w:p>
              </w:tc>
              <w:tc>
                <w:tcPr>
                  <w:tcW w:w="444" w:type="dxa"/>
                  <w:vMerge w:val="restart"/>
                  <w:vAlign w:val="center"/>
                </w:tcPr>
                <w:p w14:paraId="1922B689">
                  <w:pPr>
                    <w:snapToGrid w:val="0"/>
                    <w:spacing w:line="360" w:lineRule="auto"/>
                    <w:jc w:val="center"/>
                    <w:rPr>
                      <w:szCs w:val="21"/>
                    </w:rPr>
                  </w:pPr>
                  <w:r>
                    <w:rPr>
                      <w:rFonts w:hint="eastAsia"/>
                      <w:szCs w:val="21"/>
                    </w:rPr>
                    <w:t>钢筋混凝土结构住宅</w:t>
                  </w:r>
                </w:p>
              </w:tc>
            </w:tr>
            <w:tr w14:paraId="563CE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50" w:hRule="atLeast"/>
                <w:jc w:val="center"/>
              </w:trPr>
              <w:tc>
                <w:tcPr>
                  <w:tcW w:w="493" w:type="dxa"/>
                  <w:vMerge w:val="continue"/>
                  <w:vAlign w:val="center"/>
                </w:tcPr>
                <w:p w14:paraId="0B552784">
                  <w:pPr>
                    <w:snapToGrid w:val="0"/>
                    <w:spacing w:line="360" w:lineRule="auto"/>
                    <w:jc w:val="center"/>
                    <w:rPr>
                      <w:szCs w:val="21"/>
                    </w:rPr>
                  </w:pPr>
                </w:p>
              </w:tc>
              <w:tc>
                <w:tcPr>
                  <w:tcW w:w="438" w:type="dxa"/>
                  <w:vMerge w:val="continue"/>
                  <w:vAlign w:val="center"/>
                </w:tcPr>
                <w:p w14:paraId="5D256F00">
                  <w:pPr>
                    <w:adjustRightInd w:val="0"/>
                    <w:snapToGrid w:val="0"/>
                    <w:jc w:val="center"/>
                    <w:rPr>
                      <w:rFonts w:hAnsi="宋体"/>
                      <w:caps/>
                      <w:kern w:val="0"/>
                      <w:szCs w:val="21"/>
                    </w:rPr>
                  </w:pPr>
                </w:p>
              </w:tc>
              <w:tc>
                <w:tcPr>
                  <w:tcW w:w="604" w:type="dxa"/>
                  <w:vMerge w:val="continue"/>
                  <w:vAlign w:val="center"/>
                </w:tcPr>
                <w:p w14:paraId="4354888E">
                  <w:pPr>
                    <w:adjustRightInd w:val="0"/>
                    <w:snapToGrid w:val="0"/>
                    <w:ind w:left="-105" w:leftChars="-50" w:right="-105" w:rightChars="-50"/>
                    <w:jc w:val="center"/>
                    <w:rPr>
                      <w:caps/>
                      <w:kern w:val="0"/>
                      <w:szCs w:val="21"/>
                    </w:rPr>
                  </w:pPr>
                </w:p>
              </w:tc>
              <w:tc>
                <w:tcPr>
                  <w:tcW w:w="1000" w:type="dxa"/>
                  <w:vAlign w:val="center"/>
                </w:tcPr>
                <w:p w14:paraId="0018D70F">
                  <w:pPr>
                    <w:snapToGrid w:val="0"/>
                    <w:spacing w:line="360" w:lineRule="auto"/>
                    <w:jc w:val="center"/>
                    <w:rPr>
                      <w:szCs w:val="21"/>
                    </w:rPr>
                  </w:pPr>
                  <w:r>
                    <w:rPr>
                      <w:rFonts w:hint="eastAsia"/>
                      <w:szCs w:val="21"/>
                    </w:rPr>
                    <w:t>K0+720~</w:t>
                  </w:r>
                </w:p>
                <w:p w14:paraId="4277C6D4">
                  <w:pPr>
                    <w:snapToGrid w:val="0"/>
                    <w:spacing w:line="360" w:lineRule="auto"/>
                    <w:jc w:val="center"/>
                    <w:rPr>
                      <w:szCs w:val="21"/>
                    </w:rPr>
                  </w:pPr>
                  <w:r>
                    <w:rPr>
                      <w:rFonts w:hint="eastAsia"/>
                      <w:szCs w:val="21"/>
                    </w:rPr>
                    <w:t>K1+640</w:t>
                  </w:r>
                </w:p>
              </w:tc>
              <w:tc>
                <w:tcPr>
                  <w:tcW w:w="498" w:type="dxa"/>
                  <w:vAlign w:val="center"/>
                </w:tcPr>
                <w:p w14:paraId="5042194B">
                  <w:pPr>
                    <w:snapToGrid w:val="0"/>
                    <w:spacing w:line="360" w:lineRule="auto"/>
                    <w:jc w:val="center"/>
                    <w:rPr>
                      <w:szCs w:val="21"/>
                    </w:rPr>
                  </w:pPr>
                  <w:r>
                    <w:rPr>
                      <w:rFonts w:hint="eastAsia"/>
                      <w:szCs w:val="21"/>
                    </w:rPr>
                    <w:t>7</w:t>
                  </w:r>
                  <w:r>
                    <w:rPr>
                      <w:szCs w:val="21"/>
                    </w:rPr>
                    <w:t>F</w:t>
                  </w:r>
                </w:p>
              </w:tc>
              <w:tc>
                <w:tcPr>
                  <w:tcW w:w="495" w:type="dxa"/>
                  <w:vAlign w:val="center"/>
                </w:tcPr>
                <w:p w14:paraId="4605BC88">
                  <w:pPr>
                    <w:jc w:val="center"/>
                    <w:rPr>
                      <w:szCs w:val="21"/>
                    </w:rPr>
                  </w:pPr>
                  <w:r>
                    <w:rPr>
                      <w:rFonts w:hint="eastAsia"/>
                      <w:szCs w:val="21"/>
                    </w:rPr>
                    <w:t>45</w:t>
                  </w:r>
                </w:p>
              </w:tc>
              <w:tc>
                <w:tcPr>
                  <w:tcW w:w="473" w:type="dxa"/>
                  <w:vAlign w:val="center"/>
                </w:tcPr>
                <w:p w14:paraId="7D86912C">
                  <w:pPr>
                    <w:jc w:val="center"/>
                    <w:rPr>
                      <w:szCs w:val="21"/>
                    </w:rPr>
                  </w:pPr>
                  <w:r>
                    <w:rPr>
                      <w:rFonts w:hint="eastAsia"/>
                      <w:szCs w:val="21"/>
                    </w:rPr>
                    <w:t>32</w:t>
                  </w:r>
                </w:p>
              </w:tc>
              <w:tc>
                <w:tcPr>
                  <w:tcW w:w="397" w:type="dxa"/>
                  <w:vAlign w:val="center"/>
                </w:tcPr>
                <w:p w14:paraId="043B2456">
                  <w:pPr>
                    <w:snapToGrid w:val="0"/>
                    <w:spacing w:line="360" w:lineRule="auto"/>
                    <w:jc w:val="center"/>
                    <w:rPr>
                      <w:szCs w:val="21"/>
                    </w:rPr>
                  </w:pPr>
                  <w:r>
                    <w:rPr>
                      <w:rFonts w:hint="eastAsia"/>
                      <w:szCs w:val="21"/>
                    </w:rPr>
                    <w:t>左侧</w:t>
                  </w:r>
                </w:p>
              </w:tc>
              <w:tc>
                <w:tcPr>
                  <w:tcW w:w="428" w:type="dxa"/>
                  <w:vAlign w:val="center"/>
                </w:tcPr>
                <w:p w14:paraId="76DA82A0">
                  <w:pPr>
                    <w:snapToGrid w:val="0"/>
                    <w:jc w:val="center"/>
                    <w:rPr>
                      <w:szCs w:val="21"/>
                    </w:rPr>
                  </w:pPr>
                  <w:r>
                    <w:rPr>
                      <w:rFonts w:hint="eastAsia"/>
                      <w:szCs w:val="21"/>
                    </w:rPr>
                    <w:t>2a类</w:t>
                  </w:r>
                </w:p>
              </w:tc>
              <w:tc>
                <w:tcPr>
                  <w:tcW w:w="767" w:type="dxa"/>
                  <w:vAlign w:val="center"/>
                </w:tcPr>
                <w:p w14:paraId="07F082B7">
                  <w:pPr>
                    <w:snapToGrid w:val="0"/>
                    <w:jc w:val="center"/>
                    <w:rPr>
                      <w:szCs w:val="21"/>
                    </w:rPr>
                  </w:pPr>
                  <w:r>
                    <w:rPr>
                      <w:rFonts w:hint="eastAsia"/>
                      <w:szCs w:val="21"/>
                    </w:rPr>
                    <w:t>250户、约400人</w:t>
                  </w:r>
                </w:p>
              </w:tc>
              <w:tc>
                <w:tcPr>
                  <w:tcW w:w="4436" w:type="dxa"/>
                  <w:vMerge w:val="continue"/>
                  <w:vAlign w:val="center"/>
                </w:tcPr>
                <w:p w14:paraId="0B42EBC2">
                  <w:pPr>
                    <w:snapToGrid w:val="0"/>
                    <w:jc w:val="center"/>
                    <w:rPr>
                      <w:szCs w:val="21"/>
                    </w:rPr>
                  </w:pPr>
                </w:p>
              </w:tc>
              <w:tc>
                <w:tcPr>
                  <w:tcW w:w="3362" w:type="dxa"/>
                  <w:vMerge w:val="continue"/>
                  <w:vAlign w:val="center"/>
                </w:tcPr>
                <w:p w14:paraId="12D459D8">
                  <w:pPr>
                    <w:snapToGrid w:val="0"/>
                    <w:jc w:val="center"/>
                    <w:rPr>
                      <w:szCs w:val="21"/>
                    </w:rPr>
                  </w:pPr>
                </w:p>
              </w:tc>
              <w:tc>
                <w:tcPr>
                  <w:tcW w:w="444" w:type="dxa"/>
                  <w:vMerge w:val="continue"/>
                  <w:vAlign w:val="center"/>
                </w:tcPr>
                <w:p w14:paraId="38F25604">
                  <w:pPr>
                    <w:snapToGrid w:val="0"/>
                    <w:spacing w:line="360" w:lineRule="auto"/>
                    <w:jc w:val="center"/>
                    <w:rPr>
                      <w:szCs w:val="21"/>
                    </w:rPr>
                  </w:pPr>
                </w:p>
              </w:tc>
            </w:tr>
            <w:tr w14:paraId="44A8A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50" w:hRule="atLeast"/>
                <w:jc w:val="center"/>
              </w:trPr>
              <w:tc>
                <w:tcPr>
                  <w:tcW w:w="493" w:type="dxa"/>
                  <w:vMerge w:val="continue"/>
                  <w:vAlign w:val="center"/>
                </w:tcPr>
                <w:p w14:paraId="104FF2DD">
                  <w:pPr>
                    <w:snapToGrid w:val="0"/>
                    <w:spacing w:line="360" w:lineRule="auto"/>
                    <w:jc w:val="center"/>
                    <w:rPr>
                      <w:szCs w:val="21"/>
                    </w:rPr>
                  </w:pPr>
                </w:p>
              </w:tc>
              <w:tc>
                <w:tcPr>
                  <w:tcW w:w="438" w:type="dxa"/>
                  <w:vMerge w:val="continue"/>
                  <w:vAlign w:val="center"/>
                </w:tcPr>
                <w:p w14:paraId="213E32D7">
                  <w:pPr>
                    <w:widowControl/>
                    <w:adjustRightInd w:val="0"/>
                    <w:snapToGrid w:val="0"/>
                    <w:jc w:val="center"/>
                    <w:rPr>
                      <w:rFonts w:hAnsi="宋体"/>
                      <w:caps/>
                      <w:kern w:val="0"/>
                      <w:szCs w:val="21"/>
                    </w:rPr>
                  </w:pPr>
                </w:p>
              </w:tc>
              <w:tc>
                <w:tcPr>
                  <w:tcW w:w="604" w:type="dxa"/>
                  <w:vMerge w:val="continue"/>
                  <w:vAlign w:val="center"/>
                </w:tcPr>
                <w:p w14:paraId="2DD8527B">
                  <w:pPr>
                    <w:widowControl/>
                    <w:adjustRightInd w:val="0"/>
                    <w:snapToGrid w:val="0"/>
                    <w:ind w:left="-105" w:leftChars="-50" w:right="-105" w:rightChars="-50"/>
                    <w:jc w:val="center"/>
                    <w:rPr>
                      <w:caps/>
                      <w:kern w:val="0"/>
                      <w:szCs w:val="21"/>
                    </w:rPr>
                  </w:pPr>
                </w:p>
              </w:tc>
              <w:tc>
                <w:tcPr>
                  <w:tcW w:w="1000" w:type="dxa"/>
                  <w:vAlign w:val="center"/>
                </w:tcPr>
                <w:p w14:paraId="272F3BF4">
                  <w:pPr>
                    <w:snapToGrid w:val="0"/>
                    <w:spacing w:line="360" w:lineRule="auto"/>
                    <w:jc w:val="center"/>
                    <w:rPr>
                      <w:szCs w:val="21"/>
                    </w:rPr>
                  </w:pPr>
                  <w:r>
                    <w:rPr>
                      <w:rFonts w:hint="eastAsia"/>
                      <w:szCs w:val="21"/>
                    </w:rPr>
                    <w:t>K0+400~</w:t>
                  </w:r>
                </w:p>
                <w:p w14:paraId="0CB7180A">
                  <w:pPr>
                    <w:snapToGrid w:val="0"/>
                    <w:spacing w:line="360" w:lineRule="auto"/>
                    <w:jc w:val="center"/>
                    <w:rPr>
                      <w:szCs w:val="21"/>
                    </w:rPr>
                  </w:pPr>
                  <w:r>
                    <w:rPr>
                      <w:rFonts w:hint="eastAsia"/>
                      <w:szCs w:val="21"/>
                    </w:rPr>
                    <w:t>K0+420</w:t>
                  </w:r>
                </w:p>
              </w:tc>
              <w:tc>
                <w:tcPr>
                  <w:tcW w:w="498" w:type="dxa"/>
                  <w:vAlign w:val="center"/>
                </w:tcPr>
                <w:p w14:paraId="3277DCAC">
                  <w:pPr>
                    <w:snapToGrid w:val="0"/>
                    <w:spacing w:line="360" w:lineRule="auto"/>
                    <w:jc w:val="center"/>
                    <w:rPr>
                      <w:szCs w:val="21"/>
                    </w:rPr>
                  </w:pPr>
                  <w:r>
                    <w:rPr>
                      <w:rFonts w:hint="eastAsia"/>
                      <w:szCs w:val="21"/>
                    </w:rPr>
                    <w:t>17F</w:t>
                  </w:r>
                </w:p>
              </w:tc>
              <w:tc>
                <w:tcPr>
                  <w:tcW w:w="495" w:type="dxa"/>
                  <w:vAlign w:val="center"/>
                </w:tcPr>
                <w:p w14:paraId="08198C42">
                  <w:pPr>
                    <w:jc w:val="center"/>
                    <w:rPr>
                      <w:szCs w:val="21"/>
                    </w:rPr>
                  </w:pPr>
                  <w:r>
                    <w:rPr>
                      <w:rFonts w:hint="eastAsia"/>
                      <w:szCs w:val="21"/>
                    </w:rPr>
                    <w:t>88</w:t>
                  </w:r>
                </w:p>
              </w:tc>
              <w:tc>
                <w:tcPr>
                  <w:tcW w:w="473" w:type="dxa"/>
                  <w:vAlign w:val="center"/>
                </w:tcPr>
                <w:p w14:paraId="58E81B6D">
                  <w:pPr>
                    <w:jc w:val="center"/>
                    <w:rPr>
                      <w:szCs w:val="21"/>
                    </w:rPr>
                  </w:pPr>
                  <w:r>
                    <w:rPr>
                      <w:rFonts w:hint="eastAsia"/>
                      <w:szCs w:val="21"/>
                    </w:rPr>
                    <w:t>75</w:t>
                  </w:r>
                </w:p>
              </w:tc>
              <w:tc>
                <w:tcPr>
                  <w:tcW w:w="397" w:type="dxa"/>
                  <w:vAlign w:val="center"/>
                </w:tcPr>
                <w:p w14:paraId="2DE1FD68">
                  <w:pPr>
                    <w:snapToGrid w:val="0"/>
                    <w:spacing w:line="360" w:lineRule="auto"/>
                    <w:jc w:val="center"/>
                    <w:rPr>
                      <w:szCs w:val="21"/>
                    </w:rPr>
                  </w:pPr>
                  <w:r>
                    <w:rPr>
                      <w:rFonts w:hint="eastAsia"/>
                      <w:szCs w:val="21"/>
                    </w:rPr>
                    <w:t>左侧</w:t>
                  </w:r>
                </w:p>
              </w:tc>
              <w:tc>
                <w:tcPr>
                  <w:tcW w:w="428" w:type="dxa"/>
                  <w:vAlign w:val="center"/>
                </w:tcPr>
                <w:p w14:paraId="5C4F2DB1">
                  <w:pPr>
                    <w:snapToGrid w:val="0"/>
                    <w:jc w:val="center"/>
                    <w:rPr>
                      <w:szCs w:val="21"/>
                    </w:rPr>
                  </w:pPr>
                  <w:r>
                    <w:rPr>
                      <w:rFonts w:hint="eastAsia"/>
                      <w:szCs w:val="21"/>
                    </w:rPr>
                    <w:t>2类</w:t>
                  </w:r>
                </w:p>
              </w:tc>
              <w:tc>
                <w:tcPr>
                  <w:tcW w:w="767" w:type="dxa"/>
                  <w:vAlign w:val="center"/>
                </w:tcPr>
                <w:p w14:paraId="40505245">
                  <w:pPr>
                    <w:snapToGrid w:val="0"/>
                    <w:jc w:val="center"/>
                    <w:rPr>
                      <w:szCs w:val="21"/>
                    </w:rPr>
                  </w:pPr>
                  <w:r>
                    <w:rPr>
                      <w:rFonts w:hint="eastAsia"/>
                      <w:szCs w:val="21"/>
                    </w:rPr>
                    <w:t>100户、约200人</w:t>
                  </w:r>
                </w:p>
              </w:tc>
              <w:tc>
                <w:tcPr>
                  <w:tcW w:w="4436" w:type="dxa"/>
                  <w:vMerge w:val="continue"/>
                  <w:vAlign w:val="center"/>
                </w:tcPr>
                <w:p w14:paraId="168F31BE">
                  <w:pPr>
                    <w:snapToGrid w:val="0"/>
                    <w:jc w:val="center"/>
                    <w:rPr>
                      <w:szCs w:val="21"/>
                    </w:rPr>
                  </w:pPr>
                </w:p>
              </w:tc>
              <w:tc>
                <w:tcPr>
                  <w:tcW w:w="3362" w:type="dxa"/>
                  <w:vMerge w:val="continue"/>
                  <w:vAlign w:val="center"/>
                </w:tcPr>
                <w:p w14:paraId="57A28085">
                  <w:pPr>
                    <w:snapToGrid w:val="0"/>
                    <w:jc w:val="center"/>
                  </w:pPr>
                </w:p>
              </w:tc>
              <w:tc>
                <w:tcPr>
                  <w:tcW w:w="444" w:type="dxa"/>
                  <w:vMerge w:val="continue"/>
                  <w:vAlign w:val="center"/>
                </w:tcPr>
                <w:p w14:paraId="549E6E82">
                  <w:pPr>
                    <w:snapToGrid w:val="0"/>
                    <w:spacing w:line="360" w:lineRule="auto"/>
                    <w:jc w:val="center"/>
                    <w:rPr>
                      <w:szCs w:val="21"/>
                    </w:rPr>
                  </w:pPr>
                </w:p>
              </w:tc>
            </w:tr>
            <w:tr w14:paraId="5058E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48" w:hRule="atLeast"/>
                <w:jc w:val="center"/>
              </w:trPr>
              <w:tc>
                <w:tcPr>
                  <w:tcW w:w="493" w:type="dxa"/>
                  <w:vAlign w:val="center"/>
                </w:tcPr>
                <w:p w14:paraId="0C96DBD2">
                  <w:pPr>
                    <w:snapToGrid w:val="0"/>
                    <w:spacing w:line="360" w:lineRule="auto"/>
                    <w:jc w:val="center"/>
                    <w:rPr>
                      <w:szCs w:val="21"/>
                    </w:rPr>
                  </w:pPr>
                  <w:r>
                    <w:rPr>
                      <w:szCs w:val="21"/>
                    </w:rPr>
                    <w:t>成南大道连接线1段</w:t>
                  </w:r>
                </w:p>
              </w:tc>
              <w:tc>
                <w:tcPr>
                  <w:tcW w:w="438" w:type="dxa"/>
                  <w:vAlign w:val="center"/>
                </w:tcPr>
                <w:p w14:paraId="05B2F677">
                  <w:pPr>
                    <w:snapToGrid w:val="0"/>
                    <w:spacing w:line="360" w:lineRule="auto"/>
                    <w:jc w:val="center"/>
                    <w:rPr>
                      <w:szCs w:val="21"/>
                    </w:rPr>
                  </w:pPr>
                  <w:r>
                    <w:rPr>
                      <w:rFonts w:hint="eastAsia"/>
                      <w:szCs w:val="21"/>
                    </w:rPr>
                    <w:t>2</w:t>
                  </w:r>
                </w:p>
              </w:tc>
              <w:tc>
                <w:tcPr>
                  <w:tcW w:w="604" w:type="dxa"/>
                  <w:vAlign w:val="center"/>
                </w:tcPr>
                <w:p w14:paraId="375D295A">
                  <w:pPr>
                    <w:widowControl/>
                    <w:adjustRightInd w:val="0"/>
                    <w:snapToGrid w:val="0"/>
                    <w:ind w:left="-105" w:leftChars="-50" w:right="-105" w:rightChars="-50"/>
                    <w:jc w:val="center"/>
                    <w:rPr>
                      <w:szCs w:val="21"/>
                    </w:rPr>
                  </w:pPr>
                  <w:r>
                    <w:rPr>
                      <w:rFonts w:hint="eastAsia"/>
                      <w:caps/>
                      <w:kern w:val="0"/>
                      <w:szCs w:val="21"/>
                    </w:rPr>
                    <w:t>新苗安置小区2</w:t>
                  </w:r>
                </w:p>
              </w:tc>
              <w:tc>
                <w:tcPr>
                  <w:tcW w:w="1000" w:type="dxa"/>
                  <w:vAlign w:val="center"/>
                </w:tcPr>
                <w:p w14:paraId="68184122">
                  <w:pPr>
                    <w:snapToGrid w:val="0"/>
                    <w:spacing w:line="360" w:lineRule="auto"/>
                    <w:jc w:val="center"/>
                    <w:rPr>
                      <w:szCs w:val="21"/>
                    </w:rPr>
                  </w:pPr>
                  <w:r>
                    <w:rPr>
                      <w:rFonts w:hint="eastAsia"/>
                      <w:szCs w:val="21"/>
                    </w:rPr>
                    <w:t>K0+480~</w:t>
                  </w:r>
                </w:p>
                <w:p w14:paraId="4EB9278A">
                  <w:pPr>
                    <w:snapToGrid w:val="0"/>
                    <w:spacing w:line="360" w:lineRule="auto"/>
                    <w:jc w:val="center"/>
                    <w:rPr>
                      <w:szCs w:val="21"/>
                    </w:rPr>
                  </w:pPr>
                  <w:r>
                    <w:rPr>
                      <w:rFonts w:hint="eastAsia"/>
                      <w:szCs w:val="21"/>
                    </w:rPr>
                    <w:t>K1+640</w:t>
                  </w:r>
                </w:p>
              </w:tc>
              <w:tc>
                <w:tcPr>
                  <w:tcW w:w="498" w:type="dxa"/>
                  <w:vAlign w:val="center"/>
                </w:tcPr>
                <w:p w14:paraId="231E1258">
                  <w:pPr>
                    <w:snapToGrid w:val="0"/>
                    <w:spacing w:line="360" w:lineRule="auto"/>
                    <w:jc w:val="center"/>
                    <w:rPr>
                      <w:szCs w:val="21"/>
                    </w:rPr>
                  </w:pPr>
                  <w:r>
                    <w:rPr>
                      <w:rFonts w:hint="eastAsia"/>
                      <w:szCs w:val="21"/>
                    </w:rPr>
                    <w:t>7</w:t>
                  </w:r>
                  <w:r>
                    <w:rPr>
                      <w:szCs w:val="21"/>
                    </w:rPr>
                    <w:t>F</w:t>
                  </w:r>
                </w:p>
              </w:tc>
              <w:tc>
                <w:tcPr>
                  <w:tcW w:w="495" w:type="dxa"/>
                  <w:vAlign w:val="center"/>
                </w:tcPr>
                <w:p w14:paraId="76870FF9">
                  <w:pPr>
                    <w:jc w:val="center"/>
                    <w:rPr>
                      <w:szCs w:val="21"/>
                    </w:rPr>
                  </w:pPr>
                  <w:r>
                    <w:rPr>
                      <w:rFonts w:hint="eastAsia"/>
                      <w:szCs w:val="21"/>
                    </w:rPr>
                    <w:t>130</w:t>
                  </w:r>
                </w:p>
              </w:tc>
              <w:tc>
                <w:tcPr>
                  <w:tcW w:w="473" w:type="dxa"/>
                  <w:vAlign w:val="center"/>
                </w:tcPr>
                <w:p w14:paraId="6218E025">
                  <w:pPr>
                    <w:jc w:val="center"/>
                    <w:rPr>
                      <w:szCs w:val="21"/>
                    </w:rPr>
                  </w:pPr>
                  <w:r>
                    <w:rPr>
                      <w:rFonts w:hint="eastAsia"/>
                      <w:caps/>
                      <w:kern w:val="0"/>
                      <w:szCs w:val="21"/>
                    </w:rPr>
                    <w:t>117</w:t>
                  </w:r>
                </w:p>
              </w:tc>
              <w:tc>
                <w:tcPr>
                  <w:tcW w:w="397" w:type="dxa"/>
                  <w:vAlign w:val="center"/>
                </w:tcPr>
                <w:p w14:paraId="48623B7A">
                  <w:pPr>
                    <w:snapToGrid w:val="0"/>
                    <w:spacing w:line="360" w:lineRule="auto"/>
                    <w:jc w:val="center"/>
                    <w:rPr>
                      <w:szCs w:val="21"/>
                    </w:rPr>
                  </w:pPr>
                  <w:r>
                    <w:rPr>
                      <w:rFonts w:hint="eastAsia"/>
                      <w:szCs w:val="21"/>
                    </w:rPr>
                    <w:t>左侧</w:t>
                  </w:r>
                </w:p>
              </w:tc>
              <w:tc>
                <w:tcPr>
                  <w:tcW w:w="428" w:type="dxa"/>
                  <w:vAlign w:val="center"/>
                </w:tcPr>
                <w:p w14:paraId="2035FD45">
                  <w:pPr>
                    <w:snapToGrid w:val="0"/>
                    <w:spacing w:line="360" w:lineRule="auto"/>
                    <w:jc w:val="center"/>
                    <w:rPr>
                      <w:szCs w:val="21"/>
                    </w:rPr>
                  </w:pPr>
                  <w:r>
                    <w:rPr>
                      <w:szCs w:val="21"/>
                    </w:rPr>
                    <w:t>2类</w:t>
                  </w:r>
                </w:p>
              </w:tc>
              <w:tc>
                <w:tcPr>
                  <w:tcW w:w="767" w:type="dxa"/>
                  <w:vAlign w:val="center"/>
                </w:tcPr>
                <w:p w14:paraId="41C1C109">
                  <w:pPr>
                    <w:snapToGrid w:val="0"/>
                    <w:jc w:val="center"/>
                    <w:rPr>
                      <w:szCs w:val="21"/>
                    </w:rPr>
                  </w:pPr>
                  <w:r>
                    <w:rPr>
                      <w:rFonts w:hint="eastAsia"/>
                      <w:szCs w:val="21"/>
                    </w:rPr>
                    <w:t>120</w:t>
                  </w:r>
                  <w:r>
                    <w:rPr>
                      <w:szCs w:val="21"/>
                    </w:rPr>
                    <w:t>户、</w:t>
                  </w:r>
                  <w:r>
                    <w:rPr>
                      <w:rFonts w:hint="eastAsia"/>
                      <w:szCs w:val="21"/>
                    </w:rPr>
                    <w:t>300人</w:t>
                  </w:r>
                </w:p>
              </w:tc>
              <w:tc>
                <w:tcPr>
                  <w:tcW w:w="4436" w:type="dxa"/>
                  <w:vAlign w:val="center"/>
                </w:tcPr>
                <w:p w14:paraId="0A8E9D49">
                  <w:pPr>
                    <w:snapToGrid w:val="0"/>
                    <w:jc w:val="center"/>
                    <w:rPr>
                      <w:szCs w:val="21"/>
                    </w:rPr>
                  </w:pPr>
                  <w:r>
                    <w:drawing>
                      <wp:inline distT="0" distB="0" distL="0" distR="0">
                        <wp:extent cx="1994535" cy="1833880"/>
                        <wp:effectExtent l="0" t="0" r="5715"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31"/>
                                <a:stretch>
                                  <a:fillRect/>
                                </a:stretch>
                              </pic:blipFill>
                              <pic:spPr>
                                <a:xfrm>
                                  <a:off x="0" y="0"/>
                                  <a:ext cx="1996315" cy="1835426"/>
                                </a:xfrm>
                                <a:prstGeom prst="rect">
                                  <a:avLst/>
                                </a:prstGeom>
                              </pic:spPr>
                            </pic:pic>
                          </a:graphicData>
                        </a:graphic>
                      </wp:inline>
                    </w:drawing>
                  </w:r>
                </w:p>
              </w:tc>
              <w:tc>
                <w:tcPr>
                  <w:tcW w:w="3362" w:type="dxa"/>
                  <w:vAlign w:val="center"/>
                </w:tcPr>
                <w:p w14:paraId="60582A3B">
                  <w:pPr>
                    <w:snapToGrid w:val="0"/>
                    <w:jc w:val="center"/>
                    <w:rPr>
                      <w:szCs w:val="21"/>
                    </w:rPr>
                  </w:pPr>
                  <w:r>
                    <w:drawing>
                      <wp:inline distT="0" distB="0" distL="0" distR="0">
                        <wp:extent cx="2050415" cy="1947545"/>
                        <wp:effectExtent l="0" t="0" r="698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32"/>
                                <a:stretch>
                                  <a:fillRect/>
                                </a:stretch>
                              </pic:blipFill>
                              <pic:spPr>
                                <a:xfrm>
                                  <a:off x="0" y="0"/>
                                  <a:ext cx="2054223" cy="1951143"/>
                                </a:xfrm>
                                <a:prstGeom prst="rect">
                                  <a:avLst/>
                                </a:prstGeom>
                              </pic:spPr>
                            </pic:pic>
                          </a:graphicData>
                        </a:graphic>
                      </wp:inline>
                    </w:drawing>
                  </w:r>
                </w:p>
              </w:tc>
              <w:tc>
                <w:tcPr>
                  <w:tcW w:w="444" w:type="dxa"/>
                  <w:vAlign w:val="center"/>
                </w:tcPr>
                <w:p w14:paraId="2863EAB2">
                  <w:pPr>
                    <w:snapToGrid w:val="0"/>
                    <w:spacing w:line="360" w:lineRule="auto"/>
                    <w:jc w:val="center"/>
                    <w:rPr>
                      <w:szCs w:val="21"/>
                    </w:rPr>
                  </w:pPr>
                  <w:r>
                    <w:rPr>
                      <w:rFonts w:hint="eastAsia"/>
                      <w:szCs w:val="21"/>
                    </w:rPr>
                    <w:t>钢混结构住宅</w:t>
                  </w:r>
                </w:p>
              </w:tc>
            </w:tr>
            <w:tr w14:paraId="1A387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3" w:hRule="atLeast"/>
                <w:jc w:val="center"/>
              </w:trPr>
              <w:tc>
                <w:tcPr>
                  <w:tcW w:w="493" w:type="dxa"/>
                  <w:vAlign w:val="center"/>
                </w:tcPr>
                <w:p w14:paraId="12F5024D">
                  <w:pPr>
                    <w:snapToGrid w:val="0"/>
                    <w:spacing w:line="360" w:lineRule="auto"/>
                    <w:jc w:val="center"/>
                    <w:rPr>
                      <w:szCs w:val="21"/>
                    </w:rPr>
                  </w:pPr>
                  <w:r>
                    <w:rPr>
                      <w:rFonts w:hint="eastAsia"/>
                      <w:szCs w:val="21"/>
                    </w:rPr>
                    <w:t>成南大道连接线1段</w:t>
                  </w:r>
                </w:p>
              </w:tc>
              <w:tc>
                <w:tcPr>
                  <w:tcW w:w="438" w:type="dxa"/>
                  <w:vAlign w:val="center"/>
                </w:tcPr>
                <w:p w14:paraId="3456DB09">
                  <w:pPr>
                    <w:snapToGrid w:val="0"/>
                    <w:spacing w:line="360" w:lineRule="auto"/>
                    <w:jc w:val="center"/>
                    <w:rPr>
                      <w:szCs w:val="21"/>
                    </w:rPr>
                  </w:pPr>
                  <w:r>
                    <w:rPr>
                      <w:rFonts w:hint="eastAsia"/>
                      <w:szCs w:val="21"/>
                    </w:rPr>
                    <w:t>3</w:t>
                  </w:r>
                </w:p>
              </w:tc>
              <w:tc>
                <w:tcPr>
                  <w:tcW w:w="604" w:type="dxa"/>
                  <w:vAlign w:val="center"/>
                </w:tcPr>
                <w:p w14:paraId="42E333BB">
                  <w:pPr>
                    <w:widowControl/>
                    <w:adjustRightInd w:val="0"/>
                    <w:snapToGrid w:val="0"/>
                    <w:jc w:val="center"/>
                    <w:rPr>
                      <w:rFonts w:hAnsi="宋体"/>
                      <w:caps/>
                      <w:kern w:val="0"/>
                      <w:szCs w:val="21"/>
                    </w:rPr>
                  </w:pPr>
                  <w:r>
                    <w:rPr>
                      <w:rFonts w:hint="eastAsia" w:hAnsi="宋体"/>
                      <w:caps/>
                      <w:kern w:val="0"/>
                      <w:szCs w:val="21"/>
                    </w:rPr>
                    <w:t>肖儿沟居民点</w:t>
                  </w:r>
                </w:p>
              </w:tc>
              <w:tc>
                <w:tcPr>
                  <w:tcW w:w="1000" w:type="dxa"/>
                  <w:vAlign w:val="center"/>
                </w:tcPr>
                <w:p w14:paraId="08BB9112">
                  <w:pPr>
                    <w:snapToGrid w:val="0"/>
                    <w:spacing w:line="360" w:lineRule="auto"/>
                    <w:jc w:val="center"/>
                    <w:rPr>
                      <w:szCs w:val="21"/>
                    </w:rPr>
                  </w:pPr>
                  <w:r>
                    <w:rPr>
                      <w:rFonts w:hint="eastAsia"/>
                      <w:szCs w:val="21"/>
                    </w:rPr>
                    <w:t>CK0+280~</w:t>
                  </w:r>
                </w:p>
                <w:p w14:paraId="07A977E1">
                  <w:pPr>
                    <w:snapToGrid w:val="0"/>
                    <w:spacing w:line="360" w:lineRule="auto"/>
                    <w:jc w:val="center"/>
                    <w:rPr>
                      <w:szCs w:val="21"/>
                    </w:rPr>
                  </w:pPr>
                  <w:r>
                    <w:rPr>
                      <w:rFonts w:hint="eastAsia"/>
                      <w:szCs w:val="21"/>
                    </w:rPr>
                    <w:t>CK0+320</w:t>
                  </w:r>
                </w:p>
              </w:tc>
              <w:tc>
                <w:tcPr>
                  <w:tcW w:w="498" w:type="dxa"/>
                  <w:vAlign w:val="center"/>
                </w:tcPr>
                <w:p w14:paraId="686716CE">
                  <w:pPr>
                    <w:snapToGrid w:val="0"/>
                    <w:spacing w:line="360" w:lineRule="auto"/>
                    <w:jc w:val="center"/>
                    <w:rPr>
                      <w:szCs w:val="21"/>
                    </w:rPr>
                  </w:pPr>
                  <w:r>
                    <w:rPr>
                      <w:rFonts w:hint="eastAsia"/>
                      <w:szCs w:val="21"/>
                    </w:rPr>
                    <w:t>1</w:t>
                  </w:r>
                  <w:r>
                    <w:rPr>
                      <w:szCs w:val="21"/>
                    </w:rPr>
                    <w:t>F</w:t>
                  </w:r>
                </w:p>
              </w:tc>
              <w:tc>
                <w:tcPr>
                  <w:tcW w:w="495" w:type="dxa"/>
                  <w:vAlign w:val="center"/>
                </w:tcPr>
                <w:p w14:paraId="77CA6B99">
                  <w:pPr>
                    <w:jc w:val="center"/>
                    <w:rPr>
                      <w:szCs w:val="21"/>
                    </w:rPr>
                  </w:pPr>
                  <w:r>
                    <w:rPr>
                      <w:rFonts w:hint="eastAsia"/>
                      <w:szCs w:val="21"/>
                    </w:rPr>
                    <w:t>78</w:t>
                  </w:r>
                </w:p>
              </w:tc>
              <w:tc>
                <w:tcPr>
                  <w:tcW w:w="473" w:type="dxa"/>
                  <w:vAlign w:val="center"/>
                </w:tcPr>
                <w:p w14:paraId="48CE4F50">
                  <w:pPr>
                    <w:jc w:val="center"/>
                    <w:rPr>
                      <w:szCs w:val="21"/>
                    </w:rPr>
                  </w:pPr>
                  <w:r>
                    <w:rPr>
                      <w:rFonts w:hint="eastAsia"/>
                      <w:szCs w:val="21"/>
                    </w:rPr>
                    <w:t>65</w:t>
                  </w:r>
                </w:p>
              </w:tc>
              <w:tc>
                <w:tcPr>
                  <w:tcW w:w="397" w:type="dxa"/>
                  <w:vAlign w:val="center"/>
                </w:tcPr>
                <w:p w14:paraId="26940566">
                  <w:pPr>
                    <w:snapToGrid w:val="0"/>
                    <w:spacing w:line="360" w:lineRule="auto"/>
                    <w:jc w:val="center"/>
                    <w:rPr>
                      <w:szCs w:val="21"/>
                    </w:rPr>
                  </w:pPr>
                  <w:r>
                    <w:rPr>
                      <w:rFonts w:hint="eastAsia"/>
                      <w:szCs w:val="21"/>
                    </w:rPr>
                    <w:t>右侧</w:t>
                  </w:r>
                </w:p>
              </w:tc>
              <w:tc>
                <w:tcPr>
                  <w:tcW w:w="428" w:type="dxa"/>
                  <w:vAlign w:val="center"/>
                </w:tcPr>
                <w:p w14:paraId="16461B72">
                  <w:pPr>
                    <w:snapToGrid w:val="0"/>
                    <w:jc w:val="center"/>
                    <w:rPr>
                      <w:szCs w:val="21"/>
                    </w:rPr>
                  </w:pPr>
                  <w:r>
                    <w:rPr>
                      <w:rFonts w:hint="eastAsia"/>
                      <w:szCs w:val="21"/>
                    </w:rPr>
                    <w:t>2类</w:t>
                  </w:r>
                  <w:r>
                    <w:rPr>
                      <w:szCs w:val="21"/>
                    </w:rPr>
                    <w:t xml:space="preserve"> </w:t>
                  </w:r>
                </w:p>
              </w:tc>
              <w:tc>
                <w:tcPr>
                  <w:tcW w:w="767" w:type="dxa"/>
                  <w:vAlign w:val="center"/>
                </w:tcPr>
                <w:p w14:paraId="64EB59DC">
                  <w:pPr>
                    <w:snapToGrid w:val="0"/>
                    <w:jc w:val="center"/>
                    <w:rPr>
                      <w:szCs w:val="21"/>
                    </w:rPr>
                  </w:pPr>
                  <w:r>
                    <w:rPr>
                      <w:rFonts w:hint="eastAsia"/>
                      <w:szCs w:val="21"/>
                    </w:rPr>
                    <w:t>8</w:t>
                  </w:r>
                  <w:r>
                    <w:rPr>
                      <w:szCs w:val="21"/>
                    </w:rPr>
                    <w:t>户、</w:t>
                  </w:r>
                  <w:r>
                    <w:rPr>
                      <w:rFonts w:hint="eastAsia"/>
                      <w:szCs w:val="21"/>
                    </w:rPr>
                    <w:t>20人</w:t>
                  </w:r>
                </w:p>
              </w:tc>
              <w:tc>
                <w:tcPr>
                  <w:tcW w:w="4436" w:type="dxa"/>
                  <w:vAlign w:val="center"/>
                </w:tcPr>
                <w:p w14:paraId="18DE3509">
                  <w:pPr>
                    <w:snapToGrid w:val="0"/>
                    <w:jc w:val="center"/>
                    <w:rPr>
                      <w:szCs w:val="21"/>
                    </w:rPr>
                  </w:pPr>
                  <w:r>
                    <w:drawing>
                      <wp:inline distT="0" distB="0" distL="0" distR="0">
                        <wp:extent cx="2000885" cy="1690370"/>
                        <wp:effectExtent l="0" t="0" r="0" b="508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3"/>
                                <a:stretch>
                                  <a:fillRect/>
                                </a:stretch>
                              </pic:blipFill>
                              <pic:spPr>
                                <a:xfrm>
                                  <a:off x="0" y="0"/>
                                  <a:ext cx="2003321" cy="1692900"/>
                                </a:xfrm>
                                <a:prstGeom prst="rect">
                                  <a:avLst/>
                                </a:prstGeom>
                              </pic:spPr>
                            </pic:pic>
                          </a:graphicData>
                        </a:graphic>
                      </wp:inline>
                    </w:drawing>
                  </w:r>
                </w:p>
              </w:tc>
              <w:tc>
                <w:tcPr>
                  <w:tcW w:w="3362" w:type="dxa"/>
                  <w:vAlign w:val="center"/>
                </w:tcPr>
                <w:p w14:paraId="3A739B86">
                  <w:pPr>
                    <w:snapToGrid w:val="0"/>
                    <w:jc w:val="center"/>
                    <w:rPr>
                      <w:szCs w:val="21"/>
                    </w:rPr>
                  </w:pPr>
                  <w:r>
                    <w:drawing>
                      <wp:inline distT="0" distB="0" distL="0" distR="0">
                        <wp:extent cx="2059940" cy="1541780"/>
                        <wp:effectExtent l="0" t="0" r="0" b="127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4"/>
                                <a:stretch>
                                  <a:fillRect/>
                                </a:stretch>
                              </pic:blipFill>
                              <pic:spPr>
                                <a:xfrm>
                                  <a:off x="0" y="0"/>
                                  <a:ext cx="2061112" cy="1543042"/>
                                </a:xfrm>
                                <a:prstGeom prst="rect">
                                  <a:avLst/>
                                </a:prstGeom>
                              </pic:spPr>
                            </pic:pic>
                          </a:graphicData>
                        </a:graphic>
                      </wp:inline>
                    </w:drawing>
                  </w:r>
                </w:p>
              </w:tc>
              <w:tc>
                <w:tcPr>
                  <w:tcW w:w="444" w:type="dxa"/>
                  <w:vAlign w:val="center"/>
                </w:tcPr>
                <w:p w14:paraId="038BD9E0">
                  <w:pPr>
                    <w:snapToGrid w:val="0"/>
                    <w:spacing w:line="360" w:lineRule="auto"/>
                    <w:jc w:val="center"/>
                    <w:rPr>
                      <w:szCs w:val="21"/>
                    </w:rPr>
                  </w:pPr>
                  <w:r>
                    <w:rPr>
                      <w:rFonts w:hint="eastAsia"/>
                      <w:szCs w:val="21"/>
                    </w:rPr>
                    <w:t>砖混结构住宅</w:t>
                  </w:r>
                </w:p>
              </w:tc>
            </w:tr>
            <w:tr w14:paraId="26CF6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0" w:hRule="atLeast"/>
                <w:jc w:val="center"/>
              </w:trPr>
              <w:tc>
                <w:tcPr>
                  <w:tcW w:w="493" w:type="dxa"/>
                  <w:vAlign w:val="center"/>
                </w:tcPr>
                <w:p w14:paraId="13547F40">
                  <w:pPr>
                    <w:snapToGrid w:val="0"/>
                    <w:spacing w:line="360" w:lineRule="auto"/>
                    <w:jc w:val="center"/>
                    <w:rPr>
                      <w:szCs w:val="21"/>
                    </w:rPr>
                  </w:pPr>
                  <w:r>
                    <w:rPr>
                      <w:szCs w:val="21"/>
                    </w:rPr>
                    <w:t>太吉大道西延线</w:t>
                  </w:r>
                  <w:r>
                    <w:rPr>
                      <w:rFonts w:hint="eastAsia"/>
                      <w:szCs w:val="21"/>
                    </w:rPr>
                    <w:t>2段</w:t>
                  </w:r>
                </w:p>
              </w:tc>
              <w:tc>
                <w:tcPr>
                  <w:tcW w:w="438" w:type="dxa"/>
                  <w:vAlign w:val="center"/>
                </w:tcPr>
                <w:p w14:paraId="26E753A6">
                  <w:pPr>
                    <w:snapToGrid w:val="0"/>
                    <w:spacing w:line="360" w:lineRule="auto"/>
                    <w:jc w:val="center"/>
                    <w:rPr>
                      <w:szCs w:val="21"/>
                    </w:rPr>
                  </w:pPr>
                  <w:r>
                    <w:rPr>
                      <w:rFonts w:hint="eastAsia"/>
                      <w:szCs w:val="21"/>
                    </w:rPr>
                    <w:t>4</w:t>
                  </w:r>
                </w:p>
              </w:tc>
              <w:tc>
                <w:tcPr>
                  <w:tcW w:w="604" w:type="dxa"/>
                  <w:vAlign w:val="center"/>
                </w:tcPr>
                <w:p w14:paraId="775BFCD9">
                  <w:pPr>
                    <w:widowControl/>
                    <w:adjustRightInd w:val="0"/>
                    <w:snapToGrid w:val="0"/>
                    <w:jc w:val="center"/>
                    <w:rPr>
                      <w:rFonts w:hAnsi="宋体"/>
                      <w:caps/>
                      <w:kern w:val="0"/>
                      <w:szCs w:val="21"/>
                    </w:rPr>
                  </w:pPr>
                  <w:r>
                    <w:rPr>
                      <w:rFonts w:hint="eastAsia" w:hAnsi="宋体"/>
                      <w:caps/>
                      <w:kern w:val="0"/>
                      <w:szCs w:val="21"/>
                    </w:rPr>
                    <w:t>千福村居民点</w:t>
                  </w:r>
                </w:p>
              </w:tc>
              <w:tc>
                <w:tcPr>
                  <w:tcW w:w="1000" w:type="dxa"/>
                  <w:vAlign w:val="center"/>
                </w:tcPr>
                <w:p w14:paraId="75F05646">
                  <w:pPr>
                    <w:snapToGrid w:val="0"/>
                    <w:spacing w:line="360" w:lineRule="auto"/>
                    <w:jc w:val="center"/>
                    <w:rPr>
                      <w:szCs w:val="21"/>
                    </w:rPr>
                  </w:pPr>
                  <w:r>
                    <w:rPr>
                      <w:rFonts w:hint="eastAsia"/>
                      <w:szCs w:val="21"/>
                    </w:rPr>
                    <w:t>K0+680~</w:t>
                  </w:r>
                </w:p>
                <w:p w14:paraId="067DF172">
                  <w:pPr>
                    <w:snapToGrid w:val="0"/>
                    <w:spacing w:line="360" w:lineRule="auto"/>
                    <w:jc w:val="center"/>
                    <w:rPr>
                      <w:szCs w:val="21"/>
                    </w:rPr>
                  </w:pPr>
                  <w:r>
                    <w:rPr>
                      <w:rFonts w:hint="eastAsia"/>
                      <w:szCs w:val="21"/>
                    </w:rPr>
                    <w:t>K0+880</w:t>
                  </w:r>
                </w:p>
              </w:tc>
              <w:tc>
                <w:tcPr>
                  <w:tcW w:w="498" w:type="dxa"/>
                  <w:vAlign w:val="center"/>
                </w:tcPr>
                <w:p w14:paraId="741957EB">
                  <w:pPr>
                    <w:snapToGrid w:val="0"/>
                    <w:spacing w:line="360" w:lineRule="auto"/>
                    <w:jc w:val="center"/>
                    <w:rPr>
                      <w:szCs w:val="21"/>
                    </w:rPr>
                  </w:pPr>
                  <w:r>
                    <w:rPr>
                      <w:rFonts w:hint="eastAsia"/>
                      <w:szCs w:val="21"/>
                    </w:rPr>
                    <w:t>1-2</w:t>
                  </w:r>
                  <w:r>
                    <w:rPr>
                      <w:szCs w:val="21"/>
                    </w:rPr>
                    <w:t>F</w:t>
                  </w:r>
                </w:p>
              </w:tc>
              <w:tc>
                <w:tcPr>
                  <w:tcW w:w="495" w:type="dxa"/>
                  <w:vAlign w:val="center"/>
                </w:tcPr>
                <w:p w14:paraId="6868695E">
                  <w:pPr>
                    <w:jc w:val="center"/>
                    <w:rPr>
                      <w:szCs w:val="21"/>
                    </w:rPr>
                  </w:pPr>
                  <w:r>
                    <w:rPr>
                      <w:rFonts w:hint="eastAsia"/>
                      <w:szCs w:val="21"/>
                    </w:rPr>
                    <w:t>107</w:t>
                  </w:r>
                </w:p>
              </w:tc>
              <w:tc>
                <w:tcPr>
                  <w:tcW w:w="473" w:type="dxa"/>
                  <w:vAlign w:val="center"/>
                </w:tcPr>
                <w:p w14:paraId="0CE9FF83">
                  <w:pPr>
                    <w:jc w:val="center"/>
                    <w:rPr>
                      <w:szCs w:val="21"/>
                    </w:rPr>
                  </w:pPr>
                  <w:r>
                    <w:rPr>
                      <w:rFonts w:hint="eastAsia"/>
                      <w:szCs w:val="21"/>
                    </w:rPr>
                    <w:t>87</w:t>
                  </w:r>
                </w:p>
              </w:tc>
              <w:tc>
                <w:tcPr>
                  <w:tcW w:w="397" w:type="dxa"/>
                  <w:vAlign w:val="center"/>
                </w:tcPr>
                <w:p w14:paraId="425B752E">
                  <w:pPr>
                    <w:snapToGrid w:val="0"/>
                    <w:spacing w:line="360" w:lineRule="auto"/>
                    <w:jc w:val="center"/>
                    <w:rPr>
                      <w:szCs w:val="21"/>
                    </w:rPr>
                  </w:pPr>
                  <w:r>
                    <w:rPr>
                      <w:rFonts w:hint="eastAsia"/>
                      <w:szCs w:val="21"/>
                    </w:rPr>
                    <w:t>右侧</w:t>
                  </w:r>
                </w:p>
              </w:tc>
              <w:tc>
                <w:tcPr>
                  <w:tcW w:w="428" w:type="dxa"/>
                  <w:vAlign w:val="center"/>
                </w:tcPr>
                <w:p w14:paraId="669B1EEA">
                  <w:pPr>
                    <w:snapToGrid w:val="0"/>
                    <w:spacing w:line="360" w:lineRule="auto"/>
                    <w:jc w:val="center"/>
                    <w:rPr>
                      <w:szCs w:val="21"/>
                    </w:rPr>
                  </w:pPr>
                  <w:r>
                    <w:rPr>
                      <w:szCs w:val="21"/>
                    </w:rPr>
                    <w:t>2类</w:t>
                  </w:r>
                </w:p>
              </w:tc>
              <w:tc>
                <w:tcPr>
                  <w:tcW w:w="767" w:type="dxa"/>
                  <w:vAlign w:val="center"/>
                </w:tcPr>
                <w:p w14:paraId="3690AFFC">
                  <w:pPr>
                    <w:snapToGrid w:val="0"/>
                    <w:jc w:val="center"/>
                    <w:rPr>
                      <w:szCs w:val="21"/>
                    </w:rPr>
                  </w:pPr>
                  <w:r>
                    <w:rPr>
                      <w:rFonts w:hint="eastAsia"/>
                      <w:szCs w:val="21"/>
                    </w:rPr>
                    <w:t>20</w:t>
                  </w:r>
                  <w:r>
                    <w:rPr>
                      <w:szCs w:val="21"/>
                    </w:rPr>
                    <w:t>户、</w:t>
                  </w:r>
                  <w:r>
                    <w:rPr>
                      <w:rFonts w:hint="eastAsia"/>
                      <w:szCs w:val="21"/>
                    </w:rPr>
                    <w:t>50人</w:t>
                  </w:r>
                </w:p>
              </w:tc>
              <w:tc>
                <w:tcPr>
                  <w:tcW w:w="4436" w:type="dxa"/>
                  <w:vAlign w:val="center"/>
                </w:tcPr>
                <w:p w14:paraId="35CBF86E">
                  <w:pPr>
                    <w:snapToGrid w:val="0"/>
                    <w:jc w:val="center"/>
                    <w:rPr>
                      <w:szCs w:val="21"/>
                    </w:rPr>
                  </w:pPr>
                  <w:r>
                    <w:drawing>
                      <wp:inline distT="0" distB="0" distL="0" distR="0">
                        <wp:extent cx="2059940" cy="156464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35"/>
                                <a:stretch>
                                  <a:fillRect/>
                                </a:stretch>
                              </pic:blipFill>
                              <pic:spPr>
                                <a:xfrm>
                                  <a:off x="0" y="0"/>
                                  <a:ext cx="2062539" cy="1566479"/>
                                </a:xfrm>
                                <a:prstGeom prst="rect">
                                  <a:avLst/>
                                </a:prstGeom>
                              </pic:spPr>
                            </pic:pic>
                          </a:graphicData>
                        </a:graphic>
                      </wp:inline>
                    </w:drawing>
                  </w:r>
                </w:p>
              </w:tc>
              <w:tc>
                <w:tcPr>
                  <w:tcW w:w="3362" w:type="dxa"/>
                  <w:vAlign w:val="center"/>
                </w:tcPr>
                <w:p w14:paraId="145F07D5">
                  <w:pPr>
                    <w:snapToGrid w:val="0"/>
                    <w:jc w:val="center"/>
                    <w:rPr>
                      <w:szCs w:val="21"/>
                    </w:rPr>
                  </w:pPr>
                  <w:r>
                    <w:drawing>
                      <wp:inline distT="0" distB="0" distL="0" distR="0">
                        <wp:extent cx="2096770" cy="1637665"/>
                        <wp:effectExtent l="0" t="0" r="0" b="6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36"/>
                                <a:stretch>
                                  <a:fillRect/>
                                </a:stretch>
                              </pic:blipFill>
                              <pic:spPr>
                                <a:xfrm>
                                  <a:off x="0" y="0"/>
                                  <a:ext cx="2098157" cy="1638689"/>
                                </a:xfrm>
                                <a:prstGeom prst="rect">
                                  <a:avLst/>
                                </a:prstGeom>
                              </pic:spPr>
                            </pic:pic>
                          </a:graphicData>
                        </a:graphic>
                      </wp:inline>
                    </w:drawing>
                  </w:r>
                </w:p>
              </w:tc>
              <w:tc>
                <w:tcPr>
                  <w:tcW w:w="444" w:type="dxa"/>
                  <w:vAlign w:val="center"/>
                </w:tcPr>
                <w:p w14:paraId="55D5E40A">
                  <w:pPr>
                    <w:snapToGrid w:val="0"/>
                    <w:spacing w:line="360" w:lineRule="auto"/>
                    <w:jc w:val="center"/>
                    <w:rPr>
                      <w:szCs w:val="21"/>
                    </w:rPr>
                  </w:pPr>
                  <w:r>
                    <w:rPr>
                      <w:rFonts w:hint="eastAsia"/>
                      <w:szCs w:val="21"/>
                    </w:rPr>
                    <w:t>砖混结构住宅</w:t>
                  </w:r>
                </w:p>
              </w:tc>
            </w:tr>
          </w:tbl>
          <w:p w14:paraId="48E14C70"/>
        </w:tc>
      </w:tr>
      <w:tr w14:paraId="798CEB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246" w:type="pct"/>
            <w:vAlign w:val="center"/>
          </w:tcPr>
          <w:p w14:paraId="1E9107F7">
            <w:pPr>
              <w:adjustRightInd w:val="0"/>
              <w:snapToGrid w:val="0"/>
              <w:jc w:val="center"/>
              <w:rPr>
                <w:rFonts w:ascii="宋体" w:hAnsi="宋体" w:cs="宋体"/>
                <w:b/>
                <w:kern w:val="0"/>
                <w:szCs w:val="21"/>
              </w:rPr>
            </w:pPr>
            <w:r>
              <w:rPr>
                <w:rFonts w:hint="eastAsia" w:ascii="宋体" w:hAnsi="宋体" w:cs="宋体"/>
                <w:b/>
                <w:kern w:val="0"/>
                <w:szCs w:val="21"/>
              </w:rPr>
              <w:t>生态环境保护目标</w:t>
            </w:r>
          </w:p>
        </w:tc>
        <w:tc>
          <w:tcPr>
            <w:tcW w:w="2240" w:type="pct"/>
            <w:tcBorders>
              <w:top w:val="single" w:color="auto" w:sz="4" w:space="0"/>
            </w:tcBorders>
            <w:vAlign w:val="center"/>
          </w:tcPr>
          <w:p w14:paraId="1A30AED3">
            <w:pPr>
              <w:pStyle w:val="4"/>
              <w:numPr>
                <w:ilvl w:val="1"/>
                <w:numId w:val="0"/>
              </w:numPr>
              <w:spacing w:line="240" w:lineRule="auto"/>
              <w:rPr>
                <w:rFonts w:eastAsia="黑体"/>
                <w:b w:val="0"/>
                <w:sz w:val="21"/>
                <w:szCs w:val="21"/>
              </w:rPr>
            </w:pPr>
            <w:bookmarkStart w:id="22" w:name="_Toc150173904"/>
            <w:r>
              <w:rPr>
                <w:rFonts w:hint="eastAsia" w:hAnsi="宋体"/>
                <w:b w:val="0"/>
                <w:bCs w:val="0"/>
                <w:caps/>
                <w:kern w:val="0"/>
                <w:sz w:val="21"/>
                <w:szCs w:val="21"/>
              </w:rPr>
              <w:t>道路中心线两侧各300</w:t>
            </w:r>
            <w:r>
              <w:rPr>
                <w:rFonts w:hAnsi="宋体"/>
                <w:b w:val="0"/>
                <w:bCs w:val="0"/>
                <w:kern w:val="0"/>
                <w:sz w:val="21"/>
                <w:szCs w:val="21"/>
              </w:rPr>
              <w:t>m</w:t>
            </w:r>
            <w:r>
              <w:rPr>
                <w:rFonts w:hint="eastAsia" w:hAnsi="宋体"/>
                <w:b w:val="0"/>
                <w:bCs w:val="0"/>
                <w:caps/>
                <w:kern w:val="0"/>
                <w:sz w:val="21"/>
                <w:szCs w:val="21"/>
              </w:rPr>
              <w:t>范围内</w:t>
            </w:r>
            <w:bookmarkEnd w:id="22"/>
          </w:p>
        </w:tc>
        <w:tc>
          <w:tcPr>
            <w:tcW w:w="2514" w:type="pct"/>
            <w:tcBorders>
              <w:top w:val="single" w:color="auto" w:sz="4" w:space="0"/>
            </w:tcBorders>
            <w:vAlign w:val="center"/>
          </w:tcPr>
          <w:p w14:paraId="55C75EA9">
            <w:pPr>
              <w:pStyle w:val="4"/>
              <w:numPr>
                <w:ilvl w:val="1"/>
                <w:numId w:val="0"/>
              </w:numPr>
              <w:spacing w:line="240" w:lineRule="auto"/>
              <w:rPr>
                <w:rFonts w:eastAsia="黑体"/>
                <w:b w:val="0"/>
                <w:sz w:val="21"/>
                <w:szCs w:val="21"/>
              </w:rPr>
            </w:pPr>
            <w:bookmarkStart w:id="23" w:name="_Toc150173905"/>
            <w:r>
              <w:rPr>
                <w:rFonts w:hint="eastAsia" w:hAnsi="宋体"/>
                <w:b w:val="0"/>
                <w:bCs w:val="0"/>
                <w:caps/>
                <w:kern w:val="0"/>
                <w:sz w:val="21"/>
                <w:szCs w:val="21"/>
              </w:rPr>
              <w:t>施工期水土流失、临时占地、植被破坏</w:t>
            </w:r>
            <w:bookmarkEnd w:id="23"/>
          </w:p>
        </w:tc>
      </w:tr>
    </w:tbl>
    <w:p w14:paraId="6EA4E039">
      <w:pPr>
        <w:kinsoku w:val="0"/>
        <w:overflowPunct w:val="0"/>
        <w:autoSpaceDE w:val="0"/>
        <w:autoSpaceDN w:val="0"/>
        <w:adjustRightInd w:val="0"/>
        <w:snapToGrid w:val="0"/>
        <w:rPr>
          <w:b/>
          <w:bCs/>
          <w:szCs w:val="21"/>
        </w:rPr>
      </w:pPr>
    </w:p>
    <w:p w14:paraId="65F5EF89">
      <w:pPr>
        <w:kinsoku w:val="0"/>
        <w:overflowPunct w:val="0"/>
        <w:autoSpaceDE w:val="0"/>
        <w:autoSpaceDN w:val="0"/>
        <w:adjustRightInd w:val="0"/>
        <w:snapToGrid w:val="0"/>
        <w:jc w:val="center"/>
        <w:rPr>
          <w:b/>
          <w:bCs/>
          <w:szCs w:val="21"/>
        </w:rPr>
      </w:pPr>
      <w:r>
        <w:rPr>
          <w:rFonts w:hint="eastAsia"/>
          <w:b/>
          <w:bCs/>
          <w:szCs w:val="21"/>
        </w:rPr>
        <w:t>表3-4  沿线及周边生态保护目标</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6" w:type="dxa"/>
          <w:bottom w:w="0" w:type="dxa"/>
          <w:right w:w="6" w:type="dxa"/>
        </w:tblCellMar>
      </w:tblPr>
      <w:tblGrid>
        <w:gridCol w:w="782"/>
        <w:gridCol w:w="974"/>
        <w:gridCol w:w="820"/>
        <w:gridCol w:w="2389"/>
        <w:gridCol w:w="6990"/>
        <w:gridCol w:w="3455"/>
      </w:tblGrid>
      <w:tr w14:paraId="223A8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1610" w:type="pct"/>
            <w:gridSpan w:val="4"/>
            <w:vAlign w:val="center"/>
          </w:tcPr>
          <w:p w14:paraId="2FA2094A">
            <w:pPr>
              <w:jc w:val="center"/>
              <w:rPr>
                <w:b/>
                <w:szCs w:val="21"/>
              </w:rPr>
            </w:pPr>
            <w:r>
              <w:rPr>
                <w:rFonts w:hint="eastAsia"/>
                <w:b/>
                <w:szCs w:val="21"/>
              </w:rPr>
              <w:t>类别</w:t>
            </w:r>
          </w:p>
        </w:tc>
        <w:tc>
          <w:tcPr>
            <w:tcW w:w="2268" w:type="pct"/>
            <w:vAlign w:val="center"/>
          </w:tcPr>
          <w:p w14:paraId="0AB7FE88">
            <w:pPr>
              <w:jc w:val="center"/>
              <w:rPr>
                <w:b/>
                <w:szCs w:val="21"/>
              </w:rPr>
            </w:pPr>
            <w:r>
              <w:rPr>
                <w:rFonts w:hint="eastAsia"/>
                <w:b/>
                <w:szCs w:val="21"/>
              </w:rPr>
              <w:t>概况</w:t>
            </w:r>
          </w:p>
        </w:tc>
        <w:tc>
          <w:tcPr>
            <w:tcW w:w="1122" w:type="pct"/>
            <w:vAlign w:val="center"/>
          </w:tcPr>
          <w:p w14:paraId="47CCD68E">
            <w:pPr>
              <w:jc w:val="center"/>
              <w:rPr>
                <w:b/>
                <w:szCs w:val="21"/>
              </w:rPr>
            </w:pPr>
            <w:r>
              <w:rPr>
                <w:rFonts w:hint="eastAsia"/>
                <w:b/>
                <w:szCs w:val="21"/>
              </w:rPr>
              <w:t>与项目关系</w:t>
            </w:r>
          </w:p>
        </w:tc>
      </w:tr>
      <w:tr w14:paraId="5B8FC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254" w:type="pct"/>
            <w:vMerge w:val="restart"/>
            <w:vAlign w:val="center"/>
          </w:tcPr>
          <w:p w14:paraId="134FAE47">
            <w:pPr>
              <w:jc w:val="center"/>
              <w:rPr>
                <w:bCs/>
                <w:szCs w:val="21"/>
              </w:rPr>
            </w:pPr>
            <w:r>
              <w:rPr>
                <w:rFonts w:hint="eastAsia"/>
                <w:bCs/>
                <w:szCs w:val="21"/>
              </w:rPr>
              <w:t>生态敏感区</w:t>
            </w:r>
          </w:p>
        </w:tc>
        <w:tc>
          <w:tcPr>
            <w:tcW w:w="316" w:type="pct"/>
            <w:vMerge w:val="restart"/>
            <w:vAlign w:val="center"/>
          </w:tcPr>
          <w:p w14:paraId="1CC2E06C">
            <w:pPr>
              <w:jc w:val="center"/>
              <w:rPr>
                <w:bCs/>
                <w:szCs w:val="21"/>
              </w:rPr>
            </w:pPr>
            <w:r>
              <w:rPr>
                <w:rFonts w:hint="eastAsia"/>
                <w:bCs/>
                <w:szCs w:val="21"/>
              </w:rPr>
              <w:t>法定生态保护区域</w:t>
            </w:r>
          </w:p>
        </w:tc>
        <w:tc>
          <w:tcPr>
            <w:tcW w:w="266" w:type="pct"/>
            <w:vMerge w:val="restart"/>
            <w:vAlign w:val="center"/>
          </w:tcPr>
          <w:p w14:paraId="5B43C222">
            <w:pPr>
              <w:jc w:val="center"/>
              <w:rPr>
                <w:bCs/>
                <w:szCs w:val="21"/>
              </w:rPr>
            </w:pPr>
            <w:r>
              <w:rPr>
                <w:rFonts w:hint="eastAsia"/>
                <w:bCs/>
                <w:szCs w:val="21"/>
              </w:rPr>
              <w:t>自然保护地</w:t>
            </w:r>
          </w:p>
        </w:tc>
        <w:tc>
          <w:tcPr>
            <w:tcW w:w="775" w:type="pct"/>
            <w:vAlign w:val="center"/>
          </w:tcPr>
          <w:p w14:paraId="1831DA9A">
            <w:pPr>
              <w:jc w:val="center"/>
              <w:rPr>
                <w:bCs/>
                <w:szCs w:val="21"/>
              </w:rPr>
            </w:pPr>
            <w:r>
              <w:rPr>
                <w:rFonts w:hint="eastAsia"/>
                <w:bCs/>
                <w:szCs w:val="21"/>
              </w:rPr>
              <w:t>国家公园</w:t>
            </w:r>
          </w:p>
        </w:tc>
        <w:tc>
          <w:tcPr>
            <w:tcW w:w="2268" w:type="pct"/>
            <w:vAlign w:val="center"/>
          </w:tcPr>
          <w:p w14:paraId="33E15B49">
            <w:pPr>
              <w:jc w:val="center"/>
              <w:rPr>
                <w:bCs/>
                <w:szCs w:val="21"/>
              </w:rPr>
            </w:pPr>
            <w:r>
              <w:rPr>
                <w:rFonts w:hint="eastAsia"/>
                <w:bCs/>
                <w:szCs w:val="21"/>
              </w:rPr>
              <w:t>/</w:t>
            </w:r>
          </w:p>
        </w:tc>
        <w:tc>
          <w:tcPr>
            <w:tcW w:w="1122" w:type="pct"/>
            <w:vAlign w:val="center"/>
          </w:tcPr>
          <w:p w14:paraId="30B7DA61">
            <w:pPr>
              <w:jc w:val="center"/>
              <w:rPr>
                <w:bCs/>
                <w:szCs w:val="21"/>
              </w:rPr>
            </w:pPr>
            <w:r>
              <w:rPr>
                <w:rFonts w:hint="eastAsia"/>
                <w:bCs/>
                <w:szCs w:val="21"/>
              </w:rPr>
              <w:t>/</w:t>
            </w:r>
          </w:p>
        </w:tc>
      </w:tr>
      <w:tr w14:paraId="3D328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254" w:type="pct"/>
            <w:vMerge w:val="continue"/>
            <w:vAlign w:val="center"/>
          </w:tcPr>
          <w:p w14:paraId="2439DC19">
            <w:pPr>
              <w:jc w:val="center"/>
              <w:rPr>
                <w:bCs/>
                <w:szCs w:val="21"/>
              </w:rPr>
            </w:pPr>
          </w:p>
        </w:tc>
        <w:tc>
          <w:tcPr>
            <w:tcW w:w="316" w:type="pct"/>
            <w:vMerge w:val="continue"/>
            <w:vAlign w:val="center"/>
          </w:tcPr>
          <w:p w14:paraId="024576B4">
            <w:pPr>
              <w:jc w:val="center"/>
              <w:rPr>
                <w:bCs/>
                <w:szCs w:val="21"/>
              </w:rPr>
            </w:pPr>
          </w:p>
        </w:tc>
        <w:tc>
          <w:tcPr>
            <w:tcW w:w="266" w:type="pct"/>
            <w:vMerge w:val="continue"/>
            <w:vAlign w:val="center"/>
          </w:tcPr>
          <w:p w14:paraId="64020D36">
            <w:pPr>
              <w:jc w:val="center"/>
              <w:rPr>
                <w:bCs/>
                <w:szCs w:val="21"/>
              </w:rPr>
            </w:pPr>
          </w:p>
        </w:tc>
        <w:tc>
          <w:tcPr>
            <w:tcW w:w="775" w:type="pct"/>
            <w:vAlign w:val="center"/>
          </w:tcPr>
          <w:p w14:paraId="60C45532">
            <w:pPr>
              <w:jc w:val="center"/>
              <w:rPr>
                <w:bCs/>
                <w:szCs w:val="21"/>
              </w:rPr>
            </w:pPr>
            <w:r>
              <w:rPr>
                <w:rFonts w:hint="eastAsia"/>
                <w:bCs/>
                <w:szCs w:val="21"/>
              </w:rPr>
              <w:t>自然保护区</w:t>
            </w:r>
          </w:p>
        </w:tc>
        <w:tc>
          <w:tcPr>
            <w:tcW w:w="2268" w:type="pct"/>
            <w:vAlign w:val="center"/>
          </w:tcPr>
          <w:p w14:paraId="634461C2">
            <w:pPr>
              <w:jc w:val="center"/>
              <w:rPr>
                <w:bCs/>
                <w:szCs w:val="21"/>
              </w:rPr>
            </w:pPr>
            <w:r>
              <w:rPr>
                <w:rFonts w:hint="eastAsia"/>
                <w:bCs/>
                <w:szCs w:val="21"/>
              </w:rPr>
              <w:t>/</w:t>
            </w:r>
          </w:p>
        </w:tc>
        <w:tc>
          <w:tcPr>
            <w:tcW w:w="1122" w:type="pct"/>
            <w:vAlign w:val="center"/>
          </w:tcPr>
          <w:p w14:paraId="65254B42">
            <w:pPr>
              <w:jc w:val="center"/>
              <w:rPr>
                <w:bCs/>
                <w:szCs w:val="21"/>
              </w:rPr>
            </w:pPr>
            <w:r>
              <w:rPr>
                <w:rFonts w:hint="eastAsia"/>
                <w:bCs/>
                <w:szCs w:val="21"/>
              </w:rPr>
              <w:t>/</w:t>
            </w:r>
          </w:p>
        </w:tc>
      </w:tr>
      <w:tr w14:paraId="34BD6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254" w:type="pct"/>
            <w:vMerge w:val="continue"/>
            <w:vAlign w:val="center"/>
          </w:tcPr>
          <w:p w14:paraId="3BAE8D17">
            <w:pPr>
              <w:jc w:val="center"/>
              <w:rPr>
                <w:bCs/>
                <w:szCs w:val="21"/>
              </w:rPr>
            </w:pPr>
          </w:p>
        </w:tc>
        <w:tc>
          <w:tcPr>
            <w:tcW w:w="316" w:type="pct"/>
            <w:vMerge w:val="continue"/>
            <w:vAlign w:val="center"/>
          </w:tcPr>
          <w:p w14:paraId="07C63B08">
            <w:pPr>
              <w:jc w:val="center"/>
              <w:rPr>
                <w:bCs/>
                <w:szCs w:val="21"/>
              </w:rPr>
            </w:pPr>
          </w:p>
        </w:tc>
        <w:tc>
          <w:tcPr>
            <w:tcW w:w="266" w:type="pct"/>
            <w:vMerge w:val="continue"/>
            <w:vAlign w:val="center"/>
          </w:tcPr>
          <w:p w14:paraId="30E226AB">
            <w:pPr>
              <w:jc w:val="center"/>
              <w:rPr>
                <w:bCs/>
                <w:szCs w:val="21"/>
              </w:rPr>
            </w:pPr>
          </w:p>
        </w:tc>
        <w:tc>
          <w:tcPr>
            <w:tcW w:w="775" w:type="pct"/>
            <w:vAlign w:val="center"/>
          </w:tcPr>
          <w:p w14:paraId="2420F655">
            <w:pPr>
              <w:jc w:val="center"/>
              <w:rPr>
                <w:bCs/>
                <w:szCs w:val="21"/>
              </w:rPr>
            </w:pPr>
            <w:r>
              <w:rPr>
                <w:rFonts w:hint="eastAsia"/>
                <w:bCs/>
                <w:szCs w:val="21"/>
              </w:rPr>
              <w:t>自然公园</w:t>
            </w:r>
          </w:p>
        </w:tc>
        <w:tc>
          <w:tcPr>
            <w:tcW w:w="2268" w:type="pct"/>
            <w:vAlign w:val="center"/>
          </w:tcPr>
          <w:p w14:paraId="764BB0E5">
            <w:pPr>
              <w:jc w:val="center"/>
              <w:rPr>
                <w:bCs/>
                <w:szCs w:val="21"/>
              </w:rPr>
            </w:pPr>
            <w:bookmarkStart w:id="24" w:name="OLE_LINK2"/>
            <w:r>
              <w:rPr>
                <w:rFonts w:hint="eastAsia"/>
                <w:bCs/>
                <w:szCs w:val="21"/>
              </w:rPr>
              <w:t>大英郪江省级湿地公园</w:t>
            </w:r>
            <w:bookmarkEnd w:id="24"/>
            <w:r>
              <w:rPr>
                <w:rFonts w:hint="eastAsia"/>
                <w:bCs/>
                <w:szCs w:val="21"/>
              </w:rPr>
              <w:t>：位于四川省遂宁市大英县县城蓬莱镇境内，主要包括郪江干流祥凤寨水库大坝至采和二桥段及周边沿岸区域。湿地公园规划总面积70.08公顷，其中湿地面积53.08公顷，占湿地公园总面积的75.74%。</w:t>
            </w:r>
          </w:p>
        </w:tc>
        <w:tc>
          <w:tcPr>
            <w:tcW w:w="1122" w:type="pct"/>
            <w:vAlign w:val="center"/>
          </w:tcPr>
          <w:p w14:paraId="2B39FE0D">
            <w:pPr>
              <w:jc w:val="center"/>
              <w:rPr>
                <w:bCs/>
                <w:szCs w:val="21"/>
              </w:rPr>
            </w:pPr>
            <w:r>
              <w:rPr>
                <w:rFonts w:hint="eastAsia"/>
                <w:bCs/>
                <w:szCs w:val="21"/>
              </w:rPr>
              <w:t>位于项目东面18km</w:t>
            </w:r>
          </w:p>
        </w:tc>
      </w:tr>
      <w:tr w14:paraId="7A693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254" w:type="pct"/>
            <w:vMerge w:val="continue"/>
            <w:vAlign w:val="center"/>
          </w:tcPr>
          <w:p w14:paraId="751DB3F3">
            <w:pPr>
              <w:jc w:val="center"/>
              <w:rPr>
                <w:bCs/>
                <w:szCs w:val="21"/>
              </w:rPr>
            </w:pPr>
          </w:p>
        </w:tc>
        <w:tc>
          <w:tcPr>
            <w:tcW w:w="316" w:type="pct"/>
            <w:vMerge w:val="continue"/>
            <w:vAlign w:val="center"/>
          </w:tcPr>
          <w:p w14:paraId="748DF347">
            <w:pPr>
              <w:jc w:val="center"/>
              <w:rPr>
                <w:bCs/>
                <w:szCs w:val="21"/>
              </w:rPr>
            </w:pPr>
          </w:p>
        </w:tc>
        <w:tc>
          <w:tcPr>
            <w:tcW w:w="1040" w:type="pct"/>
            <w:gridSpan w:val="2"/>
            <w:vAlign w:val="center"/>
          </w:tcPr>
          <w:p w14:paraId="76274431">
            <w:pPr>
              <w:jc w:val="center"/>
              <w:rPr>
                <w:bCs/>
                <w:szCs w:val="21"/>
              </w:rPr>
            </w:pPr>
            <w:r>
              <w:rPr>
                <w:rFonts w:hint="eastAsia"/>
                <w:bCs/>
                <w:szCs w:val="21"/>
              </w:rPr>
              <w:t>世界自然遗产</w:t>
            </w:r>
          </w:p>
        </w:tc>
        <w:tc>
          <w:tcPr>
            <w:tcW w:w="2268" w:type="pct"/>
            <w:vAlign w:val="center"/>
          </w:tcPr>
          <w:p w14:paraId="4BA56CBE">
            <w:pPr>
              <w:jc w:val="center"/>
              <w:rPr>
                <w:bCs/>
                <w:szCs w:val="21"/>
              </w:rPr>
            </w:pPr>
            <w:r>
              <w:rPr>
                <w:rFonts w:hint="eastAsia"/>
                <w:bCs/>
                <w:szCs w:val="21"/>
              </w:rPr>
              <w:t>/</w:t>
            </w:r>
          </w:p>
        </w:tc>
        <w:tc>
          <w:tcPr>
            <w:tcW w:w="1122" w:type="pct"/>
            <w:vAlign w:val="center"/>
          </w:tcPr>
          <w:p w14:paraId="63F1FED7">
            <w:pPr>
              <w:jc w:val="center"/>
              <w:rPr>
                <w:bCs/>
                <w:szCs w:val="21"/>
              </w:rPr>
            </w:pPr>
            <w:r>
              <w:rPr>
                <w:rFonts w:hint="eastAsia"/>
                <w:bCs/>
                <w:szCs w:val="21"/>
              </w:rPr>
              <w:t>/</w:t>
            </w:r>
          </w:p>
        </w:tc>
      </w:tr>
      <w:tr w14:paraId="6AD0E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254" w:type="pct"/>
            <w:vMerge w:val="continue"/>
            <w:vAlign w:val="center"/>
          </w:tcPr>
          <w:p w14:paraId="3391A4A4">
            <w:pPr>
              <w:jc w:val="center"/>
              <w:rPr>
                <w:bCs/>
                <w:szCs w:val="21"/>
              </w:rPr>
            </w:pPr>
          </w:p>
        </w:tc>
        <w:tc>
          <w:tcPr>
            <w:tcW w:w="316" w:type="pct"/>
            <w:vMerge w:val="continue"/>
            <w:vAlign w:val="center"/>
          </w:tcPr>
          <w:p w14:paraId="1764EB44">
            <w:pPr>
              <w:jc w:val="center"/>
              <w:rPr>
                <w:bCs/>
                <w:szCs w:val="21"/>
              </w:rPr>
            </w:pPr>
          </w:p>
        </w:tc>
        <w:tc>
          <w:tcPr>
            <w:tcW w:w="1040" w:type="pct"/>
            <w:gridSpan w:val="2"/>
            <w:vAlign w:val="center"/>
          </w:tcPr>
          <w:p w14:paraId="4ACE744D">
            <w:pPr>
              <w:jc w:val="center"/>
              <w:rPr>
                <w:bCs/>
                <w:szCs w:val="21"/>
              </w:rPr>
            </w:pPr>
            <w:r>
              <w:rPr>
                <w:rFonts w:hint="eastAsia"/>
                <w:bCs/>
                <w:szCs w:val="21"/>
              </w:rPr>
              <w:t>生态保护红线</w:t>
            </w:r>
          </w:p>
        </w:tc>
        <w:tc>
          <w:tcPr>
            <w:tcW w:w="2268" w:type="pct"/>
            <w:vAlign w:val="center"/>
          </w:tcPr>
          <w:p w14:paraId="6E6DB009">
            <w:pPr>
              <w:jc w:val="center"/>
              <w:rPr>
                <w:bCs/>
                <w:szCs w:val="21"/>
              </w:rPr>
            </w:pPr>
            <w:bookmarkStart w:id="25" w:name="OLE_LINK1"/>
            <w:r>
              <w:rPr>
                <w:rFonts w:hint="eastAsia"/>
                <w:bCs/>
                <w:szCs w:val="21"/>
              </w:rPr>
              <w:t>大英县生态保护红线：盆中城市饮用水源-水土保持生态保护红线</w:t>
            </w:r>
            <w:bookmarkEnd w:id="25"/>
            <w:r>
              <w:rPr>
                <w:rFonts w:hint="eastAsia"/>
                <w:bCs/>
                <w:szCs w:val="21"/>
              </w:rPr>
              <w:t>。</w:t>
            </w:r>
          </w:p>
        </w:tc>
        <w:tc>
          <w:tcPr>
            <w:tcW w:w="1122" w:type="pct"/>
            <w:vAlign w:val="center"/>
          </w:tcPr>
          <w:p w14:paraId="1F2ACC19">
            <w:pPr>
              <w:jc w:val="center"/>
              <w:rPr>
                <w:bCs/>
                <w:szCs w:val="21"/>
              </w:rPr>
            </w:pPr>
            <w:r>
              <w:rPr>
                <w:rFonts w:hint="eastAsia"/>
                <w:bCs/>
                <w:szCs w:val="21"/>
              </w:rPr>
              <w:t>距离项目最近距离65km</w:t>
            </w:r>
          </w:p>
        </w:tc>
      </w:tr>
      <w:tr w14:paraId="76844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254" w:type="pct"/>
            <w:vMerge w:val="continue"/>
            <w:vAlign w:val="center"/>
          </w:tcPr>
          <w:p w14:paraId="1A7B58A3">
            <w:pPr>
              <w:jc w:val="center"/>
              <w:rPr>
                <w:bCs/>
                <w:szCs w:val="21"/>
              </w:rPr>
            </w:pPr>
          </w:p>
        </w:tc>
        <w:tc>
          <w:tcPr>
            <w:tcW w:w="316" w:type="pct"/>
            <w:vMerge w:val="restart"/>
            <w:vAlign w:val="center"/>
          </w:tcPr>
          <w:p w14:paraId="29F5FE1E">
            <w:pPr>
              <w:jc w:val="center"/>
              <w:rPr>
                <w:bCs/>
                <w:szCs w:val="21"/>
              </w:rPr>
            </w:pPr>
            <w:r>
              <w:rPr>
                <w:rFonts w:hint="eastAsia"/>
                <w:bCs/>
                <w:szCs w:val="21"/>
              </w:rPr>
              <w:t>重要生境</w:t>
            </w:r>
          </w:p>
        </w:tc>
        <w:tc>
          <w:tcPr>
            <w:tcW w:w="1040" w:type="pct"/>
            <w:gridSpan w:val="2"/>
            <w:vAlign w:val="center"/>
          </w:tcPr>
          <w:p w14:paraId="32351024">
            <w:pPr>
              <w:jc w:val="center"/>
              <w:rPr>
                <w:bCs/>
                <w:szCs w:val="21"/>
              </w:rPr>
            </w:pPr>
            <w:r>
              <w:rPr>
                <w:rFonts w:hint="eastAsia"/>
                <w:bCs/>
                <w:szCs w:val="21"/>
              </w:rPr>
              <w:t>重要物种的天然集中分布区、栖息地</w:t>
            </w:r>
          </w:p>
        </w:tc>
        <w:tc>
          <w:tcPr>
            <w:tcW w:w="2268" w:type="pct"/>
            <w:vAlign w:val="center"/>
          </w:tcPr>
          <w:p w14:paraId="29A6B000">
            <w:pPr>
              <w:jc w:val="center"/>
              <w:rPr>
                <w:bCs/>
                <w:szCs w:val="21"/>
              </w:rPr>
            </w:pPr>
            <w:r>
              <w:rPr>
                <w:rFonts w:hint="eastAsia"/>
                <w:bCs/>
                <w:szCs w:val="21"/>
              </w:rPr>
              <w:t>郪江黄颡鱼国家级水产种质资源保护区：总面积520公顷，其中核心区面积400公顷，实验区面积120公顷。核心区特别保护期为全年。保护区位于四川省遂宁市大英县的郪江江段，四川盆地东中部腹心地带，范围在东经105°10′01″—105°26′41″，北纬30°37′36″—32°42′30″之间，全长65公里，从起点到终点依次经过：象山镇—蓬莱镇—隆盛镇—回马镇。</w:t>
            </w:r>
          </w:p>
        </w:tc>
        <w:tc>
          <w:tcPr>
            <w:tcW w:w="1122" w:type="pct"/>
            <w:vAlign w:val="center"/>
          </w:tcPr>
          <w:p w14:paraId="7F10B6BA">
            <w:pPr>
              <w:jc w:val="center"/>
              <w:rPr>
                <w:bCs/>
                <w:szCs w:val="21"/>
              </w:rPr>
            </w:pPr>
            <w:r>
              <w:rPr>
                <w:rFonts w:hint="eastAsia"/>
                <w:bCs/>
                <w:szCs w:val="21"/>
              </w:rPr>
              <w:t>位于项目东北面直线距离50km</w:t>
            </w:r>
          </w:p>
        </w:tc>
      </w:tr>
      <w:tr w14:paraId="6CB74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254" w:type="pct"/>
            <w:vMerge w:val="continue"/>
            <w:vAlign w:val="center"/>
          </w:tcPr>
          <w:p w14:paraId="6F34A8C0">
            <w:pPr>
              <w:jc w:val="center"/>
              <w:rPr>
                <w:bCs/>
                <w:szCs w:val="21"/>
              </w:rPr>
            </w:pPr>
          </w:p>
        </w:tc>
        <w:tc>
          <w:tcPr>
            <w:tcW w:w="316" w:type="pct"/>
            <w:vMerge w:val="continue"/>
            <w:vAlign w:val="center"/>
          </w:tcPr>
          <w:p w14:paraId="370C7675">
            <w:pPr>
              <w:jc w:val="center"/>
              <w:rPr>
                <w:bCs/>
                <w:szCs w:val="21"/>
              </w:rPr>
            </w:pPr>
          </w:p>
        </w:tc>
        <w:tc>
          <w:tcPr>
            <w:tcW w:w="1040" w:type="pct"/>
            <w:gridSpan w:val="2"/>
            <w:vAlign w:val="center"/>
          </w:tcPr>
          <w:p w14:paraId="52A4B773">
            <w:pPr>
              <w:jc w:val="center"/>
              <w:rPr>
                <w:bCs/>
                <w:szCs w:val="21"/>
              </w:rPr>
            </w:pPr>
            <w:r>
              <w:rPr>
                <w:rFonts w:hint="eastAsia"/>
                <w:bCs/>
                <w:szCs w:val="21"/>
              </w:rPr>
              <w:t>重要水生生物的产卵场、索饵场、越冬场和洄游通道</w:t>
            </w:r>
          </w:p>
        </w:tc>
        <w:tc>
          <w:tcPr>
            <w:tcW w:w="2268" w:type="pct"/>
            <w:vAlign w:val="center"/>
          </w:tcPr>
          <w:p w14:paraId="19600E93">
            <w:pPr>
              <w:jc w:val="center"/>
              <w:rPr>
                <w:bCs/>
                <w:szCs w:val="21"/>
              </w:rPr>
            </w:pPr>
            <w:r>
              <w:rPr>
                <w:rFonts w:hint="eastAsia"/>
                <w:bCs/>
                <w:szCs w:val="21"/>
              </w:rPr>
              <w:t>/</w:t>
            </w:r>
          </w:p>
        </w:tc>
        <w:tc>
          <w:tcPr>
            <w:tcW w:w="1122" w:type="pct"/>
            <w:vAlign w:val="center"/>
          </w:tcPr>
          <w:p w14:paraId="7563446F">
            <w:pPr>
              <w:jc w:val="center"/>
              <w:rPr>
                <w:bCs/>
                <w:szCs w:val="21"/>
              </w:rPr>
            </w:pPr>
            <w:r>
              <w:rPr>
                <w:rFonts w:hint="eastAsia"/>
                <w:bCs/>
                <w:szCs w:val="21"/>
              </w:rPr>
              <w:t>/</w:t>
            </w:r>
          </w:p>
        </w:tc>
      </w:tr>
      <w:tr w14:paraId="5E0CF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254" w:type="pct"/>
            <w:vMerge w:val="continue"/>
            <w:vAlign w:val="center"/>
          </w:tcPr>
          <w:p w14:paraId="419538D3">
            <w:pPr>
              <w:jc w:val="center"/>
              <w:rPr>
                <w:bCs/>
                <w:szCs w:val="21"/>
              </w:rPr>
            </w:pPr>
          </w:p>
        </w:tc>
        <w:tc>
          <w:tcPr>
            <w:tcW w:w="316" w:type="pct"/>
            <w:vMerge w:val="continue"/>
            <w:vAlign w:val="center"/>
          </w:tcPr>
          <w:p w14:paraId="6E443C66">
            <w:pPr>
              <w:jc w:val="center"/>
              <w:rPr>
                <w:bCs/>
                <w:szCs w:val="21"/>
              </w:rPr>
            </w:pPr>
          </w:p>
        </w:tc>
        <w:tc>
          <w:tcPr>
            <w:tcW w:w="1040" w:type="pct"/>
            <w:gridSpan w:val="2"/>
            <w:vAlign w:val="center"/>
          </w:tcPr>
          <w:p w14:paraId="754AD634">
            <w:pPr>
              <w:jc w:val="center"/>
              <w:rPr>
                <w:bCs/>
                <w:szCs w:val="21"/>
              </w:rPr>
            </w:pPr>
            <w:r>
              <w:rPr>
                <w:rFonts w:hint="eastAsia"/>
                <w:bCs/>
                <w:szCs w:val="21"/>
              </w:rPr>
              <w:t>迁徙鸟类的重要繁殖地、停歇地、越冬地</w:t>
            </w:r>
          </w:p>
        </w:tc>
        <w:tc>
          <w:tcPr>
            <w:tcW w:w="2268" w:type="pct"/>
            <w:vAlign w:val="center"/>
          </w:tcPr>
          <w:p w14:paraId="555E8F4B">
            <w:pPr>
              <w:jc w:val="center"/>
              <w:rPr>
                <w:bCs/>
                <w:szCs w:val="21"/>
              </w:rPr>
            </w:pPr>
            <w:r>
              <w:rPr>
                <w:rFonts w:hint="eastAsia"/>
                <w:bCs/>
                <w:szCs w:val="21"/>
              </w:rPr>
              <w:t>/</w:t>
            </w:r>
          </w:p>
        </w:tc>
        <w:tc>
          <w:tcPr>
            <w:tcW w:w="1122" w:type="pct"/>
            <w:vAlign w:val="center"/>
          </w:tcPr>
          <w:p w14:paraId="68527537">
            <w:pPr>
              <w:jc w:val="center"/>
              <w:rPr>
                <w:bCs/>
                <w:szCs w:val="21"/>
              </w:rPr>
            </w:pPr>
            <w:r>
              <w:rPr>
                <w:rFonts w:hint="eastAsia"/>
                <w:bCs/>
                <w:szCs w:val="21"/>
              </w:rPr>
              <w:t>/</w:t>
            </w:r>
          </w:p>
        </w:tc>
      </w:tr>
      <w:tr w14:paraId="5BA4F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40" w:hRule="atLeast"/>
        </w:trPr>
        <w:tc>
          <w:tcPr>
            <w:tcW w:w="254" w:type="pct"/>
            <w:vMerge w:val="continue"/>
            <w:vAlign w:val="center"/>
          </w:tcPr>
          <w:p w14:paraId="776D55B1">
            <w:pPr>
              <w:jc w:val="center"/>
              <w:rPr>
                <w:bCs/>
                <w:szCs w:val="21"/>
              </w:rPr>
            </w:pPr>
          </w:p>
        </w:tc>
        <w:tc>
          <w:tcPr>
            <w:tcW w:w="316" w:type="pct"/>
            <w:vMerge w:val="continue"/>
            <w:vAlign w:val="center"/>
          </w:tcPr>
          <w:p w14:paraId="194526C3">
            <w:pPr>
              <w:jc w:val="center"/>
              <w:rPr>
                <w:bCs/>
                <w:szCs w:val="21"/>
              </w:rPr>
            </w:pPr>
          </w:p>
        </w:tc>
        <w:tc>
          <w:tcPr>
            <w:tcW w:w="1040" w:type="pct"/>
            <w:gridSpan w:val="2"/>
            <w:vAlign w:val="center"/>
          </w:tcPr>
          <w:p w14:paraId="0B45B048">
            <w:pPr>
              <w:jc w:val="center"/>
              <w:rPr>
                <w:bCs/>
                <w:szCs w:val="21"/>
              </w:rPr>
            </w:pPr>
            <w:r>
              <w:rPr>
                <w:rFonts w:hint="eastAsia"/>
                <w:bCs/>
                <w:szCs w:val="21"/>
              </w:rPr>
              <w:t>野生动物迁徙通道</w:t>
            </w:r>
          </w:p>
        </w:tc>
        <w:tc>
          <w:tcPr>
            <w:tcW w:w="2268" w:type="pct"/>
            <w:vAlign w:val="center"/>
          </w:tcPr>
          <w:p w14:paraId="2241036D">
            <w:pPr>
              <w:jc w:val="center"/>
              <w:rPr>
                <w:bCs/>
                <w:szCs w:val="21"/>
              </w:rPr>
            </w:pPr>
            <w:r>
              <w:rPr>
                <w:rFonts w:hint="eastAsia"/>
                <w:bCs/>
                <w:szCs w:val="21"/>
              </w:rPr>
              <w:t>/</w:t>
            </w:r>
          </w:p>
        </w:tc>
        <w:tc>
          <w:tcPr>
            <w:tcW w:w="1122" w:type="pct"/>
            <w:vAlign w:val="center"/>
          </w:tcPr>
          <w:p w14:paraId="3A1D949D">
            <w:pPr>
              <w:jc w:val="center"/>
              <w:rPr>
                <w:bCs/>
                <w:szCs w:val="21"/>
              </w:rPr>
            </w:pPr>
            <w:r>
              <w:rPr>
                <w:rFonts w:hint="eastAsia"/>
                <w:bCs/>
                <w:szCs w:val="21"/>
              </w:rPr>
              <w:t>/</w:t>
            </w:r>
          </w:p>
        </w:tc>
      </w:tr>
    </w:tbl>
    <w:p w14:paraId="3A73338B">
      <w:pPr>
        <w:pStyle w:val="18"/>
        <w:rPr>
          <w:snapToGrid w:val="0"/>
        </w:rPr>
      </w:pPr>
    </w:p>
    <w:p w14:paraId="763F34C3"/>
    <w:p w14:paraId="05CA7C78">
      <w:pPr>
        <w:pStyle w:val="2"/>
      </w:pPr>
    </w:p>
    <w:p w14:paraId="2E7D901F">
      <w:pPr>
        <w:pStyle w:val="2"/>
      </w:pPr>
    </w:p>
    <w:p w14:paraId="6E7416C8">
      <w:pPr>
        <w:pStyle w:val="2"/>
        <w:sectPr>
          <w:pgSz w:w="16838" w:h="11906" w:orient="landscape"/>
          <w:pgMar w:top="720" w:right="720" w:bottom="720" w:left="720" w:header="851" w:footer="1077" w:gutter="0"/>
          <w:cols w:space="720" w:num="1"/>
          <w:docGrid w:linePitch="312" w:charSpace="0"/>
        </w:sectPr>
      </w:pPr>
    </w:p>
    <w:tbl>
      <w:tblPr>
        <w:tblStyle w:val="33"/>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8504"/>
      </w:tblGrid>
      <w:tr w14:paraId="580A4D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609" w:hRule="atLeast"/>
          <w:jc w:val="center"/>
        </w:trPr>
        <w:tc>
          <w:tcPr>
            <w:tcW w:w="653" w:type="dxa"/>
            <w:vAlign w:val="center"/>
          </w:tcPr>
          <w:p w14:paraId="30F91B3F">
            <w:pPr>
              <w:adjustRightInd w:val="0"/>
              <w:snapToGrid w:val="0"/>
              <w:jc w:val="center"/>
              <w:rPr>
                <w:rFonts w:ascii="宋体" w:hAnsi="宋体" w:cs="宋体"/>
                <w:b/>
                <w:kern w:val="0"/>
                <w:sz w:val="24"/>
                <w:szCs w:val="21"/>
              </w:rPr>
            </w:pPr>
            <w:r>
              <w:rPr>
                <w:rFonts w:hint="eastAsia" w:ascii="宋体" w:hAnsi="宋体" w:cs="宋体"/>
                <w:b/>
                <w:kern w:val="0"/>
                <w:sz w:val="24"/>
                <w:szCs w:val="21"/>
              </w:rPr>
              <w:t>评价</w:t>
            </w:r>
          </w:p>
          <w:p w14:paraId="4EFBAC2E">
            <w:pPr>
              <w:adjustRightInd w:val="0"/>
              <w:snapToGrid w:val="0"/>
              <w:jc w:val="center"/>
              <w:rPr>
                <w:rFonts w:ascii="宋体" w:hAnsi="宋体" w:cs="宋体"/>
                <w:kern w:val="0"/>
                <w:szCs w:val="21"/>
              </w:rPr>
            </w:pPr>
            <w:r>
              <w:rPr>
                <w:rFonts w:hint="eastAsia" w:ascii="宋体" w:hAnsi="宋体" w:cs="宋体"/>
                <w:b/>
                <w:kern w:val="0"/>
                <w:sz w:val="24"/>
                <w:szCs w:val="21"/>
              </w:rPr>
              <w:t>标准</w:t>
            </w:r>
          </w:p>
        </w:tc>
        <w:tc>
          <w:tcPr>
            <w:tcW w:w="8504" w:type="dxa"/>
            <w:vAlign w:val="center"/>
          </w:tcPr>
          <w:p w14:paraId="5B7A7136">
            <w:pPr>
              <w:spacing w:line="360" w:lineRule="auto"/>
              <w:ind w:firstLine="482" w:firstLineChars="200"/>
              <w:jc w:val="left"/>
              <w:rPr>
                <w:b/>
                <w:sz w:val="24"/>
              </w:rPr>
            </w:pPr>
            <w:r>
              <w:rPr>
                <w:b/>
                <w:sz w:val="24"/>
              </w:rPr>
              <w:t>一</w:t>
            </w:r>
            <w:r>
              <w:rPr>
                <w:rFonts w:hint="eastAsia"/>
                <w:b/>
                <w:sz w:val="24"/>
              </w:rPr>
              <w:t>、</w:t>
            </w:r>
            <w:r>
              <w:rPr>
                <w:b/>
                <w:sz w:val="24"/>
              </w:rPr>
              <w:t>环境质量标准</w:t>
            </w:r>
          </w:p>
          <w:p w14:paraId="1924A38C">
            <w:pPr>
              <w:pStyle w:val="69"/>
              <w:ind w:firstLine="482"/>
              <w:rPr>
                <w:b/>
              </w:rPr>
            </w:pPr>
            <w:r>
              <w:rPr>
                <w:b/>
              </w:rPr>
              <w:t>1、环境空气质量</w:t>
            </w:r>
          </w:p>
          <w:p w14:paraId="0FE7DF12">
            <w:pPr>
              <w:pStyle w:val="69"/>
              <w:ind w:firstLine="480"/>
              <w:rPr>
                <w:snapToGrid w:val="0"/>
                <w:kern w:val="0"/>
              </w:rPr>
            </w:pPr>
            <w:r>
              <w:rPr>
                <w:rFonts w:hint="eastAsia"/>
                <w:snapToGrid w:val="0"/>
                <w:kern w:val="0"/>
              </w:rPr>
              <w:t>项目位于遂宁市大英县中心城区，</w:t>
            </w:r>
            <w:r>
              <w:rPr>
                <w:snapToGrid w:val="0"/>
                <w:kern w:val="0"/>
              </w:rPr>
              <w:t>执行《环境空气质量标准》（GB3095-2012）中二级标准，标准值见</w:t>
            </w:r>
            <w:r>
              <w:rPr>
                <w:rFonts w:hint="eastAsia"/>
                <w:snapToGrid w:val="0"/>
                <w:kern w:val="0"/>
              </w:rPr>
              <w:t>下</w:t>
            </w:r>
            <w:r>
              <w:rPr>
                <w:snapToGrid w:val="0"/>
                <w:kern w:val="0"/>
              </w:rPr>
              <w:t>表。</w:t>
            </w:r>
          </w:p>
          <w:p w14:paraId="59FAD717">
            <w:pPr>
              <w:pStyle w:val="4"/>
              <w:numPr>
                <w:ilvl w:val="1"/>
                <w:numId w:val="0"/>
              </w:numPr>
              <w:rPr>
                <w:rFonts w:eastAsia="黑体"/>
                <w:b w:val="0"/>
                <w:sz w:val="21"/>
                <w:szCs w:val="21"/>
              </w:rPr>
            </w:pPr>
            <w:bookmarkStart w:id="26" w:name="_Toc150173906"/>
            <w:r>
              <w:rPr>
                <w:rFonts w:eastAsia="黑体"/>
                <w:b w:val="0"/>
                <w:sz w:val="21"/>
                <w:szCs w:val="21"/>
              </w:rPr>
              <w:t xml:space="preserve">表3-4 </w:t>
            </w:r>
            <w:r>
              <w:rPr>
                <w:rFonts w:hint="eastAsia" w:eastAsia="黑体"/>
                <w:b w:val="0"/>
                <w:sz w:val="21"/>
                <w:szCs w:val="21"/>
              </w:rPr>
              <w:t xml:space="preserve">  </w:t>
            </w:r>
            <w:r>
              <w:rPr>
                <w:rFonts w:eastAsia="黑体"/>
                <w:b w:val="0"/>
                <w:sz w:val="21"/>
                <w:szCs w:val="21"/>
              </w:rPr>
              <w:t>《环境空气质量标准》（GB3095-2012）</w:t>
            </w:r>
            <w:bookmarkEnd w:id="26"/>
          </w:p>
          <w:tbl>
            <w:tblPr>
              <w:tblStyle w:val="3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1234"/>
              <w:gridCol w:w="1095"/>
              <w:gridCol w:w="1039"/>
              <w:gridCol w:w="985"/>
              <w:gridCol w:w="934"/>
              <w:gridCol w:w="1039"/>
              <w:gridCol w:w="1039"/>
            </w:tblGrid>
            <w:tr w14:paraId="6B182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4" w:type="pct"/>
                  <w:gridSpan w:val="2"/>
                  <w:vAlign w:val="center"/>
                </w:tcPr>
                <w:p w14:paraId="36D86E16">
                  <w:pPr>
                    <w:adjustRightInd w:val="0"/>
                    <w:snapToGrid w:val="0"/>
                    <w:jc w:val="center"/>
                    <w:rPr>
                      <w:b/>
                      <w:szCs w:val="18"/>
                    </w:rPr>
                  </w:pPr>
                  <w:r>
                    <w:rPr>
                      <w:b/>
                      <w:szCs w:val="18"/>
                    </w:rPr>
                    <w:t>项目</w:t>
                  </w:r>
                </w:p>
              </w:tc>
              <w:tc>
                <w:tcPr>
                  <w:tcW w:w="742" w:type="pct"/>
                  <w:vAlign w:val="center"/>
                </w:tcPr>
                <w:p w14:paraId="51437D6D">
                  <w:pPr>
                    <w:adjustRightInd w:val="0"/>
                    <w:snapToGrid w:val="0"/>
                    <w:jc w:val="center"/>
                    <w:rPr>
                      <w:b/>
                      <w:szCs w:val="18"/>
                    </w:rPr>
                  </w:pPr>
                  <w:r>
                    <w:rPr>
                      <w:b/>
                      <w:szCs w:val="18"/>
                    </w:rPr>
                    <w:t>SO</w:t>
                  </w:r>
                  <w:r>
                    <w:rPr>
                      <w:b/>
                      <w:szCs w:val="18"/>
                      <w:vertAlign w:val="subscript"/>
                    </w:rPr>
                    <w:t>2</w:t>
                  </w:r>
                </w:p>
              </w:tc>
              <w:tc>
                <w:tcPr>
                  <w:tcW w:w="658" w:type="pct"/>
                  <w:vAlign w:val="center"/>
                </w:tcPr>
                <w:p w14:paraId="2A88C961">
                  <w:pPr>
                    <w:adjustRightInd w:val="0"/>
                    <w:snapToGrid w:val="0"/>
                    <w:jc w:val="center"/>
                    <w:rPr>
                      <w:b/>
                      <w:szCs w:val="18"/>
                    </w:rPr>
                  </w:pPr>
                  <w:r>
                    <w:rPr>
                      <w:b/>
                      <w:szCs w:val="18"/>
                    </w:rPr>
                    <w:t>NO</w:t>
                  </w:r>
                  <w:r>
                    <w:rPr>
                      <w:b/>
                      <w:szCs w:val="18"/>
                      <w:vertAlign w:val="subscript"/>
                    </w:rPr>
                    <w:t>2</w:t>
                  </w:r>
                </w:p>
              </w:tc>
              <w:tc>
                <w:tcPr>
                  <w:tcW w:w="660" w:type="pct"/>
                  <w:vAlign w:val="center"/>
                </w:tcPr>
                <w:p w14:paraId="1E6E4480">
                  <w:pPr>
                    <w:adjustRightInd w:val="0"/>
                    <w:snapToGrid w:val="0"/>
                    <w:jc w:val="center"/>
                    <w:rPr>
                      <w:b/>
                      <w:szCs w:val="18"/>
                    </w:rPr>
                  </w:pPr>
                  <w:r>
                    <w:rPr>
                      <w:b/>
                      <w:szCs w:val="18"/>
                    </w:rPr>
                    <w:t>CO</w:t>
                  </w:r>
                </w:p>
              </w:tc>
              <w:tc>
                <w:tcPr>
                  <w:tcW w:w="658" w:type="pct"/>
                  <w:vAlign w:val="center"/>
                </w:tcPr>
                <w:p w14:paraId="59C32EF1">
                  <w:pPr>
                    <w:adjustRightInd w:val="0"/>
                    <w:snapToGrid w:val="0"/>
                    <w:jc w:val="center"/>
                    <w:rPr>
                      <w:b/>
                      <w:szCs w:val="18"/>
                    </w:rPr>
                  </w:pPr>
                  <w:r>
                    <w:rPr>
                      <w:b/>
                      <w:bCs/>
                      <w:szCs w:val="18"/>
                    </w:rPr>
                    <w:t>PM</w:t>
                  </w:r>
                  <w:r>
                    <w:rPr>
                      <w:b/>
                      <w:bCs/>
                      <w:szCs w:val="18"/>
                      <w:vertAlign w:val="subscript"/>
                    </w:rPr>
                    <w:t>2.5</w:t>
                  </w:r>
                </w:p>
              </w:tc>
              <w:tc>
                <w:tcPr>
                  <w:tcW w:w="175" w:type="pct"/>
                  <w:vAlign w:val="center"/>
                </w:tcPr>
                <w:p w14:paraId="1D6B5069">
                  <w:pPr>
                    <w:adjustRightInd w:val="0"/>
                    <w:snapToGrid w:val="0"/>
                    <w:jc w:val="center"/>
                    <w:rPr>
                      <w:b/>
                      <w:szCs w:val="18"/>
                    </w:rPr>
                  </w:pPr>
                  <w:r>
                    <w:rPr>
                      <w:b/>
                      <w:szCs w:val="18"/>
                    </w:rPr>
                    <w:t>O</w:t>
                  </w:r>
                  <w:r>
                    <w:rPr>
                      <w:rFonts w:hint="eastAsia"/>
                      <w:b/>
                      <w:szCs w:val="18"/>
                      <w:vertAlign w:val="subscript"/>
                    </w:rPr>
                    <w:t>3</w:t>
                  </w:r>
                </w:p>
              </w:tc>
              <w:tc>
                <w:tcPr>
                  <w:tcW w:w="643" w:type="pct"/>
                  <w:vAlign w:val="center"/>
                </w:tcPr>
                <w:p w14:paraId="25536553">
                  <w:pPr>
                    <w:adjustRightInd w:val="0"/>
                    <w:snapToGrid w:val="0"/>
                    <w:jc w:val="center"/>
                    <w:rPr>
                      <w:b/>
                      <w:szCs w:val="18"/>
                    </w:rPr>
                  </w:pPr>
                  <w:r>
                    <w:rPr>
                      <w:b/>
                      <w:bCs/>
                      <w:szCs w:val="18"/>
                    </w:rPr>
                    <w:t>PM</w:t>
                  </w:r>
                  <w:r>
                    <w:rPr>
                      <w:b/>
                      <w:bCs/>
                      <w:szCs w:val="18"/>
                      <w:vertAlign w:val="subscript"/>
                    </w:rPr>
                    <w:t>10</w:t>
                  </w:r>
                </w:p>
              </w:tc>
            </w:tr>
            <w:tr w14:paraId="136855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638" w:type="pct"/>
                  <w:vMerge w:val="restart"/>
                  <w:vAlign w:val="center"/>
                </w:tcPr>
                <w:p w14:paraId="3067943F">
                  <w:pPr>
                    <w:adjustRightInd w:val="0"/>
                    <w:snapToGrid w:val="0"/>
                    <w:jc w:val="center"/>
                    <w:rPr>
                      <w:szCs w:val="18"/>
                    </w:rPr>
                  </w:pPr>
                  <w:r>
                    <w:rPr>
                      <w:szCs w:val="18"/>
                    </w:rPr>
                    <w:t>二级标准</w:t>
                  </w:r>
                </w:p>
              </w:tc>
              <w:tc>
                <w:tcPr>
                  <w:tcW w:w="826" w:type="pct"/>
                  <w:vAlign w:val="center"/>
                </w:tcPr>
                <w:p w14:paraId="09D2D690">
                  <w:pPr>
                    <w:adjustRightInd w:val="0"/>
                    <w:snapToGrid w:val="0"/>
                    <w:jc w:val="center"/>
                    <w:rPr>
                      <w:szCs w:val="18"/>
                    </w:rPr>
                  </w:pPr>
                  <w:r>
                    <w:rPr>
                      <w:szCs w:val="18"/>
                    </w:rPr>
                    <w:t>1小时平均</w:t>
                  </w:r>
                </w:p>
              </w:tc>
              <w:tc>
                <w:tcPr>
                  <w:tcW w:w="742" w:type="pct"/>
                  <w:vAlign w:val="center"/>
                </w:tcPr>
                <w:p w14:paraId="3E5EDDF0">
                  <w:pPr>
                    <w:adjustRightInd w:val="0"/>
                    <w:snapToGrid w:val="0"/>
                    <w:jc w:val="center"/>
                    <w:rPr>
                      <w:szCs w:val="18"/>
                    </w:rPr>
                  </w:pPr>
                  <w:r>
                    <w:rPr>
                      <w:szCs w:val="18"/>
                    </w:rPr>
                    <w:t>500μg/m</w:t>
                  </w:r>
                  <w:r>
                    <w:rPr>
                      <w:szCs w:val="18"/>
                      <w:vertAlign w:val="superscript"/>
                    </w:rPr>
                    <w:t>3</w:t>
                  </w:r>
                </w:p>
              </w:tc>
              <w:tc>
                <w:tcPr>
                  <w:tcW w:w="658" w:type="pct"/>
                  <w:vAlign w:val="center"/>
                </w:tcPr>
                <w:p w14:paraId="25AF0829">
                  <w:pPr>
                    <w:adjustRightInd w:val="0"/>
                    <w:snapToGrid w:val="0"/>
                    <w:jc w:val="center"/>
                    <w:rPr>
                      <w:szCs w:val="18"/>
                    </w:rPr>
                  </w:pPr>
                  <w:r>
                    <w:rPr>
                      <w:szCs w:val="18"/>
                    </w:rPr>
                    <w:t>200μg/m</w:t>
                  </w:r>
                  <w:r>
                    <w:rPr>
                      <w:szCs w:val="18"/>
                      <w:vertAlign w:val="superscript"/>
                    </w:rPr>
                    <w:t>3</w:t>
                  </w:r>
                </w:p>
              </w:tc>
              <w:tc>
                <w:tcPr>
                  <w:tcW w:w="660" w:type="pct"/>
                  <w:vAlign w:val="center"/>
                </w:tcPr>
                <w:p w14:paraId="31EF53EE">
                  <w:pPr>
                    <w:adjustRightInd w:val="0"/>
                    <w:snapToGrid w:val="0"/>
                    <w:jc w:val="center"/>
                    <w:rPr>
                      <w:szCs w:val="18"/>
                    </w:rPr>
                  </w:pPr>
                  <w:r>
                    <w:rPr>
                      <w:szCs w:val="18"/>
                    </w:rPr>
                    <w:t>10mg/m</w:t>
                  </w:r>
                  <w:r>
                    <w:rPr>
                      <w:szCs w:val="18"/>
                      <w:vertAlign w:val="superscript"/>
                    </w:rPr>
                    <w:t>3</w:t>
                  </w:r>
                </w:p>
              </w:tc>
              <w:tc>
                <w:tcPr>
                  <w:tcW w:w="658" w:type="pct"/>
                  <w:vAlign w:val="center"/>
                </w:tcPr>
                <w:p w14:paraId="5ADF3C8E">
                  <w:pPr>
                    <w:adjustRightInd w:val="0"/>
                    <w:snapToGrid w:val="0"/>
                    <w:jc w:val="center"/>
                    <w:rPr>
                      <w:szCs w:val="18"/>
                    </w:rPr>
                  </w:pPr>
                  <w:r>
                    <w:rPr>
                      <w:szCs w:val="18"/>
                    </w:rPr>
                    <w:t>/</w:t>
                  </w:r>
                </w:p>
              </w:tc>
              <w:tc>
                <w:tcPr>
                  <w:tcW w:w="175" w:type="pct"/>
                  <w:vAlign w:val="center"/>
                </w:tcPr>
                <w:p w14:paraId="11F46492">
                  <w:pPr>
                    <w:adjustRightInd w:val="0"/>
                    <w:snapToGrid w:val="0"/>
                    <w:jc w:val="center"/>
                    <w:rPr>
                      <w:szCs w:val="18"/>
                    </w:rPr>
                  </w:pPr>
                  <w:r>
                    <w:rPr>
                      <w:rFonts w:hint="eastAsia"/>
                      <w:szCs w:val="18"/>
                    </w:rPr>
                    <w:t>200</w:t>
                  </w:r>
                  <w:r>
                    <w:rPr>
                      <w:szCs w:val="18"/>
                    </w:rPr>
                    <w:t>μg/m</w:t>
                  </w:r>
                  <w:r>
                    <w:rPr>
                      <w:szCs w:val="18"/>
                      <w:vertAlign w:val="superscript"/>
                    </w:rPr>
                    <w:t>3</w:t>
                  </w:r>
                </w:p>
              </w:tc>
              <w:tc>
                <w:tcPr>
                  <w:tcW w:w="643" w:type="pct"/>
                  <w:vAlign w:val="center"/>
                </w:tcPr>
                <w:p w14:paraId="14D73DE8">
                  <w:pPr>
                    <w:adjustRightInd w:val="0"/>
                    <w:snapToGrid w:val="0"/>
                    <w:jc w:val="center"/>
                    <w:rPr>
                      <w:szCs w:val="18"/>
                    </w:rPr>
                  </w:pPr>
                  <w:r>
                    <w:rPr>
                      <w:szCs w:val="18"/>
                    </w:rPr>
                    <w:t>/</w:t>
                  </w:r>
                </w:p>
              </w:tc>
            </w:tr>
            <w:tr w14:paraId="7921B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638" w:type="pct"/>
                  <w:vMerge w:val="continue"/>
                  <w:vAlign w:val="center"/>
                </w:tcPr>
                <w:p w14:paraId="2B1CE9EC">
                  <w:pPr>
                    <w:adjustRightInd w:val="0"/>
                    <w:snapToGrid w:val="0"/>
                    <w:jc w:val="center"/>
                    <w:rPr>
                      <w:szCs w:val="18"/>
                    </w:rPr>
                  </w:pPr>
                </w:p>
              </w:tc>
              <w:tc>
                <w:tcPr>
                  <w:tcW w:w="826" w:type="pct"/>
                  <w:vAlign w:val="center"/>
                </w:tcPr>
                <w:p w14:paraId="21A8BD14">
                  <w:pPr>
                    <w:adjustRightInd w:val="0"/>
                    <w:snapToGrid w:val="0"/>
                    <w:jc w:val="center"/>
                    <w:rPr>
                      <w:szCs w:val="18"/>
                    </w:rPr>
                  </w:pPr>
                  <w:r>
                    <w:rPr>
                      <w:szCs w:val="18"/>
                    </w:rPr>
                    <w:t>日平均</w:t>
                  </w:r>
                </w:p>
              </w:tc>
              <w:tc>
                <w:tcPr>
                  <w:tcW w:w="742" w:type="pct"/>
                  <w:vAlign w:val="center"/>
                </w:tcPr>
                <w:p w14:paraId="678C6F92">
                  <w:pPr>
                    <w:adjustRightInd w:val="0"/>
                    <w:snapToGrid w:val="0"/>
                    <w:jc w:val="center"/>
                    <w:rPr>
                      <w:szCs w:val="18"/>
                    </w:rPr>
                  </w:pPr>
                  <w:r>
                    <w:rPr>
                      <w:szCs w:val="18"/>
                    </w:rPr>
                    <w:t>150μg/m</w:t>
                  </w:r>
                  <w:r>
                    <w:rPr>
                      <w:szCs w:val="18"/>
                      <w:vertAlign w:val="superscript"/>
                    </w:rPr>
                    <w:t>3</w:t>
                  </w:r>
                </w:p>
              </w:tc>
              <w:tc>
                <w:tcPr>
                  <w:tcW w:w="658" w:type="pct"/>
                  <w:vAlign w:val="center"/>
                </w:tcPr>
                <w:p w14:paraId="5A271306">
                  <w:pPr>
                    <w:adjustRightInd w:val="0"/>
                    <w:snapToGrid w:val="0"/>
                    <w:jc w:val="center"/>
                    <w:rPr>
                      <w:szCs w:val="18"/>
                    </w:rPr>
                  </w:pPr>
                  <w:r>
                    <w:rPr>
                      <w:szCs w:val="18"/>
                    </w:rPr>
                    <w:t>80μg/m</w:t>
                  </w:r>
                  <w:r>
                    <w:rPr>
                      <w:szCs w:val="18"/>
                      <w:vertAlign w:val="superscript"/>
                    </w:rPr>
                    <w:t>3</w:t>
                  </w:r>
                </w:p>
              </w:tc>
              <w:tc>
                <w:tcPr>
                  <w:tcW w:w="660" w:type="pct"/>
                  <w:vAlign w:val="center"/>
                </w:tcPr>
                <w:p w14:paraId="0BF47501">
                  <w:pPr>
                    <w:adjustRightInd w:val="0"/>
                    <w:snapToGrid w:val="0"/>
                    <w:jc w:val="center"/>
                    <w:rPr>
                      <w:szCs w:val="18"/>
                    </w:rPr>
                  </w:pPr>
                  <w:r>
                    <w:rPr>
                      <w:szCs w:val="18"/>
                    </w:rPr>
                    <w:t>4mg/m</w:t>
                  </w:r>
                  <w:r>
                    <w:rPr>
                      <w:szCs w:val="18"/>
                      <w:vertAlign w:val="superscript"/>
                    </w:rPr>
                    <w:t>3</w:t>
                  </w:r>
                </w:p>
              </w:tc>
              <w:tc>
                <w:tcPr>
                  <w:tcW w:w="658" w:type="pct"/>
                  <w:vAlign w:val="center"/>
                </w:tcPr>
                <w:p w14:paraId="7260B3C5">
                  <w:pPr>
                    <w:adjustRightInd w:val="0"/>
                    <w:snapToGrid w:val="0"/>
                    <w:jc w:val="center"/>
                    <w:rPr>
                      <w:szCs w:val="18"/>
                    </w:rPr>
                  </w:pPr>
                  <w:r>
                    <w:rPr>
                      <w:szCs w:val="18"/>
                    </w:rPr>
                    <w:t>75μg/m</w:t>
                  </w:r>
                  <w:r>
                    <w:rPr>
                      <w:szCs w:val="18"/>
                      <w:vertAlign w:val="superscript"/>
                    </w:rPr>
                    <w:t>3</w:t>
                  </w:r>
                </w:p>
              </w:tc>
              <w:tc>
                <w:tcPr>
                  <w:tcW w:w="175" w:type="pct"/>
                  <w:vAlign w:val="center"/>
                </w:tcPr>
                <w:p w14:paraId="1F83A30E">
                  <w:pPr>
                    <w:adjustRightInd w:val="0"/>
                    <w:snapToGrid w:val="0"/>
                    <w:jc w:val="center"/>
                    <w:rPr>
                      <w:szCs w:val="18"/>
                    </w:rPr>
                  </w:pPr>
                  <w:r>
                    <w:rPr>
                      <w:rFonts w:hint="eastAsia"/>
                      <w:szCs w:val="18"/>
                    </w:rPr>
                    <w:t>160</w:t>
                  </w:r>
                  <w:r>
                    <w:rPr>
                      <w:szCs w:val="18"/>
                    </w:rPr>
                    <w:t>μg/m</w:t>
                  </w:r>
                  <w:r>
                    <w:rPr>
                      <w:szCs w:val="18"/>
                      <w:vertAlign w:val="superscript"/>
                    </w:rPr>
                    <w:t>3</w:t>
                  </w:r>
                </w:p>
              </w:tc>
              <w:tc>
                <w:tcPr>
                  <w:tcW w:w="643" w:type="pct"/>
                  <w:vAlign w:val="center"/>
                </w:tcPr>
                <w:p w14:paraId="2C50F145">
                  <w:pPr>
                    <w:adjustRightInd w:val="0"/>
                    <w:snapToGrid w:val="0"/>
                    <w:jc w:val="center"/>
                    <w:rPr>
                      <w:szCs w:val="18"/>
                    </w:rPr>
                  </w:pPr>
                  <w:r>
                    <w:rPr>
                      <w:szCs w:val="18"/>
                    </w:rPr>
                    <w:t>150μg/m</w:t>
                  </w:r>
                  <w:r>
                    <w:rPr>
                      <w:szCs w:val="18"/>
                      <w:vertAlign w:val="superscript"/>
                    </w:rPr>
                    <w:t>3</w:t>
                  </w:r>
                </w:p>
              </w:tc>
            </w:tr>
            <w:tr w14:paraId="43D1F6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8" w:type="pct"/>
                  <w:vMerge w:val="continue"/>
                  <w:vAlign w:val="center"/>
                </w:tcPr>
                <w:p w14:paraId="40B24852">
                  <w:pPr>
                    <w:adjustRightInd w:val="0"/>
                    <w:snapToGrid w:val="0"/>
                    <w:jc w:val="center"/>
                    <w:rPr>
                      <w:szCs w:val="18"/>
                    </w:rPr>
                  </w:pPr>
                </w:p>
              </w:tc>
              <w:tc>
                <w:tcPr>
                  <w:tcW w:w="826" w:type="pct"/>
                  <w:vAlign w:val="center"/>
                </w:tcPr>
                <w:p w14:paraId="08863711">
                  <w:pPr>
                    <w:adjustRightInd w:val="0"/>
                    <w:snapToGrid w:val="0"/>
                    <w:jc w:val="center"/>
                    <w:rPr>
                      <w:szCs w:val="18"/>
                    </w:rPr>
                  </w:pPr>
                  <w:r>
                    <w:rPr>
                      <w:szCs w:val="18"/>
                    </w:rPr>
                    <w:t>年平均</w:t>
                  </w:r>
                </w:p>
              </w:tc>
              <w:tc>
                <w:tcPr>
                  <w:tcW w:w="742" w:type="pct"/>
                  <w:vAlign w:val="center"/>
                </w:tcPr>
                <w:p w14:paraId="5F7CD5CB">
                  <w:pPr>
                    <w:adjustRightInd w:val="0"/>
                    <w:snapToGrid w:val="0"/>
                    <w:jc w:val="center"/>
                    <w:rPr>
                      <w:szCs w:val="18"/>
                    </w:rPr>
                  </w:pPr>
                  <w:r>
                    <w:rPr>
                      <w:rFonts w:hint="eastAsia"/>
                      <w:szCs w:val="18"/>
                    </w:rPr>
                    <w:t>60</w:t>
                  </w:r>
                  <w:r>
                    <w:rPr>
                      <w:szCs w:val="18"/>
                    </w:rPr>
                    <w:t>μg/m</w:t>
                  </w:r>
                  <w:r>
                    <w:rPr>
                      <w:szCs w:val="18"/>
                      <w:vertAlign w:val="superscript"/>
                    </w:rPr>
                    <w:t>3</w:t>
                  </w:r>
                </w:p>
              </w:tc>
              <w:tc>
                <w:tcPr>
                  <w:tcW w:w="658" w:type="pct"/>
                  <w:vAlign w:val="center"/>
                </w:tcPr>
                <w:p w14:paraId="64F67285">
                  <w:pPr>
                    <w:adjustRightInd w:val="0"/>
                    <w:snapToGrid w:val="0"/>
                    <w:jc w:val="center"/>
                    <w:rPr>
                      <w:szCs w:val="18"/>
                    </w:rPr>
                  </w:pPr>
                  <w:r>
                    <w:rPr>
                      <w:rFonts w:hint="eastAsia"/>
                      <w:szCs w:val="18"/>
                    </w:rPr>
                    <w:t>40</w:t>
                  </w:r>
                  <w:r>
                    <w:rPr>
                      <w:szCs w:val="18"/>
                    </w:rPr>
                    <w:t>μg/m</w:t>
                  </w:r>
                  <w:r>
                    <w:rPr>
                      <w:szCs w:val="18"/>
                      <w:vertAlign w:val="superscript"/>
                    </w:rPr>
                    <w:t>3</w:t>
                  </w:r>
                </w:p>
              </w:tc>
              <w:tc>
                <w:tcPr>
                  <w:tcW w:w="660" w:type="pct"/>
                  <w:vAlign w:val="center"/>
                </w:tcPr>
                <w:p w14:paraId="0ACCE91B">
                  <w:pPr>
                    <w:adjustRightInd w:val="0"/>
                    <w:snapToGrid w:val="0"/>
                    <w:jc w:val="center"/>
                    <w:rPr>
                      <w:szCs w:val="18"/>
                    </w:rPr>
                  </w:pPr>
                  <w:r>
                    <w:rPr>
                      <w:szCs w:val="18"/>
                    </w:rPr>
                    <w:t>/</w:t>
                  </w:r>
                </w:p>
              </w:tc>
              <w:tc>
                <w:tcPr>
                  <w:tcW w:w="658" w:type="pct"/>
                  <w:vAlign w:val="center"/>
                </w:tcPr>
                <w:p w14:paraId="3554EA06">
                  <w:pPr>
                    <w:adjustRightInd w:val="0"/>
                    <w:snapToGrid w:val="0"/>
                    <w:jc w:val="center"/>
                    <w:rPr>
                      <w:szCs w:val="18"/>
                    </w:rPr>
                  </w:pPr>
                  <w:r>
                    <w:rPr>
                      <w:rFonts w:hint="eastAsia"/>
                      <w:szCs w:val="18"/>
                    </w:rPr>
                    <w:t>35</w:t>
                  </w:r>
                  <w:r>
                    <w:rPr>
                      <w:szCs w:val="18"/>
                    </w:rPr>
                    <w:t>μg/m</w:t>
                  </w:r>
                  <w:r>
                    <w:rPr>
                      <w:szCs w:val="18"/>
                      <w:vertAlign w:val="superscript"/>
                    </w:rPr>
                    <w:t>3</w:t>
                  </w:r>
                </w:p>
              </w:tc>
              <w:tc>
                <w:tcPr>
                  <w:tcW w:w="175" w:type="pct"/>
                  <w:vAlign w:val="center"/>
                </w:tcPr>
                <w:p w14:paraId="52AEF10D">
                  <w:pPr>
                    <w:adjustRightInd w:val="0"/>
                    <w:snapToGrid w:val="0"/>
                    <w:jc w:val="center"/>
                    <w:rPr>
                      <w:szCs w:val="18"/>
                    </w:rPr>
                  </w:pPr>
                  <w:r>
                    <w:rPr>
                      <w:rFonts w:hint="eastAsia"/>
                      <w:szCs w:val="18"/>
                    </w:rPr>
                    <w:t>/</w:t>
                  </w:r>
                </w:p>
              </w:tc>
              <w:tc>
                <w:tcPr>
                  <w:tcW w:w="643" w:type="pct"/>
                  <w:vAlign w:val="center"/>
                </w:tcPr>
                <w:p w14:paraId="2465F324">
                  <w:pPr>
                    <w:adjustRightInd w:val="0"/>
                    <w:snapToGrid w:val="0"/>
                    <w:jc w:val="center"/>
                    <w:rPr>
                      <w:szCs w:val="18"/>
                    </w:rPr>
                  </w:pPr>
                  <w:r>
                    <w:rPr>
                      <w:rFonts w:hint="eastAsia"/>
                      <w:szCs w:val="18"/>
                    </w:rPr>
                    <w:t>70</w:t>
                  </w:r>
                  <w:r>
                    <w:rPr>
                      <w:szCs w:val="18"/>
                    </w:rPr>
                    <w:t>μg/m</w:t>
                  </w:r>
                  <w:r>
                    <w:rPr>
                      <w:szCs w:val="18"/>
                      <w:vertAlign w:val="superscript"/>
                    </w:rPr>
                    <w:t>3</w:t>
                  </w:r>
                </w:p>
              </w:tc>
            </w:tr>
          </w:tbl>
          <w:p w14:paraId="7EEEDA0C">
            <w:pPr>
              <w:pStyle w:val="69"/>
              <w:ind w:firstLine="482"/>
              <w:rPr>
                <w:b/>
              </w:rPr>
            </w:pPr>
            <w:r>
              <w:rPr>
                <w:b/>
              </w:rPr>
              <w:t>2、地表水环境质量</w:t>
            </w:r>
          </w:p>
          <w:p w14:paraId="2D1A9058">
            <w:pPr>
              <w:pStyle w:val="69"/>
              <w:ind w:firstLine="480"/>
            </w:pPr>
            <w:r>
              <w:rPr>
                <w:rFonts w:hint="eastAsia"/>
                <w:snapToGrid w:val="0"/>
                <w:kern w:val="0"/>
              </w:rPr>
              <w:t>项目区附近主要水系为虾子桥河，其主要功能为排洪、灌溉，</w:t>
            </w:r>
            <w:r>
              <w:rPr>
                <w:snapToGrid w:val="0"/>
                <w:kern w:val="0"/>
              </w:rPr>
              <w:t>执行《地表水环境质量标准》（GB3838-2002）中Ⅲ类水质标准，标准值见</w:t>
            </w:r>
            <w:r>
              <w:rPr>
                <w:rFonts w:hint="eastAsia"/>
                <w:snapToGrid w:val="0"/>
                <w:kern w:val="0"/>
              </w:rPr>
              <w:t>下表</w:t>
            </w:r>
            <w:r>
              <w:rPr>
                <w:snapToGrid w:val="0"/>
                <w:kern w:val="0"/>
              </w:rPr>
              <w:t>。</w:t>
            </w:r>
          </w:p>
          <w:p w14:paraId="426A57E3">
            <w:pPr>
              <w:pStyle w:val="4"/>
              <w:numPr>
                <w:ilvl w:val="1"/>
                <w:numId w:val="0"/>
              </w:numPr>
              <w:rPr>
                <w:rFonts w:eastAsia="黑体"/>
                <w:b w:val="0"/>
                <w:sz w:val="21"/>
                <w:szCs w:val="21"/>
              </w:rPr>
            </w:pPr>
            <w:bookmarkStart w:id="27" w:name="_Toc150173907"/>
            <w:r>
              <w:rPr>
                <w:rFonts w:hint="eastAsia" w:eastAsia="黑体"/>
                <w:b w:val="0"/>
                <w:sz w:val="21"/>
                <w:szCs w:val="21"/>
              </w:rPr>
              <w:t xml:space="preserve">表3-5   </w:t>
            </w:r>
            <w:r>
              <w:rPr>
                <w:rFonts w:eastAsia="黑体"/>
                <w:b w:val="0"/>
                <w:sz w:val="21"/>
                <w:szCs w:val="21"/>
              </w:rPr>
              <w:t>《地表水环境质量标准》（GB3838-2002）</w:t>
            </w:r>
            <w:r>
              <w:rPr>
                <w:rFonts w:hint="eastAsia" w:eastAsia="黑体"/>
                <w:b w:val="0"/>
                <w:sz w:val="21"/>
                <w:szCs w:val="21"/>
              </w:rPr>
              <w:t xml:space="preserve">   </w:t>
            </w:r>
            <w:r>
              <w:rPr>
                <w:rFonts w:eastAsia="黑体"/>
                <w:b w:val="0"/>
                <w:sz w:val="21"/>
                <w:szCs w:val="21"/>
              </w:rPr>
              <w:t>单位：mg/L（pH除外）</w:t>
            </w:r>
            <w:bookmarkEnd w:id="27"/>
          </w:p>
          <w:tbl>
            <w:tblPr>
              <w:tblStyle w:val="3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1"/>
              <w:gridCol w:w="1114"/>
              <w:gridCol w:w="1119"/>
              <w:gridCol w:w="1114"/>
              <w:gridCol w:w="1273"/>
              <w:gridCol w:w="1273"/>
              <w:gridCol w:w="1114"/>
            </w:tblGrid>
            <w:tr w14:paraId="6A3FD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3" w:type="pct"/>
                  <w:vAlign w:val="center"/>
                </w:tcPr>
                <w:p w14:paraId="1D067902">
                  <w:pPr>
                    <w:adjustRightInd w:val="0"/>
                    <w:snapToGrid w:val="0"/>
                    <w:jc w:val="center"/>
                    <w:rPr>
                      <w:b/>
                      <w:szCs w:val="18"/>
                    </w:rPr>
                  </w:pPr>
                  <w:r>
                    <w:rPr>
                      <w:b/>
                      <w:szCs w:val="18"/>
                    </w:rPr>
                    <w:t>项目</w:t>
                  </w:r>
                </w:p>
              </w:tc>
              <w:tc>
                <w:tcPr>
                  <w:tcW w:w="672" w:type="pct"/>
                  <w:vAlign w:val="center"/>
                </w:tcPr>
                <w:p w14:paraId="0FBE412A">
                  <w:pPr>
                    <w:adjustRightInd w:val="0"/>
                    <w:snapToGrid w:val="0"/>
                    <w:jc w:val="center"/>
                    <w:rPr>
                      <w:b/>
                      <w:szCs w:val="18"/>
                    </w:rPr>
                  </w:pPr>
                  <w:r>
                    <w:rPr>
                      <w:b/>
                      <w:szCs w:val="18"/>
                    </w:rPr>
                    <w:t>pH</w:t>
                  </w:r>
                </w:p>
              </w:tc>
              <w:tc>
                <w:tcPr>
                  <w:tcW w:w="675" w:type="pct"/>
                  <w:vAlign w:val="center"/>
                </w:tcPr>
                <w:p w14:paraId="690B2428">
                  <w:pPr>
                    <w:adjustRightInd w:val="0"/>
                    <w:snapToGrid w:val="0"/>
                    <w:jc w:val="center"/>
                    <w:rPr>
                      <w:b/>
                      <w:szCs w:val="18"/>
                    </w:rPr>
                  </w:pPr>
                  <w:r>
                    <w:rPr>
                      <w:b/>
                      <w:szCs w:val="18"/>
                    </w:rPr>
                    <w:t>氨氮</w:t>
                  </w:r>
                </w:p>
              </w:tc>
              <w:tc>
                <w:tcPr>
                  <w:tcW w:w="672" w:type="pct"/>
                  <w:vAlign w:val="center"/>
                </w:tcPr>
                <w:p w14:paraId="79617138">
                  <w:pPr>
                    <w:adjustRightInd w:val="0"/>
                    <w:snapToGrid w:val="0"/>
                    <w:jc w:val="center"/>
                    <w:rPr>
                      <w:b/>
                      <w:szCs w:val="18"/>
                      <w:vertAlign w:val="subscript"/>
                    </w:rPr>
                  </w:pPr>
                  <w:r>
                    <w:rPr>
                      <w:b/>
                      <w:snapToGrid w:val="0"/>
                      <w:kern w:val="0"/>
                      <w:szCs w:val="18"/>
                    </w:rPr>
                    <w:t>BOD</w:t>
                  </w:r>
                  <w:r>
                    <w:rPr>
                      <w:b/>
                      <w:snapToGrid w:val="0"/>
                      <w:kern w:val="0"/>
                      <w:szCs w:val="18"/>
                      <w:vertAlign w:val="subscript"/>
                    </w:rPr>
                    <w:t>5</w:t>
                  </w:r>
                </w:p>
              </w:tc>
              <w:tc>
                <w:tcPr>
                  <w:tcW w:w="768" w:type="pct"/>
                  <w:vAlign w:val="center"/>
                </w:tcPr>
                <w:p w14:paraId="7539EF90">
                  <w:pPr>
                    <w:adjustRightInd w:val="0"/>
                    <w:snapToGrid w:val="0"/>
                    <w:jc w:val="center"/>
                    <w:rPr>
                      <w:b/>
                      <w:szCs w:val="18"/>
                      <w:vertAlign w:val="subscript"/>
                    </w:rPr>
                  </w:pPr>
                  <w:r>
                    <w:rPr>
                      <w:b/>
                      <w:szCs w:val="18"/>
                    </w:rPr>
                    <w:t>COD</w:t>
                  </w:r>
                  <w:r>
                    <w:rPr>
                      <w:b/>
                      <w:szCs w:val="18"/>
                      <w:vertAlign w:val="subscript"/>
                    </w:rPr>
                    <w:t>Cr</w:t>
                  </w:r>
                </w:p>
              </w:tc>
              <w:tc>
                <w:tcPr>
                  <w:tcW w:w="768" w:type="pct"/>
                  <w:vAlign w:val="center"/>
                </w:tcPr>
                <w:p w14:paraId="0CC152A5">
                  <w:pPr>
                    <w:adjustRightInd w:val="0"/>
                    <w:snapToGrid w:val="0"/>
                    <w:jc w:val="center"/>
                    <w:rPr>
                      <w:b/>
                      <w:szCs w:val="18"/>
                    </w:rPr>
                  </w:pPr>
                  <w:r>
                    <w:rPr>
                      <w:b/>
                      <w:szCs w:val="18"/>
                    </w:rPr>
                    <w:t>石油类</w:t>
                  </w:r>
                </w:p>
              </w:tc>
              <w:tc>
                <w:tcPr>
                  <w:tcW w:w="672" w:type="pct"/>
                  <w:vAlign w:val="center"/>
                </w:tcPr>
                <w:p w14:paraId="79190B97">
                  <w:pPr>
                    <w:adjustRightInd w:val="0"/>
                    <w:snapToGrid w:val="0"/>
                    <w:jc w:val="center"/>
                    <w:rPr>
                      <w:b/>
                      <w:szCs w:val="18"/>
                    </w:rPr>
                  </w:pPr>
                  <w:r>
                    <w:rPr>
                      <w:b/>
                      <w:szCs w:val="18"/>
                    </w:rPr>
                    <w:t>总磷</w:t>
                  </w:r>
                </w:p>
              </w:tc>
            </w:tr>
            <w:tr w14:paraId="47BB57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3" w:type="pct"/>
                  <w:vAlign w:val="center"/>
                </w:tcPr>
                <w:p w14:paraId="18DAAC8F">
                  <w:pPr>
                    <w:adjustRightInd w:val="0"/>
                    <w:snapToGrid w:val="0"/>
                    <w:jc w:val="center"/>
                    <w:rPr>
                      <w:szCs w:val="18"/>
                    </w:rPr>
                  </w:pPr>
                  <w:r>
                    <w:rPr>
                      <w:szCs w:val="18"/>
                    </w:rPr>
                    <w:t>Ⅲ</w:t>
                  </w:r>
                  <w:r>
                    <w:rPr>
                      <w:rFonts w:hint="eastAsia"/>
                      <w:szCs w:val="18"/>
                    </w:rPr>
                    <w:t xml:space="preserve"> </w:t>
                  </w:r>
                  <w:r>
                    <w:rPr>
                      <w:szCs w:val="18"/>
                    </w:rPr>
                    <w:t>类标准</w:t>
                  </w:r>
                </w:p>
              </w:tc>
              <w:tc>
                <w:tcPr>
                  <w:tcW w:w="672" w:type="pct"/>
                  <w:vAlign w:val="center"/>
                </w:tcPr>
                <w:p w14:paraId="204320A8">
                  <w:pPr>
                    <w:adjustRightInd w:val="0"/>
                    <w:snapToGrid w:val="0"/>
                    <w:jc w:val="center"/>
                    <w:rPr>
                      <w:szCs w:val="18"/>
                    </w:rPr>
                  </w:pPr>
                  <w:r>
                    <w:rPr>
                      <w:szCs w:val="18"/>
                    </w:rPr>
                    <w:t>6～9</w:t>
                  </w:r>
                </w:p>
              </w:tc>
              <w:tc>
                <w:tcPr>
                  <w:tcW w:w="675" w:type="pct"/>
                  <w:vAlign w:val="center"/>
                </w:tcPr>
                <w:p w14:paraId="647E975A">
                  <w:pPr>
                    <w:adjustRightInd w:val="0"/>
                    <w:snapToGrid w:val="0"/>
                    <w:jc w:val="center"/>
                    <w:rPr>
                      <w:szCs w:val="18"/>
                    </w:rPr>
                  </w:pPr>
                  <w:r>
                    <w:rPr>
                      <w:rFonts w:asciiTheme="minorEastAsia" w:hAnsiTheme="minorEastAsia" w:eastAsiaTheme="minorEastAsia"/>
                      <w:szCs w:val="18"/>
                    </w:rPr>
                    <w:t>≤</w:t>
                  </w:r>
                  <w:r>
                    <w:rPr>
                      <w:szCs w:val="18"/>
                    </w:rPr>
                    <w:t>1.0</w:t>
                  </w:r>
                </w:p>
              </w:tc>
              <w:tc>
                <w:tcPr>
                  <w:tcW w:w="672" w:type="pct"/>
                  <w:vAlign w:val="center"/>
                </w:tcPr>
                <w:p w14:paraId="6BE42A5A">
                  <w:pPr>
                    <w:adjustRightInd w:val="0"/>
                    <w:snapToGrid w:val="0"/>
                    <w:jc w:val="center"/>
                    <w:rPr>
                      <w:szCs w:val="18"/>
                    </w:rPr>
                  </w:pPr>
                  <w:r>
                    <w:rPr>
                      <w:rFonts w:asciiTheme="minorEastAsia" w:hAnsiTheme="minorEastAsia" w:eastAsiaTheme="minorEastAsia"/>
                      <w:szCs w:val="18"/>
                    </w:rPr>
                    <w:t>≤</w:t>
                  </w:r>
                  <w:r>
                    <w:rPr>
                      <w:szCs w:val="18"/>
                    </w:rPr>
                    <w:t>4</w:t>
                  </w:r>
                </w:p>
              </w:tc>
              <w:tc>
                <w:tcPr>
                  <w:tcW w:w="768" w:type="pct"/>
                  <w:vAlign w:val="center"/>
                </w:tcPr>
                <w:p w14:paraId="69EB320C">
                  <w:pPr>
                    <w:adjustRightInd w:val="0"/>
                    <w:snapToGrid w:val="0"/>
                    <w:jc w:val="center"/>
                    <w:rPr>
                      <w:szCs w:val="18"/>
                    </w:rPr>
                  </w:pPr>
                  <w:r>
                    <w:rPr>
                      <w:rFonts w:asciiTheme="minorEastAsia" w:hAnsiTheme="minorEastAsia" w:eastAsiaTheme="minorEastAsia"/>
                      <w:szCs w:val="18"/>
                    </w:rPr>
                    <w:t>≤</w:t>
                  </w:r>
                  <w:r>
                    <w:rPr>
                      <w:szCs w:val="18"/>
                    </w:rPr>
                    <w:t>20</w:t>
                  </w:r>
                </w:p>
              </w:tc>
              <w:tc>
                <w:tcPr>
                  <w:tcW w:w="768" w:type="pct"/>
                  <w:vAlign w:val="center"/>
                </w:tcPr>
                <w:p w14:paraId="044F16C0">
                  <w:pPr>
                    <w:adjustRightInd w:val="0"/>
                    <w:snapToGrid w:val="0"/>
                    <w:jc w:val="center"/>
                    <w:rPr>
                      <w:szCs w:val="18"/>
                    </w:rPr>
                  </w:pPr>
                  <w:r>
                    <w:rPr>
                      <w:rFonts w:asciiTheme="minorEastAsia" w:hAnsiTheme="minorEastAsia" w:eastAsiaTheme="minorEastAsia"/>
                      <w:szCs w:val="18"/>
                    </w:rPr>
                    <w:t>≤</w:t>
                  </w:r>
                  <w:r>
                    <w:rPr>
                      <w:szCs w:val="18"/>
                    </w:rPr>
                    <w:t>0.05</w:t>
                  </w:r>
                </w:p>
              </w:tc>
              <w:tc>
                <w:tcPr>
                  <w:tcW w:w="672" w:type="pct"/>
                  <w:vAlign w:val="center"/>
                </w:tcPr>
                <w:p w14:paraId="73859DE2">
                  <w:pPr>
                    <w:adjustRightInd w:val="0"/>
                    <w:snapToGrid w:val="0"/>
                    <w:jc w:val="center"/>
                    <w:rPr>
                      <w:szCs w:val="18"/>
                    </w:rPr>
                  </w:pPr>
                  <w:r>
                    <w:rPr>
                      <w:rFonts w:asciiTheme="minorEastAsia" w:hAnsiTheme="minorEastAsia" w:eastAsiaTheme="minorEastAsia"/>
                      <w:szCs w:val="18"/>
                    </w:rPr>
                    <w:t>≤</w:t>
                  </w:r>
                  <w:r>
                    <w:rPr>
                      <w:szCs w:val="18"/>
                    </w:rPr>
                    <w:t>0.2</w:t>
                  </w:r>
                </w:p>
              </w:tc>
            </w:tr>
          </w:tbl>
          <w:p w14:paraId="6D80A4C5">
            <w:pPr>
              <w:spacing w:line="360" w:lineRule="auto"/>
              <w:ind w:firstLine="482" w:firstLineChars="200"/>
              <w:rPr>
                <w:b/>
                <w:sz w:val="24"/>
              </w:rPr>
            </w:pPr>
            <w:r>
              <w:rPr>
                <w:b/>
                <w:sz w:val="24"/>
              </w:rPr>
              <w:t>3、声学环境质量</w:t>
            </w:r>
          </w:p>
          <w:p w14:paraId="78663E97">
            <w:pPr>
              <w:pStyle w:val="86"/>
              <w:ind w:firstLine="480"/>
              <w:rPr>
                <w:rFonts w:ascii="Times New Roman" w:hAnsi="Times New Roman"/>
              </w:rPr>
            </w:pPr>
            <w:r>
              <w:rPr>
                <w:rFonts w:hint="eastAsia" w:ascii="Times New Roman" w:hAnsi="Times New Roman"/>
              </w:rPr>
              <w:t>参考《遂宁市中心城区声环境功能区划分方案》及《大英县声环境功能区划分方案》，交通干线两侧相邻区域为2类声环境功能区的，距离道路车行道边界线40m范围内区域为4a类声环境功能区，第一排建筑物执行《声环境质量标准》（GB3096-2008）4a类标准；40m外执行《声环境质量标准》（GB3096-2008）2类标准：昼间≤60dB(A)、夜间≤50dB(A)。标准限值见下表。</w:t>
            </w:r>
          </w:p>
          <w:p w14:paraId="26E3A3F1">
            <w:pPr>
              <w:pStyle w:val="4"/>
              <w:numPr>
                <w:ilvl w:val="1"/>
                <w:numId w:val="0"/>
              </w:numPr>
              <w:spacing w:line="240" w:lineRule="auto"/>
              <w:rPr>
                <w:rFonts w:eastAsia="黑体"/>
                <w:b w:val="0"/>
                <w:sz w:val="21"/>
                <w:szCs w:val="21"/>
              </w:rPr>
            </w:pPr>
            <w:bookmarkStart w:id="28" w:name="_Toc150173908"/>
            <w:r>
              <w:rPr>
                <w:rFonts w:hint="eastAsia" w:eastAsia="黑体"/>
                <w:b w:val="0"/>
                <w:sz w:val="21"/>
                <w:szCs w:val="21"/>
              </w:rPr>
              <w:t>表3-6   声环境</w:t>
            </w:r>
            <w:r>
              <w:rPr>
                <w:rFonts w:eastAsia="黑体"/>
                <w:b w:val="0"/>
                <w:sz w:val="21"/>
                <w:szCs w:val="21"/>
              </w:rPr>
              <w:t>质量执行标准</w:t>
            </w:r>
            <w:r>
              <w:rPr>
                <w:rFonts w:hint="eastAsia" w:eastAsia="黑体"/>
                <w:b w:val="0"/>
                <w:sz w:val="21"/>
                <w:szCs w:val="21"/>
              </w:rPr>
              <w:t xml:space="preserve">     </w:t>
            </w:r>
            <w:r>
              <w:rPr>
                <w:rFonts w:eastAsia="黑体"/>
                <w:b w:val="0"/>
                <w:sz w:val="21"/>
                <w:szCs w:val="21"/>
              </w:rPr>
              <w:t>单位：dB（A）</w:t>
            </w:r>
            <w:bookmarkEnd w:id="28"/>
          </w:p>
          <w:tbl>
            <w:tblPr>
              <w:tblStyle w:val="3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08"/>
              <w:gridCol w:w="1134"/>
              <w:gridCol w:w="849"/>
              <w:gridCol w:w="1097"/>
            </w:tblGrid>
            <w:tr w14:paraId="76A32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3142" w:type="pct"/>
                  <w:vMerge w:val="restart"/>
                  <w:vAlign w:val="center"/>
                </w:tcPr>
                <w:p w14:paraId="79006855">
                  <w:pPr>
                    <w:jc w:val="center"/>
                    <w:rPr>
                      <w:rFonts w:eastAsiaTheme="minorEastAsia"/>
                      <w:b/>
                      <w:szCs w:val="21"/>
                    </w:rPr>
                  </w:pPr>
                  <w:r>
                    <w:rPr>
                      <w:rFonts w:eastAsiaTheme="minorEastAsia"/>
                      <w:b/>
                      <w:szCs w:val="21"/>
                    </w:rPr>
                    <w:t>执行区域</w:t>
                  </w:r>
                </w:p>
              </w:tc>
              <w:tc>
                <w:tcPr>
                  <w:tcW w:w="1858" w:type="pct"/>
                  <w:gridSpan w:val="3"/>
                  <w:vAlign w:val="center"/>
                </w:tcPr>
                <w:p w14:paraId="2310C747">
                  <w:pPr>
                    <w:jc w:val="center"/>
                    <w:rPr>
                      <w:rFonts w:eastAsiaTheme="minorEastAsia"/>
                      <w:b/>
                      <w:szCs w:val="21"/>
                    </w:rPr>
                  </w:pPr>
                  <w:r>
                    <w:rPr>
                      <w:rFonts w:eastAsiaTheme="minorEastAsia"/>
                      <w:b/>
                      <w:szCs w:val="21"/>
                    </w:rPr>
                    <w:t>标准限值，LAeq dB（A）</w:t>
                  </w:r>
                </w:p>
              </w:tc>
            </w:tr>
            <w:tr w14:paraId="2F316A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42" w:type="pct"/>
                  <w:vMerge w:val="continue"/>
                  <w:vAlign w:val="center"/>
                </w:tcPr>
                <w:p w14:paraId="46F971F1">
                  <w:pPr>
                    <w:jc w:val="center"/>
                    <w:rPr>
                      <w:rFonts w:eastAsiaTheme="minorEastAsia"/>
                      <w:b/>
                      <w:szCs w:val="21"/>
                    </w:rPr>
                  </w:pPr>
                </w:p>
              </w:tc>
              <w:tc>
                <w:tcPr>
                  <w:tcW w:w="684" w:type="pct"/>
                  <w:vAlign w:val="center"/>
                </w:tcPr>
                <w:p w14:paraId="20322C0D">
                  <w:pPr>
                    <w:jc w:val="center"/>
                    <w:rPr>
                      <w:rFonts w:eastAsiaTheme="minorEastAsia"/>
                      <w:b/>
                      <w:szCs w:val="21"/>
                    </w:rPr>
                  </w:pPr>
                  <w:r>
                    <w:rPr>
                      <w:rFonts w:eastAsiaTheme="minorEastAsia"/>
                      <w:b/>
                      <w:szCs w:val="21"/>
                    </w:rPr>
                    <w:t>执行级别</w:t>
                  </w:r>
                </w:p>
              </w:tc>
              <w:tc>
                <w:tcPr>
                  <w:tcW w:w="512" w:type="pct"/>
                  <w:tcBorders>
                    <w:bottom w:val="single" w:color="auto" w:sz="4" w:space="0"/>
                  </w:tcBorders>
                  <w:vAlign w:val="center"/>
                </w:tcPr>
                <w:p w14:paraId="036D2CC1">
                  <w:pPr>
                    <w:jc w:val="center"/>
                    <w:rPr>
                      <w:rFonts w:eastAsiaTheme="minorEastAsia"/>
                      <w:b/>
                      <w:szCs w:val="21"/>
                    </w:rPr>
                  </w:pPr>
                  <w:r>
                    <w:rPr>
                      <w:rFonts w:eastAsiaTheme="minorEastAsia"/>
                      <w:b/>
                      <w:szCs w:val="21"/>
                    </w:rPr>
                    <w:t>昼间</w:t>
                  </w:r>
                </w:p>
              </w:tc>
              <w:tc>
                <w:tcPr>
                  <w:tcW w:w="662" w:type="pct"/>
                  <w:vAlign w:val="center"/>
                </w:tcPr>
                <w:p w14:paraId="3090425E">
                  <w:pPr>
                    <w:jc w:val="center"/>
                    <w:rPr>
                      <w:rFonts w:eastAsiaTheme="minorEastAsia"/>
                      <w:b/>
                      <w:szCs w:val="21"/>
                    </w:rPr>
                  </w:pPr>
                  <w:r>
                    <w:rPr>
                      <w:rFonts w:eastAsiaTheme="minorEastAsia"/>
                      <w:b/>
                      <w:szCs w:val="21"/>
                    </w:rPr>
                    <w:t>夜间</w:t>
                  </w:r>
                </w:p>
              </w:tc>
            </w:tr>
            <w:tr w14:paraId="46515C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3142" w:type="pct"/>
                  <w:vAlign w:val="center"/>
                </w:tcPr>
                <w:p w14:paraId="1705C300">
                  <w:pPr>
                    <w:jc w:val="center"/>
                    <w:rPr>
                      <w:rFonts w:eastAsiaTheme="minorEastAsia"/>
                      <w:szCs w:val="21"/>
                    </w:rPr>
                  </w:pPr>
                  <w:r>
                    <w:rPr>
                      <w:rFonts w:eastAsiaTheme="minorEastAsia"/>
                      <w:szCs w:val="21"/>
                    </w:rPr>
                    <w:t>道路（或铁路）边界线外40m范围内的区域；当临街建筑高于三层楼房以上（含三层）时，临街</w:t>
                  </w:r>
                </w:p>
              </w:tc>
              <w:tc>
                <w:tcPr>
                  <w:tcW w:w="684" w:type="pct"/>
                  <w:vAlign w:val="center"/>
                </w:tcPr>
                <w:p w14:paraId="588221DA">
                  <w:pPr>
                    <w:jc w:val="center"/>
                    <w:rPr>
                      <w:rFonts w:eastAsiaTheme="minorEastAsia"/>
                      <w:szCs w:val="21"/>
                    </w:rPr>
                  </w:pPr>
                  <w:r>
                    <w:rPr>
                      <w:rFonts w:eastAsiaTheme="minorEastAsia"/>
                      <w:szCs w:val="21"/>
                    </w:rPr>
                    <w:t>4a类</w:t>
                  </w:r>
                </w:p>
              </w:tc>
              <w:tc>
                <w:tcPr>
                  <w:tcW w:w="512" w:type="pct"/>
                  <w:tcBorders>
                    <w:top w:val="single" w:color="auto" w:sz="4" w:space="0"/>
                  </w:tcBorders>
                  <w:vAlign w:val="center"/>
                </w:tcPr>
                <w:p w14:paraId="0BF3F25A">
                  <w:pPr>
                    <w:jc w:val="center"/>
                    <w:rPr>
                      <w:rFonts w:eastAsiaTheme="minorEastAsia"/>
                      <w:szCs w:val="21"/>
                    </w:rPr>
                  </w:pPr>
                  <w:r>
                    <w:rPr>
                      <w:rFonts w:eastAsiaTheme="minorEastAsia"/>
                      <w:szCs w:val="21"/>
                    </w:rPr>
                    <w:t>70</w:t>
                  </w:r>
                </w:p>
              </w:tc>
              <w:tc>
                <w:tcPr>
                  <w:tcW w:w="662" w:type="pct"/>
                  <w:vAlign w:val="center"/>
                </w:tcPr>
                <w:p w14:paraId="145F9A6A">
                  <w:pPr>
                    <w:jc w:val="center"/>
                    <w:rPr>
                      <w:rFonts w:eastAsiaTheme="minorEastAsia"/>
                      <w:szCs w:val="21"/>
                    </w:rPr>
                  </w:pPr>
                  <w:r>
                    <w:rPr>
                      <w:rFonts w:eastAsiaTheme="minorEastAsia"/>
                      <w:szCs w:val="21"/>
                    </w:rPr>
                    <w:t>55</w:t>
                  </w:r>
                </w:p>
              </w:tc>
            </w:tr>
            <w:tr w14:paraId="105F69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3142" w:type="pct"/>
                  <w:vAlign w:val="center"/>
                </w:tcPr>
                <w:p w14:paraId="72DC4BC4">
                  <w:pPr>
                    <w:jc w:val="center"/>
                    <w:rPr>
                      <w:rFonts w:eastAsiaTheme="minorEastAsia"/>
                      <w:szCs w:val="21"/>
                    </w:rPr>
                  </w:pPr>
                  <w:r>
                    <w:rPr>
                      <w:rFonts w:eastAsiaTheme="minorEastAsia"/>
                      <w:szCs w:val="21"/>
                    </w:rPr>
                    <w:t>建筑面向拟建道路一侧至拟建道路边界线区域</w:t>
                  </w:r>
                </w:p>
              </w:tc>
              <w:tc>
                <w:tcPr>
                  <w:tcW w:w="684" w:type="pct"/>
                  <w:vAlign w:val="center"/>
                </w:tcPr>
                <w:p w14:paraId="326E56AB">
                  <w:pPr>
                    <w:jc w:val="center"/>
                    <w:rPr>
                      <w:rFonts w:eastAsiaTheme="minorEastAsia"/>
                      <w:szCs w:val="21"/>
                    </w:rPr>
                  </w:pPr>
                  <w:r>
                    <w:rPr>
                      <w:rFonts w:eastAsiaTheme="minorEastAsia"/>
                      <w:szCs w:val="21"/>
                    </w:rPr>
                    <w:t>4b类</w:t>
                  </w:r>
                </w:p>
              </w:tc>
              <w:tc>
                <w:tcPr>
                  <w:tcW w:w="512" w:type="pct"/>
                  <w:tcBorders>
                    <w:top w:val="single" w:color="auto" w:sz="4" w:space="0"/>
                  </w:tcBorders>
                  <w:vAlign w:val="center"/>
                </w:tcPr>
                <w:p w14:paraId="7F831BE3">
                  <w:pPr>
                    <w:jc w:val="center"/>
                    <w:rPr>
                      <w:rFonts w:eastAsiaTheme="minorEastAsia"/>
                      <w:szCs w:val="21"/>
                    </w:rPr>
                  </w:pPr>
                  <w:r>
                    <w:rPr>
                      <w:rFonts w:eastAsiaTheme="minorEastAsia"/>
                      <w:szCs w:val="21"/>
                    </w:rPr>
                    <w:t>70</w:t>
                  </w:r>
                </w:p>
              </w:tc>
              <w:tc>
                <w:tcPr>
                  <w:tcW w:w="662" w:type="pct"/>
                  <w:vAlign w:val="center"/>
                </w:tcPr>
                <w:p w14:paraId="07C542B4">
                  <w:pPr>
                    <w:jc w:val="center"/>
                    <w:rPr>
                      <w:rFonts w:eastAsiaTheme="minorEastAsia"/>
                      <w:szCs w:val="21"/>
                    </w:rPr>
                  </w:pPr>
                  <w:r>
                    <w:rPr>
                      <w:rFonts w:eastAsiaTheme="minorEastAsia"/>
                      <w:szCs w:val="21"/>
                    </w:rPr>
                    <w:t>60</w:t>
                  </w:r>
                </w:p>
              </w:tc>
            </w:tr>
            <w:tr w14:paraId="437E2D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7" w:hRule="atLeast"/>
              </w:trPr>
              <w:tc>
                <w:tcPr>
                  <w:tcW w:w="3142" w:type="pct"/>
                  <w:vAlign w:val="center"/>
                </w:tcPr>
                <w:p w14:paraId="3DFFCF93">
                  <w:pPr>
                    <w:jc w:val="center"/>
                    <w:rPr>
                      <w:rFonts w:eastAsiaTheme="minorEastAsia"/>
                      <w:szCs w:val="21"/>
                    </w:rPr>
                  </w:pPr>
                  <w:r>
                    <w:rPr>
                      <w:rFonts w:eastAsiaTheme="minorEastAsia"/>
                      <w:szCs w:val="21"/>
                    </w:rPr>
                    <w:t>道路（或铁路）边界线外40m以外区域；当临路建筑物高于三层时，临路建筑物第二排（含）起以外的区域</w:t>
                  </w:r>
                </w:p>
              </w:tc>
              <w:tc>
                <w:tcPr>
                  <w:tcW w:w="684" w:type="pct"/>
                  <w:vAlign w:val="center"/>
                </w:tcPr>
                <w:p w14:paraId="7AFEEC77">
                  <w:pPr>
                    <w:jc w:val="center"/>
                    <w:rPr>
                      <w:rFonts w:eastAsiaTheme="minorEastAsia"/>
                      <w:szCs w:val="21"/>
                    </w:rPr>
                  </w:pPr>
                  <w:r>
                    <w:rPr>
                      <w:rFonts w:eastAsiaTheme="minorEastAsia"/>
                      <w:szCs w:val="21"/>
                    </w:rPr>
                    <w:t>2类</w:t>
                  </w:r>
                </w:p>
              </w:tc>
              <w:tc>
                <w:tcPr>
                  <w:tcW w:w="512" w:type="pct"/>
                  <w:vAlign w:val="center"/>
                </w:tcPr>
                <w:p w14:paraId="5AB43153">
                  <w:pPr>
                    <w:jc w:val="center"/>
                    <w:rPr>
                      <w:rFonts w:eastAsiaTheme="minorEastAsia"/>
                      <w:szCs w:val="21"/>
                    </w:rPr>
                  </w:pPr>
                  <w:r>
                    <w:rPr>
                      <w:rFonts w:eastAsiaTheme="minorEastAsia"/>
                      <w:szCs w:val="21"/>
                    </w:rPr>
                    <w:t>60</w:t>
                  </w:r>
                </w:p>
              </w:tc>
              <w:tc>
                <w:tcPr>
                  <w:tcW w:w="662" w:type="pct"/>
                  <w:vAlign w:val="center"/>
                </w:tcPr>
                <w:p w14:paraId="33B4E230">
                  <w:pPr>
                    <w:jc w:val="center"/>
                    <w:rPr>
                      <w:rFonts w:eastAsiaTheme="minorEastAsia"/>
                      <w:szCs w:val="21"/>
                    </w:rPr>
                  </w:pPr>
                  <w:r>
                    <w:rPr>
                      <w:rFonts w:eastAsiaTheme="minorEastAsia"/>
                      <w:szCs w:val="21"/>
                    </w:rPr>
                    <w:t>50</w:t>
                  </w:r>
                </w:p>
              </w:tc>
            </w:tr>
          </w:tbl>
          <w:p w14:paraId="56D4F0B9">
            <w:pPr>
              <w:adjustRightInd w:val="0"/>
              <w:snapToGrid w:val="0"/>
              <w:spacing w:line="360" w:lineRule="auto"/>
              <w:ind w:firstLine="482" w:firstLineChars="200"/>
              <w:rPr>
                <w:b/>
                <w:bCs/>
                <w:sz w:val="24"/>
              </w:rPr>
            </w:pPr>
            <w:r>
              <w:rPr>
                <w:rFonts w:hint="eastAsia"/>
                <w:b/>
                <w:bCs/>
                <w:sz w:val="24"/>
              </w:rPr>
              <w:t>二、污染物排放标准</w:t>
            </w:r>
          </w:p>
          <w:p w14:paraId="16407ADA">
            <w:pPr>
              <w:spacing w:line="360" w:lineRule="auto"/>
              <w:ind w:firstLine="482" w:firstLineChars="200"/>
              <w:rPr>
                <w:b/>
                <w:sz w:val="24"/>
              </w:rPr>
            </w:pPr>
            <w:r>
              <w:rPr>
                <w:b/>
                <w:sz w:val="24"/>
              </w:rPr>
              <w:t>1、</w:t>
            </w:r>
            <w:r>
              <w:rPr>
                <w:rFonts w:hint="eastAsia"/>
                <w:b/>
                <w:sz w:val="24"/>
              </w:rPr>
              <w:t>废气</w:t>
            </w:r>
            <w:r>
              <w:rPr>
                <w:b/>
                <w:sz w:val="24"/>
              </w:rPr>
              <w:t>污染物排放标准</w:t>
            </w:r>
          </w:p>
          <w:p w14:paraId="2F0937D7">
            <w:pPr>
              <w:spacing w:line="360" w:lineRule="auto"/>
              <w:ind w:firstLine="480" w:firstLineChars="200"/>
              <w:rPr>
                <w:snapToGrid w:val="0"/>
                <w:kern w:val="0"/>
                <w:sz w:val="24"/>
              </w:rPr>
            </w:pPr>
            <w:r>
              <w:rPr>
                <w:rFonts w:hint="eastAsia"/>
                <w:snapToGrid w:val="0"/>
                <w:kern w:val="0"/>
                <w:sz w:val="24"/>
              </w:rPr>
              <w:t>项目施工期施工场地扬尘排放应执行《四川省施工场地扬尘排放标准》（DB51/2682-2020）中表1标准，具体见下表。</w:t>
            </w:r>
          </w:p>
          <w:p w14:paraId="4EE8D1F4">
            <w:pPr>
              <w:pStyle w:val="4"/>
              <w:numPr>
                <w:ilvl w:val="1"/>
                <w:numId w:val="0"/>
              </w:numPr>
              <w:spacing w:line="240" w:lineRule="auto"/>
              <w:rPr>
                <w:rFonts w:eastAsia="黑体"/>
                <w:b w:val="0"/>
                <w:sz w:val="21"/>
                <w:szCs w:val="21"/>
              </w:rPr>
            </w:pPr>
            <w:bookmarkStart w:id="29" w:name="_Toc150173909"/>
            <w:r>
              <w:rPr>
                <w:rFonts w:hint="eastAsia" w:eastAsia="黑体"/>
                <w:b w:val="0"/>
                <w:sz w:val="21"/>
                <w:szCs w:val="21"/>
              </w:rPr>
              <w:t>表3-7   四川省施工场地扬尘排放标准排放限值  单位：</w:t>
            </w:r>
            <w:r>
              <w:rPr>
                <w:rFonts w:eastAsia="黑体"/>
                <w:b w:val="0"/>
                <w:sz w:val="21"/>
                <w:szCs w:val="21"/>
              </w:rPr>
              <w:t>μg/m3</w:t>
            </w:r>
            <w:bookmarkEnd w:id="29"/>
          </w:p>
          <w:p w14:paraId="1555EA3A">
            <w:pPr>
              <w:kinsoku w:val="0"/>
              <w:overflowPunct w:val="0"/>
              <w:autoSpaceDE w:val="0"/>
              <w:autoSpaceDN w:val="0"/>
              <w:adjustRightInd w:val="0"/>
              <w:spacing w:before="6" w:line="60" w:lineRule="exact"/>
              <w:jc w:val="left"/>
              <w:rPr>
                <w:kern w:val="0"/>
                <w:sz w:val="6"/>
                <w:szCs w:val="6"/>
              </w:rPr>
            </w:pPr>
          </w:p>
          <w:tbl>
            <w:tblPr>
              <w:tblStyle w:val="33"/>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3"/>
              <w:gridCol w:w="844"/>
              <w:gridCol w:w="2047"/>
              <w:gridCol w:w="2205"/>
              <w:gridCol w:w="1669"/>
            </w:tblGrid>
            <w:tr w14:paraId="05972E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9" w:type="pct"/>
                  <w:vAlign w:val="center"/>
                </w:tcPr>
                <w:p w14:paraId="4A5E016A">
                  <w:pPr>
                    <w:autoSpaceDE w:val="0"/>
                    <w:autoSpaceDN w:val="0"/>
                    <w:adjustRightInd w:val="0"/>
                    <w:snapToGrid w:val="0"/>
                    <w:jc w:val="center"/>
                    <w:rPr>
                      <w:b/>
                      <w:kern w:val="0"/>
                      <w:szCs w:val="21"/>
                    </w:rPr>
                  </w:pPr>
                  <w:bookmarkStart w:id="30" w:name="bookmark0"/>
                  <w:bookmarkEnd w:id="30"/>
                  <w:r>
                    <w:rPr>
                      <w:b/>
                      <w:kern w:val="0"/>
                      <w:szCs w:val="21"/>
                    </w:rPr>
                    <w:t>监测项目</w:t>
                  </w:r>
                </w:p>
              </w:tc>
              <w:tc>
                <w:tcPr>
                  <w:tcW w:w="509" w:type="pct"/>
                  <w:vAlign w:val="center"/>
                </w:tcPr>
                <w:p w14:paraId="60488B8B">
                  <w:pPr>
                    <w:autoSpaceDE w:val="0"/>
                    <w:autoSpaceDN w:val="0"/>
                    <w:adjustRightInd w:val="0"/>
                    <w:snapToGrid w:val="0"/>
                    <w:jc w:val="center"/>
                    <w:rPr>
                      <w:b/>
                      <w:kern w:val="0"/>
                      <w:szCs w:val="21"/>
                    </w:rPr>
                  </w:pPr>
                  <w:r>
                    <w:rPr>
                      <w:b/>
                      <w:kern w:val="0"/>
                      <w:szCs w:val="21"/>
                    </w:rPr>
                    <w:t>区域</w:t>
                  </w:r>
                </w:p>
              </w:tc>
              <w:tc>
                <w:tcPr>
                  <w:tcW w:w="1235" w:type="pct"/>
                  <w:vAlign w:val="center"/>
                </w:tcPr>
                <w:p w14:paraId="09D9F554">
                  <w:pPr>
                    <w:autoSpaceDE w:val="0"/>
                    <w:autoSpaceDN w:val="0"/>
                    <w:adjustRightInd w:val="0"/>
                    <w:snapToGrid w:val="0"/>
                    <w:jc w:val="center"/>
                    <w:rPr>
                      <w:b/>
                      <w:kern w:val="0"/>
                      <w:szCs w:val="21"/>
                    </w:rPr>
                  </w:pPr>
                  <w:r>
                    <w:rPr>
                      <w:b/>
                      <w:kern w:val="0"/>
                      <w:szCs w:val="21"/>
                    </w:rPr>
                    <w:t>施工阶段</w:t>
                  </w:r>
                </w:p>
              </w:tc>
              <w:tc>
                <w:tcPr>
                  <w:tcW w:w="1330" w:type="pct"/>
                  <w:vAlign w:val="center"/>
                </w:tcPr>
                <w:p w14:paraId="16EB423F">
                  <w:pPr>
                    <w:autoSpaceDE w:val="0"/>
                    <w:autoSpaceDN w:val="0"/>
                    <w:adjustRightInd w:val="0"/>
                    <w:snapToGrid w:val="0"/>
                    <w:jc w:val="center"/>
                    <w:rPr>
                      <w:b/>
                      <w:kern w:val="0"/>
                      <w:szCs w:val="21"/>
                    </w:rPr>
                  </w:pPr>
                  <w:r>
                    <w:rPr>
                      <w:b/>
                      <w:kern w:val="0"/>
                      <w:szCs w:val="21"/>
                    </w:rPr>
                    <w:t>监测点排放限值</w:t>
                  </w:r>
                </w:p>
              </w:tc>
              <w:tc>
                <w:tcPr>
                  <w:tcW w:w="1007" w:type="pct"/>
                  <w:vAlign w:val="center"/>
                </w:tcPr>
                <w:p w14:paraId="1930A470">
                  <w:pPr>
                    <w:autoSpaceDE w:val="0"/>
                    <w:autoSpaceDN w:val="0"/>
                    <w:adjustRightInd w:val="0"/>
                    <w:snapToGrid w:val="0"/>
                    <w:jc w:val="center"/>
                    <w:rPr>
                      <w:b/>
                      <w:kern w:val="0"/>
                      <w:szCs w:val="21"/>
                    </w:rPr>
                  </w:pPr>
                  <w:r>
                    <w:rPr>
                      <w:b/>
                      <w:kern w:val="0"/>
                      <w:szCs w:val="21"/>
                    </w:rPr>
                    <w:t>监测时间</w:t>
                  </w:r>
                </w:p>
              </w:tc>
            </w:tr>
            <w:tr w14:paraId="3BAD80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trPr>
              <w:tc>
                <w:tcPr>
                  <w:tcW w:w="919" w:type="pct"/>
                  <w:vMerge w:val="restart"/>
                  <w:tcBorders>
                    <w:bottom w:val="single" w:color="auto" w:sz="6" w:space="0"/>
                  </w:tcBorders>
                  <w:vAlign w:val="center"/>
                </w:tcPr>
                <w:p w14:paraId="6F32416E">
                  <w:pPr>
                    <w:autoSpaceDE w:val="0"/>
                    <w:autoSpaceDN w:val="0"/>
                    <w:adjustRightInd w:val="0"/>
                    <w:snapToGrid w:val="0"/>
                    <w:jc w:val="center"/>
                    <w:rPr>
                      <w:kern w:val="0"/>
                      <w:szCs w:val="21"/>
                    </w:rPr>
                  </w:pPr>
                  <w:r>
                    <w:rPr>
                      <w:rFonts w:hint="eastAsia"/>
                      <w:kern w:val="0"/>
                      <w:szCs w:val="21"/>
                    </w:rPr>
                    <w:t>总悬浮颗粒物</w:t>
                  </w:r>
                </w:p>
                <w:p w14:paraId="455FF749">
                  <w:pPr>
                    <w:autoSpaceDE w:val="0"/>
                    <w:autoSpaceDN w:val="0"/>
                    <w:adjustRightInd w:val="0"/>
                    <w:snapToGrid w:val="0"/>
                    <w:jc w:val="center"/>
                    <w:rPr>
                      <w:kern w:val="0"/>
                      <w:szCs w:val="21"/>
                    </w:rPr>
                  </w:pPr>
                  <w:r>
                    <w:rPr>
                      <w:rFonts w:hint="eastAsia"/>
                      <w:kern w:val="0"/>
                      <w:szCs w:val="21"/>
                    </w:rPr>
                    <w:t>（TSP）</w:t>
                  </w:r>
                </w:p>
              </w:tc>
              <w:tc>
                <w:tcPr>
                  <w:tcW w:w="509" w:type="pct"/>
                  <w:vMerge w:val="restart"/>
                  <w:vAlign w:val="center"/>
                </w:tcPr>
                <w:p w14:paraId="0B41F376">
                  <w:pPr>
                    <w:autoSpaceDE w:val="0"/>
                    <w:autoSpaceDN w:val="0"/>
                    <w:adjustRightInd w:val="0"/>
                    <w:snapToGrid w:val="0"/>
                    <w:jc w:val="center"/>
                    <w:rPr>
                      <w:kern w:val="0"/>
                      <w:szCs w:val="21"/>
                    </w:rPr>
                  </w:pPr>
                  <w:r>
                    <w:rPr>
                      <w:rFonts w:hint="eastAsia"/>
                      <w:kern w:val="0"/>
                      <w:szCs w:val="21"/>
                    </w:rPr>
                    <w:t>遂宁市</w:t>
                  </w:r>
                </w:p>
              </w:tc>
              <w:tc>
                <w:tcPr>
                  <w:tcW w:w="1235" w:type="pct"/>
                  <w:tcBorders>
                    <w:bottom w:val="single" w:color="auto" w:sz="6" w:space="0"/>
                  </w:tcBorders>
                  <w:vAlign w:val="center"/>
                </w:tcPr>
                <w:p w14:paraId="7E7F2C9A">
                  <w:pPr>
                    <w:autoSpaceDE w:val="0"/>
                    <w:autoSpaceDN w:val="0"/>
                    <w:adjustRightInd w:val="0"/>
                    <w:snapToGrid w:val="0"/>
                    <w:jc w:val="center"/>
                    <w:rPr>
                      <w:kern w:val="0"/>
                      <w:szCs w:val="21"/>
                    </w:rPr>
                  </w:pPr>
                  <w:r>
                    <w:rPr>
                      <w:kern w:val="0"/>
                      <w:szCs w:val="21"/>
                    </w:rPr>
                    <w:t>拆除工程/土方开挖/土方回填阶段</w:t>
                  </w:r>
                </w:p>
              </w:tc>
              <w:tc>
                <w:tcPr>
                  <w:tcW w:w="1330" w:type="pct"/>
                  <w:tcBorders>
                    <w:bottom w:val="single" w:color="auto" w:sz="6" w:space="0"/>
                  </w:tcBorders>
                  <w:vAlign w:val="center"/>
                </w:tcPr>
                <w:p w14:paraId="6B9830D7">
                  <w:pPr>
                    <w:autoSpaceDE w:val="0"/>
                    <w:autoSpaceDN w:val="0"/>
                    <w:adjustRightInd w:val="0"/>
                    <w:snapToGrid w:val="0"/>
                    <w:jc w:val="center"/>
                    <w:rPr>
                      <w:kern w:val="0"/>
                      <w:szCs w:val="21"/>
                    </w:rPr>
                  </w:pPr>
                  <w:r>
                    <w:rPr>
                      <w:kern w:val="0"/>
                      <w:szCs w:val="21"/>
                    </w:rPr>
                    <w:t>600</w:t>
                  </w:r>
                </w:p>
              </w:tc>
              <w:tc>
                <w:tcPr>
                  <w:tcW w:w="1007" w:type="pct"/>
                  <w:vMerge w:val="restart"/>
                  <w:tcBorders>
                    <w:bottom w:val="single" w:color="auto" w:sz="6" w:space="0"/>
                  </w:tcBorders>
                  <w:vAlign w:val="center"/>
                </w:tcPr>
                <w:p w14:paraId="6C8173E2">
                  <w:pPr>
                    <w:autoSpaceDE w:val="0"/>
                    <w:autoSpaceDN w:val="0"/>
                    <w:adjustRightInd w:val="0"/>
                    <w:snapToGrid w:val="0"/>
                    <w:jc w:val="center"/>
                    <w:rPr>
                      <w:kern w:val="0"/>
                      <w:szCs w:val="21"/>
                    </w:rPr>
                  </w:pPr>
                  <w:r>
                    <w:rPr>
                      <w:rFonts w:hint="eastAsia"/>
                      <w:kern w:val="0"/>
                      <w:szCs w:val="21"/>
                    </w:rPr>
                    <w:t>自监测起持续</w:t>
                  </w:r>
                  <w:r>
                    <w:rPr>
                      <w:kern w:val="0"/>
                      <w:szCs w:val="21"/>
                    </w:rPr>
                    <w:t>15分钟</w:t>
                  </w:r>
                </w:p>
              </w:tc>
            </w:tr>
            <w:tr w14:paraId="64371A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5" w:hRule="atLeast"/>
              </w:trPr>
              <w:tc>
                <w:tcPr>
                  <w:tcW w:w="919" w:type="pct"/>
                  <w:vMerge w:val="continue"/>
                  <w:vAlign w:val="center"/>
                </w:tcPr>
                <w:p w14:paraId="64373F69">
                  <w:pPr>
                    <w:autoSpaceDE w:val="0"/>
                    <w:autoSpaceDN w:val="0"/>
                    <w:adjustRightInd w:val="0"/>
                    <w:snapToGrid w:val="0"/>
                    <w:jc w:val="center"/>
                    <w:rPr>
                      <w:kern w:val="0"/>
                      <w:szCs w:val="21"/>
                    </w:rPr>
                  </w:pPr>
                </w:p>
              </w:tc>
              <w:tc>
                <w:tcPr>
                  <w:tcW w:w="509" w:type="pct"/>
                  <w:vMerge w:val="continue"/>
                  <w:vAlign w:val="center"/>
                </w:tcPr>
                <w:p w14:paraId="76810412">
                  <w:pPr>
                    <w:autoSpaceDE w:val="0"/>
                    <w:autoSpaceDN w:val="0"/>
                    <w:adjustRightInd w:val="0"/>
                    <w:snapToGrid w:val="0"/>
                    <w:jc w:val="center"/>
                    <w:rPr>
                      <w:kern w:val="0"/>
                      <w:szCs w:val="21"/>
                    </w:rPr>
                  </w:pPr>
                </w:p>
              </w:tc>
              <w:tc>
                <w:tcPr>
                  <w:tcW w:w="1235" w:type="pct"/>
                  <w:vAlign w:val="center"/>
                </w:tcPr>
                <w:p w14:paraId="120B4AFB">
                  <w:pPr>
                    <w:autoSpaceDE w:val="0"/>
                    <w:autoSpaceDN w:val="0"/>
                    <w:adjustRightInd w:val="0"/>
                    <w:snapToGrid w:val="0"/>
                    <w:jc w:val="center"/>
                    <w:rPr>
                      <w:kern w:val="0"/>
                      <w:szCs w:val="21"/>
                    </w:rPr>
                  </w:pPr>
                  <w:r>
                    <w:rPr>
                      <w:kern w:val="0"/>
                      <w:szCs w:val="21"/>
                    </w:rPr>
                    <w:t>其他工程阶段</w:t>
                  </w:r>
                </w:p>
              </w:tc>
              <w:tc>
                <w:tcPr>
                  <w:tcW w:w="1330" w:type="pct"/>
                  <w:vAlign w:val="center"/>
                </w:tcPr>
                <w:p w14:paraId="79D3F5BA">
                  <w:pPr>
                    <w:autoSpaceDE w:val="0"/>
                    <w:autoSpaceDN w:val="0"/>
                    <w:adjustRightInd w:val="0"/>
                    <w:snapToGrid w:val="0"/>
                    <w:jc w:val="center"/>
                    <w:rPr>
                      <w:kern w:val="0"/>
                      <w:szCs w:val="21"/>
                    </w:rPr>
                  </w:pPr>
                  <w:r>
                    <w:rPr>
                      <w:kern w:val="0"/>
                      <w:szCs w:val="21"/>
                    </w:rPr>
                    <w:t>250</w:t>
                  </w:r>
                </w:p>
              </w:tc>
              <w:tc>
                <w:tcPr>
                  <w:tcW w:w="1007" w:type="pct"/>
                  <w:vMerge w:val="continue"/>
                  <w:vAlign w:val="center"/>
                </w:tcPr>
                <w:p w14:paraId="02F4CA13">
                  <w:pPr>
                    <w:autoSpaceDE w:val="0"/>
                    <w:autoSpaceDN w:val="0"/>
                    <w:adjustRightInd w:val="0"/>
                    <w:snapToGrid w:val="0"/>
                    <w:jc w:val="center"/>
                    <w:rPr>
                      <w:kern w:val="0"/>
                      <w:szCs w:val="21"/>
                    </w:rPr>
                  </w:pPr>
                </w:p>
              </w:tc>
            </w:tr>
          </w:tbl>
          <w:p w14:paraId="683CCE78">
            <w:pPr>
              <w:spacing w:line="360" w:lineRule="auto"/>
              <w:ind w:firstLine="482" w:firstLineChars="200"/>
              <w:rPr>
                <w:b/>
                <w:sz w:val="24"/>
              </w:rPr>
            </w:pPr>
            <w:r>
              <w:rPr>
                <w:b/>
                <w:sz w:val="24"/>
              </w:rPr>
              <w:t>2、废水污染物排放标准</w:t>
            </w:r>
          </w:p>
          <w:p w14:paraId="2ABE2611">
            <w:pPr>
              <w:spacing w:line="360" w:lineRule="auto"/>
              <w:ind w:firstLine="480" w:firstLineChars="200"/>
              <w:rPr>
                <w:sz w:val="24"/>
              </w:rPr>
            </w:pPr>
            <w:r>
              <w:rPr>
                <w:rFonts w:hint="eastAsia"/>
                <w:sz w:val="24"/>
              </w:rPr>
              <w:t>项目施工期施工废水全部回用，不外排；施工人员生活污水依托沿线民房已建污水处理设施处理后用作农肥或外排市政管网，废水排放执行《污水综合排放标准》(GB8978-1996）表4中的三级排放标准，</w:t>
            </w:r>
            <w:r>
              <w:rPr>
                <w:sz w:val="24"/>
              </w:rPr>
              <w:t xml:space="preserve"> NH</w:t>
            </w:r>
            <w:r>
              <w:rPr>
                <w:sz w:val="24"/>
                <w:vertAlign w:val="subscript"/>
              </w:rPr>
              <w:t>3</w:t>
            </w:r>
            <w:r>
              <w:rPr>
                <w:sz w:val="24"/>
              </w:rPr>
              <w:t>-N、TP执行《污水排入城镇下水道水质标准》</w:t>
            </w:r>
            <w:r>
              <w:rPr>
                <w:rFonts w:hint="eastAsia"/>
                <w:sz w:val="24"/>
              </w:rPr>
              <w:t>（</w:t>
            </w:r>
            <w:r>
              <w:rPr>
                <w:sz w:val="24"/>
              </w:rPr>
              <w:t>GB/T31962-2015</w:t>
            </w:r>
            <w:r>
              <w:rPr>
                <w:rFonts w:hint="eastAsia"/>
                <w:sz w:val="24"/>
              </w:rPr>
              <w:t>）</w:t>
            </w:r>
            <w:r>
              <w:rPr>
                <w:sz w:val="24"/>
              </w:rPr>
              <w:t>中B级标准</w:t>
            </w:r>
            <w:r>
              <w:rPr>
                <w:rFonts w:hint="eastAsia"/>
                <w:sz w:val="24"/>
              </w:rPr>
              <w:t>，</w:t>
            </w:r>
            <w:r>
              <w:rPr>
                <w:sz w:val="24"/>
              </w:rPr>
              <w:t>具体的规定值如下：</w:t>
            </w:r>
          </w:p>
          <w:p w14:paraId="10FFCA76">
            <w:pPr>
              <w:pStyle w:val="4"/>
              <w:numPr>
                <w:ilvl w:val="1"/>
                <w:numId w:val="0"/>
              </w:numPr>
              <w:rPr>
                <w:rFonts w:eastAsia="黑体"/>
                <w:b w:val="0"/>
                <w:sz w:val="21"/>
                <w:szCs w:val="21"/>
              </w:rPr>
            </w:pPr>
            <w:bookmarkStart w:id="31" w:name="_Toc150173910"/>
            <w:r>
              <w:rPr>
                <w:rFonts w:hint="eastAsia" w:eastAsia="黑体"/>
                <w:b w:val="0"/>
                <w:sz w:val="21"/>
                <w:szCs w:val="21"/>
              </w:rPr>
              <w:t xml:space="preserve">表3-8     </w:t>
            </w:r>
            <w:r>
              <w:rPr>
                <w:rFonts w:eastAsia="黑体"/>
                <w:b w:val="0"/>
                <w:sz w:val="21"/>
                <w:szCs w:val="21"/>
              </w:rPr>
              <w:t>《污水综合排放标准》（GB8978-96）</w:t>
            </w:r>
            <w:r>
              <w:rPr>
                <w:rFonts w:hint="eastAsia" w:eastAsia="黑体"/>
                <w:b w:val="0"/>
                <w:sz w:val="21"/>
                <w:szCs w:val="21"/>
              </w:rPr>
              <w:t xml:space="preserve">    </w:t>
            </w:r>
            <w:r>
              <w:rPr>
                <w:rFonts w:eastAsia="黑体"/>
                <w:b w:val="0"/>
                <w:sz w:val="21"/>
                <w:szCs w:val="21"/>
              </w:rPr>
              <w:t>单位：mg/L</w:t>
            </w:r>
            <w:bookmarkEnd w:id="31"/>
          </w:p>
          <w:tbl>
            <w:tblPr>
              <w:tblStyle w:val="3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78"/>
              <w:gridCol w:w="690"/>
              <w:gridCol w:w="974"/>
              <w:gridCol w:w="1111"/>
              <w:gridCol w:w="705"/>
              <w:gridCol w:w="821"/>
              <w:gridCol w:w="704"/>
            </w:tblGrid>
            <w:tr w14:paraId="468FC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9" w:type="pct"/>
                  <w:vAlign w:val="center"/>
                </w:tcPr>
                <w:p w14:paraId="312FE8E1">
                  <w:pPr>
                    <w:adjustRightInd w:val="0"/>
                    <w:snapToGrid w:val="0"/>
                    <w:jc w:val="center"/>
                    <w:rPr>
                      <w:b/>
                      <w:snapToGrid w:val="0"/>
                      <w:kern w:val="0"/>
                      <w:szCs w:val="21"/>
                    </w:rPr>
                  </w:pPr>
                  <w:r>
                    <w:rPr>
                      <w:b/>
                      <w:snapToGrid w:val="0"/>
                      <w:kern w:val="0"/>
                      <w:szCs w:val="21"/>
                    </w:rPr>
                    <w:t>评价标准</w:t>
                  </w:r>
                </w:p>
              </w:tc>
              <w:tc>
                <w:tcPr>
                  <w:tcW w:w="427" w:type="pct"/>
                  <w:vAlign w:val="center"/>
                </w:tcPr>
                <w:p w14:paraId="756FF650">
                  <w:pPr>
                    <w:adjustRightInd w:val="0"/>
                    <w:snapToGrid w:val="0"/>
                    <w:jc w:val="center"/>
                    <w:rPr>
                      <w:b/>
                      <w:snapToGrid w:val="0"/>
                      <w:kern w:val="0"/>
                      <w:szCs w:val="21"/>
                    </w:rPr>
                  </w:pPr>
                  <w:r>
                    <w:rPr>
                      <w:b/>
                      <w:snapToGrid w:val="0"/>
                      <w:kern w:val="0"/>
                      <w:szCs w:val="21"/>
                    </w:rPr>
                    <w:t>SS</w:t>
                  </w:r>
                </w:p>
              </w:tc>
              <w:tc>
                <w:tcPr>
                  <w:tcW w:w="598" w:type="pct"/>
                  <w:vAlign w:val="center"/>
                </w:tcPr>
                <w:p w14:paraId="7E4DFA3D">
                  <w:pPr>
                    <w:adjustRightInd w:val="0"/>
                    <w:snapToGrid w:val="0"/>
                    <w:jc w:val="center"/>
                    <w:rPr>
                      <w:b/>
                      <w:snapToGrid w:val="0"/>
                      <w:kern w:val="0"/>
                      <w:szCs w:val="21"/>
                    </w:rPr>
                  </w:pPr>
                  <w:r>
                    <w:rPr>
                      <w:b/>
                      <w:snapToGrid w:val="0"/>
                      <w:kern w:val="0"/>
                      <w:szCs w:val="21"/>
                    </w:rPr>
                    <w:t>BOD</w:t>
                  </w:r>
                  <w:r>
                    <w:rPr>
                      <w:b/>
                      <w:snapToGrid w:val="0"/>
                      <w:kern w:val="0"/>
                      <w:szCs w:val="21"/>
                      <w:vertAlign w:val="subscript"/>
                    </w:rPr>
                    <w:t>5</w:t>
                  </w:r>
                </w:p>
              </w:tc>
              <w:tc>
                <w:tcPr>
                  <w:tcW w:w="681" w:type="pct"/>
                  <w:vAlign w:val="center"/>
                </w:tcPr>
                <w:p w14:paraId="7754599E">
                  <w:pPr>
                    <w:adjustRightInd w:val="0"/>
                    <w:snapToGrid w:val="0"/>
                    <w:jc w:val="center"/>
                    <w:rPr>
                      <w:b/>
                      <w:snapToGrid w:val="0"/>
                      <w:kern w:val="0"/>
                      <w:szCs w:val="21"/>
                    </w:rPr>
                  </w:pPr>
                  <w:r>
                    <w:rPr>
                      <w:b/>
                      <w:snapToGrid w:val="0"/>
                      <w:kern w:val="0"/>
                      <w:szCs w:val="21"/>
                    </w:rPr>
                    <w:t>COD</w:t>
                  </w:r>
                  <w:r>
                    <w:rPr>
                      <w:b/>
                      <w:snapToGrid w:val="0"/>
                      <w:kern w:val="0"/>
                      <w:szCs w:val="21"/>
                      <w:vertAlign w:val="subscript"/>
                    </w:rPr>
                    <w:t>Cr</w:t>
                  </w:r>
                </w:p>
              </w:tc>
              <w:tc>
                <w:tcPr>
                  <w:tcW w:w="747" w:type="dxa"/>
                  <w:vAlign w:val="center"/>
                </w:tcPr>
                <w:p w14:paraId="1F775876">
                  <w:pPr>
                    <w:adjustRightInd w:val="0"/>
                    <w:snapToGrid w:val="0"/>
                    <w:jc w:val="center"/>
                    <w:rPr>
                      <w:b/>
                      <w:snapToGrid w:val="0"/>
                      <w:kern w:val="0"/>
                      <w:szCs w:val="21"/>
                    </w:rPr>
                  </w:pPr>
                  <w:r>
                    <w:rPr>
                      <w:b/>
                      <w:snapToGrid w:val="0"/>
                      <w:kern w:val="0"/>
                      <w:szCs w:val="21"/>
                    </w:rPr>
                    <w:t>pH</w:t>
                  </w:r>
                </w:p>
              </w:tc>
              <w:tc>
                <w:tcPr>
                  <w:tcW w:w="434" w:type="pct"/>
                  <w:vAlign w:val="center"/>
                </w:tcPr>
                <w:p w14:paraId="6F0FCECF">
                  <w:pPr>
                    <w:adjustRightInd w:val="0"/>
                    <w:snapToGrid w:val="0"/>
                    <w:jc w:val="center"/>
                    <w:rPr>
                      <w:b/>
                      <w:snapToGrid w:val="0"/>
                      <w:kern w:val="0"/>
                      <w:szCs w:val="21"/>
                    </w:rPr>
                  </w:pPr>
                  <w:r>
                    <w:rPr>
                      <w:b/>
                      <w:bCs/>
                      <w:kern w:val="0"/>
                      <w:szCs w:val="21"/>
                    </w:rPr>
                    <w:t>NH</w:t>
                  </w:r>
                  <w:r>
                    <w:rPr>
                      <w:b/>
                      <w:bCs/>
                      <w:kern w:val="0"/>
                      <w:szCs w:val="21"/>
                      <w:vertAlign w:val="subscript"/>
                    </w:rPr>
                    <w:t>3</w:t>
                  </w:r>
                  <w:r>
                    <w:rPr>
                      <w:b/>
                      <w:bCs/>
                      <w:kern w:val="0"/>
                      <w:szCs w:val="21"/>
                    </w:rPr>
                    <w:t>-N</w:t>
                  </w:r>
                </w:p>
              </w:tc>
              <w:tc>
                <w:tcPr>
                  <w:tcW w:w="435" w:type="pct"/>
                  <w:vAlign w:val="center"/>
                </w:tcPr>
                <w:p w14:paraId="0E21ECB9">
                  <w:pPr>
                    <w:adjustRightInd w:val="0"/>
                    <w:snapToGrid w:val="0"/>
                    <w:jc w:val="center"/>
                    <w:rPr>
                      <w:b/>
                      <w:snapToGrid w:val="0"/>
                      <w:kern w:val="0"/>
                      <w:szCs w:val="21"/>
                    </w:rPr>
                  </w:pPr>
                  <w:r>
                    <w:rPr>
                      <w:rFonts w:hint="eastAsia"/>
                      <w:b/>
                      <w:bCs/>
                      <w:kern w:val="0"/>
                      <w:szCs w:val="21"/>
                    </w:rPr>
                    <w:t>TP</w:t>
                  </w:r>
                </w:p>
              </w:tc>
            </w:tr>
            <w:tr w14:paraId="36BD24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1989" w:type="pct"/>
                  <w:vAlign w:val="center"/>
                </w:tcPr>
                <w:p w14:paraId="73D27E9C">
                  <w:pPr>
                    <w:adjustRightInd w:val="0"/>
                    <w:snapToGrid w:val="0"/>
                    <w:jc w:val="center"/>
                    <w:rPr>
                      <w:snapToGrid w:val="0"/>
                      <w:kern w:val="0"/>
                      <w:szCs w:val="21"/>
                    </w:rPr>
                  </w:pPr>
                  <w:r>
                    <w:rPr>
                      <w:szCs w:val="21"/>
                    </w:rPr>
                    <w:t>GB8978-1996，</w:t>
                  </w:r>
                  <w:r>
                    <w:rPr>
                      <w:rFonts w:hint="eastAsia"/>
                      <w:szCs w:val="21"/>
                    </w:rPr>
                    <w:t>三</w:t>
                  </w:r>
                  <w:r>
                    <w:rPr>
                      <w:szCs w:val="21"/>
                    </w:rPr>
                    <w:t>级标准</w:t>
                  </w:r>
                </w:p>
              </w:tc>
              <w:tc>
                <w:tcPr>
                  <w:tcW w:w="427" w:type="pct"/>
                  <w:vAlign w:val="center"/>
                </w:tcPr>
                <w:p w14:paraId="5B85B1E7">
                  <w:pPr>
                    <w:adjustRightInd w:val="0"/>
                    <w:snapToGrid w:val="0"/>
                    <w:jc w:val="center"/>
                    <w:rPr>
                      <w:snapToGrid w:val="0"/>
                      <w:kern w:val="0"/>
                      <w:szCs w:val="21"/>
                    </w:rPr>
                  </w:pPr>
                  <w:r>
                    <w:rPr>
                      <w:snapToGrid w:val="0"/>
                      <w:kern w:val="0"/>
                      <w:szCs w:val="21"/>
                    </w:rPr>
                    <w:t>400</w:t>
                  </w:r>
                </w:p>
              </w:tc>
              <w:tc>
                <w:tcPr>
                  <w:tcW w:w="598" w:type="pct"/>
                  <w:vAlign w:val="center"/>
                </w:tcPr>
                <w:p w14:paraId="686F4D7F">
                  <w:pPr>
                    <w:adjustRightInd w:val="0"/>
                    <w:snapToGrid w:val="0"/>
                    <w:jc w:val="center"/>
                    <w:rPr>
                      <w:snapToGrid w:val="0"/>
                      <w:kern w:val="0"/>
                      <w:szCs w:val="21"/>
                    </w:rPr>
                  </w:pPr>
                  <w:r>
                    <w:rPr>
                      <w:snapToGrid w:val="0"/>
                      <w:kern w:val="0"/>
                      <w:szCs w:val="21"/>
                    </w:rPr>
                    <w:t>300</w:t>
                  </w:r>
                </w:p>
              </w:tc>
              <w:tc>
                <w:tcPr>
                  <w:tcW w:w="681" w:type="pct"/>
                  <w:vAlign w:val="center"/>
                </w:tcPr>
                <w:p w14:paraId="4987F00F">
                  <w:pPr>
                    <w:adjustRightInd w:val="0"/>
                    <w:snapToGrid w:val="0"/>
                    <w:jc w:val="center"/>
                    <w:rPr>
                      <w:snapToGrid w:val="0"/>
                      <w:kern w:val="0"/>
                      <w:szCs w:val="21"/>
                    </w:rPr>
                  </w:pPr>
                  <w:r>
                    <w:rPr>
                      <w:snapToGrid w:val="0"/>
                      <w:kern w:val="0"/>
                      <w:szCs w:val="21"/>
                    </w:rPr>
                    <w:t>500</w:t>
                  </w:r>
                </w:p>
              </w:tc>
              <w:tc>
                <w:tcPr>
                  <w:tcW w:w="747" w:type="dxa"/>
                  <w:vAlign w:val="center"/>
                </w:tcPr>
                <w:p w14:paraId="29464D98">
                  <w:pPr>
                    <w:adjustRightInd w:val="0"/>
                    <w:snapToGrid w:val="0"/>
                    <w:jc w:val="center"/>
                    <w:rPr>
                      <w:snapToGrid w:val="0"/>
                      <w:kern w:val="0"/>
                      <w:szCs w:val="21"/>
                    </w:rPr>
                  </w:pPr>
                  <w:r>
                    <w:rPr>
                      <w:snapToGrid w:val="0"/>
                      <w:kern w:val="0"/>
                      <w:szCs w:val="21"/>
                    </w:rPr>
                    <w:t>6~9</w:t>
                  </w:r>
                </w:p>
              </w:tc>
              <w:tc>
                <w:tcPr>
                  <w:tcW w:w="434" w:type="pct"/>
                  <w:vAlign w:val="center"/>
                </w:tcPr>
                <w:p w14:paraId="0EB4F406">
                  <w:pPr>
                    <w:adjustRightInd w:val="0"/>
                    <w:snapToGrid w:val="0"/>
                    <w:jc w:val="center"/>
                    <w:rPr>
                      <w:snapToGrid w:val="0"/>
                      <w:kern w:val="0"/>
                      <w:szCs w:val="21"/>
                    </w:rPr>
                  </w:pPr>
                  <w:r>
                    <w:rPr>
                      <w:rFonts w:hint="eastAsia"/>
                      <w:snapToGrid w:val="0"/>
                      <w:kern w:val="0"/>
                      <w:szCs w:val="21"/>
                    </w:rPr>
                    <w:t>45</w:t>
                  </w:r>
                </w:p>
              </w:tc>
              <w:tc>
                <w:tcPr>
                  <w:tcW w:w="435" w:type="pct"/>
                  <w:vAlign w:val="center"/>
                </w:tcPr>
                <w:p w14:paraId="696DECDD">
                  <w:pPr>
                    <w:adjustRightInd w:val="0"/>
                    <w:snapToGrid w:val="0"/>
                    <w:jc w:val="center"/>
                    <w:rPr>
                      <w:snapToGrid w:val="0"/>
                      <w:kern w:val="0"/>
                      <w:szCs w:val="21"/>
                    </w:rPr>
                  </w:pPr>
                  <w:r>
                    <w:rPr>
                      <w:rFonts w:hint="eastAsia"/>
                      <w:snapToGrid w:val="0"/>
                      <w:kern w:val="0"/>
                      <w:szCs w:val="21"/>
                    </w:rPr>
                    <w:t>8</w:t>
                  </w:r>
                </w:p>
              </w:tc>
            </w:tr>
          </w:tbl>
          <w:p w14:paraId="7D0BAF8C">
            <w:pPr>
              <w:spacing w:line="360" w:lineRule="auto"/>
              <w:ind w:firstLine="482" w:firstLineChars="200"/>
              <w:rPr>
                <w:b/>
                <w:sz w:val="24"/>
              </w:rPr>
            </w:pPr>
            <w:r>
              <w:rPr>
                <w:b/>
                <w:sz w:val="24"/>
              </w:rPr>
              <w:t>3、噪声</w:t>
            </w:r>
          </w:p>
          <w:p w14:paraId="6DC94A87">
            <w:pPr>
              <w:spacing w:line="360" w:lineRule="auto"/>
              <w:ind w:firstLine="480" w:firstLineChars="200"/>
              <w:rPr>
                <w:sz w:val="24"/>
              </w:rPr>
            </w:pPr>
            <w:r>
              <w:rPr>
                <w:sz w:val="24"/>
              </w:rPr>
              <w:t>施工期噪声执行《建筑施工场界环境噪声排放标准》（GB12523-2011）中表</w:t>
            </w:r>
            <w:r>
              <w:rPr>
                <w:rFonts w:hint="eastAsia"/>
                <w:sz w:val="24"/>
              </w:rPr>
              <w:t>1规定的排放限值。</w:t>
            </w:r>
          </w:p>
          <w:p w14:paraId="48565AE9">
            <w:pPr>
              <w:pStyle w:val="4"/>
              <w:numPr>
                <w:ilvl w:val="1"/>
                <w:numId w:val="0"/>
              </w:numPr>
              <w:rPr>
                <w:rFonts w:eastAsia="黑体"/>
                <w:b w:val="0"/>
                <w:sz w:val="21"/>
                <w:szCs w:val="21"/>
              </w:rPr>
            </w:pPr>
            <w:bookmarkStart w:id="32" w:name="_Toc150173911"/>
            <w:r>
              <w:rPr>
                <w:rFonts w:hint="eastAsia" w:eastAsia="黑体"/>
                <w:b w:val="0"/>
                <w:sz w:val="21"/>
                <w:szCs w:val="21"/>
              </w:rPr>
              <w:t>表3-9   建筑施工场界</w:t>
            </w:r>
            <w:r>
              <w:rPr>
                <w:rFonts w:eastAsia="黑体"/>
                <w:b w:val="0"/>
                <w:sz w:val="21"/>
                <w:szCs w:val="21"/>
              </w:rPr>
              <w:t>环境噪声排放标准</w:t>
            </w:r>
            <w:bookmarkEnd w:id="32"/>
          </w:p>
          <w:tbl>
            <w:tblPr>
              <w:tblStyle w:val="3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92"/>
              <w:gridCol w:w="1417"/>
              <w:gridCol w:w="1379"/>
            </w:tblGrid>
            <w:tr w14:paraId="468072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3313" w:type="pct"/>
                  <w:vAlign w:val="center"/>
                </w:tcPr>
                <w:p w14:paraId="595CCF25">
                  <w:pPr>
                    <w:spacing w:line="280" w:lineRule="exact"/>
                    <w:ind w:left="8" w:hanging="8" w:hangingChars="4"/>
                    <w:jc w:val="center"/>
                    <w:rPr>
                      <w:b/>
                      <w:szCs w:val="21"/>
                    </w:rPr>
                  </w:pPr>
                  <w:r>
                    <w:rPr>
                      <w:b/>
                      <w:szCs w:val="21"/>
                    </w:rPr>
                    <w:t>项目</w:t>
                  </w:r>
                </w:p>
              </w:tc>
              <w:tc>
                <w:tcPr>
                  <w:tcW w:w="855" w:type="pct"/>
                  <w:vAlign w:val="center"/>
                </w:tcPr>
                <w:p w14:paraId="7739ADFD">
                  <w:pPr>
                    <w:spacing w:line="280" w:lineRule="exact"/>
                    <w:jc w:val="center"/>
                    <w:rPr>
                      <w:b/>
                      <w:szCs w:val="21"/>
                    </w:rPr>
                  </w:pPr>
                  <w:r>
                    <w:rPr>
                      <w:b/>
                      <w:szCs w:val="21"/>
                    </w:rPr>
                    <w:t>昼间</w:t>
                  </w:r>
                </w:p>
              </w:tc>
              <w:tc>
                <w:tcPr>
                  <w:tcW w:w="832" w:type="pct"/>
                  <w:vAlign w:val="center"/>
                </w:tcPr>
                <w:p w14:paraId="2E0B3278">
                  <w:pPr>
                    <w:spacing w:line="280" w:lineRule="exact"/>
                    <w:jc w:val="center"/>
                    <w:rPr>
                      <w:b/>
                      <w:szCs w:val="21"/>
                    </w:rPr>
                  </w:pPr>
                  <w:r>
                    <w:rPr>
                      <w:b/>
                      <w:szCs w:val="21"/>
                    </w:rPr>
                    <w:t>夜间</w:t>
                  </w:r>
                </w:p>
              </w:tc>
            </w:tr>
            <w:tr w14:paraId="4F2989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3313" w:type="pct"/>
                  <w:vAlign w:val="center"/>
                </w:tcPr>
                <w:p w14:paraId="10559158">
                  <w:pPr>
                    <w:spacing w:line="280" w:lineRule="exact"/>
                    <w:jc w:val="center"/>
                    <w:rPr>
                      <w:szCs w:val="21"/>
                    </w:rPr>
                  </w:pPr>
                  <w:r>
                    <w:rPr>
                      <w:szCs w:val="21"/>
                    </w:rPr>
                    <w:t>《建筑施工场界环境噪声排放标准》（GB12523-2011）</w:t>
                  </w:r>
                </w:p>
              </w:tc>
              <w:tc>
                <w:tcPr>
                  <w:tcW w:w="855" w:type="pct"/>
                  <w:vAlign w:val="center"/>
                </w:tcPr>
                <w:p w14:paraId="24FCAD6C">
                  <w:pPr>
                    <w:spacing w:line="280" w:lineRule="exact"/>
                    <w:jc w:val="center"/>
                    <w:rPr>
                      <w:szCs w:val="21"/>
                    </w:rPr>
                  </w:pPr>
                  <w:r>
                    <w:rPr>
                      <w:szCs w:val="21"/>
                    </w:rPr>
                    <w:t>70</w:t>
                  </w:r>
                </w:p>
              </w:tc>
              <w:tc>
                <w:tcPr>
                  <w:tcW w:w="832" w:type="pct"/>
                  <w:vAlign w:val="center"/>
                </w:tcPr>
                <w:p w14:paraId="4BCCC0B0">
                  <w:pPr>
                    <w:spacing w:line="280" w:lineRule="exact"/>
                    <w:jc w:val="center"/>
                    <w:rPr>
                      <w:szCs w:val="21"/>
                    </w:rPr>
                  </w:pPr>
                  <w:r>
                    <w:rPr>
                      <w:szCs w:val="21"/>
                    </w:rPr>
                    <w:t>55</w:t>
                  </w:r>
                </w:p>
              </w:tc>
            </w:tr>
          </w:tbl>
          <w:p w14:paraId="42A1DFD6">
            <w:pPr>
              <w:spacing w:line="360" w:lineRule="auto"/>
              <w:ind w:firstLine="482" w:firstLineChars="200"/>
              <w:rPr>
                <w:b/>
                <w:sz w:val="24"/>
              </w:rPr>
            </w:pPr>
            <w:r>
              <w:rPr>
                <w:b/>
                <w:sz w:val="24"/>
              </w:rPr>
              <w:t>4、固体废弃物</w:t>
            </w:r>
          </w:p>
          <w:p w14:paraId="2B73695E">
            <w:pPr>
              <w:kinsoku w:val="0"/>
              <w:overflowPunct w:val="0"/>
              <w:adjustRightInd w:val="0"/>
              <w:snapToGrid w:val="0"/>
              <w:spacing w:line="360" w:lineRule="auto"/>
              <w:ind w:firstLine="480" w:firstLineChars="200"/>
              <w:jc w:val="left"/>
              <w:rPr>
                <w:sz w:val="24"/>
              </w:rPr>
            </w:pPr>
            <w:r>
              <w:rPr>
                <w:rFonts w:hint="eastAsia"/>
                <w:sz w:val="24"/>
              </w:rPr>
              <w:t>项目运营期间产生的一般固体废物参照执行《一般工业固体废物贮存和填埋污染控制标准》（</w:t>
            </w:r>
            <w:r>
              <w:rPr>
                <w:sz w:val="24"/>
              </w:rPr>
              <w:t>GB18599-2020</w:t>
            </w:r>
            <w:r>
              <w:rPr>
                <w:rFonts w:hint="eastAsia"/>
                <w:sz w:val="24"/>
              </w:rPr>
              <w:t>）相应标准；危险废物执行《危险废物贮存污染控制标准（GB 18597-2023）》中相应标准及修改单要求。</w:t>
            </w:r>
          </w:p>
          <w:p w14:paraId="4CFA96C3">
            <w:pPr>
              <w:kinsoku w:val="0"/>
              <w:overflowPunct w:val="0"/>
              <w:adjustRightInd w:val="0"/>
              <w:snapToGrid w:val="0"/>
              <w:spacing w:line="360" w:lineRule="auto"/>
              <w:ind w:firstLine="482" w:firstLineChars="200"/>
              <w:jc w:val="left"/>
              <w:rPr>
                <w:b/>
                <w:sz w:val="24"/>
              </w:rPr>
            </w:pPr>
            <w:r>
              <w:rPr>
                <w:b/>
                <w:sz w:val="24"/>
              </w:rPr>
              <w:t>5、生态保护</w:t>
            </w:r>
          </w:p>
          <w:p w14:paraId="0CF9811E">
            <w:pPr>
              <w:kinsoku w:val="0"/>
              <w:overflowPunct w:val="0"/>
              <w:adjustRightInd w:val="0"/>
              <w:snapToGrid w:val="0"/>
              <w:spacing w:line="360" w:lineRule="auto"/>
              <w:ind w:firstLine="480" w:firstLineChars="200"/>
              <w:jc w:val="left"/>
              <w:rPr>
                <w:kern w:val="0"/>
                <w:sz w:val="24"/>
                <w:lang w:bidi="ar"/>
              </w:rPr>
            </w:pPr>
            <w:r>
              <w:rPr>
                <w:sz w:val="24"/>
              </w:rPr>
              <w:t>以不破坏生态系统完整性为标准，水土流失以不改变土壤侵蚀类型为标准。</w:t>
            </w:r>
          </w:p>
        </w:tc>
      </w:tr>
      <w:tr w14:paraId="4A5096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47" w:hRule="atLeast"/>
          <w:jc w:val="center"/>
        </w:trPr>
        <w:tc>
          <w:tcPr>
            <w:tcW w:w="653" w:type="dxa"/>
            <w:vAlign w:val="center"/>
          </w:tcPr>
          <w:p w14:paraId="1D7EAB71">
            <w:pPr>
              <w:pStyle w:val="69"/>
              <w:ind w:firstLine="0" w:firstLineChars="0"/>
              <w:jc w:val="center"/>
              <w:rPr>
                <w:b/>
              </w:rPr>
            </w:pPr>
            <w:r>
              <w:rPr>
                <w:rFonts w:hint="eastAsia"/>
                <w:b/>
              </w:rPr>
              <w:t>其他</w:t>
            </w:r>
          </w:p>
        </w:tc>
        <w:tc>
          <w:tcPr>
            <w:tcW w:w="8504" w:type="dxa"/>
            <w:vAlign w:val="center"/>
          </w:tcPr>
          <w:p w14:paraId="3720BD2E">
            <w:pPr>
              <w:spacing w:line="360" w:lineRule="auto"/>
              <w:ind w:firstLine="480" w:firstLineChars="200"/>
            </w:pPr>
            <w:r>
              <w:rPr>
                <w:sz w:val="24"/>
              </w:rPr>
              <w:t>根据本项目的具体情况，结合国家污染物排放总量控制原则，本项目属</w:t>
            </w:r>
            <w:r>
              <w:rPr>
                <w:rFonts w:hint="eastAsia"/>
                <w:sz w:val="24"/>
              </w:rPr>
              <w:t>生态类</w:t>
            </w:r>
            <w:r>
              <w:rPr>
                <w:sz w:val="24"/>
              </w:rPr>
              <w:t>建设项目，因此本项目不需要单独的总量控制指标。</w:t>
            </w:r>
          </w:p>
        </w:tc>
      </w:tr>
    </w:tbl>
    <w:p w14:paraId="63A238C9">
      <w:pPr>
        <w:jc w:val="center"/>
        <w:rPr>
          <w:rFonts w:ascii="黑体" w:hAnsi="黑体" w:eastAsia="黑体"/>
          <w:snapToGrid w:val="0"/>
          <w:sz w:val="36"/>
          <w:szCs w:val="36"/>
        </w:rPr>
        <w:sectPr>
          <w:pgSz w:w="11906" w:h="16838"/>
          <w:pgMar w:top="1701" w:right="1531" w:bottom="1701" w:left="1531" w:header="851" w:footer="1077" w:gutter="0"/>
          <w:cols w:space="720" w:num="1"/>
          <w:docGrid w:linePitch="312" w:charSpace="0"/>
        </w:sectPr>
      </w:pPr>
    </w:p>
    <w:p w14:paraId="26A9BADD">
      <w:pPr>
        <w:pStyle w:val="3"/>
        <w:numPr>
          <w:ilvl w:val="0"/>
          <w:numId w:val="0"/>
        </w:numPr>
        <w:jc w:val="center"/>
      </w:pPr>
      <w:bookmarkStart w:id="33" w:name="_Toc150173912"/>
      <w:r>
        <w:rPr>
          <w:rFonts w:hint="eastAsia"/>
        </w:rPr>
        <w:t>四、生态环境影响分析</w:t>
      </w:r>
      <w:bookmarkEnd w:id="33"/>
    </w:p>
    <w:tbl>
      <w:tblPr>
        <w:tblStyle w:val="33"/>
        <w:tblW w:w="93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8719"/>
      </w:tblGrid>
      <w:tr w14:paraId="7D0F50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19" w:hRule="atLeast"/>
          <w:jc w:val="center"/>
        </w:trPr>
        <w:tc>
          <w:tcPr>
            <w:tcW w:w="690" w:type="dxa"/>
            <w:tcMar>
              <w:left w:w="28" w:type="dxa"/>
              <w:right w:w="28" w:type="dxa"/>
            </w:tcMar>
            <w:vAlign w:val="center"/>
          </w:tcPr>
          <w:p w14:paraId="73A187FE">
            <w:pPr>
              <w:adjustRightInd w:val="0"/>
              <w:snapToGrid w:val="0"/>
              <w:jc w:val="center"/>
              <w:rPr>
                <w:rFonts w:cs="宋体"/>
                <w:b/>
                <w:bCs/>
                <w:szCs w:val="21"/>
              </w:rPr>
            </w:pPr>
            <w:bookmarkStart w:id="34" w:name="_Hlk49796138"/>
            <w:r>
              <w:rPr>
                <w:rFonts w:hint="eastAsia" w:cs="宋体"/>
                <w:b/>
                <w:bCs/>
                <w:spacing w:val="10"/>
                <w:sz w:val="24"/>
                <w:szCs w:val="21"/>
              </w:rPr>
              <w:t>施工期生态环境影响分析</w:t>
            </w:r>
            <w:bookmarkEnd w:id="34"/>
          </w:p>
        </w:tc>
        <w:tc>
          <w:tcPr>
            <w:tcW w:w="8647" w:type="dxa"/>
          </w:tcPr>
          <w:p w14:paraId="718FBEE9">
            <w:pPr>
              <w:snapToGrid w:val="0"/>
              <w:spacing w:line="360" w:lineRule="auto"/>
              <w:ind w:firstLine="480" w:firstLineChars="200"/>
              <w:rPr>
                <w:snapToGrid w:val="0"/>
                <w:kern w:val="0"/>
                <w:sz w:val="24"/>
              </w:rPr>
            </w:pPr>
            <w:r>
              <w:rPr>
                <w:rFonts w:hint="eastAsia"/>
                <w:snapToGrid w:val="0"/>
                <w:kern w:val="0"/>
                <w:sz w:val="24"/>
              </w:rPr>
              <w:t>本工程为城市道路建设工程，项目施工期对环境的影响主要表现在施工期机械噪声、施工废水、施工废气以及项目开挖、占地对区域生态的影响。</w:t>
            </w:r>
          </w:p>
          <w:p w14:paraId="63215346">
            <w:pPr>
              <w:snapToGrid w:val="0"/>
              <w:spacing w:line="360" w:lineRule="auto"/>
              <w:rPr>
                <w:b/>
                <w:snapToGrid w:val="0"/>
                <w:kern w:val="0"/>
                <w:sz w:val="24"/>
              </w:rPr>
            </w:pPr>
            <w:r>
              <w:rPr>
                <w:rFonts w:hint="eastAsia"/>
                <w:b/>
                <w:snapToGrid w:val="0"/>
                <w:kern w:val="0"/>
                <w:sz w:val="24"/>
              </w:rPr>
              <w:t>一、施工期主要污染工序</w:t>
            </w:r>
          </w:p>
          <w:p w14:paraId="60C45FEC">
            <w:pPr>
              <w:snapToGrid w:val="0"/>
              <w:spacing w:line="360" w:lineRule="auto"/>
              <w:ind w:firstLine="482" w:firstLineChars="200"/>
              <w:rPr>
                <w:b/>
                <w:snapToGrid w:val="0"/>
                <w:kern w:val="0"/>
                <w:sz w:val="24"/>
              </w:rPr>
            </w:pPr>
            <w:r>
              <w:rPr>
                <w:rFonts w:hint="eastAsia"/>
                <w:b/>
                <w:snapToGrid w:val="0"/>
                <w:kern w:val="0"/>
                <w:sz w:val="24"/>
              </w:rPr>
              <w:t>1、生态影响</w:t>
            </w:r>
          </w:p>
          <w:p w14:paraId="3D774D6F">
            <w:pPr>
              <w:snapToGrid w:val="0"/>
              <w:spacing w:line="360" w:lineRule="auto"/>
              <w:ind w:firstLine="480" w:firstLineChars="200"/>
              <w:rPr>
                <w:snapToGrid w:val="0"/>
                <w:kern w:val="0"/>
                <w:sz w:val="24"/>
              </w:rPr>
            </w:pPr>
            <w:r>
              <w:rPr>
                <w:rFonts w:hint="eastAsia"/>
                <w:snapToGrid w:val="0"/>
                <w:kern w:val="0"/>
                <w:sz w:val="24"/>
              </w:rPr>
              <w:t>项目施工在生态影响方面主要体现在工程施工占地、开挖等施工活动对土地、动植物造成一定的影响和破坏，使局部地区表土失去防冲固土能力造成水土流失。</w:t>
            </w:r>
          </w:p>
          <w:p w14:paraId="39CEBBB8">
            <w:pPr>
              <w:snapToGrid w:val="0"/>
              <w:spacing w:line="360" w:lineRule="auto"/>
              <w:ind w:firstLine="482" w:firstLineChars="200"/>
              <w:rPr>
                <w:b/>
                <w:snapToGrid w:val="0"/>
                <w:kern w:val="0"/>
                <w:sz w:val="24"/>
              </w:rPr>
            </w:pPr>
            <w:r>
              <w:rPr>
                <w:rFonts w:hint="eastAsia"/>
                <w:b/>
                <w:snapToGrid w:val="0"/>
                <w:kern w:val="0"/>
                <w:sz w:val="24"/>
              </w:rPr>
              <w:t>2、废气</w:t>
            </w:r>
          </w:p>
          <w:p w14:paraId="28D7584E">
            <w:pPr>
              <w:snapToGrid w:val="0"/>
              <w:spacing w:line="360" w:lineRule="auto"/>
              <w:ind w:firstLine="480" w:firstLineChars="200"/>
              <w:rPr>
                <w:snapToGrid w:val="0"/>
                <w:kern w:val="0"/>
                <w:sz w:val="24"/>
              </w:rPr>
            </w:pPr>
            <w:r>
              <w:rPr>
                <w:rFonts w:hint="eastAsia"/>
                <w:snapToGrid w:val="0"/>
                <w:kern w:val="0"/>
                <w:sz w:val="24"/>
              </w:rPr>
              <w:t>本项目使用商品沥青混凝土，不设置搅拌站。本工程施工期的废气主要来源于施工扬尘、施工机械废气以及路面敷设过程中产生的沥青烟。</w:t>
            </w:r>
          </w:p>
          <w:p w14:paraId="2C0AB302">
            <w:pPr>
              <w:snapToGrid w:val="0"/>
              <w:spacing w:line="360" w:lineRule="auto"/>
              <w:ind w:firstLine="482" w:firstLineChars="200"/>
              <w:rPr>
                <w:b/>
                <w:snapToGrid w:val="0"/>
                <w:kern w:val="0"/>
                <w:sz w:val="24"/>
              </w:rPr>
            </w:pPr>
            <w:r>
              <w:rPr>
                <w:rFonts w:hint="eastAsia"/>
                <w:b/>
                <w:snapToGrid w:val="0"/>
                <w:kern w:val="0"/>
                <w:sz w:val="24"/>
              </w:rPr>
              <w:t>3、废水</w:t>
            </w:r>
          </w:p>
          <w:p w14:paraId="5F405AA3">
            <w:pPr>
              <w:snapToGrid w:val="0"/>
              <w:spacing w:line="360" w:lineRule="auto"/>
              <w:ind w:firstLine="480" w:firstLineChars="200"/>
              <w:rPr>
                <w:snapToGrid w:val="0"/>
                <w:kern w:val="0"/>
                <w:sz w:val="24"/>
              </w:rPr>
            </w:pPr>
            <w:r>
              <w:rPr>
                <w:rFonts w:hint="eastAsia"/>
                <w:snapToGrid w:val="0"/>
                <w:kern w:val="0"/>
                <w:sz w:val="24"/>
              </w:rPr>
              <w:t>项目施工建设中均使用商品沥青混凝土，施工场内不设搅拌场。本项目施工期水污染源主要来自施工机械设备、车辆冲洗含油废水、桥涵工程钻孔泥浆以及施工人员生活污水、管道试压废水等。</w:t>
            </w:r>
          </w:p>
          <w:p w14:paraId="3B620F0A">
            <w:pPr>
              <w:snapToGrid w:val="0"/>
              <w:spacing w:line="360" w:lineRule="auto"/>
              <w:ind w:firstLine="480" w:firstLineChars="200"/>
              <w:rPr>
                <w:snapToGrid w:val="0"/>
                <w:kern w:val="0"/>
                <w:sz w:val="24"/>
              </w:rPr>
            </w:pPr>
            <w:r>
              <w:rPr>
                <w:rFonts w:hint="eastAsia"/>
                <w:snapToGrid w:val="0"/>
                <w:kern w:val="0"/>
                <w:sz w:val="24"/>
              </w:rPr>
              <w:t>其中，施工废水污染物以SS、COD</w:t>
            </w:r>
            <w:r>
              <w:rPr>
                <w:rFonts w:hint="eastAsia"/>
                <w:snapToGrid w:val="0"/>
                <w:kern w:val="0"/>
                <w:sz w:val="24"/>
                <w:vertAlign w:val="subscript"/>
              </w:rPr>
              <w:t>Cr</w:t>
            </w:r>
            <w:r>
              <w:rPr>
                <w:rFonts w:hint="eastAsia"/>
                <w:snapToGrid w:val="0"/>
                <w:kern w:val="0"/>
                <w:sz w:val="24"/>
              </w:rPr>
              <w:t>、石油类为主，生活污水污染物以BOD</w:t>
            </w:r>
            <w:r>
              <w:rPr>
                <w:rFonts w:hint="eastAsia"/>
                <w:snapToGrid w:val="0"/>
                <w:kern w:val="0"/>
                <w:sz w:val="24"/>
                <w:vertAlign w:val="subscript"/>
              </w:rPr>
              <w:t>5</w:t>
            </w:r>
            <w:r>
              <w:rPr>
                <w:rFonts w:hint="eastAsia"/>
                <w:snapToGrid w:val="0"/>
                <w:kern w:val="0"/>
                <w:sz w:val="24"/>
              </w:rPr>
              <w:t>、COD</w:t>
            </w:r>
            <w:r>
              <w:rPr>
                <w:rFonts w:hint="eastAsia"/>
                <w:snapToGrid w:val="0"/>
                <w:kern w:val="0"/>
                <w:sz w:val="24"/>
                <w:vertAlign w:val="subscript"/>
              </w:rPr>
              <w:t>Cr</w:t>
            </w:r>
            <w:r>
              <w:rPr>
                <w:rFonts w:hint="eastAsia"/>
                <w:snapToGrid w:val="0"/>
                <w:kern w:val="0"/>
                <w:sz w:val="24"/>
              </w:rPr>
              <w:t>为主。</w:t>
            </w:r>
          </w:p>
          <w:p w14:paraId="736B3BA6">
            <w:pPr>
              <w:snapToGrid w:val="0"/>
              <w:spacing w:line="360" w:lineRule="auto"/>
              <w:ind w:firstLine="482" w:firstLineChars="200"/>
              <w:rPr>
                <w:b/>
                <w:snapToGrid w:val="0"/>
                <w:kern w:val="0"/>
                <w:sz w:val="24"/>
              </w:rPr>
            </w:pPr>
            <w:r>
              <w:rPr>
                <w:rFonts w:hint="eastAsia"/>
                <w:b/>
                <w:snapToGrid w:val="0"/>
                <w:kern w:val="0"/>
                <w:sz w:val="24"/>
              </w:rPr>
              <w:t>4、噪声</w:t>
            </w:r>
          </w:p>
          <w:p w14:paraId="4FF07076">
            <w:pPr>
              <w:snapToGrid w:val="0"/>
              <w:spacing w:line="360" w:lineRule="auto"/>
              <w:ind w:firstLine="480" w:firstLineChars="200"/>
              <w:rPr>
                <w:snapToGrid w:val="0"/>
                <w:kern w:val="0"/>
                <w:sz w:val="24"/>
              </w:rPr>
            </w:pPr>
            <w:r>
              <w:rPr>
                <w:rFonts w:hint="eastAsia"/>
                <w:snapToGrid w:val="0"/>
                <w:kern w:val="0"/>
                <w:sz w:val="24"/>
              </w:rPr>
              <w:t>工程施工噪声主要来自工机械、运输、摊铺等施工活动产生的噪声。</w:t>
            </w:r>
          </w:p>
          <w:p w14:paraId="06DAA534">
            <w:pPr>
              <w:snapToGrid w:val="0"/>
              <w:spacing w:line="360" w:lineRule="auto"/>
              <w:ind w:firstLine="480" w:firstLineChars="200"/>
              <w:rPr>
                <w:snapToGrid w:val="0"/>
                <w:kern w:val="0"/>
                <w:sz w:val="24"/>
              </w:rPr>
            </w:pPr>
            <w:r>
              <w:rPr>
                <w:rFonts w:hint="eastAsia"/>
                <w:snapToGrid w:val="0"/>
                <w:kern w:val="0"/>
                <w:sz w:val="24"/>
              </w:rPr>
              <w:t>根据同类型类比工程监测资料，项目实施过程中，机械运行时在距声源5m处的噪声值在76~98dB（A）之间。</w:t>
            </w:r>
          </w:p>
          <w:p w14:paraId="52215C75">
            <w:pPr>
              <w:snapToGrid w:val="0"/>
              <w:spacing w:line="360" w:lineRule="auto"/>
              <w:ind w:firstLine="482" w:firstLineChars="200"/>
              <w:rPr>
                <w:b/>
                <w:snapToGrid w:val="0"/>
                <w:kern w:val="0"/>
                <w:sz w:val="24"/>
              </w:rPr>
            </w:pPr>
            <w:r>
              <w:rPr>
                <w:rFonts w:hint="eastAsia"/>
                <w:b/>
                <w:snapToGrid w:val="0"/>
                <w:kern w:val="0"/>
                <w:sz w:val="24"/>
              </w:rPr>
              <w:t>5、固体废物</w:t>
            </w:r>
          </w:p>
          <w:p w14:paraId="2155745C">
            <w:pPr>
              <w:snapToGrid w:val="0"/>
              <w:spacing w:line="360" w:lineRule="auto"/>
              <w:ind w:firstLine="480" w:firstLineChars="200"/>
              <w:rPr>
                <w:snapToGrid w:val="0"/>
                <w:kern w:val="0"/>
                <w:sz w:val="24"/>
              </w:rPr>
            </w:pPr>
            <w:r>
              <w:rPr>
                <w:rFonts w:hint="eastAsia"/>
                <w:snapToGrid w:val="0"/>
                <w:kern w:val="0"/>
                <w:sz w:val="24"/>
              </w:rPr>
              <w:t>施工期固体废物主要包括废弃土石方、建筑垃圾、施工人员生活垃圾。</w:t>
            </w:r>
          </w:p>
          <w:p w14:paraId="10BA2694">
            <w:pPr>
              <w:snapToGrid w:val="0"/>
              <w:spacing w:line="360" w:lineRule="auto"/>
              <w:rPr>
                <w:b/>
                <w:snapToGrid w:val="0"/>
                <w:kern w:val="0"/>
                <w:sz w:val="24"/>
              </w:rPr>
            </w:pPr>
            <w:r>
              <w:rPr>
                <w:rFonts w:hint="eastAsia"/>
                <w:b/>
                <w:snapToGrid w:val="0"/>
                <w:kern w:val="0"/>
                <w:sz w:val="24"/>
              </w:rPr>
              <w:t>二、施工期环境影响分析</w:t>
            </w:r>
          </w:p>
          <w:p w14:paraId="3A090083">
            <w:pPr>
              <w:snapToGrid w:val="0"/>
              <w:spacing w:line="360" w:lineRule="auto"/>
              <w:ind w:firstLine="482" w:firstLineChars="200"/>
              <w:rPr>
                <w:b/>
                <w:snapToGrid w:val="0"/>
                <w:kern w:val="0"/>
                <w:sz w:val="24"/>
              </w:rPr>
            </w:pPr>
            <w:r>
              <w:rPr>
                <w:rFonts w:hint="eastAsia"/>
                <w:b/>
                <w:snapToGrid w:val="0"/>
                <w:kern w:val="0"/>
                <w:sz w:val="24"/>
              </w:rPr>
              <w:t>1、施工期生态环境影响分析</w:t>
            </w:r>
          </w:p>
          <w:p w14:paraId="64861B21">
            <w:pPr>
              <w:snapToGrid w:val="0"/>
              <w:spacing w:line="360" w:lineRule="auto"/>
              <w:ind w:firstLine="480" w:firstLineChars="200"/>
              <w:rPr>
                <w:snapToGrid w:val="0"/>
                <w:kern w:val="0"/>
                <w:sz w:val="24"/>
              </w:rPr>
            </w:pPr>
            <w:r>
              <w:rPr>
                <w:rFonts w:hint="eastAsia"/>
                <w:snapToGrid w:val="0"/>
                <w:kern w:val="0"/>
                <w:sz w:val="24"/>
              </w:rPr>
              <w:t>施工期对生态的影响主要是主体工程占用和分割土地，改变土地利用性质，使沿线植被覆盖率降低；路基取土、工程开挖、弃土破坏地形地貌植被，破坏土壤结构和肥力；工程活动扰动了自然的生态平衡，对沿线生物的生存将产生一定的不利影响。</w:t>
            </w:r>
          </w:p>
          <w:p w14:paraId="53810627">
            <w:pPr>
              <w:snapToGrid w:val="0"/>
              <w:spacing w:line="360" w:lineRule="auto"/>
              <w:ind w:firstLine="482" w:firstLineChars="200"/>
              <w:rPr>
                <w:b/>
                <w:snapToGrid w:val="0"/>
                <w:kern w:val="0"/>
                <w:sz w:val="24"/>
              </w:rPr>
            </w:pPr>
            <w:r>
              <w:rPr>
                <w:rFonts w:hint="eastAsia"/>
                <w:b/>
                <w:snapToGrid w:val="0"/>
                <w:kern w:val="0"/>
                <w:sz w:val="24"/>
              </w:rPr>
              <w:t>（1）施工期占地</w:t>
            </w:r>
          </w:p>
          <w:p w14:paraId="78839D58">
            <w:pPr>
              <w:snapToGrid w:val="0"/>
              <w:spacing w:line="360" w:lineRule="auto"/>
              <w:ind w:firstLine="480" w:firstLineChars="200"/>
              <w:rPr>
                <w:snapToGrid w:val="0"/>
                <w:kern w:val="0"/>
                <w:sz w:val="24"/>
              </w:rPr>
            </w:pPr>
            <w:r>
              <w:rPr>
                <w:rFonts w:hint="eastAsia"/>
                <w:snapToGrid w:val="0"/>
                <w:kern w:val="0"/>
                <w:sz w:val="24"/>
              </w:rPr>
              <w:t>本项目永久占地面积为11.27hm</w:t>
            </w:r>
            <w:r>
              <w:rPr>
                <w:rFonts w:hint="eastAsia"/>
                <w:snapToGrid w:val="0"/>
                <w:kern w:val="0"/>
                <w:sz w:val="24"/>
                <w:vertAlign w:val="superscript"/>
              </w:rPr>
              <w:t>2</w:t>
            </w:r>
            <w:r>
              <w:rPr>
                <w:rFonts w:hint="eastAsia"/>
                <w:snapToGrid w:val="0"/>
                <w:kern w:val="0"/>
                <w:sz w:val="24"/>
              </w:rPr>
              <w:t>，占地类型为交通运输用地、耕地（不涉及基本农田）、林地、荒草地等。临时占地面积10000m</w:t>
            </w:r>
            <w:r>
              <w:rPr>
                <w:rFonts w:hint="eastAsia"/>
                <w:snapToGrid w:val="0"/>
                <w:kern w:val="0"/>
                <w:sz w:val="24"/>
                <w:vertAlign w:val="superscript"/>
              </w:rPr>
              <w:t>2</w:t>
            </w:r>
            <w:r>
              <w:rPr>
                <w:rFonts w:hint="eastAsia"/>
                <w:snapToGrid w:val="0"/>
                <w:kern w:val="0"/>
                <w:sz w:val="24"/>
              </w:rPr>
              <w:t>，占地位于项目用地红线范围内，不新增占地。施工临时占地在竣工后尽快采取迹地恢复和绿化措施，防止遭受降雨侵蚀。</w:t>
            </w:r>
          </w:p>
          <w:p w14:paraId="287BD63B">
            <w:pPr>
              <w:snapToGrid w:val="0"/>
              <w:spacing w:line="360" w:lineRule="auto"/>
              <w:ind w:firstLine="480" w:firstLineChars="200"/>
              <w:rPr>
                <w:snapToGrid w:val="0"/>
                <w:kern w:val="0"/>
                <w:sz w:val="24"/>
              </w:rPr>
            </w:pPr>
            <w:r>
              <w:rPr>
                <w:rFonts w:hint="eastAsia"/>
                <w:snapToGrid w:val="0"/>
                <w:kern w:val="0"/>
                <w:sz w:val="24"/>
              </w:rPr>
              <w:t>施工完毕迹地恢复：施工完毕后应对项目所占临时占地进行迹地恢复，采取相应的土地平整等措施，原有的土地使用功能可以得到恢复。迹地恢复中，应恢复原有地表的平整度，道路两侧进行绿化。荒地区域分层回填，做好土壤复垦措施，由于工程施工影响了土壤的理化性质，因此土壤抚育应多施有机肥，以改善土壤的团粒结构，增加有机质含量。荒地区域回填后可种植植物，恢复生态环境。</w:t>
            </w:r>
          </w:p>
          <w:p w14:paraId="371491B2">
            <w:pPr>
              <w:snapToGrid w:val="0"/>
              <w:spacing w:line="360" w:lineRule="auto"/>
              <w:ind w:firstLine="480" w:firstLineChars="200"/>
              <w:rPr>
                <w:snapToGrid w:val="0"/>
                <w:kern w:val="0"/>
                <w:sz w:val="24"/>
              </w:rPr>
            </w:pPr>
            <w:r>
              <w:rPr>
                <w:rFonts w:hint="eastAsia"/>
                <w:snapToGrid w:val="0"/>
                <w:kern w:val="0"/>
                <w:sz w:val="24"/>
              </w:rPr>
              <w:t>此外，本项目为区域规划市政快速路建设项目，已在规划中优先考虑集约利用土地，避免过度开发和过度消耗，同时，涵盖考虑土地利用与城市功能的匹配度，并纳入新一轮国土空间规划实施方案，项目建设能有效确保土地用途与城市发展的需要相适应，对当地土地利用格局影响不大。</w:t>
            </w:r>
          </w:p>
          <w:p w14:paraId="188426C4">
            <w:pPr>
              <w:snapToGrid w:val="0"/>
              <w:spacing w:line="360" w:lineRule="auto"/>
              <w:ind w:firstLine="482" w:firstLineChars="200"/>
              <w:rPr>
                <w:b/>
                <w:snapToGrid w:val="0"/>
                <w:kern w:val="0"/>
                <w:sz w:val="24"/>
              </w:rPr>
            </w:pPr>
            <w:r>
              <w:rPr>
                <w:rFonts w:hint="eastAsia"/>
                <w:b/>
                <w:snapToGrid w:val="0"/>
                <w:kern w:val="0"/>
                <w:sz w:val="24"/>
              </w:rPr>
              <w:t>（2）对植被的影响分析</w:t>
            </w:r>
          </w:p>
          <w:p w14:paraId="604D965D">
            <w:pPr>
              <w:snapToGrid w:val="0"/>
              <w:spacing w:line="360" w:lineRule="auto"/>
              <w:ind w:firstLine="480" w:firstLineChars="200"/>
              <w:rPr>
                <w:snapToGrid w:val="0"/>
                <w:kern w:val="0"/>
                <w:sz w:val="24"/>
              </w:rPr>
            </w:pPr>
            <w:r>
              <w:rPr>
                <w:rFonts w:hint="eastAsia"/>
                <w:snapToGrid w:val="0"/>
                <w:kern w:val="0"/>
                <w:sz w:val="24"/>
              </w:rPr>
              <w:t>本项目为城市道路工程建设项目，周围用地主要为耕地、林地。工程永久占地导致原有地表植被永久性的破坏，植物生物量减少，该类影响属于不可逆转的影响。工程占地，会导致原有地表植被的破坏，植物生物量减少，失去生长环境，影响程度是不可逆的。从项目所在地植被分布现状调查的结果看，受项目直接影响的植被主要为人工植被为主。由于工程影响范围内多为常规广泛生长的物种，植被自我恢复能力强，本项目对现状乔木进行带土移栽，并在道路建成后通过采取道路绿化措施，施工造成的植被和土地生产力损失可以在很大程度上得到补偿。</w:t>
            </w:r>
          </w:p>
          <w:p w14:paraId="4966E376">
            <w:pPr>
              <w:spacing w:line="360" w:lineRule="auto"/>
              <w:ind w:firstLine="480" w:firstLineChars="200"/>
              <w:rPr>
                <w:snapToGrid w:val="0"/>
                <w:kern w:val="0"/>
                <w:sz w:val="24"/>
              </w:rPr>
            </w:pPr>
            <w:r>
              <w:rPr>
                <w:rFonts w:hint="eastAsia"/>
                <w:snapToGrid w:val="0"/>
                <w:kern w:val="0"/>
                <w:sz w:val="24"/>
              </w:rPr>
              <w:t>1）对生态结构的影响</w:t>
            </w:r>
          </w:p>
          <w:p w14:paraId="7DF83C13">
            <w:pPr>
              <w:spacing w:line="360" w:lineRule="auto"/>
              <w:ind w:firstLine="480" w:firstLineChars="200"/>
              <w:rPr>
                <w:snapToGrid w:val="0"/>
                <w:kern w:val="0"/>
                <w:sz w:val="24"/>
              </w:rPr>
            </w:pPr>
            <w:r>
              <w:rPr>
                <w:rFonts w:hint="eastAsia"/>
                <w:snapToGrid w:val="0"/>
                <w:kern w:val="0"/>
                <w:sz w:val="24"/>
              </w:rPr>
              <w:t>施工期人为活动，如路基的铺筑、施工机械的碾压、施工人员的践踏等，将使施工作业区周围的乔木、灌丛和草本植被遭受直接的破坏作用，从而使群落的生物多样性降低。</w:t>
            </w:r>
          </w:p>
          <w:p w14:paraId="6223C895">
            <w:pPr>
              <w:spacing w:line="360" w:lineRule="auto"/>
              <w:ind w:firstLine="480" w:firstLineChars="200"/>
              <w:rPr>
                <w:snapToGrid w:val="0"/>
                <w:kern w:val="0"/>
                <w:sz w:val="24"/>
              </w:rPr>
            </w:pPr>
            <w:r>
              <w:rPr>
                <w:rFonts w:hint="eastAsia"/>
                <w:snapToGrid w:val="0"/>
                <w:kern w:val="0"/>
                <w:sz w:val="24"/>
              </w:rPr>
              <w:t>施工沿线为城郊生态系统，根据现场调查，在工程影响范围内，受工程影响的植物主要为灌草丛，其生长范围广，适应性强。地表植被的损失将对现有生态系统产生一定的影响，但由于损失的面积相对于项目沿线地区是少量的，道路绿化将弥补部分损失的生物量，因此施工活动不会影响项目区的生态系统稳定性和完整性。</w:t>
            </w:r>
          </w:p>
          <w:p w14:paraId="7365FD49">
            <w:pPr>
              <w:spacing w:line="360" w:lineRule="auto"/>
              <w:ind w:firstLine="480" w:firstLineChars="200"/>
              <w:rPr>
                <w:snapToGrid w:val="0"/>
                <w:kern w:val="0"/>
                <w:sz w:val="24"/>
              </w:rPr>
            </w:pPr>
            <w:r>
              <w:rPr>
                <w:rFonts w:hint="eastAsia"/>
                <w:snapToGrid w:val="0"/>
                <w:kern w:val="0"/>
                <w:sz w:val="24"/>
              </w:rPr>
              <w:t>2）对国家重点保护植物和古树名木的影响</w:t>
            </w:r>
          </w:p>
          <w:p w14:paraId="666C7EE0">
            <w:pPr>
              <w:spacing w:line="360" w:lineRule="auto"/>
              <w:ind w:firstLine="480" w:firstLineChars="200"/>
              <w:rPr>
                <w:snapToGrid w:val="0"/>
                <w:kern w:val="0"/>
                <w:sz w:val="24"/>
              </w:rPr>
            </w:pPr>
            <w:r>
              <w:rPr>
                <w:rFonts w:hint="eastAsia"/>
                <w:snapToGrid w:val="0"/>
                <w:kern w:val="0"/>
                <w:sz w:val="24"/>
              </w:rPr>
              <w:t>通过现场实地调查和查询当地县志及相关林业资料，项目区未发现有国家重点保护植物和古树名木的分布。</w:t>
            </w:r>
          </w:p>
          <w:p w14:paraId="0A9DBBA2">
            <w:pPr>
              <w:spacing w:line="360" w:lineRule="auto"/>
              <w:ind w:firstLine="480" w:firstLineChars="200"/>
              <w:rPr>
                <w:snapToGrid w:val="0"/>
                <w:kern w:val="0"/>
                <w:sz w:val="24"/>
              </w:rPr>
            </w:pPr>
            <w:r>
              <w:rPr>
                <w:rFonts w:hint="eastAsia"/>
                <w:snapToGrid w:val="0"/>
                <w:kern w:val="0"/>
                <w:sz w:val="24"/>
              </w:rPr>
              <w:t>由于本项目城市道路沿线主要是以城郊、农村生态系统为主，仅含常规广泛生长的物种，只要施工结束后按照相关的环保要求实施，生态能够得到迅速的恢复。</w:t>
            </w:r>
          </w:p>
          <w:p w14:paraId="49D4134A">
            <w:pPr>
              <w:spacing w:line="360" w:lineRule="auto"/>
              <w:ind w:firstLine="482" w:firstLineChars="200"/>
              <w:rPr>
                <w:b/>
                <w:snapToGrid w:val="0"/>
                <w:kern w:val="0"/>
                <w:sz w:val="24"/>
              </w:rPr>
            </w:pPr>
            <w:r>
              <w:rPr>
                <w:rFonts w:hint="eastAsia"/>
                <w:b/>
                <w:snapToGrid w:val="0"/>
                <w:kern w:val="0"/>
                <w:sz w:val="24"/>
              </w:rPr>
              <w:t>（3）对陆生动物的影响</w:t>
            </w:r>
          </w:p>
          <w:p w14:paraId="4C0B4BBC">
            <w:pPr>
              <w:spacing w:line="360" w:lineRule="auto"/>
              <w:ind w:firstLine="480" w:firstLineChars="200"/>
              <w:rPr>
                <w:snapToGrid w:val="0"/>
                <w:kern w:val="0"/>
                <w:sz w:val="24"/>
              </w:rPr>
            </w:pPr>
            <w:r>
              <w:rPr>
                <w:rFonts w:hint="eastAsia"/>
                <w:snapToGrid w:val="0"/>
                <w:kern w:val="0"/>
                <w:sz w:val="24"/>
              </w:rPr>
              <w:t>本项目位于大英县城区盐井街道，该段道路由于长期受人类影响，沿线不存在大型的野生动植物。从现场实地走访调查显示，项目沿线周围主要涉及的动物为蛇、鼠及其他一些爬行动物和一些常见的鸟类（如麻雀、燕子等）等，其影响方式主要为：施工期间，人为活动的增加以及路基的开挖、施工震动，施工机械噪声均会惊吓、干扰区域内野生动物。在低海拔分布的蛇类等爬行动物，由于原分布区被部分破坏，会导致这些动物的生活区向其他区域迁移；鸟类能凭借自身的飞翔能力离开施工影响区域，寻找适宜的栖息地。</w:t>
            </w:r>
          </w:p>
          <w:p w14:paraId="34C93435">
            <w:pPr>
              <w:spacing w:line="360" w:lineRule="auto"/>
              <w:ind w:firstLine="480" w:firstLineChars="200"/>
              <w:rPr>
                <w:snapToGrid w:val="0"/>
                <w:kern w:val="0"/>
                <w:sz w:val="24"/>
              </w:rPr>
            </w:pPr>
            <w:r>
              <w:rPr>
                <w:rFonts w:hint="eastAsia"/>
                <w:snapToGrid w:val="0"/>
                <w:kern w:val="0"/>
                <w:sz w:val="24"/>
              </w:rPr>
              <w:t>根据调查，评价范围内无珍稀野生动物的栖息地，且区内人类活动比较频繁，野生动物较少。因此，本项目对陆生动物的影响不大。</w:t>
            </w:r>
          </w:p>
          <w:p w14:paraId="682A97FF">
            <w:pPr>
              <w:spacing w:line="360" w:lineRule="auto"/>
              <w:ind w:firstLine="482" w:firstLineChars="200"/>
              <w:rPr>
                <w:snapToGrid w:val="0"/>
                <w:kern w:val="0"/>
                <w:sz w:val="24"/>
              </w:rPr>
            </w:pPr>
            <w:r>
              <w:rPr>
                <w:rFonts w:hint="eastAsia"/>
                <w:b/>
                <w:snapToGrid w:val="0"/>
                <w:kern w:val="0"/>
                <w:sz w:val="24"/>
              </w:rPr>
              <w:t>环评要求：</w:t>
            </w:r>
            <w:r>
              <w:rPr>
                <w:rFonts w:hint="eastAsia"/>
                <w:snapToGrid w:val="0"/>
                <w:kern w:val="0"/>
                <w:sz w:val="24"/>
              </w:rPr>
              <w:t>为避免特殊情况下对野生动物的伤害，道路建设区域若发现野生动物，根据《中华人民共和国野生动物保护法》，在道路施工中，应加强对施工人员的环保教育，对施工中发现的野生动物，施工人员不得捕杀，应及时把它们移到远离道路的地方放生。任何单位和个人如果发现受伤、病弱、饥饿、受困、迷途的国家和地方重点保护野生动物时，应当及时报告当地野生动物行政主管部门，由其采取救护措施；也可以就近送具备救护条件的单位救护，同时报告当地野生动物行政主管部门。</w:t>
            </w:r>
          </w:p>
          <w:p w14:paraId="5979C675">
            <w:pPr>
              <w:spacing w:line="360" w:lineRule="auto"/>
              <w:ind w:firstLine="482" w:firstLineChars="200"/>
              <w:rPr>
                <w:b/>
                <w:snapToGrid w:val="0"/>
                <w:kern w:val="0"/>
                <w:sz w:val="24"/>
              </w:rPr>
            </w:pPr>
            <w:r>
              <w:rPr>
                <w:rFonts w:hint="eastAsia"/>
                <w:b/>
                <w:snapToGrid w:val="0"/>
                <w:kern w:val="0"/>
                <w:sz w:val="24"/>
              </w:rPr>
              <w:t>（4）水生生物的影响</w:t>
            </w:r>
          </w:p>
          <w:p w14:paraId="32C95B80">
            <w:pPr>
              <w:spacing w:line="360" w:lineRule="auto"/>
              <w:ind w:firstLine="480" w:firstLineChars="200"/>
              <w:rPr>
                <w:snapToGrid w:val="0"/>
                <w:kern w:val="0"/>
                <w:sz w:val="24"/>
              </w:rPr>
            </w:pPr>
            <w:r>
              <w:rPr>
                <w:rFonts w:hint="eastAsia"/>
                <w:snapToGrid w:val="0"/>
                <w:kern w:val="0"/>
                <w:sz w:val="24"/>
              </w:rPr>
              <w:t>经过查阅相关资料，评价范围内主要有1条小河（虾子桥河），现有鱼类有鲤鱼、鲫鱼、鲢鱼、沙鲳子、泥鳅、黄鳝、青鳝等，都为当地常见鱼类，且由于人类频繁活动导致目前上述常见鱼类的出现的频率也越来越少。本项目对水生生物的影响主要出现在施工阶段，营运期对水生生物影响很小。</w:t>
            </w:r>
          </w:p>
          <w:p w14:paraId="69A53BFA">
            <w:pPr>
              <w:spacing w:line="360" w:lineRule="auto"/>
              <w:ind w:firstLine="480" w:firstLineChars="200"/>
              <w:rPr>
                <w:snapToGrid w:val="0"/>
                <w:kern w:val="0"/>
                <w:sz w:val="24"/>
              </w:rPr>
            </w:pPr>
            <w:r>
              <w:rPr>
                <w:rFonts w:hint="eastAsia"/>
                <w:snapToGrid w:val="0"/>
                <w:kern w:val="0"/>
                <w:sz w:val="24"/>
              </w:rPr>
              <w:t>本次新建桥梁2座，桥梁均为一跨而过、不设置涉水桥墩，工程施工设计要求桥梁建设应选择在枯水期（11月至次年3月左右）进行施工。经调查，所涉及水体河段不涉及“鱼类三场”、主要鱼类洄游通道及水生生态敏感区，故项目建设不会对该类重要鱼类环境产生影响，不会降低水生生物物种多样性。</w:t>
            </w:r>
          </w:p>
          <w:p w14:paraId="560A1050">
            <w:pPr>
              <w:spacing w:line="360" w:lineRule="auto"/>
              <w:ind w:firstLine="482" w:firstLineChars="200"/>
              <w:rPr>
                <w:snapToGrid w:val="0"/>
                <w:kern w:val="0"/>
                <w:sz w:val="24"/>
              </w:rPr>
            </w:pPr>
            <w:r>
              <w:rPr>
                <w:rFonts w:hint="eastAsia"/>
                <w:b/>
                <w:snapToGrid w:val="0"/>
                <w:kern w:val="0"/>
                <w:sz w:val="24"/>
              </w:rPr>
              <w:t>环评要求：</w:t>
            </w:r>
            <w:r>
              <w:rPr>
                <w:rFonts w:hint="eastAsia"/>
                <w:snapToGrid w:val="0"/>
                <w:kern w:val="0"/>
                <w:sz w:val="24"/>
              </w:rPr>
              <w:t>为了保护区域水生生物资源，项目施工应严格按照施工规程施工，并相应采取有效的防治措施。合理规划施工时间，避开鱼类产卵期；且项目桥梁为预应力简支小箱梁，施工工期较短，基本不会对水体造成影响，在采取相应措施后，桥涵等施工对水体的不良影响降至最低。</w:t>
            </w:r>
          </w:p>
          <w:p w14:paraId="204626E9">
            <w:pPr>
              <w:spacing w:line="360" w:lineRule="auto"/>
              <w:ind w:firstLine="482" w:firstLineChars="200"/>
              <w:rPr>
                <w:b/>
                <w:snapToGrid w:val="0"/>
                <w:kern w:val="0"/>
                <w:sz w:val="24"/>
              </w:rPr>
            </w:pPr>
            <w:r>
              <w:rPr>
                <w:rFonts w:hint="eastAsia"/>
                <w:b/>
                <w:snapToGrid w:val="0"/>
                <w:kern w:val="0"/>
                <w:sz w:val="24"/>
              </w:rPr>
              <w:t>（5）水土流失</w:t>
            </w:r>
          </w:p>
          <w:p w14:paraId="2D0F5EE4">
            <w:pPr>
              <w:spacing w:line="360" w:lineRule="auto"/>
              <w:ind w:firstLine="480" w:firstLineChars="200"/>
              <w:rPr>
                <w:snapToGrid w:val="0"/>
                <w:kern w:val="0"/>
                <w:sz w:val="24"/>
              </w:rPr>
            </w:pPr>
            <w:r>
              <w:rPr>
                <w:rFonts w:hint="eastAsia"/>
                <w:snapToGrid w:val="0"/>
                <w:kern w:val="0"/>
                <w:sz w:val="24"/>
              </w:rPr>
              <w:t>项目施工过程中因土石方开挖、表土层的剥离等都会产生新的水土流失，地表受到扰动、原始地貌受到破坏。结合项目特点，在本项目建设过程中，其新增水土流失主要来源于施工期扰动地表引起的新增水土流失、临时堆土新增水土流失两部分。</w:t>
            </w:r>
          </w:p>
          <w:p w14:paraId="2F04A3A4">
            <w:pPr>
              <w:spacing w:line="360" w:lineRule="auto"/>
              <w:ind w:firstLine="480" w:firstLineChars="200"/>
              <w:rPr>
                <w:snapToGrid w:val="0"/>
                <w:kern w:val="0"/>
                <w:sz w:val="24"/>
              </w:rPr>
            </w:pPr>
            <w:r>
              <w:rPr>
                <w:rFonts w:hint="eastAsia"/>
                <w:snapToGrid w:val="0"/>
                <w:kern w:val="0"/>
                <w:sz w:val="24"/>
              </w:rPr>
              <w:t>为减少项目建设产生的水土流失，项目应采取以下措施进行水土保持防护。</w:t>
            </w:r>
          </w:p>
          <w:p w14:paraId="78683D9F">
            <w:pPr>
              <w:spacing w:line="360" w:lineRule="auto"/>
              <w:ind w:firstLine="482" w:firstLineChars="200"/>
              <w:rPr>
                <w:b/>
                <w:snapToGrid w:val="0"/>
                <w:kern w:val="0"/>
                <w:sz w:val="24"/>
              </w:rPr>
            </w:pPr>
            <w:r>
              <w:rPr>
                <w:rFonts w:hint="eastAsia"/>
                <w:b/>
                <w:snapToGrid w:val="0"/>
                <w:kern w:val="0"/>
                <w:sz w:val="24"/>
              </w:rPr>
              <w:t>工程措施：</w:t>
            </w:r>
          </w:p>
          <w:p w14:paraId="600BE74D">
            <w:pPr>
              <w:spacing w:line="360" w:lineRule="auto"/>
              <w:ind w:firstLine="480" w:firstLineChars="200"/>
              <w:rPr>
                <w:snapToGrid w:val="0"/>
                <w:kern w:val="0"/>
                <w:sz w:val="24"/>
              </w:rPr>
            </w:pPr>
            <w:r>
              <w:rPr>
                <w:rFonts w:hint="eastAsia"/>
                <w:snapToGrid w:val="0"/>
                <w:kern w:val="0"/>
                <w:sz w:val="24"/>
              </w:rPr>
              <w:t>1）排水工程：为防止在建设过程中大量弃渣在集中暴雨下，地表径流造成较大冲刷，发生各种水力侵蚀，项目应设计路面径流排水管迅速排水，同时在项目建成后作为雨水的排放通道。</w:t>
            </w:r>
          </w:p>
          <w:p w14:paraId="67291DB7">
            <w:pPr>
              <w:spacing w:line="360" w:lineRule="auto"/>
              <w:ind w:firstLine="480" w:firstLineChars="200"/>
              <w:rPr>
                <w:snapToGrid w:val="0"/>
                <w:kern w:val="0"/>
                <w:sz w:val="24"/>
              </w:rPr>
            </w:pPr>
            <w:r>
              <w:rPr>
                <w:rFonts w:hint="eastAsia"/>
                <w:snapToGrid w:val="0"/>
                <w:kern w:val="0"/>
                <w:sz w:val="24"/>
              </w:rPr>
              <w:t>2）基础施工宜以挖作填，减少开挖面、开挖量。开挖的土方未进行填实和进行地表恢复前，对临时堆放场做好临时排水、拦挡设施和表土临时覆盖等临时防护措施。临时堆场周围修建临时排水沟，用彩条布遮盖，土工袋围挡，临时堆土边坡比控制在1:1~1:1.5，四周拦挡高度宜在0.4~2.0m。</w:t>
            </w:r>
          </w:p>
          <w:p w14:paraId="5FD8C6F5">
            <w:pPr>
              <w:spacing w:line="360" w:lineRule="auto"/>
              <w:ind w:firstLine="480" w:firstLineChars="200"/>
              <w:rPr>
                <w:snapToGrid w:val="0"/>
                <w:kern w:val="0"/>
                <w:sz w:val="24"/>
              </w:rPr>
            </w:pPr>
            <w:r>
              <w:rPr>
                <w:rFonts w:hint="eastAsia"/>
                <w:snapToGrid w:val="0"/>
                <w:kern w:val="0"/>
                <w:sz w:val="24"/>
              </w:rPr>
              <w:t>3）植物措施：</w:t>
            </w:r>
          </w:p>
          <w:p w14:paraId="4034BAD9">
            <w:pPr>
              <w:spacing w:line="360" w:lineRule="auto"/>
              <w:ind w:firstLine="480" w:firstLineChars="200"/>
              <w:rPr>
                <w:snapToGrid w:val="0"/>
                <w:kern w:val="0"/>
                <w:sz w:val="24"/>
              </w:rPr>
            </w:pPr>
            <w:r>
              <w:rPr>
                <w:rFonts w:hint="eastAsia"/>
                <w:snapToGrid w:val="0"/>
                <w:kern w:val="0"/>
                <w:sz w:val="24"/>
              </w:rPr>
              <w:t>道路路面施工后，对道路沿线及时进行植树种草，加强绿化，并确保所植树、种草成活率，树种则以本地树种为主。</w:t>
            </w:r>
          </w:p>
          <w:p w14:paraId="3DD381B6">
            <w:pPr>
              <w:spacing w:line="360" w:lineRule="auto"/>
              <w:ind w:firstLine="480" w:firstLineChars="200"/>
              <w:rPr>
                <w:snapToGrid w:val="0"/>
                <w:kern w:val="0"/>
                <w:sz w:val="24"/>
              </w:rPr>
            </w:pPr>
            <w:r>
              <w:rPr>
                <w:rFonts w:hint="eastAsia"/>
                <w:snapToGrid w:val="0"/>
                <w:kern w:val="0"/>
                <w:sz w:val="24"/>
              </w:rPr>
              <w:t>4）管理措施：</w:t>
            </w:r>
          </w:p>
          <w:p w14:paraId="27E57E23">
            <w:pPr>
              <w:snapToGrid w:val="0"/>
              <w:spacing w:line="360" w:lineRule="auto"/>
              <w:ind w:firstLine="480" w:firstLineChars="200"/>
              <w:rPr>
                <w:snapToGrid w:val="0"/>
                <w:kern w:val="0"/>
                <w:sz w:val="24"/>
              </w:rPr>
            </w:pPr>
            <w:r>
              <w:rPr>
                <w:rFonts w:hint="eastAsia"/>
                <w:snapToGrid w:val="0"/>
                <w:kern w:val="0"/>
                <w:sz w:val="24"/>
              </w:rPr>
              <w:t>①尽量避开雨季施工，采取分段施工，提高工程施工效率，缩短施工工期，同时采取永久防护和临时防护相结合的防护体系，以减少施工期间的水土流失；</w:t>
            </w:r>
          </w:p>
          <w:p w14:paraId="6B7745CB">
            <w:pPr>
              <w:snapToGrid w:val="0"/>
              <w:spacing w:line="360" w:lineRule="auto"/>
              <w:ind w:firstLine="480" w:firstLineChars="200"/>
              <w:rPr>
                <w:snapToGrid w:val="0"/>
                <w:kern w:val="0"/>
                <w:sz w:val="24"/>
              </w:rPr>
            </w:pPr>
            <w:r>
              <w:rPr>
                <w:rFonts w:hint="eastAsia"/>
                <w:snapToGrid w:val="0"/>
                <w:kern w:val="0"/>
                <w:sz w:val="24"/>
              </w:rPr>
              <w:t>②施工作业在围护隔栏内进行，开挖采用人工开挖，减小作业面积，从而减轻对周围住户及水土流失的影响；</w:t>
            </w:r>
          </w:p>
          <w:p w14:paraId="6B298F59">
            <w:pPr>
              <w:snapToGrid w:val="0"/>
              <w:spacing w:line="360" w:lineRule="auto"/>
              <w:ind w:firstLine="480" w:firstLineChars="200"/>
              <w:rPr>
                <w:snapToGrid w:val="0"/>
                <w:kern w:val="0"/>
                <w:sz w:val="24"/>
              </w:rPr>
            </w:pPr>
            <w:r>
              <w:rPr>
                <w:rFonts w:hint="eastAsia"/>
                <w:snapToGrid w:val="0"/>
                <w:kern w:val="0"/>
                <w:sz w:val="24"/>
              </w:rPr>
              <w:t>③施工过程中及时将土石方回填、夯实，避免弃土长时间堆放，减小堆放坡度。用塑料布遮盖平整土地，覆盖边坡，避免雨水浸泡和冲刷；</w:t>
            </w:r>
          </w:p>
          <w:p w14:paraId="2ADB26E3">
            <w:pPr>
              <w:spacing w:line="360" w:lineRule="auto"/>
              <w:ind w:firstLine="480" w:firstLineChars="200"/>
              <w:rPr>
                <w:snapToGrid w:val="0"/>
                <w:kern w:val="0"/>
                <w:sz w:val="24"/>
              </w:rPr>
            </w:pPr>
            <w:r>
              <w:rPr>
                <w:rFonts w:hint="eastAsia"/>
                <w:snapToGrid w:val="0"/>
                <w:kern w:val="0"/>
                <w:sz w:val="24"/>
              </w:rPr>
              <w:t>④施工中严格执行HSE管理，控制人员、车辆按照预定线路行动，文明施工，有序作业，施工过程中应采取分层开挖、分层堆放、分层回填的方式；</w:t>
            </w:r>
          </w:p>
          <w:p w14:paraId="63FBD051">
            <w:pPr>
              <w:spacing w:line="360" w:lineRule="auto"/>
              <w:ind w:firstLine="480" w:firstLineChars="200"/>
              <w:rPr>
                <w:snapToGrid w:val="0"/>
                <w:kern w:val="0"/>
                <w:sz w:val="24"/>
              </w:rPr>
            </w:pPr>
            <w:r>
              <w:rPr>
                <w:rFonts w:hint="eastAsia"/>
                <w:snapToGrid w:val="0"/>
                <w:kern w:val="0"/>
                <w:sz w:val="24"/>
              </w:rPr>
              <w:t>⑤雨天应进行开挖、渣土运输作业。</w:t>
            </w:r>
          </w:p>
          <w:p w14:paraId="28C4EF1B">
            <w:pPr>
              <w:spacing w:line="360" w:lineRule="auto"/>
              <w:ind w:firstLine="482" w:firstLineChars="200"/>
              <w:rPr>
                <w:b/>
                <w:snapToGrid w:val="0"/>
                <w:kern w:val="0"/>
                <w:sz w:val="24"/>
              </w:rPr>
            </w:pPr>
            <w:r>
              <w:rPr>
                <w:rFonts w:hint="eastAsia"/>
                <w:b/>
                <w:snapToGrid w:val="0"/>
                <w:kern w:val="0"/>
                <w:sz w:val="24"/>
              </w:rPr>
              <w:t>2、施工期对地表水体环境影响分析</w:t>
            </w:r>
          </w:p>
          <w:p w14:paraId="3B456D21">
            <w:pPr>
              <w:spacing w:line="360" w:lineRule="auto"/>
              <w:ind w:firstLine="482" w:firstLineChars="200"/>
              <w:rPr>
                <w:b/>
                <w:snapToGrid w:val="0"/>
                <w:kern w:val="0"/>
                <w:sz w:val="24"/>
              </w:rPr>
            </w:pPr>
            <w:r>
              <w:rPr>
                <w:rFonts w:hint="eastAsia"/>
                <w:b/>
                <w:snapToGrid w:val="0"/>
                <w:kern w:val="0"/>
                <w:sz w:val="24"/>
              </w:rPr>
              <w:t>（1）建筑材料运输与堆放对地表水环境的影响分析</w:t>
            </w:r>
          </w:p>
          <w:p w14:paraId="24C33818">
            <w:pPr>
              <w:spacing w:line="360" w:lineRule="auto"/>
              <w:ind w:firstLine="480" w:firstLineChars="200"/>
              <w:rPr>
                <w:snapToGrid w:val="0"/>
                <w:kern w:val="0"/>
                <w:sz w:val="24"/>
              </w:rPr>
            </w:pPr>
            <w:r>
              <w:rPr>
                <w:rFonts w:hint="eastAsia"/>
                <w:snapToGrid w:val="0"/>
                <w:kern w:val="0"/>
                <w:sz w:val="24"/>
              </w:rPr>
              <w:t>在施工中应根据不同筑路材料和特点，有针对性的加强保护管理措施，尽量减小其对水环境的影响。建议施工单位在选择建筑材料堆放场地时，应注意不能靠近虾子桥河，尽量堆放在远离水体、且无汇入支流的空旷地带，堆放期间应加盖篷布；建筑材料运输路线尽量选择远离河流。</w:t>
            </w:r>
          </w:p>
          <w:p w14:paraId="1746BA4F">
            <w:pPr>
              <w:spacing w:line="360" w:lineRule="auto"/>
              <w:ind w:firstLine="482" w:firstLineChars="200"/>
              <w:rPr>
                <w:b/>
                <w:snapToGrid w:val="0"/>
                <w:kern w:val="0"/>
                <w:sz w:val="24"/>
              </w:rPr>
            </w:pPr>
            <w:r>
              <w:rPr>
                <w:rFonts w:hint="eastAsia"/>
                <w:b/>
                <w:snapToGrid w:val="0"/>
                <w:kern w:val="0"/>
                <w:sz w:val="24"/>
              </w:rPr>
              <w:t>（2）桥梁施工对地表水体的影响分析</w:t>
            </w:r>
          </w:p>
          <w:p w14:paraId="19745716">
            <w:pPr>
              <w:spacing w:line="360" w:lineRule="auto"/>
              <w:ind w:firstLine="480" w:firstLineChars="200"/>
              <w:rPr>
                <w:snapToGrid w:val="0"/>
                <w:kern w:val="0"/>
                <w:sz w:val="24"/>
              </w:rPr>
            </w:pPr>
            <w:r>
              <w:rPr>
                <w:rFonts w:hint="eastAsia"/>
                <w:snapToGrid w:val="0"/>
                <w:kern w:val="0"/>
                <w:sz w:val="24"/>
              </w:rPr>
              <w:t>本项目桥梁均无涉水桥墩建设，虾子桥河为规划河道，施工时不会对其产生影响；项目在施工过程应注意将临时弃土的堆放远离河道，严禁弃土、废油、废水以及生活垃圾直接倾倒入河道，通过采取措施后，项目施工不会对沿线河道水质产生大的影响。</w:t>
            </w:r>
          </w:p>
          <w:p w14:paraId="7CEE7582">
            <w:pPr>
              <w:spacing w:line="360" w:lineRule="auto"/>
              <w:ind w:firstLine="482" w:firstLineChars="200"/>
              <w:rPr>
                <w:b/>
                <w:snapToGrid w:val="0"/>
                <w:kern w:val="0"/>
                <w:sz w:val="24"/>
              </w:rPr>
            </w:pPr>
            <w:r>
              <w:rPr>
                <w:rFonts w:hint="eastAsia"/>
                <w:b/>
                <w:snapToGrid w:val="0"/>
                <w:kern w:val="0"/>
                <w:sz w:val="24"/>
              </w:rPr>
              <w:t>（3）施工期含油废水对地表水环境的影响分析</w:t>
            </w:r>
          </w:p>
          <w:p w14:paraId="2C972D6C">
            <w:pPr>
              <w:spacing w:line="360" w:lineRule="auto"/>
              <w:ind w:firstLine="480" w:firstLineChars="200"/>
              <w:rPr>
                <w:snapToGrid w:val="0"/>
                <w:kern w:val="0"/>
                <w:sz w:val="24"/>
              </w:rPr>
            </w:pPr>
            <w:r>
              <w:rPr>
                <w:rFonts w:hint="eastAsia"/>
                <w:snapToGrid w:val="0"/>
                <w:kern w:val="0"/>
                <w:sz w:val="24"/>
              </w:rPr>
              <w:t>施工期含油污水主要来源于设备、车辆冲洗。其成分主要是润滑油、柴油、汽油等石油类物质，此类物质一旦进入水体，则会浮于水面，阻碍油水界面的物质交换，使水体溶解氧得不到及时补给，对水生生物的生命活动造成影响。</w:t>
            </w:r>
          </w:p>
          <w:p w14:paraId="678F60A8">
            <w:pPr>
              <w:spacing w:line="360" w:lineRule="auto"/>
              <w:ind w:firstLine="480" w:firstLineChars="200"/>
              <w:rPr>
                <w:snapToGrid w:val="0"/>
                <w:kern w:val="0"/>
                <w:sz w:val="24"/>
              </w:rPr>
            </w:pPr>
            <w:r>
              <w:rPr>
                <w:rFonts w:hint="eastAsia"/>
                <w:snapToGrid w:val="0"/>
                <w:kern w:val="0"/>
                <w:sz w:val="24"/>
              </w:rPr>
              <w:t>为了保护项目沿线水体水质，建议在施工场地设置隔油沉淀池，位置设置在远离地表水体位置，隔油沉淀池四周做防渗漏砌护，含油冲洗废水经沉淀一隔油处理后再回用，不外排。</w:t>
            </w:r>
          </w:p>
          <w:p w14:paraId="1691EE50">
            <w:pPr>
              <w:spacing w:line="360" w:lineRule="auto"/>
              <w:ind w:firstLine="482" w:firstLineChars="200"/>
              <w:rPr>
                <w:b/>
                <w:snapToGrid w:val="0"/>
                <w:kern w:val="0"/>
                <w:sz w:val="24"/>
              </w:rPr>
            </w:pPr>
            <w:r>
              <w:rPr>
                <w:rFonts w:hint="eastAsia"/>
                <w:b/>
                <w:snapToGrid w:val="0"/>
                <w:kern w:val="0"/>
                <w:sz w:val="24"/>
              </w:rPr>
              <w:t>（4）降雨产生的面源流失对水环境的影响</w:t>
            </w:r>
          </w:p>
          <w:p w14:paraId="2A72840C">
            <w:pPr>
              <w:spacing w:line="360" w:lineRule="auto"/>
              <w:ind w:firstLine="480" w:firstLineChars="200"/>
              <w:rPr>
                <w:snapToGrid w:val="0"/>
                <w:kern w:val="0"/>
                <w:sz w:val="24"/>
              </w:rPr>
            </w:pPr>
            <w:r>
              <w:rPr>
                <w:rFonts w:hint="eastAsia"/>
                <w:snapToGrid w:val="0"/>
                <w:kern w:val="0"/>
                <w:sz w:val="24"/>
              </w:rPr>
              <w:t>项目施工期间，裸露的开挖及填筑边坡较多，在当地强降雨条件下，产生大量的水土流失而进入周围水体，对水环境造成较大的影响，甚至淤塞排水管网。所以在施工期间要注意对这些裸露地的防护。项目在施工时考虑了用防雨布对开挖和填筑的边坡、表土剥离临时堆放场等进行覆盖。采取这些措施后，项目在施工期间，降雨产生的面源流失对周围水环境的影响很小。</w:t>
            </w:r>
          </w:p>
          <w:p w14:paraId="722F6C20">
            <w:pPr>
              <w:spacing w:line="360" w:lineRule="auto"/>
              <w:ind w:firstLine="482" w:firstLineChars="200"/>
              <w:rPr>
                <w:b/>
                <w:snapToGrid w:val="0"/>
                <w:kern w:val="0"/>
                <w:sz w:val="24"/>
              </w:rPr>
            </w:pPr>
            <w:r>
              <w:rPr>
                <w:rFonts w:hint="eastAsia"/>
                <w:b/>
                <w:snapToGrid w:val="0"/>
                <w:kern w:val="0"/>
                <w:sz w:val="24"/>
              </w:rPr>
              <w:t>（5）综合管线工程给水管道试压水</w:t>
            </w:r>
          </w:p>
          <w:p w14:paraId="62BDD875">
            <w:pPr>
              <w:spacing w:line="360" w:lineRule="auto"/>
              <w:ind w:firstLine="480" w:firstLineChars="200"/>
              <w:rPr>
                <w:snapToGrid w:val="0"/>
                <w:kern w:val="0"/>
                <w:sz w:val="24"/>
              </w:rPr>
            </w:pPr>
            <w:r>
              <w:rPr>
                <w:rFonts w:hint="eastAsia"/>
                <w:snapToGrid w:val="0"/>
                <w:kern w:val="0"/>
                <w:sz w:val="24"/>
              </w:rPr>
              <w:t>项目综合管线工程给水管道试压水来自城市自来水，试压过程不会对自来水造成污染影响，试压完后经沉淀池沉淀处理后，回用于施工场地洒水抑尘。</w:t>
            </w:r>
          </w:p>
          <w:p w14:paraId="784A8361">
            <w:pPr>
              <w:spacing w:line="360" w:lineRule="auto"/>
              <w:ind w:firstLine="482" w:firstLineChars="200"/>
              <w:rPr>
                <w:b/>
                <w:snapToGrid w:val="0"/>
                <w:kern w:val="0"/>
                <w:sz w:val="24"/>
              </w:rPr>
            </w:pPr>
            <w:r>
              <w:rPr>
                <w:rFonts w:hint="eastAsia"/>
                <w:b/>
                <w:snapToGrid w:val="0"/>
                <w:kern w:val="0"/>
                <w:sz w:val="24"/>
              </w:rPr>
              <w:t>（6）生活污水对水环境的影响分析</w:t>
            </w:r>
          </w:p>
          <w:p w14:paraId="06DDAEFF">
            <w:pPr>
              <w:spacing w:line="360" w:lineRule="auto"/>
              <w:ind w:firstLine="480" w:firstLineChars="200"/>
              <w:rPr>
                <w:snapToGrid w:val="0"/>
                <w:kern w:val="0"/>
                <w:sz w:val="24"/>
              </w:rPr>
            </w:pPr>
            <w:r>
              <w:rPr>
                <w:rFonts w:hint="eastAsia"/>
                <w:snapToGrid w:val="0"/>
                <w:kern w:val="0"/>
                <w:sz w:val="24"/>
              </w:rPr>
              <w:t>本项目施工期间不设置施工营地，施工高峰期施工人员及工地管理人员约50人，工地内不设住宿、食堂及厕所，施工人员租住当地房屋。施工人员生活污水按50L/人•d 计，产生量约2.5m</w:t>
            </w:r>
            <w:r>
              <w:rPr>
                <w:rFonts w:hint="eastAsia"/>
                <w:snapToGrid w:val="0"/>
                <w:kern w:val="0"/>
                <w:sz w:val="24"/>
                <w:vertAlign w:val="superscript"/>
              </w:rPr>
              <w:t>3</w:t>
            </w:r>
            <w:r>
              <w:rPr>
                <w:rFonts w:hint="eastAsia"/>
                <w:snapToGrid w:val="0"/>
                <w:kern w:val="0"/>
                <w:sz w:val="24"/>
              </w:rPr>
              <w:t>/d。主要污染物浓度为：COD 400mg/L、BOD 200mg/L、SS 250mg/L，氨氮40mg/L，动植物油10mg/L。</w:t>
            </w:r>
          </w:p>
          <w:p w14:paraId="12F988F1">
            <w:pPr>
              <w:spacing w:line="360" w:lineRule="auto"/>
              <w:ind w:firstLine="480" w:firstLineChars="200"/>
              <w:rPr>
                <w:snapToGrid w:val="0"/>
                <w:kern w:val="0"/>
                <w:sz w:val="24"/>
              </w:rPr>
            </w:pPr>
            <w:r>
              <w:rPr>
                <w:rFonts w:hint="eastAsia"/>
                <w:snapToGrid w:val="0"/>
                <w:kern w:val="0"/>
                <w:sz w:val="24"/>
              </w:rPr>
              <w:t>施工人员租用当地民房，生活污水利用居民已有的预处理池处理后，用于附近农肥或排入临近污水处理厂，不会对区域地表水体造成污染。</w:t>
            </w:r>
          </w:p>
          <w:p w14:paraId="4D90E2BD">
            <w:pPr>
              <w:spacing w:line="360" w:lineRule="auto"/>
              <w:ind w:firstLine="480" w:firstLineChars="200"/>
              <w:rPr>
                <w:b/>
                <w:snapToGrid w:val="0"/>
                <w:kern w:val="0"/>
                <w:sz w:val="24"/>
              </w:rPr>
            </w:pPr>
            <w:r>
              <w:rPr>
                <w:rFonts w:hint="eastAsia"/>
                <w:snapToGrid w:val="0"/>
                <w:kern w:val="0"/>
                <w:sz w:val="24"/>
              </w:rPr>
              <w:t>综上所述，道路施工期对项目区域的水环境有一定的影响，随着施工活动结束，影响将消除。在采取相应的环保措施后，环评认为，施工期生产废水、生活污水对工程影响区域的水环境产生的影响很小。</w:t>
            </w:r>
          </w:p>
          <w:p w14:paraId="1A75810E">
            <w:pPr>
              <w:spacing w:line="360" w:lineRule="auto"/>
              <w:ind w:firstLine="482" w:firstLineChars="200"/>
              <w:rPr>
                <w:b/>
                <w:snapToGrid w:val="0"/>
                <w:kern w:val="0"/>
                <w:sz w:val="24"/>
              </w:rPr>
            </w:pPr>
            <w:r>
              <w:rPr>
                <w:rFonts w:hint="eastAsia"/>
                <w:b/>
                <w:snapToGrid w:val="0"/>
                <w:kern w:val="0"/>
                <w:sz w:val="24"/>
              </w:rPr>
              <w:t>3</w:t>
            </w:r>
            <w:r>
              <w:rPr>
                <w:b/>
                <w:snapToGrid w:val="0"/>
                <w:kern w:val="0"/>
                <w:sz w:val="24"/>
              </w:rPr>
              <w:t>、</w:t>
            </w:r>
            <w:r>
              <w:rPr>
                <w:rFonts w:hint="eastAsia"/>
                <w:b/>
                <w:snapToGrid w:val="0"/>
                <w:kern w:val="0"/>
                <w:sz w:val="24"/>
              </w:rPr>
              <w:t>施工期大气环境影响分析</w:t>
            </w:r>
          </w:p>
          <w:p w14:paraId="06E088EE">
            <w:pPr>
              <w:spacing w:line="360" w:lineRule="auto"/>
              <w:ind w:firstLine="480" w:firstLineChars="200"/>
              <w:rPr>
                <w:snapToGrid w:val="0"/>
                <w:kern w:val="0"/>
                <w:sz w:val="24"/>
              </w:rPr>
            </w:pPr>
            <w:r>
              <w:rPr>
                <w:rFonts w:hint="eastAsia"/>
                <w:snapToGrid w:val="0"/>
                <w:kern w:val="0"/>
                <w:sz w:val="24"/>
              </w:rPr>
              <w:t>本项目施工期产生大气污染物主要为扬尘、施工车辆及机械尾气、沥青烟等。</w:t>
            </w:r>
          </w:p>
          <w:p w14:paraId="033E1B23">
            <w:pPr>
              <w:spacing w:line="360" w:lineRule="auto"/>
              <w:ind w:firstLine="482" w:firstLineChars="200"/>
              <w:rPr>
                <w:b/>
                <w:snapToGrid w:val="0"/>
                <w:kern w:val="0"/>
                <w:sz w:val="24"/>
              </w:rPr>
            </w:pPr>
            <w:r>
              <w:rPr>
                <w:rFonts w:hint="eastAsia"/>
                <w:b/>
                <w:snapToGrid w:val="0"/>
                <w:kern w:val="0"/>
                <w:sz w:val="24"/>
              </w:rPr>
              <w:t>（1）</w:t>
            </w:r>
            <w:r>
              <w:rPr>
                <w:b/>
                <w:snapToGrid w:val="0"/>
                <w:kern w:val="0"/>
                <w:sz w:val="24"/>
              </w:rPr>
              <w:t>施工机械、车辆</w:t>
            </w:r>
            <w:r>
              <w:rPr>
                <w:rFonts w:hint="eastAsia"/>
                <w:b/>
                <w:snapToGrid w:val="0"/>
                <w:kern w:val="0"/>
                <w:sz w:val="24"/>
              </w:rPr>
              <w:t>尾气</w:t>
            </w:r>
          </w:p>
          <w:p w14:paraId="3D45A2CB">
            <w:pPr>
              <w:spacing w:line="360" w:lineRule="auto"/>
              <w:ind w:firstLine="480" w:firstLineChars="200"/>
              <w:rPr>
                <w:snapToGrid w:val="0"/>
                <w:kern w:val="0"/>
                <w:sz w:val="24"/>
              </w:rPr>
            </w:pPr>
            <w:r>
              <w:rPr>
                <w:snapToGrid w:val="0"/>
                <w:kern w:val="0"/>
                <w:sz w:val="24"/>
              </w:rPr>
              <w:t>施工区的燃油设备主要是施工机械和运输车辆，其排放的尾气在施工期间对施工作业点和交通公路附近的大气环境会造成一定程度的污染，产生CO、碳氢化合物、NO</w:t>
            </w:r>
            <w:r>
              <w:rPr>
                <w:snapToGrid w:val="0"/>
                <w:kern w:val="0"/>
                <w:sz w:val="24"/>
                <w:vertAlign w:val="subscript"/>
              </w:rPr>
              <w:t>2</w:t>
            </w:r>
            <w:r>
              <w:rPr>
                <w:snapToGrid w:val="0"/>
                <w:kern w:val="0"/>
                <w:sz w:val="24"/>
              </w:rPr>
              <w:t>等污染物。运输车辆的废气是沿交通路线沿程排放，施工机械的废气基本是以点源形式排放。</w:t>
            </w:r>
          </w:p>
          <w:p w14:paraId="7180FF13">
            <w:pPr>
              <w:spacing w:line="360" w:lineRule="auto"/>
              <w:ind w:firstLine="480" w:firstLineChars="200"/>
              <w:rPr>
                <w:snapToGrid w:val="0"/>
                <w:kern w:val="0"/>
                <w:sz w:val="24"/>
              </w:rPr>
            </w:pPr>
            <w:r>
              <w:rPr>
                <w:snapToGrid w:val="0"/>
                <w:kern w:val="0"/>
                <w:sz w:val="24"/>
              </w:rPr>
              <w:t>由于施工区空气流通性好，排放废气中的各项污染物能够很快扩散，不会引起局部大气环境质量的恶化，加之废气排放的不连续性和工程施工期有限，排放的废气对区域的环境空气质量影响是较小的</w:t>
            </w:r>
            <w:r>
              <w:rPr>
                <w:rFonts w:hint="eastAsia"/>
                <w:snapToGrid w:val="0"/>
                <w:kern w:val="0"/>
                <w:sz w:val="24"/>
              </w:rPr>
              <w:t>，</w:t>
            </w:r>
            <w:r>
              <w:rPr>
                <w:snapToGrid w:val="0"/>
                <w:kern w:val="0"/>
                <w:sz w:val="24"/>
              </w:rPr>
              <w:t>应采取加强相应管理措施。</w:t>
            </w:r>
          </w:p>
          <w:p w14:paraId="3516121A">
            <w:pPr>
              <w:spacing w:line="360" w:lineRule="auto"/>
              <w:ind w:firstLine="482" w:firstLineChars="200"/>
              <w:rPr>
                <w:b/>
                <w:snapToGrid w:val="0"/>
                <w:kern w:val="0"/>
                <w:sz w:val="24"/>
              </w:rPr>
            </w:pPr>
            <w:r>
              <w:rPr>
                <w:rFonts w:hint="eastAsia"/>
                <w:b/>
                <w:snapToGrid w:val="0"/>
                <w:kern w:val="0"/>
                <w:sz w:val="24"/>
              </w:rPr>
              <w:t>（2）</w:t>
            </w:r>
            <w:r>
              <w:rPr>
                <w:b/>
                <w:snapToGrid w:val="0"/>
                <w:kern w:val="0"/>
                <w:sz w:val="24"/>
              </w:rPr>
              <w:t>施工扬尘</w:t>
            </w:r>
          </w:p>
          <w:p w14:paraId="550843A1">
            <w:pPr>
              <w:spacing w:line="360" w:lineRule="auto"/>
              <w:ind w:firstLine="480" w:firstLineChars="200"/>
              <w:rPr>
                <w:sz w:val="24"/>
              </w:rPr>
            </w:pPr>
            <w:r>
              <w:rPr>
                <w:rFonts w:hint="eastAsia"/>
                <w:sz w:val="24"/>
              </w:rPr>
              <w:t>在整个施工期间，产生扬尘的作业主要有土地平整、道路浇筑、建材运输、露天堆放、装卸和搅拌等过程，其中车辆运输、装卸及施工开挖造成的扬尘最为严重。</w:t>
            </w:r>
          </w:p>
          <w:p w14:paraId="2382FA09">
            <w:pPr>
              <w:spacing w:line="360" w:lineRule="auto"/>
              <w:ind w:firstLine="480" w:firstLineChars="200"/>
              <w:rPr>
                <w:sz w:val="24"/>
              </w:rPr>
            </w:pPr>
            <w:r>
              <w:rPr>
                <w:rFonts w:hint="eastAsia"/>
                <w:sz w:val="24"/>
              </w:rPr>
              <w:t>本项目每个施工场地进出车辆预计每天10辆左右，据有关调查显示，施工工地的扬尘主要是由运输车辆行驶产生，与道路路面及车辆行驶速度有关，约占扬尘总量的60%。在完全干燥情况下，可按经验公式计算：</w:t>
            </w:r>
          </w:p>
          <w:p w14:paraId="1388AFC2">
            <w:pPr>
              <w:spacing w:line="360" w:lineRule="auto"/>
              <w:ind w:firstLine="480" w:firstLineChars="200"/>
              <w:rPr>
                <w:sz w:val="24"/>
              </w:rPr>
            </w:pPr>
            <w:r>
              <w:rPr>
                <w:rFonts w:hint="eastAsia"/>
                <w:sz w:val="24"/>
              </w:rPr>
              <w:t>动力起尘：主要是在建材的装卸等过程中，由于外力而产生的尘粒再悬浮而造成，其中施工及装卸车辆造成的扬尘最为严重。据有关文献，车辆行驶产生的扬尘占总扬尘的60%以上，车辆行驶产生的扬尘，在完全干燥情况下，可按下列经验公式计算：</w:t>
            </w:r>
          </w:p>
          <w:p w14:paraId="1DC15AC9">
            <w:pPr>
              <w:pStyle w:val="20"/>
              <w:ind w:left="0" w:leftChars="0"/>
              <w:jc w:val="center"/>
            </w:pPr>
            <w:r>
              <w:rPr>
                <w:rFonts w:hint="eastAsia"/>
              </w:rPr>
              <w:drawing>
                <wp:inline distT="0" distB="0" distL="0" distR="0">
                  <wp:extent cx="2176145" cy="42100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178034" cy="421866"/>
                          </a:xfrm>
                          <a:prstGeom prst="rect">
                            <a:avLst/>
                          </a:prstGeom>
                          <a:noFill/>
                          <a:ln>
                            <a:noFill/>
                          </a:ln>
                        </pic:spPr>
                      </pic:pic>
                    </a:graphicData>
                  </a:graphic>
                </wp:inline>
              </w:drawing>
            </w:r>
          </w:p>
          <w:p w14:paraId="78937242">
            <w:pPr>
              <w:pStyle w:val="21"/>
              <w:spacing w:line="360" w:lineRule="auto"/>
              <w:ind w:firstLine="422" w:firstLineChars="176"/>
              <w:rPr>
                <w:sz w:val="24"/>
              </w:rPr>
            </w:pPr>
            <w:r>
              <w:rPr>
                <w:rFonts w:hint="eastAsia"/>
                <w:sz w:val="24"/>
              </w:rPr>
              <w:t>式中： Q — 汽车行驶时的扬尘，kg/km• kg/km• 辆；</w:t>
            </w:r>
          </w:p>
          <w:p w14:paraId="5537007D">
            <w:pPr>
              <w:pStyle w:val="21"/>
              <w:spacing w:line="360" w:lineRule="auto"/>
              <w:ind w:firstLine="1272" w:firstLineChars="530"/>
              <w:rPr>
                <w:sz w:val="24"/>
              </w:rPr>
            </w:pPr>
            <w:r>
              <w:rPr>
                <w:rFonts w:hint="eastAsia"/>
                <w:sz w:val="24"/>
              </w:rPr>
              <w:t>V — 汽车速度，km/h km/h；</w:t>
            </w:r>
          </w:p>
          <w:p w14:paraId="4F8D21BA">
            <w:pPr>
              <w:pStyle w:val="21"/>
              <w:spacing w:line="360" w:lineRule="auto"/>
              <w:ind w:firstLine="1272" w:firstLineChars="530"/>
              <w:rPr>
                <w:sz w:val="24"/>
              </w:rPr>
            </w:pPr>
            <w:r>
              <w:rPr>
                <w:rFonts w:hint="eastAsia"/>
                <w:sz w:val="24"/>
              </w:rPr>
              <w:t>W — 汽车载重量，吨；汽车载重量，吨；</w:t>
            </w:r>
          </w:p>
          <w:p w14:paraId="1E910ECF">
            <w:pPr>
              <w:pStyle w:val="21"/>
              <w:spacing w:line="360" w:lineRule="auto"/>
              <w:ind w:firstLine="1272" w:firstLineChars="530"/>
              <w:rPr>
                <w:sz w:val="24"/>
              </w:rPr>
            </w:pPr>
            <w:r>
              <w:rPr>
                <w:rFonts w:hint="eastAsia"/>
                <w:sz w:val="24"/>
              </w:rPr>
              <w:t>P — 道路表面粉尘量，kg/</w:t>
            </w:r>
            <w:r>
              <w:rPr>
                <w:rFonts w:hint="eastAsia"/>
                <w:sz w:val="24"/>
                <w:vertAlign w:val="superscript"/>
              </w:rPr>
              <w:t xml:space="preserve"> 2</w:t>
            </w:r>
            <w:r>
              <w:rPr>
                <w:rFonts w:hint="eastAsia"/>
                <w:sz w:val="24"/>
              </w:rPr>
              <w:t>。</w:t>
            </w:r>
          </w:p>
          <w:p w14:paraId="22C2CF20">
            <w:pPr>
              <w:pStyle w:val="21"/>
              <w:spacing w:line="360" w:lineRule="auto"/>
              <w:ind w:firstLine="480" w:firstLineChars="200"/>
              <w:rPr>
                <w:sz w:val="24"/>
              </w:rPr>
            </w:pPr>
            <w:r>
              <w:rPr>
                <w:rFonts w:hint="eastAsia"/>
                <w:sz w:val="24"/>
              </w:rPr>
              <w:t>由上述公式可知，一辆载重10吨卡车，通过一段长度为吨卡车，通过一段长度为1km的路面时，不同清洁程的路面时，不同清洁程度、不同行驶速度情况下的扬尘量见表 4-1。</w:t>
            </w:r>
          </w:p>
          <w:p w14:paraId="2A4BDCC3">
            <w:pPr>
              <w:autoSpaceDE w:val="0"/>
              <w:autoSpaceDN w:val="0"/>
              <w:jc w:val="center"/>
              <w:rPr>
                <w:rFonts w:eastAsia="黑体"/>
                <w:kern w:val="0"/>
                <w:szCs w:val="21"/>
              </w:rPr>
            </w:pPr>
            <w:r>
              <w:rPr>
                <w:rFonts w:eastAsia="黑体"/>
                <w:szCs w:val="21"/>
              </w:rPr>
              <w:t>表4-1  不同车速和地面清洁程度的汽车扬尘</w:t>
            </w:r>
            <w:r>
              <w:rPr>
                <w:rFonts w:hint="eastAsia" w:eastAsia="黑体"/>
                <w:szCs w:val="21"/>
              </w:rPr>
              <w:t xml:space="preserve">  </w:t>
            </w:r>
            <w:r>
              <w:rPr>
                <w:rFonts w:eastAsia="黑体"/>
                <w:szCs w:val="21"/>
              </w:rPr>
              <w:t>单位：kg</w:t>
            </w:r>
            <w:r>
              <w:rPr>
                <w:rFonts w:hint="eastAsia" w:eastAsia="黑体"/>
                <w:szCs w:val="21"/>
              </w:rPr>
              <w:t>/</w:t>
            </w:r>
            <w:r>
              <w:rPr>
                <w:rFonts w:eastAsia="黑体"/>
                <w:szCs w:val="21"/>
              </w:rPr>
              <w:t>辆</w:t>
            </w:r>
            <w:r>
              <w:rPr>
                <w:rFonts w:hint="eastAsia"/>
                <w:szCs w:val="21"/>
              </w:rPr>
              <w:t>·</w:t>
            </w:r>
            <w:r>
              <w:rPr>
                <w:rFonts w:eastAsia="黑体"/>
                <w:szCs w:val="21"/>
              </w:rPr>
              <w:t>km</w:t>
            </w:r>
          </w:p>
          <w:p w14:paraId="43E920F4">
            <w:pPr>
              <w:autoSpaceDE w:val="0"/>
              <w:autoSpaceDN w:val="0"/>
              <w:spacing w:line="360" w:lineRule="auto"/>
              <w:jc w:val="center"/>
              <w:rPr>
                <w:rFonts w:ascii="宋体" w:hAnsi="宋体" w:cs="宋体"/>
                <w:kern w:val="0"/>
                <w:sz w:val="24"/>
              </w:rPr>
            </w:pPr>
            <w:r>
              <w:rPr>
                <w:rFonts w:hint="eastAsia" w:ascii="宋体" w:hAnsi="宋体" w:cs="宋体"/>
                <w:kern w:val="0"/>
                <w:sz w:val="24"/>
              </w:rPr>
              <w:drawing>
                <wp:inline distT="0" distB="0" distL="0" distR="0">
                  <wp:extent cx="4609465" cy="1264285"/>
                  <wp:effectExtent l="0" t="0" r="63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4626409" cy="1269264"/>
                          </a:xfrm>
                          <a:prstGeom prst="rect">
                            <a:avLst/>
                          </a:prstGeom>
                          <a:noFill/>
                          <a:ln>
                            <a:noFill/>
                          </a:ln>
                        </pic:spPr>
                      </pic:pic>
                    </a:graphicData>
                  </a:graphic>
                </wp:inline>
              </w:drawing>
            </w:r>
          </w:p>
          <w:p w14:paraId="5030BB13">
            <w:pPr>
              <w:autoSpaceDE w:val="0"/>
              <w:autoSpaceDN w:val="0"/>
              <w:spacing w:line="360" w:lineRule="auto"/>
              <w:ind w:firstLine="480" w:firstLineChars="200"/>
              <w:jc w:val="left"/>
              <w:rPr>
                <w:rFonts w:ascii="宋体" w:hAnsi="宋体" w:cs="宋体"/>
                <w:kern w:val="0"/>
                <w:sz w:val="24"/>
              </w:rPr>
            </w:pPr>
            <w:r>
              <w:rPr>
                <w:rFonts w:hint="eastAsia" w:ascii="宋体" w:hAnsi="宋体" w:cs="宋体"/>
                <w:kern w:val="0"/>
                <w:sz w:val="24"/>
              </w:rPr>
              <w:t>由上表可知，在同样路面清洁程度条件下，车速越快，扬尘量越大；而在同样车速情况下，路面越脏，扬尘量越大。因此，限速行驶及保持路面的清洁是减少汽车扬尘的有效办法。</w:t>
            </w:r>
          </w:p>
          <w:p w14:paraId="3ADD551C">
            <w:pPr>
              <w:autoSpaceDE w:val="0"/>
              <w:autoSpaceDN w:val="0"/>
              <w:spacing w:line="360" w:lineRule="auto"/>
              <w:ind w:firstLine="480" w:firstLineChars="200"/>
              <w:jc w:val="left"/>
              <w:rPr>
                <w:rFonts w:ascii="宋体" w:hAnsi="宋体" w:cs="宋体"/>
                <w:kern w:val="0"/>
                <w:sz w:val="24"/>
              </w:rPr>
            </w:pPr>
            <w:r>
              <w:rPr>
                <w:rFonts w:hint="eastAsia" w:ascii="宋体" w:hAnsi="宋体" w:cs="宋体"/>
                <w:kern w:val="0"/>
                <w:sz w:val="24"/>
              </w:rPr>
              <w:t>露天堆场和裸露场地的风力扬尘：施工期扬尘的另一个主要原因是露天堆场和裸露场地的风力扬尘。由于施工的需要，一些建材需露天堆放，一些施工点表层土壤需人工开挖、堆放，在气候干燥又有风的情况下，也会产生扬尘。其扬尘量可按堆场起尘的经验公式计算：</w:t>
            </w:r>
          </w:p>
          <w:p w14:paraId="2F5B3E61">
            <w:pPr>
              <w:pStyle w:val="20"/>
              <w:ind w:left="0" w:leftChars="0"/>
              <w:jc w:val="center"/>
            </w:pPr>
            <w:r>
              <w:rPr>
                <w:rFonts w:hint="eastAsia"/>
              </w:rPr>
              <w:drawing>
                <wp:inline distT="0" distB="0" distL="0" distR="0">
                  <wp:extent cx="2051685" cy="349885"/>
                  <wp:effectExtent l="0" t="0" r="571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055590" cy="350924"/>
                          </a:xfrm>
                          <a:prstGeom prst="rect">
                            <a:avLst/>
                          </a:prstGeom>
                          <a:noFill/>
                          <a:ln>
                            <a:noFill/>
                          </a:ln>
                        </pic:spPr>
                      </pic:pic>
                    </a:graphicData>
                  </a:graphic>
                </wp:inline>
              </w:drawing>
            </w:r>
          </w:p>
          <w:p w14:paraId="591B8EE4">
            <w:pPr>
              <w:autoSpaceDE w:val="0"/>
              <w:autoSpaceDN w:val="0"/>
              <w:spacing w:line="360" w:lineRule="auto"/>
              <w:ind w:firstLine="480" w:firstLineChars="200"/>
              <w:jc w:val="left"/>
              <w:rPr>
                <w:kern w:val="0"/>
                <w:sz w:val="24"/>
              </w:rPr>
            </w:pPr>
            <w:r>
              <w:rPr>
                <w:kern w:val="0"/>
                <w:sz w:val="24"/>
              </w:rPr>
              <w:t>式中：Q—起尘量，kg/吨•年；</w:t>
            </w:r>
          </w:p>
          <w:p w14:paraId="2335E9FF">
            <w:pPr>
              <w:autoSpaceDE w:val="0"/>
              <w:autoSpaceDN w:val="0"/>
              <w:spacing w:line="360" w:lineRule="auto"/>
              <w:ind w:firstLine="1130" w:firstLineChars="471"/>
              <w:jc w:val="left"/>
              <w:rPr>
                <w:kern w:val="0"/>
                <w:sz w:val="24"/>
              </w:rPr>
            </w:pPr>
            <w:r>
              <w:rPr>
                <w:kern w:val="0"/>
                <w:sz w:val="24"/>
              </w:rPr>
              <w:t>V</w:t>
            </w:r>
            <w:r>
              <w:rPr>
                <w:kern w:val="0"/>
                <w:sz w:val="24"/>
                <w:vertAlign w:val="subscript"/>
              </w:rPr>
              <w:t>50</w:t>
            </w:r>
            <w:r>
              <w:rPr>
                <w:kern w:val="0"/>
                <w:sz w:val="24"/>
              </w:rPr>
              <w:t>―距地面50米处风速，m/s；</w:t>
            </w:r>
          </w:p>
          <w:p w14:paraId="338EE912">
            <w:pPr>
              <w:autoSpaceDE w:val="0"/>
              <w:autoSpaceDN w:val="0"/>
              <w:spacing w:line="360" w:lineRule="auto"/>
              <w:ind w:firstLine="1130" w:firstLineChars="471"/>
              <w:jc w:val="left"/>
              <w:rPr>
                <w:kern w:val="0"/>
                <w:sz w:val="24"/>
              </w:rPr>
            </w:pPr>
            <w:r>
              <w:rPr>
                <w:kern w:val="0"/>
                <w:sz w:val="24"/>
              </w:rPr>
              <w:t>V</w:t>
            </w:r>
            <w:r>
              <w:rPr>
                <w:kern w:val="0"/>
                <w:sz w:val="24"/>
                <w:vertAlign w:val="subscript"/>
              </w:rPr>
              <w:t>0</w:t>
            </w:r>
            <w:r>
              <w:rPr>
                <w:kern w:val="0"/>
                <w:sz w:val="24"/>
              </w:rPr>
              <w:t>―起尘风速，m/s；</w:t>
            </w:r>
          </w:p>
          <w:p w14:paraId="1AA5370B">
            <w:pPr>
              <w:autoSpaceDE w:val="0"/>
              <w:autoSpaceDN w:val="0"/>
              <w:spacing w:line="360" w:lineRule="auto"/>
              <w:ind w:firstLine="1130" w:firstLineChars="471"/>
              <w:jc w:val="left"/>
              <w:rPr>
                <w:kern w:val="0"/>
                <w:sz w:val="24"/>
              </w:rPr>
            </w:pPr>
            <w:r>
              <w:rPr>
                <w:kern w:val="0"/>
                <w:sz w:val="24"/>
              </w:rPr>
              <w:t>W―尘粒的含水率，%。</w:t>
            </w:r>
          </w:p>
          <w:p w14:paraId="07375387">
            <w:pPr>
              <w:autoSpaceDE w:val="0"/>
              <w:autoSpaceDN w:val="0"/>
              <w:spacing w:line="360" w:lineRule="auto"/>
              <w:ind w:firstLine="422" w:firstLineChars="176"/>
              <w:jc w:val="left"/>
              <w:rPr>
                <w:kern w:val="0"/>
                <w:sz w:val="24"/>
              </w:rPr>
            </w:pPr>
            <w:r>
              <w:rPr>
                <w:rFonts w:hint="eastAsia"/>
                <w:kern w:val="0"/>
                <w:sz w:val="24"/>
              </w:rPr>
              <w:t>起尘风速与粒径和含水率有关，因此，减少露天堆放和保证一定的含水率及减少裸露地面是减少风力起尘的有效手段。粉尘在空气中的扩散稀释与风速等气象条件有关，也与粉尘本身的沉降速度有关。不同粒径粉尘的沉降速度见表4-2。</w:t>
            </w:r>
          </w:p>
          <w:p w14:paraId="2AA0473F">
            <w:pPr>
              <w:autoSpaceDE w:val="0"/>
              <w:autoSpaceDN w:val="0"/>
              <w:jc w:val="center"/>
            </w:pPr>
            <w:r>
              <w:rPr>
                <w:rFonts w:eastAsia="黑体"/>
                <w:szCs w:val="21"/>
              </w:rPr>
              <w:t>表4-</w:t>
            </w:r>
            <w:r>
              <w:rPr>
                <w:rFonts w:hint="eastAsia" w:eastAsia="黑体"/>
                <w:szCs w:val="21"/>
              </w:rPr>
              <w:t xml:space="preserve">2 </w:t>
            </w:r>
            <w:r>
              <w:rPr>
                <w:rFonts w:eastAsia="黑体"/>
                <w:szCs w:val="21"/>
              </w:rPr>
              <w:t xml:space="preserve">  不同</w:t>
            </w:r>
            <w:r>
              <w:rPr>
                <w:rFonts w:hint="eastAsia" w:eastAsia="黑体"/>
                <w:szCs w:val="21"/>
              </w:rPr>
              <w:t>尘粒</w:t>
            </w:r>
            <w:r>
              <w:rPr>
                <w:rFonts w:eastAsia="黑体"/>
                <w:szCs w:val="21"/>
              </w:rPr>
              <w:t>的沉降速度</w:t>
            </w:r>
          </w:p>
          <w:p w14:paraId="5C1E6DF1">
            <w:pPr>
              <w:autoSpaceDE w:val="0"/>
              <w:autoSpaceDN w:val="0"/>
              <w:spacing w:line="360" w:lineRule="auto"/>
              <w:ind w:hanging="2"/>
              <w:jc w:val="center"/>
              <w:rPr>
                <w:kern w:val="0"/>
                <w:sz w:val="24"/>
              </w:rPr>
            </w:pPr>
            <w:r>
              <w:rPr>
                <w:rFonts w:hint="eastAsia"/>
              </w:rPr>
              <w:drawing>
                <wp:inline distT="0" distB="0" distL="0" distR="0">
                  <wp:extent cx="4358005" cy="1353820"/>
                  <wp:effectExtent l="0" t="0" r="444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370523" cy="1358091"/>
                          </a:xfrm>
                          <a:prstGeom prst="rect">
                            <a:avLst/>
                          </a:prstGeom>
                          <a:noFill/>
                          <a:ln>
                            <a:noFill/>
                          </a:ln>
                        </pic:spPr>
                      </pic:pic>
                    </a:graphicData>
                  </a:graphic>
                </wp:inline>
              </w:drawing>
            </w:r>
          </w:p>
          <w:p w14:paraId="71F3BAA7">
            <w:pPr>
              <w:autoSpaceDE w:val="0"/>
              <w:autoSpaceDN w:val="0"/>
              <w:spacing w:line="360" w:lineRule="auto"/>
              <w:ind w:firstLine="422" w:firstLineChars="176"/>
              <w:jc w:val="left"/>
              <w:rPr>
                <w:kern w:val="0"/>
                <w:sz w:val="24"/>
              </w:rPr>
            </w:pPr>
            <w:r>
              <w:rPr>
                <w:rFonts w:hint="eastAsia"/>
                <w:kern w:val="0"/>
                <w:sz w:val="24"/>
              </w:rPr>
              <w:t>由表可知，尘粒的沉降速度随粒径的增大而迅速增大。当粒径为250um时，沉降速度为1.005m/s，因此可以认为当尘粒大于250um时，主要影响范围在扬尘点下风向近距离范围内，而真正对外环境产生影响的是一些微小尘粒。</w:t>
            </w:r>
          </w:p>
          <w:p w14:paraId="011AC3E7">
            <w:pPr>
              <w:spacing w:line="360" w:lineRule="auto"/>
              <w:ind w:firstLine="480" w:firstLineChars="200"/>
              <w:rPr>
                <w:rFonts w:eastAsia="黑体"/>
                <w:b/>
                <w:szCs w:val="21"/>
              </w:rPr>
            </w:pPr>
            <w:r>
              <w:rPr>
                <w:snapToGrid w:val="0"/>
                <w:kern w:val="0"/>
                <w:sz w:val="24"/>
              </w:rPr>
              <w:t>据有关调查显示，施工场地运输车辆的行驶产生扬尘，约占施工过程扬尘总量的60%，</w:t>
            </w:r>
            <w:r>
              <w:rPr>
                <w:rFonts w:hint="eastAsia"/>
                <w:snapToGrid w:val="0"/>
                <w:kern w:val="0"/>
                <w:sz w:val="24"/>
              </w:rPr>
              <w:t>其</w:t>
            </w:r>
            <w:r>
              <w:rPr>
                <w:snapToGrid w:val="0"/>
                <w:kern w:val="0"/>
                <w:sz w:val="24"/>
              </w:rPr>
              <w:t>与公路路面车辆行驶速度有关</w:t>
            </w:r>
            <w:r>
              <w:rPr>
                <w:rFonts w:hint="eastAsia"/>
                <w:snapToGrid w:val="0"/>
                <w:kern w:val="0"/>
                <w:sz w:val="24"/>
              </w:rPr>
              <w:t>。</w:t>
            </w:r>
            <w:r>
              <w:rPr>
                <w:snapToGrid w:val="0"/>
                <w:kern w:val="0"/>
                <w:sz w:val="24"/>
              </w:rPr>
              <w:t>一般情况下，运输车辆行驶在完全干燥路面时，施工场地、施工道路在自然风作用下产生的扬尘所影响的范围在100m以内。如在施工期间对车辆行驶的路面实施洒水抑尘，按每天洒水4</w:t>
            </w:r>
            <w:r>
              <w:rPr>
                <w:rFonts w:hint="eastAsia"/>
                <w:snapToGrid w:val="0"/>
                <w:kern w:val="0"/>
                <w:sz w:val="24"/>
              </w:rPr>
              <w:t>~</w:t>
            </w:r>
            <w:r>
              <w:rPr>
                <w:snapToGrid w:val="0"/>
                <w:kern w:val="0"/>
                <w:sz w:val="24"/>
              </w:rPr>
              <w:t>5次，可使扬尘减少70%左右，</w:t>
            </w:r>
            <w:r>
              <w:rPr>
                <w:rFonts w:hint="eastAsia"/>
                <w:snapToGrid w:val="0"/>
                <w:kern w:val="0"/>
                <w:sz w:val="24"/>
              </w:rPr>
              <w:t>下表</w:t>
            </w:r>
            <w:r>
              <w:rPr>
                <w:snapToGrid w:val="0"/>
                <w:kern w:val="0"/>
                <w:sz w:val="24"/>
              </w:rPr>
              <w:t>为施工场地洒水抑尘的试验结果，由表可知，在实施每天洒水4</w:t>
            </w:r>
            <w:r>
              <w:rPr>
                <w:rFonts w:hint="eastAsia"/>
                <w:snapToGrid w:val="0"/>
                <w:kern w:val="0"/>
                <w:sz w:val="24"/>
              </w:rPr>
              <w:t>~</w:t>
            </w:r>
            <w:r>
              <w:rPr>
                <w:snapToGrid w:val="0"/>
                <w:kern w:val="0"/>
                <w:sz w:val="24"/>
              </w:rPr>
              <w:t>5次进行抑尘，可有效地控制施工扬尘，可将TSP污染距离缩小到20</w:t>
            </w:r>
            <w:r>
              <w:rPr>
                <w:rFonts w:hint="eastAsia"/>
                <w:snapToGrid w:val="0"/>
                <w:kern w:val="0"/>
                <w:sz w:val="24"/>
              </w:rPr>
              <w:t>~</w:t>
            </w:r>
            <w:r>
              <w:rPr>
                <w:snapToGrid w:val="0"/>
                <w:kern w:val="0"/>
                <w:sz w:val="24"/>
              </w:rPr>
              <w:t>50m范围内。</w:t>
            </w:r>
          </w:p>
          <w:p w14:paraId="0485701D">
            <w:pPr>
              <w:pStyle w:val="4"/>
              <w:numPr>
                <w:ilvl w:val="1"/>
                <w:numId w:val="0"/>
              </w:numPr>
              <w:spacing w:line="240" w:lineRule="auto"/>
              <w:rPr>
                <w:rFonts w:eastAsia="黑体"/>
                <w:b w:val="0"/>
                <w:sz w:val="21"/>
                <w:szCs w:val="21"/>
              </w:rPr>
            </w:pPr>
            <w:bookmarkStart w:id="35" w:name="_Toc150173913"/>
            <w:r>
              <w:rPr>
                <w:rFonts w:hint="eastAsia" w:eastAsia="黑体"/>
                <w:b w:val="0"/>
                <w:sz w:val="21"/>
                <w:szCs w:val="21"/>
              </w:rPr>
              <w:t xml:space="preserve">表4-3    </w:t>
            </w:r>
            <w:r>
              <w:rPr>
                <w:rFonts w:eastAsia="黑体"/>
                <w:b w:val="0"/>
                <w:sz w:val="21"/>
                <w:szCs w:val="21"/>
              </w:rPr>
              <w:t>施工期场地洒水抑尘试验结果</w:t>
            </w:r>
            <w:bookmarkEnd w:id="35"/>
          </w:p>
          <w:tbl>
            <w:tblPr>
              <w:tblStyle w:val="33"/>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48"/>
              <w:gridCol w:w="1112"/>
              <w:gridCol w:w="1308"/>
              <w:gridCol w:w="1308"/>
              <w:gridCol w:w="981"/>
              <w:gridCol w:w="1146"/>
            </w:tblGrid>
            <w:tr w14:paraId="3EE9A08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11" w:type="pct"/>
                  <w:gridSpan w:val="2"/>
                  <w:vAlign w:val="center"/>
                </w:tcPr>
                <w:p w14:paraId="3AAEC7AF">
                  <w:pPr>
                    <w:adjustRightInd w:val="0"/>
                    <w:snapToGrid w:val="0"/>
                    <w:jc w:val="center"/>
                    <w:rPr>
                      <w:b/>
                      <w:snapToGrid w:val="0"/>
                      <w:kern w:val="0"/>
                      <w:szCs w:val="21"/>
                    </w:rPr>
                  </w:pPr>
                  <w:r>
                    <w:rPr>
                      <w:b/>
                      <w:snapToGrid w:val="0"/>
                      <w:kern w:val="0"/>
                      <w:szCs w:val="21"/>
                    </w:rPr>
                    <w:t>距离（m）</w:t>
                  </w:r>
                </w:p>
              </w:tc>
              <w:tc>
                <w:tcPr>
                  <w:tcW w:w="769" w:type="pct"/>
                  <w:vAlign w:val="center"/>
                </w:tcPr>
                <w:p w14:paraId="1F1AE6DC">
                  <w:pPr>
                    <w:adjustRightInd w:val="0"/>
                    <w:snapToGrid w:val="0"/>
                    <w:jc w:val="center"/>
                    <w:rPr>
                      <w:b/>
                      <w:snapToGrid w:val="0"/>
                      <w:kern w:val="0"/>
                      <w:szCs w:val="21"/>
                    </w:rPr>
                  </w:pPr>
                  <w:r>
                    <w:rPr>
                      <w:b/>
                      <w:snapToGrid w:val="0"/>
                      <w:kern w:val="0"/>
                      <w:szCs w:val="21"/>
                    </w:rPr>
                    <w:t>5</w:t>
                  </w:r>
                </w:p>
              </w:tc>
              <w:tc>
                <w:tcPr>
                  <w:tcW w:w="769" w:type="pct"/>
                  <w:vAlign w:val="center"/>
                </w:tcPr>
                <w:p w14:paraId="226A258F">
                  <w:pPr>
                    <w:adjustRightInd w:val="0"/>
                    <w:snapToGrid w:val="0"/>
                    <w:jc w:val="center"/>
                    <w:rPr>
                      <w:b/>
                      <w:snapToGrid w:val="0"/>
                      <w:kern w:val="0"/>
                      <w:szCs w:val="21"/>
                    </w:rPr>
                  </w:pPr>
                  <w:r>
                    <w:rPr>
                      <w:b/>
                      <w:snapToGrid w:val="0"/>
                      <w:kern w:val="0"/>
                      <w:szCs w:val="21"/>
                    </w:rPr>
                    <w:t>20</w:t>
                  </w:r>
                </w:p>
              </w:tc>
              <w:tc>
                <w:tcPr>
                  <w:tcW w:w="577" w:type="pct"/>
                  <w:vAlign w:val="center"/>
                </w:tcPr>
                <w:p w14:paraId="54042367">
                  <w:pPr>
                    <w:adjustRightInd w:val="0"/>
                    <w:snapToGrid w:val="0"/>
                    <w:jc w:val="center"/>
                    <w:rPr>
                      <w:b/>
                      <w:snapToGrid w:val="0"/>
                      <w:kern w:val="0"/>
                      <w:szCs w:val="21"/>
                    </w:rPr>
                  </w:pPr>
                  <w:r>
                    <w:rPr>
                      <w:b/>
                      <w:snapToGrid w:val="0"/>
                      <w:kern w:val="0"/>
                      <w:szCs w:val="21"/>
                    </w:rPr>
                    <w:t>50</w:t>
                  </w:r>
                </w:p>
              </w:tc>
              <w:tc>
                <w:tcPr>
                  <w:tcW w:w="673" w:type="pct"/>
                  <w:vAlign w:val="center"/>
                </w:tcPr>
                <w:p w14:paraId="22921DF4">
                  <w:pPr>
                    <w:adjustRightInd w:val="0"/>
                    <w:snapToGrid w:val="0"/>
                    <w:jc w:val="center"/>
                    <w:rPr>
                      <w:b/>
                      <w:snapToGrid w:val="0"/>
                      <w:kern w:val="0"/>
                      <w:szCs w:val="21"/>
                    </w:rPr>
                  </w:pPr>
                  <w:r>
                    <w:rPr>
                      <w:b/>
                      <w:snapToGrid w:val="0"/>
                      <w:kern w:val="0"/>
                      <w:szCs w:val="21"/>
                    </w:rPr>
                    <w:t>100</w:t>
                  </w:r>
                </w:p>
              </w:tc>
            </w:tr>
            <w:tr w14:paraId="2CE3344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7" w:type="pct"/>
                  <w:vMerge w:val="restart"/>
                  <w:vAlign w:val="center"/>
                </w:tcPr>
                <w:p w14:paraId="25E64E59">
                  <w:pPr>
                    <w:adjustRightInd w:val="0"/>
                    <w:snapToGrid w:val="0"/>
                    <w:jc w:val="center"/>
                    <w:rPr>
                      <w:snapToGrid w:val="0"/>
                      <w:kern w:val="0"/>
                      <w:szCs w:val="21"/>
                    </w:rPr>
                  </w:pPr>
                  <w:r>
                    <w:rPr>
                      <w:snapToGrid w:val="0"/>
                      <w:kern w:val="0"/>
                      <w:szCs w:val="21"/>
                    </w:rPr>
                    <w:t>TSP小时平均浓度（mg/m</w:t>
                  </w:r>
                  <w:r>
                    <w:rPr>
                      <w:snapToGrid w:val="0"/>
                      <w:kern w:val="0"/>
                      <w:szCs w:val="21"/>
                      <w:vertAlign w:val="superscript"/>
                    </w:rPr>
                    <w:t>3</w:t>
                  </w:r>
                  <w:r>
                    <w:rPr>
                      <w:snapToGrid w:val="0"/>
                      <w:kern w:val="0"/>
                      <w:szCs w:val="21"/>
                    </w:rPr>
                    <w:t>）</w:t>
                  </w:r>
                </w:p>
              </w:tc>
              <w:tc>
                <w:tcPr>
                  <w:tcW w:w="654" w:type="pct"/>
                  <w:vAlign w:val="center"/>
                </w:tcPr>
                <w:p w14:paraId="41C4E514">
                  <w:pPr>
                    <w:adjustRightInd w:val="0"/>
                    <w:snapToGrid w:val="0"/>
                    <w:jc w:val="center"/>
                    <w:rPr>
                      <w:snapToGrid w:val="0"/>
                      <w:kern w:val="0"/>
                      <w:szCs w:val="21"/>
                    </w:rPr>
                  </w:pPr>
                  <w:r>
                    <w:rPr>
                      <w:snapToGrid w:val="0"/>
                      <w:kern w:val="0"/>
                      <w:szCs w:val="21"/>
                    </w:rPr>
                    <w:t>不洒水</w:t>
                  </w:r>
                </w:p>
              </w:tc>
              <w:tc>
                <w:tcPr>
                  <w:tcW w:w="769" w:type="pct"/>
                  <w:vAlign w:val="center"/>
                </w:tcPr>
                <w:p w14:paraId="17814E93">
                  <w:pPr>
                    <w:adjustRightInd w:val="0"/>
                    <w:snapToGrid w:val="0"/>
                    <w:jc w:val="center"/>
                    <w:rPr>
                      <w:snapToGrid w:val="0"/>
                      <w:kern w:val="0"/>
                      <w:szCs w:val="21"/>
                    </w:rPr>
                  </w:pPr>
                  <w:r>
                    <w:rPr>
                      <w:snapToGrid w:val="0"/>
                      <w:kern w:val="0"/>
                      <w:szCs w:val="21"/>
                    </w:rPr>
                    <w:t>10.14</w:t>
                  </w:r>
                </w:p>
              </w:tc>
              <w:tc>
                <w:tcPr>
                  <w:tcW w:w="769" w:type="pct"/>
                  <w:vAlign w:val="center"/>
                </w:tcPr>
                <w:p w14:paraId="1AB67E15">
                  <w:pPr>
                    <w:adjustRightInd w:val="0"/>
                    <w:snapToGrid w:val="0"/>
                    <w:jc w:val="center"/>
                    <w:rPr>
                      <w:snapToGrid w:val="0"/>
                      <w:kern w:val="0"/>
                      <w:szCs w:val="21"/>
                    </w:rPr>
                  </w:pPr>
                  <w:r>
                    <w:rPr>
                      <w:snapToGrid w:val="0"/>
                      <w:kern w:val="0"/>
                      <w:szCs w:val="21"/>
                    </w:rPr>
                    <w:t>2.89</w:t>
                  </w:r>
                </w:p>
              </w:tc>
              <w:tc>
                <w:tcPr>
                  <w:tcW w:w="577" w:type="pct"/>
                  <w:vAlign w:val="center"/>
                </w:tcPr>
                <w:p w14:paraId="760C4C50">
                  <w:pPr>
                    <w:adjustRightInd w:val="0"/>
                    <w:snapToGrid w:val="0"/>
                    <w:jc w:val="center"/>
                    <w:rPr>
                      <w:snapToGrid w:val="0"/>
                      <w:kern w:val="0"/>
                      <w:szCs w:val="21"/>
                    </w:rPr>
                  </w:pPr>
                  <w:r>
                    <w:rPr>
                      <w:snapToGrid w:val="0"/>
                      <w:kern w:val="0"/>
                      <w:szCs w:val="21"/>
                    </w:rPr>
                    <w:t>1.15</w:t>
                  </w:r>
                </w:p>
              </w:tc>
              <w:tc>
                <w:tcPr>
                  <w:tcW w:w="673" w:type="pct"/>
                  <w:vAlign w:val="center"/>
                </w:tcPr>
                <w:p w14:paraId="377C4AD1">
                  <w:pPr>
                    <w:adjustRightInd w:val="0"/>
                    <w:snapToGrid w:val="0"/>
                    <w:jc w:val="center"/>
                    <w:rPr>
                      <w:snapToGrid w:val="0"/>
                      <w:kern w:val="0"/>
                      <w:szCs w:val="21"/>
                    </w:rPr>
                  </w:pPr>
                  <w:r>
                    <w:rPr>
                      <w:snapToGrid w:val="0"/>
                      <w:kern w:val="0"/>
                      <w:szCs w:val="21"/>
                    </w:rPr>
                    <w:t>0.86</w:t>
                  </w:r>
                </w:p>
              </w:tc>
            </w:tr>
            <w:tr w14:paraId="6A04A62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7" w:type="pct"/>
                  <w:vMerge w:val="continue"/>
                  <w:vAlign w:val="center"/>
                </w:tcPr>
                <w:p w14:paraId="33A06E9E">
                  <w:pPr>
                    <w:adjustRightInd w:val="0"/>
                    <w:snapToGrid w:val="0"/>
                    <w:jc w:val="center"/>
                    <w:rPr>
                      <w:snapToGrid w:val="0"/>
                      <w:kern w:val="0"/>
                      <w:szCs w:val="21"/>
                    </w:rPr>
                  </w:pPr>
                </w:p>
              </w:tc>
              <w:tc>
                <w:tcPr>
                  <w:tcW w:w="654" w:type="pct"/>
                  <w:vAlign w:val="center"/>
                </w:tcPr>
                <w:p w14:paraId="3BD3380D">
                  <w:pPr>
                    <w:adjustRightInd w:val="0"/>
                    <w:snapToGrid w:val="0"/>
                    <w:jc w:val="center"/>
                    <w:rPr>
                      <w:snapToGrid w:val="0"/>
                      <w:kern w:val="0"/>
                      <w:szCs w:val="21"/>
                    </w:rPr>
                  </w:pPr>
                  <w:r>
                    <w:rPr>
                      <w:snapToGrid w:val="0"/>
                      <w:kern w:val="0"/>
                      <w:szCs w:val="21"/>
                    </w:rPr>
                    <w:t>洒水</w:t>
                  </w:r>
                </w:p>
              </w:tc>
              <w:tc>
                <w:tcPr>
                  <w:tcW w:w="769" w:type="pct"/>
                  <w:vAlign w:val="center"/>
                </w:tcPr>
                <w:p w14:paraId="59B562AC">
                  <w:pPr>
                    <w:adjustRightInd w:val="0"/>
                    <w:snapToGrid w:val="0"/>
                    <w:jc w:val="center"/>
                    <w:rPr>
                      <w:snapToGrid w:val="0"/>
                      <w:kern w:val="0"/>
                      <w:szCs w:val="21"/>
                    </w:rPr>
                  </w:pPr>
                  <w:r>
                    <w:rPr>
                      <w:snapToGrid w:val="0"/>
                      <w:kern w:val="0"/>
                      <w:szCs w:val="21"/>
                    </w:rPr>
                    <w:t>2.01</w:t>
                  </w:r>
                </w:p>
              </w:tc>
              <w:tc>
                <w:tcPr>
                  <w:tcW w:w="769" w:type="pct"/>
                  <w:vAlign w:val="center"/>
                </w:tcPr>
                <w:p w14:paraId="6D7CD448">
                  <w:pPr>
                    <w:adjustRightInd w:val="0"/>
                    <w:snapToGrid w:val="0"/>
                    <w:jc w:val="center"/>
                    <w:rPr>
                      <w:snapToGrid w:val="0"/>
                      <w:kern w:val="0"/>
                      <w:szCs w:val="21"/>
                    </w:rPr>
                  </w:pPr>
                  <w:r>
                    <w:rPr>
                      <w:snapToGrid w:val="0"/>
                      <w:kern w:val="0"/>
                      <w:szCs w:val="21"/>
                    </w:rPr>
                    <w:t>1.40</w:t>
                  </w:r>
                </w:p>
              </w:tc>
              <w:tc>
                <w:tcPr>
                  <w:tcW w:w="577" w:type="pct"/>
                  <w:vAlign w:val="center"/>
                </w:tcPr>
                <w:p w14:paraId="309EAB00">
                  <w:pPr>
                    <w:adjustRightInd w:val="0"/>
                    <w:snapToGrid w:val="0"/>
                    <w:jc w:val="center"/>
                    <w:rPr>
                      <w:snapToGrid w:val="0"/>
                      <w:kern w:val="0"/>
                      <w:szCs w:val="21"/>
                    </w:rPr>
                  </w:pPr>
                  <w:r>
                    <w:rPr>
                      <w:snapToGrid w:val="0"/>
                      <w:kern w:val="0"/>
                      <w:szCs w:val="21"/>
                    </w:rPr>
                    <w:t>0.67</w:t>
                  </w:r>
                </w:p>
              </w:tc>
              <w:tc>
                <w:tcPr>
                  <w:tcW w:w="673" w:type="pct"/>
                  <w:vAlign w:val="center"/>
                </w:tcPr>
                <w:p w14:paraId="2530D4CD">
                  <w:pPr>
                    <w:adjustRightInd w:val="0"/>
                    <w:snapToGrid w:val="0"/>
                    <w:jc w:val="center"/>
                    <w:rPr>
                      <w:snapToGrid w:val="0"/>
                      <w:kern w:val="0"/>
                      <w:szCs w:val="21"/>
                    </w:rPr>
                  </w:pPr>
                  <w:r>
                    <w:rPr>
                      <w:snapToGrid w:val="0"/>
                      <w:kern w:val="0"/>
                      <w:szCs w:val="21"/>
                    </w:rPr>
                    <w:t>0.60</w:t>
                  </w:r>
                </w:p>
              </w:tc>
            </w:tr>
          </w:tbl>
          <w:p w14:paraId="6E8152BF">
            <w:pPr>
              <w:autoSpaceDE w:val="0"/>
              <w:autoSpaceDN w:val="0"/>
              <w:snapToGrid w:val="0"/>
              <w:spacing w:line="360" w:lineRule="auto"/>
              <w:ind w:firstLine="480" w:firstLineChars="200"/>
              <w:jc w:val="left"/>
              <w:rPr>
                <w:snapToGrid w:val="0"/>
                <w:kern w:val="0"/>
                <w:sz w:val="24"/>
              </w:rPr>
            </w:pPr>
            <w:r>
              <w:rPr>
                <w:rFonts w:ascii="宋体" w:cs="宋体"/>
                <w:kern w:val="0"/>
                <w:sz w:val="24"/>
              </w:rPr>
              <w:t>结合环境保护目标分布可知，道路沿线在施工区两侧</w:t>
            </w:r>
            <w:r>
              <w:rPr>
                <w:kern w:val="0"/>
                <w:sz w:val="24"/>
              </w:rPr>
              <w:t>200m</w:t>
            </w:r>
            <w:r>
              <w:rPr>
                <w:rFonts w:ascii="宋体" w:cs="宋体"/>
                <w:kern w:val="0"/>
                <w:sz w:val="24"/>
              </w:rPr>
              <w:t>范围内散居居民将受到一定</w:t>
            </w:r>
            <w:r>
              <w:rPr>
                <w:snapToGrid w:val="0"/>
                <w:kern w:val="0"/>
                <w:sz w:val="24"/>
              </w:rPr>
              <w:t>的影响。因此，在施工过程中，施工单位应对施工扬尘进行治理，尽量减少扬尘对环境的影响程度。</w:t>
            </w:r>
          </w:p>
          <w:p w14:paraId="24A82E3F">
            <w:pPr>
              <w:spacing w:line="360" w:lineRule="auto"/>
              <w:ind w:firstLine="482" w:firstLineChars="200"/>
              <w:rPr>
                <w:b/>
                <w:snapToGrid w:val="0"/>
                <w:kern w:val="0"/>
                <w:sz w:val="24"/>
              </w:rPr>
            </w:pPr>
            <w:r>
              <w:rPr>
                <w:rFonts w:hint="eastAsia"/>
                <w:b/>
                <w:snapToGrid w:val="0"/>
                <w:kern w:val="0"/>
                <w:sz w:val="24"/>
              </w:rPr>
              <w:t>（3）沥青烟气</w:t>
            </w:r>
          </w:p>
          <w:p w14:paraId="1048E6E2">
            <w:pPr>
              <w:spacing w:line="360" w:lineRule="auto"/>
              <w:ind w:firstLine="482" w:firstLineChars="200"/>
              <w:rPr>
                <w:b/>
                <w:sz w:val="24"/>
                <w:szCs w:val="20"/>
              </w:rPr>
            </w:pPr>
            <w:r>
              <w:rPr>
                <w:b/>
                <w:sz w:val="24"/>
                <w:szCs w:val="20"/>
              </w:rPr>
              <w:t>本项目不设沥青拌和站，所需的沥青均在当地购买商品沥青，购买的沥青</w:t>
            </w:r>
            <w:r>
              <w:rPr>
                <w:b/>
                <w:bCs/>
                <w:sz w:val="24"/>
                <w:szCs w:val="20"/>
              </w:rPr>
              <w:t>采用专用车辆</w:t>
            </w:r>
            <w:r>
              <w:rPr>
                <w:rFonts w:hint="eastAsia"/>
                <w:b/>
                <w:bCs/>
                <w:sz w:val="24"/>
                <w:szCs w:val="20"/>
              </w:rPr>
              <w:t>密闭运输</w:t>
            </w:r>
            <w:r>
              <w:rPr>
                <w:b/>
                <w:sz w:val="24"/>
                <w:szCs w:val="20"/>
              </w:rPr>
              <w:t>。</w:t>
            </w:r>
          </w:p>
          <w:p w14:paraId="53C823BC">
            <w:pPr>
              <w:adjustRightInd w:val="0"/>
              <w:snapToGrid w:val="0"/>
              <w:spacing w:line="360" w:lineRule="auto"/>
              <w:ind w:firstLine="480" w:firstLineChars="200"/>
              <w:rPr>
                <w:sz w:val="24"/>
                <w:szCs w:val="20"/>
              </w:rPr>
            </w:pPr>
            <w:r>
              <w:rPr>
                <w:rFonts w:hint="eastAsia"/>
                <w:sz w:val="24"/>
                <w:szCs w:val="20"/>
              </w:rPr>
              <w:t>沥青烟气中主要有毒有害物质是THC、酚和3.4-苯并芘。环评要求：采购沥青时，应选用环保沥青，从源头上减少沥青烟气源强；运输时采用罐装沥青专用车辆装运，以防止沿程撒落污染环境；使用沥青时，采用低温施工工艺，减少沥青烟气挥发量；合理安排沥青施工时间，尽量降低施工时沥青烟气对周边环境、行人及通行车辆造成的影响。在摊铺时沥青烟气的排放浓度较低，可以满足《大气污染物综合排放标准》（GB16297-1996）中沥青烟气最高允许排放浓度，对周围环境影响较小。</w:t>
            </w:r>
          </w:p>
          <w:p w14:paraId="7D4A142F">
            <w:pPr>
              <w:adjustRightInd w:val="0"/>
              <w:snapToGrid w:val="0"/>
              <w:spacing w:line="360" w:lineRule="auto"/>
              <w:ind w:firstLine="482" w:firstLineChars="200"/>
              <w:rPr>
                <w:b/>
                <w:sz w:val="24"/>
              </w:rPr>
            </w:pPr>
            <w:r>
              <w:rPr>
                <w:rFonts w:hint="eastAsia"/>
                <w:b/>
                <w:sz w:val="24"/>
              </w:rPr>
              <w:t>（4）车辆、机械设备燃油废气</w:t>
            </w:r>
          </w:p>
          <w:p w14:paraId="2EB9AFA4">
            <w:pPr>
              <w:adjustRightInd w:val="0"/>
              <w:snapToGrid w:val="0"/>
              <w:spacing w:line="360" w:lineRule="auto"/>
              <w:ind w:firstLine="480" w:firstLineChars="200"/>
              <w:rPr>
                <w:sz w:val="24"/>
              </w:rPr>
            </w:pPr>
            <w:r>
              <w:rPr>
                <w:rFonts w:hint="eastAsia"/>
                <w:sz w:val="24"/>
              </w:rPr>
              <w:t>以燃油为动力的施工机械和运输车辆在施工场地附近会排放一定量的废气，主要污染物有CO、NOx、THC等。</w:t>
            </w:r>
          </w:p>
          <w:p w14:paraId="00E6C573">
            <w:pPr>
              <w:spacing w:line="360" w:lineRule="auto"/>
              <w:ind w:firstLine="480" w:firstLineChars="200"/>
              <w:rPr>
                <w:sz w:val="24"/>
                <w:szCs w:val="20"/>
              </w:rPr>
            </w:pPr>
            <w:r>
              <w:rPr>
                <w:rFonts w:hint="eastAsia"/>
                <w:sz w:val="24"/>
              </w:rPr>
              <w:t>治理措施：由于项目施工机械多为大型机械，单车排放系数较大，但施工机械数量较少且分散，预计工程施工作业时对局地区域环境空气影响范围仅限于下风向20-50m范围内，不过这种影响时间短，并随施工的完成而消失。</w:t>
            </w:r>
          </w:p>
          <w:p w14:paraId="40F54E4E">
            <w:pPr>
              <w:spacing w:line="360" w:lineRule="auto"/>
              <w:ind w:firstLine="482" w:firstLineChars="200"/>
              <w:rPr>
                <w:b/>
                <w:sz w:val="24"/>
                <w:szCs w:val="20"/>
              </w:rPr>
            </w:pPr>
            <w:r>
              <w:rPr>
                <w:rFonts w:hint="eastAsia"/>
                <w:b/>
                <w:sz w:val="24"/>
                <w:szCs w:val="20"/>
              </w:rPr>
              <w:t>综上，项目施工期将会对施工场地周围的环境空气质量造成一定影响，但这些影响随着施工期的结束也会结束。因此，项目施工期不会造成项目所在地环境空气质量明显恶化。</w:t>
            </w:r>
          </w:p>
          <w:p w14:paraId="411B49B9">
            <w:pPr>
              <w:adjustRightInd w:val="0"/>
              <w:snapToGrid w:val="0"/>
              <w:spacing w:line="360" w:lineRule="auto"/>
              <w:ind w:firstLine="482" w:firstLineChars="200"/>
              <w:rPr>
                <w:b/>
                <w:sz w:val="24"/>
              </w:rPr>
            </w:pPr>
            <w:r>
              <w:rPr>
                <w:rFonts w:hint="eastAsia"/>
                <w:b/>
                <w:sz w:val="24"/>
              </w:rPr>
              <w:t>4、施工期声环境影响分析</w:t>
            </w:r>
          </w:p>
          <w:p w14:paraId="43D449EC">
            <w:pPr>
              <w:adjustRightInd w:val="0"/>
              <w:snapToGrid w:val="0"/>
              <w:spacing w:line="360" w:lineRule="auto"/>
              <w:ind w:firstLine="480" w:firstLineChars="200"/>
              <w:rPr>
                <w:sz w:val="24"/>
              </w:rPr>
            </w:pPr>
            <w:r>
              <w:rPr>
                <w:rFonts w:hint="eastAsia"/>
                <w:sz w:val="24"/>
              </w:rPr>
              <w:t>在本项目施工期间，施工主要机械设备为混凝土泵车、推土机、压路机、运输汽车，这些机械运行时在距声源5m处的噪声值在76~98dB之间，施工机械噪声值见表4-5。</w:t>
            </w:r>
          </w:p>
          <w:p w14:paraId="32EEFAA9">
            <w:pPr>
              <w:adjustRightInd w:val="0"/>
              <w:snapToGrid w:val="0"/>
              <w:spacing w:line="360" w:lineRule="auto"/>
              <w:ind w:firstLine="480" w:firstLineChars="200"/>
              <w:rPr>
                <w:sz w:val="24"/>
              </w:rPr>
            </w:pPr>
            <w:r>
              <w:rPr>
                <w:rFonts w:hint="eastAsia"/>
                <w:sz w:val="24"/>
              </w:rPr>
              <w:t>为减轻施工活动对周围环境的不良影响，评价要求建设单位应监督施工部门合理安排好施工时间、设备选型尽量采用低噪声设备、做好施工场所设备维护管理，严格规范操作，合理进行施工平面布置，严禁夜间进行机械施工，做到不扰民。同时，作业时间应尽量避开居民休息时间，最大限度减轻施工活动对群众生活带来的不利影响。</w:t>
            </w:r>
          </w:p>
          <w:p w14:paraId="1F862177">
            <w:pPr>
              <w:adjustRightInd w:val="0"/>
              <w:snapToGrid w:val="0"/>
              <w:jc w:val="center"/>
              <w:rPr>
                <w:rFonts w:eastAsia="黑体"/>
                <w:szCs w:val="21"/>
              </w:rPr>
            </w:pPr>
            <w:r>
              <w:rPr>
                <w:rFonts w:eastAsia="黑体"/>
                <w:szCs w:val="21"/>
              </w:rPr>
              <w:t>表4-</w:t>
            </w:r>
            <w:r>
              <w:rPr>
                <w:rFonts w:hint="eastAsia" w:eastAsia="黑体"/>
                <w:szCs w:val="21"/>
              </w:rPr>
              <w:t>4</w:t>
            </w:r>
            <w:r>
              <w:rPr>
                <w:rFonts w:eastAsia="黑体"/>
                <w:szCs w:val="21"/>
              </w:rPr>
              <w:t xml:space="preserve">  路基及路面施工阶段常用机械一览表</w:t>
            </w:r>
          </w:p>
          <w:tbl>
            <w:tblPr>
              <w:tblStyle w:val="34"/>
              <w:tblW w:w="850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66"/>
              <w:gridCol w:w="1701"/>
              <w:gridCol w:w="4536"/>
            </w:tblGrid>
            <w:tr w14:paraId="366B85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6" w:type="dxa"/>
                </w:tcPr>
                <w:p w14:paraId="00942D2F">
                  <w:pPr>
                    <w:pStyle w:val="20"/>
                    <w:snapToGrid w:val="0"/>
                    <w:spacing w:after="0" w:line="240" w:lineRule="auto"/>
                    <w:ind w:left="0" w:leftChars="0"/>
                    <w:jc w:val="center"/>
                    <w:rPr>
                      <w:b/>
                    </w:rPr>
                  </w:pPr>
                  <w:r>
                    <w:rPr>
                      <w:b/>
                    </w:rPr>
                    <w:t>施工阶段</w:t>
                  </w:r>
                </w:p>
              </w:tc>
              <w:tc>
                <w:tcPr>
                  <w:tcW w:w="1701" w:type="dxa"/>
                </w:tcPr>
                <w:p w14:paraId="1BF885F2">
                  <w:pPr>
                    <w:pStyle w:val="20"/>
                    <w:snapToGrid w:val="0"/>
                    <w:spacing w:after="0" w:line="240" w:lineRule="auto"/>
                    <w:ind w:left="0" w:leftChars="0"/>
                    <w:jc w:val="center"/>
                    <w:rPr>
                      <w:b/>
                    </w:rPr>
                  </w:pPr>
                  <w:r>
                    <w:rPr>
                      <w:b/>
                    </w:rPr>
                    <w:t>主要路段</w:t>
                  </w:r>
                </w:p>
              </w:tc>
              <w:tc>
                <w:tcPr>
                  <w:tcW w:w="4536" w:type="dxa"/>
                </w:tcPr>
                <w:p w14:paraId="2DDB026C">
                  <w:pPr>
                    <w:pStyle w:val="20"/>
                    <w:snapToGrid w:val="0"/>
                    <w:spacing w:after="0" w:line="240" w:lineRule="auto"/>
                    <w:ind w:left="0" w:leftChars="0"/>
                    <w:jc w:val="center"/>
                    <w:rPr>
                      <w:b/>
                    </w:rPr>
                  </w:pPr>
                  <w:r>
                    <w:rPr>
                      <w:b/>
                    </w:rPr>
                    <w:t>施工机械</w:t>
                  </w:r>
                </w:p>
              </w:tc>
            </w:tr>
            <w:tr w14:paraId="6E6D1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6" w:type="dxa"/>
                </w:tcPr>
                <w:p w14:paraId="79BB6AEA">
                  <w:pPr>
                    <w:pStyle w:val="20"/>
                    <w:snapToGrid w:val="0"/>
                    <w:spacing w:after="0" w:line="240" w:lineRule="auto"/>
                    <w:ind w:left="0" w:leftChars="0"/>
                    <w:jc w:val="center"/>
                  </w:pPr>
                  <w:r>
                    <w:t>工程前期土方工程</w:t>
                  </w:r>
                </w:p>
              </w:tc>
              <w:tc>
                <w:tcPr>
                  <w:tcW w:w="1701" w:type="dxa"/>
                </w:tcPr>
                <w:p w14:paraId="44B5F00C">
                  <w:pPr>
                    <w:pStyle w:val="20"/>
                    <w:snapToGrid w:val="0"/>
                    <w:spacing w:after="0" w:line="240" w:lineRule="auto"/>
                    <w:ind w:left="0" w:leftChars="0"/>
                    <w:jc w:val="center"/>
                  </w:pPr>
                  <w:r>
                    <w:rPr>
                      <w:rFonts w:hint="eastAsia"/>
                    </w:rPr>
                    <w:t>涉及挖填路段</w:t>
                  </w:r>
                </w:p>
              </w:tc>
              <w:tc>
                <w:tcPr>
                  <w:tcW w:w="4536" w:type="dxa"/>
                </w:tcPr>
                <w:p w14:paraId="4B7EDCC8">
                  <w:pPr>
                    <w:pStyle w:val="20"/>
                    <w:snapToGrid w:val="0"/>
                    <w:spacing w:after="0" w:line="240" w:lineRule="auto"/>
                    <w:ind w:left="0" w:leftChars="0"/>
                    <w:jc w:val="center"/>
                  </w:pPr>
                  <w:r>
                    <w:t>挖掘机、推土机、平地机、运输车辆等</w:t>
                  </w:r>
                </w:p>
              </w:tc>
            </w:tr>
            <w:tr w14:paraId="5DE8F6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6" w:type="dxa"/>
                </w:tcPr>
                <w:p w14:paraId="16BAA1A3">
                  <w:pPr>
                    <w:pStyle w:val="20"/>
                    <w:snapToGrid w:val="0"/>
                    <w:spacing w:after="0" w:line="240" w:lineRule="auto"/>
                    <w:ind w:left="0" w:leftChars="0"/>
                    <w:jc w:val="center"/>
                  </w:pPr>
                  <w:r>
                    <w:t>软基路基处理</w:t>
                  </w:r>
                </w:p>
              </w:tc>
              <w:tc>
                <w:tcPr>
                  <w:tcW w:w="1701" w:type="dxa"/>
                </w:tcPr>
                <w:p w14:paraId="355D3A80">
                  <w:pPr>
                    <w:pStyle w:val="20"/>
                    <w:snapToGrid w:val="0"/>
                    <w:spacing w:after="0" w:line="240" w:lineRule="auto"/>
                    <w:ind w:left="0" w:leftChars="0"/>
                    <w:jc w:val="center"/>
                  </w:pPr>
                  <w:r>
                    <w:rPr>
                      <w:rFonts w:hint="eastAsia"/>
                    </w:rPr>
                    <w:t>软基路段</w:t>
                  </w:r>
                </w:p>
              </w:tc>
              <w:tc>
                <w:tcPr>
                  <w:tcW w:w="4536" w:type="dxa"/>
                </w:tcPr>
                <w:p w14:paraId="2F7AE623">
                  <w:pPr>
                    <w:pStyle w:val="20"/>
                    <w:snapToGrid w:val="0"/>
                    <w:spacing w:after="0" w:line="240" w:lineRule="auto"/>
                    <w:ind w:left="0" w:leftChars="0"/>
                    <w:jc w:val="center"/>
                  </w:pPr>
                  <w:r>
                    <w:rPr>
                      <w:rFonts w:hint="eastAsia"/>
                    </w:rPr>
                    <w:t>挖掘机、装载机、推土机等</w:t>
                  </w:r>
                </w:p>
              </w:tc>
            </w:tr>
            <w:tr w14:paraId="3E2D8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6" w:type="dxa"/>
                </w:tcPr>
                <w:p w14:paraId="3E3335D0">
                  <w:pPr>
                    <w:pStyle w:val="20"/>
                    <w:snapToGrid w:val="0"/>
                    <w:spacing w:after="0" w:line="240" w:lineRule="auto"/>
                    <w:ind w:left="0" w:leftChars="0"/>
                    <w:jc w:val="center"/>
                  </w:pPr>
                  <w:r>
                    <w:t>路基填筑工程</w:t>
                  </w:r>
                </w:p>
              </w:tc>
              <w:tc>
                <w:tcPr>
                  <w:tcW w:w="1701" w:type="dxa"/>
                </w:tcPr>
                <w:p w14:paraId="43D2478D">
                  <w:pPr>
                    <w:pStyle w:val="20"/>
                    <w:snapToGrid w:val="0"/>
                    <w:spacing w:after="0" w:line="240" w:lineRule="auto"/>
                    <w:ind w:left="0" w:leftChars="0"/>
                    <w:jc w:val="center"/>
                  </w:pPr>
                  <w:r>
                    <w:t>全路段</w:t>
                  </w:r>
                </w:p>
              </w:tc>
              <w:tc>
                <w:tcPr>
                  <w:tcW w:w="4536" w:type="dxa"/>
                </w:tcPr>
                <w:p w14:paraId="1633E92F">
                  <w:pPr>
                    <w:pStyle w:val="20"/>
                    <w:snapToGrid w:val="0"/>
                    <w:spacing w:after="0" w:line="240" w:lineRule="auto"/>
                    <w:ind w:left="0" w:leftChars="0"/>
                    <w:jc w:val="center"/>
                  </w:pPr>
                  <w:r>
                    <w:rPr>
                      <w:rFonts w:hint="eastAsia"/>
                    </w:rPr>
                    <w:t>推土机、挖掘机、装载机、平地机、压路机等</w:t>
                  </w:r>
                </w:p>
              </w:tc>
            </w:tr>
            <w:tr w14:paraId="14A6F1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6" w:type="dxa"/>
                </w:tcPr>
                <w:p w14:paraId="5CB9F358">
                  <w:pPr>
                    <w:pStyle w:val="20"/>
                    <w:snapToGrid w:val="0"/>
                    <w:spacing w:after="0" w:line="240" w:lineRule="auto"/>
                    <w:ind w:left="0" w:leftChars="0"/>
                    <w:jc w:val="center"/>
                  </w:pPr>
                  <w:r>
                    <w:t>路面工程</w:t>
                  </w:r>
                </w:p>
              </w:tc>
              <w:tc>
                <w:tcPr>
                  <w:tcW w:w="1701" w:type="dxa"/>
                </w:tcPr>
                <w:p w14:paraId="5C143673">
                  <w:pPr>
                    <w:pStyle w:val="20"/>
                    <w:snapToGrid w:val="0"/>
                    <w:spacing w:after="0" w:line="240" w:lineRule="auto"/>
                    <w:ind w:left="0" w:leftChars="0"/>
                    <w:jc w:val="center"/>
                  </w:pPr>
                  <w:r>
                    <w:t>全路段</w:t>
                  </w:r>
                </w:p>
              </w:tc>
              <w:tc>
                <w:tcPr>
                  <w:tcW w:w="4536" w:type="dxa"/>
                </w:tcPr>
                <w:p w14:paraId="3C0A9C25">
                  <w:pPr>
                    <w:pStyle w:val="20"/>
                    <w:snapToGrid w:val="0"/>
                    <w:spacing w:after="0" w:line="240" w:lineRule="auto"/>
                    <w:ind w:left="0" w:leftChars="0"/>
                    <w:jc w:val="center"/>
                  </w:pPr>
                  <w:r>
                    <w:rPr>
                      <w:rFonts w:hint="eastAsia"/>
                    </w:rPr>
                    <w:t>装载机、平地机、摊铺机、压路机等</w:t>
                  </w:r>
                </w:p>
              </w:tc>
            </w:tr>
          </w:tbl>
          <w:p w14:paraId="2D7A2EE5">
            <w:pPr>
              <w:pStyle w:val="20"/>
              <w:adjustRightInd w:val="0"/>
              <w:snapToGrid w:val="0"/>
              <w:spacing w:after="0" w:line="360" w:lineRule="auto"/>
              <w:ind w:left="0" w:leftChars="0" w:firstLine="480" w:firstLineChars="200"/>
              <w:jc w:val="left"/>
              <w:rPr>
                <w:sz w:val="24"/>
              </w:rPr>
            </w:pPr>
            <w:r>
              <w:rPr>
                <w:rFonts w:hint="eastAsia"/>
                <w:sz w:val="24"/>
              </w:rPr>
              <w:t>施工期使用到的常规设备较为繁多，根据调查道路施工所使用的机械设备有：挖掘机、铲土机、推土机、压路机、装载机等。</w:t>
            </w:r>
          </w:p>
          <w:p w14:paraId="2A8A6546">
            <w:pPr>
              <w:pStyle w:val="20"/>
              <w:adjustRightInd w:val="0"/>
              <w:snapToGrid w:val="0"/>
              <w:spacing w:after="0" w:line="360" w:lineRule="auto"/>
              <w:ind w:left="0" w:leftChars="0" w:firstLine="480" w:firstLineChars="200"/>
              <w:jc w:val="left"/>
              <w:rPr>
                <w:sz w:val="24"/>
              </w:rPr>
            </w:pPr>
            <w:r>
              <w:rPr>
                <w:rFonts w:hint="eastAsia"/>
                <w:sz w:val="24"/>
              </w:rPr>
              <w:t>参考《公路建设项目环境影响评价规范》（JTGB03-2006）附录C表C.6可知，常见项目施工机械设备和车辆噪声源强如下。</w:t>
            </w:r>
          </w:p>
          <w:p w14:paraId="3D79A961">
            <w:pPr>
              <w:adjustRightInd w:val="0"/>
              <w:snapToGrid w:val="0"/>
              <w:jc w:val="center"/>
              <w:rPr>
                <w:rFonts w:eastAsia="黑体"/>
                <w:szCs w:val="21"/>
              </w:rPr>
            </w:pPr>
          </w:p>
          <w:p w14:paraId="259CCE21">
            <w:pPr>
              <w:adjustRightInd w:val="0"/>
              <w:snapToGrid w:val="0"/>
              <w:jc w:val="center"/>
              <w:rPr>
                <w:rFonts w:eastAsia="黑体"/>
                <w:szCs w:val="21"/>
              </w:rPr>
            </w:pPr>
          </w:p>
          <w:p w14:paraId="77554DE2">
            <w:pPr>
              <w:adjustRightInd w:val="0"/>
              <w:snapToGrid w:val="0"/>
              <w:jc w:val="center"/>
              <w:rPr>
                <w:rFonts w:eastAsia="黑体"/>
                <w:szCs w:val="21"/>
              </w:rPr>
            </w:pPr>
            <w:r>
              <w:rPr>
                <w:rFonts w:eastAsia="黑体"/>
                <w:szCs w:val="21"/>
              </w:rPr>
              <w:t>表4-</w:t>
            </w:r>
            <w:r>
              <w:rPr>
                <w:rFonts w:hint="eastAsia" w:eastAsia="黑体"/>
                <w:szCs w:val="21"/>
              </w:rPr>
              <w:t>5   道路</w:t>
            </w:r>
            <w:r>
              <w:rPr>
                <w:rFonts w:eastAsia="黑体"/>
                <w:szCs w:val="21"/>
              </w:rPr>
              <w:t>工程施工机械噪声源强值</w:t>
            </w:r>
          </w:p>
          <w:tbl>
            <w:tblPr>
              <w:tblStyle w:val="34"/>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2126"/>
              <w:gridCol w:w="1843"/>
              <w:gridCol w:w="1701"/>
              <w:gridCol w:w="1984"/>
            </w:tblGrid>
            <w:tr w14:paraId="69C0E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748E0B50">
                  <w:pPr>
                    <w:pStyle w:val="20"/>
                    <w:snapToGrid w:val="0"/>
                    <w:spacing w:after="0" w:line="240" w:lineRule="auto"/>
                    <w:ind w:left="0" w:leftChars="0"/>
                    <w:jc w:val="center"/>
                    <w:rPr>
                      <w:b/>
                    </w:rPr>
                  </w:pPr>
                  <w:r>
                    <w:rPr>
                      <w:rFonts w:hint="eastAsia"/>
                      <w:b/>
                    </w:rPr>
                    <w:t>序号</w:t>
                  </w:r>
                </w:p>
              </w:tc>
              <w:tc>
                <w:tcPr>
                  <w:tcW w:w="2126" w:type="dxa"/>
                  <w:vAlign w:val="center"/>
                </w:tcPr>
                <w:p w14:paraId="48F11664">
                  <w:pPr>
                    <w:pStyle w:val="20"/>
                    <w:snapToGrid w:val="0"/>
                    <w:spacing w:after="0" w:line="240" w:lineRule="auto"/>
                    <w:ind w:left="0" w:leftChars="0"/>
                    <w:jc w:val="center"/>
                    <w:rPr>
                      <w:b/>
                    </w:rPr>
                  </w:pPr>
                  <w:r>
                    <w:rPr>
                      <w:b/>
                    </w:rPr>
                    <w:t>机械类型</w:t>
                  </w:r>
                </w:p>
              </w:tc>
              <w:tc>
                <w:tcPr>
                  <w:tcW w:w="1843" w:type="dxa"/>
                  <w:vAlign w:val="center"/>
                </w:tcPr>
                <w:p w14:paraId="42468CBD">
                  <w:pPr>
                    <w:pStyle w:val="20"/>
                    <w:snapToGrid w:val="0"/>
                    <w:spacing w:after="0" w:line="240" w:lineRule="auto"/>
                    <w:ind w:left="0" w:leftChars="0"/>
                    <w:jc w:val="center"/>
                    <w:rPr>
                      <w:b/>
                    </w:rPr>
                  </w:pPr>
                  <w:r>
                    <w:rPr>
                      <w:rFonts w:hint="eastAsia"/>
                      <w:b/>
                    </w:rPr>
                    <w:t>型号</w:t>
                  </w:r>
                </w:p>
              </w:tc>
              <w:tc>
                <w:tcPr>
                  <w:tcW w:w="1701" w:type="dxa"/>
                  <w:vAlign w:val="center"/>
                </w:tcPr>
                <w:p w14:paraId="28517AA8">
                  <w:pPr>
                    <w:pStyle w:val="20"/>
                    <w:snapToGrid w:val="0"/>
                    <w:spacing w:after="0" w:line="240" w:lineRule="auto"/>
                    <w:ind w:left="0" w:leftChars="0"/>
                    <w:jc w:val="center"/>
                    <w:rPr>
                      <w:b/>
                    </w:rPr>
                  </w:pPr>
                  <w:r>
                    <w:rPr>
                      <w:rFonts w:hint="eastAsia"/>
                      <w:b/>
                    </w:rPr>
                    <w:t>测点距施工机械距离(m)</w:t>
                  </w:r>
                </w:p>
              </w:tc>
              <w:tc>
                <w:tcPr>
                  <w:tcW w:w="1984" w:type="dxa"/>
                  <w:vAlign w:val="center"/>
                </w:tcPr>
                <w:p w14:paraId="3F852D70">
                  <w:pPr>
                    <w:pStyle w:val="20"/>
                    <w:snapToGrid w:val="0"/>
                    <w:spacing w:after="0" w:line="240" w:lineRule="auto"/>
                    <w:ind w:left="0" w:leftChars="0"/>
                    <w:jc w:val="center"/>
                    <w:rPr>
                      <w:b/>
                    </w:rPr>
                  </w:pPr>
                  <w:r>
                    <w:rPr>
                      <w:b/>
                    </w:rPr>
                    <w:t>最大声级Lmax</w:t>
                  </w:r>
                  <w:r>
                    <w:rPr>
                      <w:rFonts w:hint="eastAsia"/>
                      <w:b/>
                    </w:rPr>
                    <w:t>[(dB)]</w:t>
                  </w:r>
                </w:p>
              </w:tc>
            </w:tr>
            <w:tr w14:paraId="1FB254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667C363E">
                  <w:pPr>
                    <w:pStyle w:val="20"/>
                    <w:snapToGrid w:val="0"/>
                    <w:spacing w:after="0" w:line="240" w:lineRule="auto"/>
                    <w:ind w:left="0" w:leftChars="0"/>
                    <w:jc w:val="center"/>
                  </w:pPr>
                  <w:r>
                    <w:rPr>
                      <w:rFonts w:hint="eastAsia"/>
                    </w:rPr>
                    <w:t>1</w:t>
                  </w:r>
                </w:p>
              </w:tc>
              <w:tc>
                <w:tcPr>
                  <w:tcW w:w="2126" w:type="dxa"/>
                  <w:vAlign w:val="center"/>
                </w:tcPr>
                <w:p w14:paraId="084BA89E">
                  <w:pPr>
                    <w:pStyle w:val="20"/>
                    <w:snapToGrid w:val="0"/>
                    <w:spacing w:after="0" w:line="240" w:lineRule="auto"/>
                    <w:ind w:left="0" w:leftChars="0"/>
                    <w:jc w:val="center"/>
                  </w:pPr>
                  <w:r>
                    <w:rPr>
                      <w:rFonts w:hint="eastAsia"/>
                    </w:rPr>
                    <w:t>轮式装载机</w:t>
                  </w:r>
                </w:p>
              </w:tc>
              <w:tc>
                <w:tcPr>
                  <w:tcW w:w="1843" w:type="dxa"/>
                  <w:vAlign w:val="center"/>
                </w:tcPr>
                <w:p w14:paraId="2B7F5A34">
                  <w:pPr>
                    <w:pStyle w:val="20"/>
                    <w:snapToGrid w:val="0"/>
                    <w:spacing w:after="0" w:line="240" w:lineRule="auto"/>
                    <w:ind w:left="0" w:leftChars="0"/>
                    <w:jc w:val="center"/>
                  </w:pPr>
                  <w:r>
                    <w:t>ZL</w:t>
                  </w:r>
                  <w:r>
                    <w:rPr>
                      <w:rFonts w:hint="eastAsia"/>
                    </w:rPr>
                    <w:t>40型</w:t>
                  </w:r>
                </w:p>
              </w:tc>
              <w:tc>
                <w:tcPr>
                  <w:tcW w:w="1701" w:type="dxa"/>
                  <w:vAlign w:val="center"/>
                </w:tcPr>
                <w:p w14:paraId="436F2339">
                  <w:pPr>
                    <w:pStyle w:val="20"/>
                    <w:snapToGrid w:val="0"/>
                    <w:spacing w:after="0" w:line="240" w:lineRule="auto"/>
                    <w:ind w:left="0" w:leftChars="0"/>
                    <w:jc w:val="center"/>
                  </w:pPr>
                  <w:r>
                    <w:rPr>
                      <w:rFonts w:hint="eastAsia"/>
                    </w:rPr>
                    <w:t>5</w:t>
                  </w:r>
                </w:p>
              </w:tc>
              <w:tc>
                <w:tcPr>
                  <w:tcW w:w="1984" w:type="dxa"/>
                  <w:vAlign w:val="center"/>
                </w:tcPr>
                <w:p w14:paraId="49E86235">
                  <w:pPr>
                    <w:pStyle w:val="20"/>
                    <w:snapToGrid w:val="0"/>
                    <w:spacing w:after="0" w:line="240" w:lineRule="auto"/>
                    <w:ind w:left="0" w:leftChars="0"/>
                    <w:jc w:val="center"/>
                  </w:pPr>
                  <w:r>
                    <w:rPr>
                      <w:rFonts w:hint="eastAsia"/>
                    </w:rPr>
                    <w:t>90</w:t>
                  </w:r>
                </w:p>
              </w:tc>
            </w:tr>
            <w:tr w14:paraId="4D39B6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53267E12">
                  <w:pPr>
                    <w:pStyle w:val="20"/>
                    <w:snapToGrid w:val="0"/>
                    <w:spacing w:after="0" w:line="240" w:lineRule="auto"/>
                    <w:ind w:left="0" w:leftChars="0"/>
                    <w:jc w:val="center"/>
                  </w:pPr>
                  <w:r>
                    <w:rPr>
                      <w:rFonts w:hint="eastAsia"/>
                    </w:rPr>
                    <w:t>2</w:t>
                  </w:r>
                </w:p>
              </w:tc>
              <w:tc>
                <w:tcPr>
                  <w:tcW w:w="2126" w:type="dxa"/>
                  <w:vAlign w:val="center"/>
                </w:tcPr>
                <w:p w14:paraId="6E8AF67E">
                  <w:pPr>
                    <w:pStyle w:val="20"/>
                    <w:snapToGrid w:val="0"/>
                    <w:spacing w:after="0" w:line="240" w:lineRule="auto"/>
                    <w:ind w:left="0" w:leftChars="0"/>
                    <w:jc w:val="center"/>
                  </w:pPr>
                  <w:r>
                    <w:t>平地机</w:t>
                  </w:r>
                </w:p>
              </w:tc>
              <w:tc>
                <w:tcPr>
                  <w:tcW w:w="1843" w:type="dxa"/>
                  <w:vAlign w:val="center"/>
                </w:tcPr>
                <w:p w14:paraId="708A1321">
                  <w:pPr>
                    <w:pStyle w:val="20"/>
                    <w:snapToGrid w:val="0"/>
                    <w:spacing w:after="0" w:line="240" w:lineRule="auto"/>
                    <w:ind w:left="0" w:leftChars="0"/>
                    <w:jc w:val="center"/>
                  </w:pPr>
                  <w:r>
                    <w:t>PY</w:t>
                  </w:r>
                  <w:r>
                    <w:rPr>
                      <w:rFonts w:hint="eastAsia"/>
                    </w:rPr>
                    <w:t>160A型</w:t>
                  </w:r>
                </w:p>
              </w:tc>
              <w:tc>
                <w:tcPr>
                  <w:tcW w:w="1701" w:type="dxa"/>
                  <w:vAlign w:val="center"/>
                </w:tcPr>
                <w:p w14:paraId="5F1EE4EF">
                  <w:pPr>
                    <w:pStyle w:val="20"/>
                    <w:snapToGrid w:val="0"/>
                    <w:spacing w:after="0" w:line="240" w:lineRule="auto"/>
                    <w:ind w:left="0" w:leftChars="0"/>
                    <w:jc w:val="center"/>
                  </w:pPr>
                  <w:r>
                    <w:rPr>
                      <w:rFonts w:hint="eastAsia"/>
                    </w:rPr>
                    <w:t>5</w:t>
                  </w:r>
                </w:p>
              </w:tc>
              <w:tc>
                <w:tcPr>
                  <w:tcW w:w="1984" w:type="dxa"/>
                  <w:vAlign w:val="center"/>
                </w:tcPr>
                <w:p w14:paraId="0AAE1D57">
                  <w:pPr>
                    <w:pStyle w:val="20"/>
                    <w:snapToGrid w:val="0"/>
                    <w:spacing w:after="0" w:line="240" w:lineRule="auto"/>
                    <w:ind w:left="0" w:leftChars="0"/>
                    <w:jc w:val="center"/>
                  </w:pPr>
                  <w:r>
                    <w:rPr>
                      <w:rFonts w:hint="eastAsia"/>
                    </w:rPr>
                    <w:t>90</w:t>
                  </w:r>
                </w:p>
              </w:tc>
            </w:tr>
            <w:tr w14:paraId="2F512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60A8BC69">
                  <w:pPr>
                    <w:pStyle w:val="20"/>
                    <w:snapToGrid w:val="0"/>
                    <w:spacing w:after="0" w:line="240" w:lineRule="auto"/>
                    <w:ind w:left="0" w:leftChars="0"/>
                    <w:jc w:val="center"/>
                  </w:pPr>
                  <w:r>
                    <w:rPr>
                      <w:rFonts w:hint="eastAsia"/>
                    </w:rPr>
                    <w:t>3</w:t>
                  </w:r>
                </w:p>
              </w:tc>
              <w:tc>
                <w:tcPr>
                  <w:tcW w:w="2126" w:type="dxa"/>
                  <w:vAlign w:val="center"/>
                </w:tcPr>
                <w:p w14:paraId="561006C8">
                  <w:pPr>
                    <w:pStyle w:val="20"/>
                    <w:snapToGrid w:val="0"/>
                    <w:spacing w:after="0" w:line="240" w:lineRule="auto"/>
                    <w:ind w:left="0" w:leftChars="0"/>
                    <w:jc w:val="center"/>
                  </w:pPr>
                  <w:r>
                    <w:t>双轮双震压路机</w:t>
                  </w:r>
                </w:p>
              </w:tc>
              <w:tc>
                <w:tcPr>
                  <w:tcW w:w="1843" w:type="dxa"/>
                  <w:vAlign w:val="center"/>
                </w:tcPr>
                <w:p w14:paraId="3EF514CB">
                  <w:pPr>
                    <w:pStyle w:val="20"/>
                    <w:snapToGrid w:val="0"/>
                    <w:spacing w:after="0" w:line="240" w:lineRule="auto"/>
                    <w:ind w:left="0" w:leftChars="0"/>
                    <w:jc w:val="center"/>
                  </w:pPr>
                  <w:r>
                    <w:t>CC</w:t>
                  </w:r>
                  <w:r>
                    <w:rPr>
                      <w:rFonts w:hint="eastAsia"/>
                    </w:rPr>
                    <w:t>-21型</w:t>
                  </w:r>
                </w:p>
              </w:tc>
              <w:tc>
                <w:tcPr>
                  <w:tcW w:w="1701" w:type="dxa"/>
                  <w:vAlign w:val="center"/>
                </w:tcPr>
                <w:p w14:paraId="00C18DFF">
                  <w:pPr>
                    <w:pStyle w:val="20"/>
                    <w:snapToGrid w:val="0"/>
                    <w:spacing w:after="0" w:line="240" w:lineRule="auto"/>
                    <w:ind w:left="0" w:leftChars="0"/>
                    <w:jc w:val="center"/>
                  </w:pPr>
                  <w:r>
                    <w:rPr>
                      <w:rFonts w:hint="eastAsia"/>
                    </w:rPr>
                    <w:t>5</w:t>
                  </w:r>
                </w:p>
              </w:tc>
              <w:tc>
                <w:tcPr>
                  <w:tcW w:w="1984" w:type="dxa"/>
                  <w:vAlign w:val="center"/>
                </w:tcPr>
                <w:p w14:paraId="78199EDB">
                  <w:pPr>
                    <w:pStyle w:val="20"/>
                    <w:snapToGrid w:val="0"/>
                    <w:spacing w:after="0" w:line="240" w:lineRule="auto"/>
                    <w:ind w:left="0" w:leftChars="0"/>
                    <w:jc w:val="center"/>
                  </w:pPr>
                  <w:r>
                    <w:rPr>
                      <w:rFonts w:hint="eastAsia"/>
                    </w:rPr>
                    <w:t>81</w:t>
                  </w:r>
                </w:p>
              </w:tc>
            </w:tr>
            <w:tr w14:paraId="69D1D1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1D955241">
                  <w:pPr>
                    <w:pStyle w:val="20"/>
                    <w:snapToGrid w:val="0"/>
                    <w:spacing w:after="0" w:line="240" w:lineRule="auto"/>
                    <w:ind w:left="0" w:leftChars="0"/>
                    <w:jc w:val="center"/>
                  </w:pPr>
                  <w:r>
                    <w:rPr>
                      <w:rFonts w:hint="eastAsia"/>
                    </w:rPr>
                    <w:t>4</w:t>
                  </w:r>
                </w:p>
              </w:tc>
              <w:tc>
                <w:tcPr>
                  <w:tcW w:w="2126" w:type="dxa"/>
                  <w:vAlign w:val="center"/>
                </w:tcPr>
                <w:p w14:paraId="27E12993">
                  <w:pPr>
                    <w:pStyle w:val="20"/>
                    <w:snapToGrid w:val="0"/>
                    <w:spacing w:after="0" w:line="240" w:lineRule="auto"/>
                    <w:ind w:left="0" w:leftChars="0"/>
                    <w:jc w:val="center"/>
                  </w:pPr>
                  <w:r>
                    <w:rPr>
                      <w:rFonts w:hint="eastAsia"/>
                    </w:rPr>
                    <w:t>三轮压路机</w:t>
                  </w:r>
                </w:p>
              </w:tc>
              <w:tc>
                <w:tcPr>
                  <w:tcW w:w="1843" w:type="dxa"/>
                  <w:vAlign w:val="center"/>
                </w:tcPr>
                <w:p w14:paraId="50E718FF">
                  <w:pPr>
                    <w:pStyle w:val="20"/>
                    <w:snapToGrid w:val="0"/>
                    <w:spacing w:after="0" w:line="240" w:lineRule="auto"/>
                    <w:ind w:left="0" w:leftChars="0"/>
                    <w:jc w:val="center"/>
                  </w:pPr>
                  <w:r>
                    <w:rPr>
                      <w:rFonts w:hint="eastAsia"/>
                    </w:rPr>
                    <w:t>/</w:t>
                  </w:r>
                </w:p>
              </w:tc>
              <w:tc>
                <w:tcPr>
                  <w:tcW w:w="1701" w:type="dxa"/>
                  <w:vAlign w:val="center"/>
                </w:tcPr>
                <w:p w14:paraId="6027CE24">
                  <w:pPr>
                    <w:pStyle w:val="20"/>
                    <w:snapToGrid w:val="0"/>
                    <w:spacing w:after="0" w:line="240" w:lineRule="auto"/>
                    <w:ind w:left="0" w:leftChars="0"/>
                    <w:jc w:val="center"/>
                  </w:pPr>
                  <w:r>
                    <w:rPr>
                      <w:rFonts w:hint="eastAsia"/>
                    </w:rPr>
                    <w:t>5</w:t>
                  </w:r>
                </w:p>
              </w:tc>
              <w:tc>
                <w:tcPr>
                  <w:tcW w:w="1984" w:type="dxa"/>
                  <w:vAlign w:val="center"/>
                </w:tcPr>
                <w:p w14:paraId="23E3347B">
                  <w:pPr>
                    <w:pStyle w:val="20"/>
                    <w:snapToGrid w:val="0"/>
                    <w:spacing w:after="0" w:line="240" w:lineRule="auto"/>
                    <w:ind w:left="0" w:leftChars="0"/>
                    <w:jc w:val="center"/>
                  </w:pPr>
                  <w:r>
                    <w:rPr>
                      <w:rFonts w:hint="eastAsia"/>
                    </w:rPr>
                    <w:t>81</w:t>
                  </w:r>
                </w:p>
              </w:tc>
            </w:tr>
            <w:tr w14:paraId="4AA1E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6EE98BA0">
                  <w:pPr>
                    <w:pStyle w:val="20"/>
                    <w:snapToGrid w:val="0"/>
                    <w:spacing w:after="0" w:line="240" w:lineRule="auto"/>
                    <w:ind w:left="0" w:leftChars="0"/>
                    <w:jc w:val="center"/>
                  </w:pPr>
                  <w:r>
                    <w:rPr>
                      <w:rFonts w:hint="eastAsia"/>
                    </w:rPr>
                    <w:t>5</w:t>
                  </w:r>
                </w:p>
              </w:tc>
              <w:tc>
                <w:tcPr>
                  <w:tcW w:w="2126" w:type="dxa"/>
                  <w:vAlign w:val="center"/>
                </w:tcPr>
                <w:p w14:paraId="3E77CD63">
                  <w:pPr>
                    <w:pStyle w:val="20"/>
                    <w:snapToGrid w:val="0"/>
                    <w:spacing w:after="0" w:line="240" w:lineRule="auto"/>
                    <w:ind w:left="0" w:leftChars="0"/>
                    <w:jc w:val="center"/>
                  </w:pPr>
                  <w:r>
                    <w:t>推土机</w:t>
                  </w:r>
                </w:p>
              </w:tc>
              <w:tc>
                <w:tcPr>
                  <w:tcW w:w="1843" w:type="dxa"/>
                  <w:vAlign w:val="center"/>
                </w:tcPr>
                <w:p w14:paraId="4CE0943F">
                  <w:pPr>
                    <w:pStyle w:val="20"/>
                    <w:snapToGrid w:val="0"/>
                    <w:spacing w:after="0" w:line="240" w:lineRule="auto"/>
                    <w:ind w:left="0" w:leftChars="0"/>
                    <w:jc w:val="center"/>
                  </w:pPr>
                  <w:r>
                    <w:rPr>
                      <w:rFonts w:hint="eastAsia"/>
                    </w:rPr>
                    <w:t>T140型</w:t>
                  </w:r>
                </w:p>
              </w:tc>
              <w:tc>
                <w:tcPr>
                  <w:tcW w:w="1701" w:type="dxa"/>
                  <w:vAlign w:val="center"/>
                </w:tcPr>
                <w:p w14:paraId="1CDA8898">
                  <w:pPr>
                    <w:pStyle w:val="20"/>
                    <w:snapToGrid w:val="0"/>
                    <w:spacing w:after="0" w:line="240" w:lineRule="auto"/>
                    <w:ind w:left="0" w:leftChars="0"/>
                    <w:jc w:val="center"/>
                  </w:pPr>
                  <w:r>
                    <w:rPr>
                      <w:rFonts w:hint="eastAsia"/>
                    </w:rPr>
                    <w:t>5</w:t>
                  </w:r>
                </w:p>
              </w:tc>
              <w:tc>
                <w:tcPr>
                  <w:tcW w:w="1984" w:type="dxa"/>
                  <w:vAlign w:val="center"/>
                </w:tcPr>
                <w:p w14:paraId="7A9BE3D7">
                  <w:pPr>
                    <w:pStyle w:val="20"/>
                    <w:snapToGrid w:val="0"/>
                    <w:spacing w:after="0" w:line="240" w:lineRule="auto"/>
                    <w:ind w:left="0" w:leftChars="0"/>
                    <w:jc w:val="center"/>
                  </w:pPr>
                  <w:r>
                    <w:rPr>
                      <w:rFonts w:hint="eastAsia"/>
                    </w:rPr>
                    <w:t>86</w:t>
                  </w:r>
                </w:p>
              </w:tc>
            </w:tr>
            <w:tr w14:paraId="2DA5A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056B1AC9">
                  <w:pPr>
                    <w:pStyle w:val="20"/>
                    <w:snapToGrid w:val="0"/>
                    <w:spacing w:after="0" w:line="240" w:lineRule="auto"/>
                    <w:ind w:left="0" w:leftChars="0"/>
                    <w:jc w:val="center"/>
                  </w:pPr>
                  <w:r>
                    <w:rPr>
                      <w:rFonts w:hint="eastAsia"/>
                    </w:rPr>
                    <w:t>6</w:t>
                  </w:r>
                </w:p>
              </w:tc>
              <w:tc>
                <w:tcPr>
                  <w:tcW w:w="2126" w:type="dxa"/>
                  <w:vAlign w:val="center"/>
                </w:tcPr>
                <w:p w14:paraId="4FDDD6E3">
                  <w:pPr>
                    <w:pStyle w:val="20"/>
                    <w:snapToGrid w:val="0"/>
                    <w:spacing w:after="0" w:line="240" w:lineRule="auto"/>
                    <w:ind w:left="0" w:leftChars="0"/>
                    <w:jc w:val="center"/>
                  </w:pPr>
                  <w:r>
                    <w:t>轮胎式液压挖掘机</w:t>
                  </w:r>
                </w:p>
              </w:tc>
              <w:tc>
                <w:tcPr>
                  <w:tcW w:w="1843" w:type="dxa"/>
                  <w:vAlign w:val="center"/>
                </w:tcPr>
                <w:p w14:paraId="3F1648DC">
                  <w:pPr>
                    <w:pStyle w:val="20"/>
                    <w:snapToGrid w:val="0"/>
                    <w:spacing w:after="0" w:line="240" w:lineRule="auto"/>
                    <w:ind w:left="0" w:leftChars="0"/>
                    <w:jc w:val="center"/>
                  </w:pPr>
                  <w:r>
                    <w:t>W</w:t>
                  </w:r>
                  <w:r>
                    <w:rPr>
                      <w:rFonts w:hint="eastAsia"/>
                    </w:rPr>
                    <w:t>4-60C型</w:t>
                  </w:r>
                </w:p>
              </w:tc>
              <w:tc>
                <w:tcPr>
                  <w:tcW w:w="1701" w:type="dxa"/>
                  <w:vAlign w:val="center"/>
                </w:tcPr>
                <w:p w14:paraId="586C79B1">
                  <w:pPr>
                    <w:pStyle w:val="20"/>
                    <w:snapToGrid w:val="0"/>
                    <w:spacing w:after="0" w:line="240" w:lineRule="auto"/>
                    <w:ind w:left="0" w:leftChars="0"/>
                    <w:jc w:val="center"/>
                  </w:pPr>
                  <w:r>
                    <w:rPr>
                      <w:rFonts w:hint="eastAsia"/>
                    </w:rPr>
                    <w:t>5</w:t>
                  </w:r>
                </w:p>
              </w:tc>
              <w:tc>
                <w:tcPr>
                  <w:tcW w:w="1984" w:type="dxa"/>
                  <w:vAlign w:val="center"/>
                </w:tcPr>
                <w:p w14:paraId="2833D7D3">
                  <w:pPr>
                    <w:pStyle w:val="20"/>
                    <w:snapToGrid w:val="0"/>
                    <w:spacing w:after="0" w:line="240" w:lineRule="auto"/>
                    <w:ind w:left="0" w:leftChars="0"/>
                    <w:jc w:val="center"/>
                  </w:pPr>
                  <w:r>
                    <w:rPr>
                      <w:rFonts w:hint="eastAsia"/>
                    </w:rPr>
                    <w:t>84</w:t>
                  </w:r>
                </w:p>
              </w:tc>
            </w:tr>
            <w:tr w14:paraId="56F05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353F2239">
                  <w:pPr>
                    <w:pStyle w:val="20"/>
                    <w:snapToGrid w:val="0"/>
                    <w:spacing w:after="0" w:line="240" w:lineRule="auto"/>
                    <w:ind w:left="0" w:leftChars="0"/>
                    <w:jc w:val="center"/>
                  </w:pPr>
                  <w:r>
                    <w:rPr>
                      <w:rFonts w:hint="eastAsia"/>
                    </w:rPr>
                    <w:t>7</w:t>
                  </w:r>
                </w:p>
              </w:tc>
              <w:tc>
                <w:tcPr>
                  <w:tcW w:w="2126" w:type="dxa"/>
                  <w:vAlign w:val="center"/>
                </w:tcPr>
                <w:p w14:paraId="61E2A409">
                  <w:pPr>
                    <w:pStyle w:val="20"/>
                    <w:snapToGrid w:val="0"/>
                    <w:spacing w:after="0" w:line="240" w:lineRule="auto"/>
                    <w:ind w:left="0" w:leftChars="0"/>
                    <w:jc w:val="center"/>
                  </w:pPr>
                  <w:r>
                    <w:t>冲击式钻井机</w:t>
                  </w:r>
                </w:p>
              </w:tc>
              <w:tc>
                <w:tcPr>
                  <w:tcW w:w="1843" w:type="dxa"/>
                  <w:vAlign w:val="center"/>
                </w:tcPr>
                <w:p w14:paraId="6E91ABCC">
                  <w:pPr>
                    <w:pStyle w:val="20"/>
                    <w:snapToGrid w:val="0"/>
                    <w:spacing w:after="0" w:line="240" w:lineRule="auto"/>
                    <w:ind w:left="0" w:leftChars="0"/>
                    <w:jc w:val="center"/>
                  </w:pPr>
                  <w:r>
                    <w:rPr>
                      <w:rFonts w:hint="eastAsia"/>
                    </w:rPr>
                    <w:t>22型</w:t>
                  </w:r>
                </w:p>
              </w:tc>
              <w:tc>
                <w:tcPr>
                  <w:tcW w:w="1701" w:type="dxa"/>
                  <w:vAlign w:val="center"/>
                </w:tcPr>
                <w:p w14:paraId="66CA6803">
                  <w:pPr>
                    <w:pStyle w:val="20"/>
                    <w:snapToGrid w:val="0"/>
                    <w:spacing w:after="0" w:line="240" w:lineRule="auto"/>
                    <w:ind w:left="0" w:leftChars="0"/>
                    <w:jc w:val="center"/>
                  </w:pPr>
                  <w:r>
                    <w:rPr>
                      <w:rFonts w:hint="eastAsia"/>
                    </w:rPr>
                    <w:t>5</w:t>
                  </w:r>
                </w:p>
              </w:tc>
              <w:tc>
                <w:tcPr>
                  <w:tcW w:w="1984" w:type="dxa"/>
                  <w:vAlign w:val="center"/>
                </w:tcPr>
                <w:p w14:paraId="37EDCD5F">
                  <w:pPr>
                    <w:pStyle w:val="20"/>
                    <w:snapToGrid w:val="0"/>
                    <w:spacing w:after="0" w:line="240" w:lineRule="auto"/>
                    <w:ind w:left="0" w:leftChars="0"/>
                    <w:jc w:val="center"/>
                  </w:pPr>
                  <w:r>
                    <w:rPr>
                      <w:rFonts w:hint="eastAsia"/>
                    </w:rPr>
                    <w:t>87</w:t>
                  </w:r>
                </w:p>
              </w:tc>
            </w:tr>
            <w:tr w14:paraId="38E32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0D29DC79">
                  <w:pPr>
                    <w:pStyle w:val="20"/>
                    <w:snapToGrid w:val="0"/>
                    <w:spacing w:after="0" w:line="240" w:lineRule="auto"/>
                    <w:ind w:left="0" w:leftChars="0"/>
                    <w:jc w:val="center"/>
                  </w:pPr>
                  <w:r>
                    <w:rPr>
                      <w:rFonts w:hint="eastAsia"/>
                    </w:rPr>
                    <w:t>8</w:t>
                  </w:r>
                </w:p>
              </w:tc>
              <w:tc>
                <w:tcPr>
                  <w:tcW w:w="2126" w:type="dxa"/>
                  <w:vAlign w:val="center"/>
                </w:tcPr>
                <w:p w14:paraId="690F8B4A">
                  <w:pPr>
                    <w:pStyle w:val="20"/>
                    <w:snapToGrid w:val="0"/>
                    <w:spacing w:after="0" w:line="240" w:lineRule="auto"/>
                    <w:ind w:left="0" w:leftChars="0"/>
                    <w:jc w:val="center"/>
                  </w:pPr>
                  <w:r>
                    <w:t>起重机</w:t>
                  </w:r>
                </w:p>
              </w:tc>
              <w:tc>
                <w:tcPr>
                  <w:tcW w:w="1843" w:type="dxa"/>
                  <w:vAlign w:val="center"/>
                </w:tcPr>
                <w:p w14:paraId="2232CD58">
                  <w:pPr>
                    <w:pStyle w:val="20"/>
                    <w:snapToGrid w:val="0"/>
                    <w:spacing w:after="0" w:line="240" w:lineRule="auto"/>
                    <w:ind w:left="0" w:leftChars="0"/>
                    <w:jc w:val="center"/>
                  </w:pPr>
                  <w:r>
                    <w:rPr>
                      <w:rFonts w:hint="eastAsia"/>
                    </w:rPr>
                    <w:t>12-75t</w:t>
                  </w:r>
                </w:p>
              </w:tc>
              <w:tc>
                <w:tcPr>
                  <w:tcW w:w="1701" w:type="dxa"/>
                  <w:vAlign w:val="center"/>
                </w:tcPr>
                <w:p w14:paraId="1B5E5C2E">
                  <w:pPr>
                    <w:pStyle w:val="20"/>
                    <w:snapToGrid w:val="0"/>
                    <w:spacing w:after="0" w:line="240" w:lineRule="auto"/>
                    <w:ind w:left="0" w:leftChars="0"/>
                    <w:jc w:val="center"/>
                  </w:pPr>
                  <w:r>
                    <w:rPr>
                      <w:rFonts w:hint="eastAsia"/>
                    </w:rPr>
                    <w:t>5</w:t>
                  </w:r>
                </w:p>
              </w:tc>
              <w:tc>
                <w:tcPr>
                  <w:tcW w:w="1984" w:type="dxa"/>
                  <w:vAlign w:val="center"/>
                </w:tcPr>
                <w:p w14:paraId="4DD18A8F">
                  <w:pPr>
                    <w:pStyle w:val="20"/>
                    <w:snapToGrid w:val="0"/>
                    <w:spacing w:after="0" w:line="240" w:lineRule="auto"/>
                    <w:ind w:left="0" w:leftChars="0"/>
                    <w:jc w:val="center"/>
                  </w:pPr>
                  <w:r>
                    <w:rPr>
                      <w:rFonts w:hint="eastAsia"/>
                    </w:rPr>
                    <w:t>80</w:t>
                  </w:r>
                </w:p>
              </w:tc>
            </w:tr>
            <w:tr w14:paraId="26596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14:paraId="1A9E3636">
                  <w:pPr>
                    <w:pStyle w:val="20"/>
                    <w:snapToGrid w:val="0"/>
                    <w:spacing w:after="0" w:line="240" w:lineRule="auto"/>
                    <w:ind w:left="0" w:leftChars="0"/>
                    <w:jc w:val="center"/>
                  </w:pPr>
                  <w:r>
                    <w:rPr>
                      <w:rFonts w:hint="eastAsia"/>
                    </w:rPr>
                    <w:t>9</w:t>
                  </w:r>
                </w:p>
              </w:tc>
              <w:tc>
                <w:tcPr>
                  <w:tcW w:w="2126" w:type="dxa"/>
                  <w:vAlign w:val="center"/>
                </w:tcPr>
                <w:p w14:paraId="404FA578">
                  <w:pPr>
                    <w:pStyle w:val="20"/>
                    <w:snapToGrid w:val="0"/>
                    <w:spacing w:after="0" w:line="240" w:lineRule="auto"/>
                    <w:ind w:left="0" w:leftChars="0"/>
                    <w:jc w:val="center"/>
                  </w:pPr>
                  <w:r>
                    <w:t>摊铺机</w:t>
                  </w:r>
                </w:p>
              </w:tc>
              <w:tc>
                <w:tcPr>
                  <w:tcW w:w="1843" w:type="dxa"/>
                  <w:vAlign w:val="center"/>
                </w:tcPr>
                <w:p w14:paraId="24062520">
                  <w:pPr>
                    <w:pStyle w:val="20"/>
                    <w:snapToGrid w:val="0"/>
                    <w:spacing w:after="0" w:line="240" w:lineRule="auto"/>
                    <w:ind w:left="0" w:leftChars="0"/>
                    <w:jc w:val="center"/>
                  </w:pPr>
                  <w:r>
                    <w:t>Vogele</w:t>
                  </w:r>
                </w:p>
              </w:tc>
              <w:tc>
                <w:tcPr>
                  <w:tcW w:w="1701" w:type="dxa"/>
                  <w:vAlign w:val="center"/>
                </w:tcPr>
                <w:p w14:paraId="0A6765D8">
                  <w:pPr>
                    <w:pStyle w:val="20"/>
                    <w:snapToGrid w:val="0"/>
                    <w:spacing w:after="0" w:line="240" w:lineRule="auto"/>
                    <w:ind w:left="0" w:leftChars="0"/>
                    <w:jc w:val="center"/>
                  </w:pPr>
                  <w:r>
                    <w:rPr>
                      <w:rFonts w:hint="eastAsia"/>
                    </w:rPr>
                    <w:t>5</w:t>
                  </w:r>
                </w:p>
              </w:tc>
              <w:tc>
                <w:tcPr>
                  <w:tcW w:w="1984" w:type="dxa"/>
                  <w:vAlign w:val="center"/>
                </w:tcPr>
                <w:p w14:paraId="34CD17BC">
                  <w:pPr>
                    <w:pStyle w:val="20"/>
                    <w:snapToGrid w:val="0"/>
                    <w:spacing w:after="0" w:line="240" w:lineRule="auto"/>
                    <w:ind w:left="0" w:leftChars="0"/>
                    <w:jc w:val="center"/>
                  </w:pPr>
                  <w:r>
                    <w:rPr>
                      <w:rFonts w:hint="eastAsia"/>
                    </w:rPr>
                    <w:t>87</w:t>
                  </w:r>
                </w:p>
              </w:tc>
            </w:tr>
          </w:tbl>
          <w:p w14:paraId="300F5C59">
            <w:pPr>
              <w:adjustRightInd w:val="0"/>
              <w:snapToGrid w:val="0"/>
              <w:spacing w:line="360" w:lineRule="auto"/>
              <w:ind w:firstLine="480" w:firstLineChars="200"/>
              <w:rPr>
                <w:sz w:val="24"/>
              </w:rPr>
            </w:pPr>
            <w:r>
              <w:rPr>
                <w:rFonts w:hint="eastAsia"/>
                <w:sz w:val="24"/>
              </w:rPr>
              <w:t>为尽量避免施工作业对区域现有居民等生活、工作产生干扰，防止噪声扰民，建设单位必须督促各施工单位采取有效的噪声污染防治措施加以控制，为此评价提出如下噪声防治完善措施：</w:t>
            </w:r>
          </w:p>
          <w:p w14:paraId="6D0E437B">
            <w:pPr>
              <w:adjustRightInd w:val="0"/>
              <w:snapToGrid w:val="0"/>
              <w:spacing w:line="360" w:lineRule="auto"/>
              <w:ind w:firstLine="480" w:firstLineChars="200"/>
              <w:rPr>
                <w:sz w:val="24"/>
              </w:rPr>
            </w:pPr>
            <w:r>
              <w:rPr>
                <w:rFonts w:hint="eastAsia"/>
                <w:sz w:val="24"/>
              </w:rPr>
              <w:t>①尽量采用低噪声机械，工程施工所用的施工机械设备应事先对其进行常规工作状态下的噪声测量，超过国家标准的机械应禁止其入场施工。施工过程中还应经常对设备进行维修保养，避免由于设备性能差而使噪声增强现象的发生。</w:t>
            </w:r>
          </w:p>
          <w:p w14:paraId="72CC4F4B">
            <w:pPr>
              <w:adjustRightInd w:val="0"/>
              <w:snapToGrid w:val="0"/>
              <w:spacing w:line="360" w:lineRule="auto"/>
              <w:ind w:firstLine="480" w:firstLineChars="200"/>
              <w:rPr>
                <w:sz w:val="24"/>
              </w:rPr>
            </w:pPr>
            <w:r>
              <w:rPr>
                <w:rFonts w:hint="eastAsia"/>
                <w:sz w:val="24"/>
              </w:rPr>
              <w:t>②合理选择高噪声场所位置：施工工区和临时堆场应设置在敏感点100m以外的地方。</w:t>
            </w:r>
          </w:p>
          <w:p w14:paraId="23F87C71">
            <w:pPr>
              <w:adjustRightInd w:val="0"/>
              <w:snapToGrid w:val="0"/>
              <w:spacing w:line="360" w:lineRule="auto"/>
              <w:ind w:firstLine="480" w:firstLineChars="200"/>
              <w:rPr>
                <w:sz w:val="24"/>
              </w:rPr>
            </w:pPr>
            <w:r>
              <w:rPr>
                <w:rFonts w:hint="eastAsia"/>
                <w:sz w:val="24"/>
              </w:rPr>
              <w:t>③根据《建设施工场界环境噪声排放标准》（GB12523-2011）的规定，合理安排施工时间。午间尽量不安排施工，强噪声施工机械禁止夜间（22:00~6:00）在居民点附近施工。若因特殊需要连续施工的，施工单位应视具体情况及时与相关主管部门取得联系，按规定申领夜间施工证，发布公告最大限度地争取民众支持。</w:t>
            </w:r>
          </w:p>
          <w:p w14:paraId="3CBF414B">
            <w:pPr>
              <w:adjustRightInd w:val="0"/>
              <w:snapToGrid w:val="0"/>
              <w:spacing w:line="360" w:lineRule="auto"/>
              <w:ind w:firstLine="480" w:firstLineChars="200"/>
              <w:rPr>
                <w:sz w:val="24"/>
              </w:rPr>
            </w:pPr>
            <w:r>
              <w:rPr>
                <w:rFonts w:hint="eastAsia"/>
                <w:sz w:val="24"/>
              </w:rPr>
              <w:t>④施工期应协调好施工车辆通行的时间，在既有交通繁忙的情况下，工程建设方、施工方及交管部门应加强沟通、协调工作，避免交通堵塞，夜间运输要采取减速缓行、禁止鸣笛等措施。加强施工机械的维护保养工作。</w:t>
            </w:r>
          </w:p>
          <w:p w14:paraId="156AA11C">
            <w:pPr>
              <w:adjustRightInd w:val="0"/>
              <w:snapToGrid w:val="0"/>
              <w:spacing w:line="360" w:lineRule="auto"/>
              <w:ind w:firstLine="480" w:firstLineChars="200"/>
              <w:rPr>
                <w:sz w:val="24"/>
              </w:rPr>
            </w:pPr>
            <w:r>
              <w:rPr>
                <w:rFonts w:hint="eastAsia"/>
                <w:sz w:val="24"/>
              </w:rPr>
              <w:t>⑤优化施工方案，合理安排工期，将建筑施工环境噪声危害降到最低程度，在施工招投标时，将减低环境噪声污染的措施列为施工组织设计内容，并在合同中予以明确。施工操作人员及现场施工人员，按劳动卫生标准控制工作时间，并做好自身防护工作，如佩戴耳塞、头盔等。</w:t>
            </w:r>
          </w:p>
          <w:p w14:paraId="57AC5CBC">
            <w:pPr>
              <w:adjustRightInd w:val="0"/>
              <w:snapToGrid w:val="0"/>
              <w:spacing w:line="360" w:lineRule="auto"/>
              <w:ind w:firstLine="480" w:firstLineChars="200"/>
              <w:rPr>
                <w:sz w:val="24"/>
              </w:rPr>
            </w:pPr>
            <w:r>
              <w:rPr>
                <w:rFonts w:hint="eastAsia"/>
                <w:sz w:val="24"/>
              </w:rPr>
              <w:t>⑥根据遂宁市建筑和市政基础设施工程项目夜间施工噪声管理要求：（一）施工单位必须严格按照《夜间施工许可证》许可时限和许可范围进行夜间施工。（二）施工单位要合理安排工期，缩短夜间施工时间，减少夜间施工噪声对项目周边居民的影响。（三）施工单位要合理安排施工工序，尽可能减少夜间施工作业时间。因施工需要确需进行夜间施工的，应尽可能安排在周末时段，并在高噪声点位设置吸音措施。（四）夜间施工严禁捶打、敲击和金属切割、装卸钢管钢筋等易产生高噪音的作业。（五）有条件的轨道交通站点推行施工棚作业，尽量减少施工噪声。</w:t>
            </w:r>
          </w:p>
          <w:p w14:paraId="26499D90">
            <w:pPr>
              <w:adjustRightInd w:val="0"/>
              <w:snapToGrid w:val="0"/>
              <w:spacing w:line="360" w:lineRule="auto"/>
              <w:ind w:firstLine="480" w:firstLineChars="200"/>
              <w:rPr>
                <w:sz w:val="24"/>
              </w:rPr>
            </w:pPr>
            <w:r>
              <w:rPr>
                <w:rFonts w:hint="eastAsia"/>
                <w:sz w:val="24"/>
              </w:rPr>
              <w:t>⑦根据《中华人民共和国环境噪声污染防治法》和四川省人民政府办公厅《关于在中、高考期间加强噪声污染监督管理工作的通知》（川办函[2001]90号精神，为在中、高考期间保证考生有一个安静的学习、休息和参考环境：中、高考期间禁止进行产生噪声污染的建设施工。</w:t>
            </w:r>
          </w:p>
          <w:p w14:paraId="01325891">
            <w:pPr>
              <w:adjustRightInd w:val="0"/>
              <w:snapToGrid w:val="0"/>
              <w:spacing w:line="360" w:lineRule="auto"/>
              <w:ind w:firstLine="480" w:firstLineChars="200"/>
              <w:rPr>
                <w:sz w:val="24"/>
              </w:rPr>
            </w:pPr>
            <w:r>
              <w:rPr>
                <w:rFonts w:hint="eastAsia"/>
                <w:sz w:val="24"/>
              </w:rPr>
              <w:t>⑧建设单位应责成施工单位在施工现场张贴通告和投诉电话，建设单位在接到报案后应及时与相关部门取得联系，以便及时处理各种环境纠纷。</w:t>
            </w:r>
          </w:p>
          <w:p w14:paraId="28CC4408">
            <w:pPr>
              <w:adjustRightInd w:val="0"/>
              <w:snapToGrid w:val="0"/>
              <w:spacing w:line="360" w:lineRule="auto"/>
              <w:ind w:firstLine="480" w:firstLineChars="200"/>
              <w:rPr>
                <w:sz w:val="24"/>
              </w:rPr>
            </w:pPr>
            <w:r>
              <w:rPr>
                <w:rFonts w:hint="eastAsia"/>
                <w:sz w:val="24"/>
              </w:rPr>
              <w:t>⑨加强施工期噪声监测，发现噪声污染，及时采取有效的噪声污染防治措施。在采取以上措施后，可有效减缓施工期噪声对敏感点影响，防止施工期噪声污染。</w:t>
            </w:r>
          </w:p>
          <w:p w14:paraId="279E1E36">
            <w:pPr>
              <w:adjustRightInd w:val="0"/>
              <w:snapToGrid w:val="0"/>
              <w:spacing w:line="360" w:lineRule="auto"/>
              <w:ind w:firstLine="480" w:firstLineChars="200"/>
              <w:rPr>
                <w:sz w:val="24"/>
              </w:rPr>
            </w:pPr>
            <w:r>
              <w:rPr>
                <w:rFonts w:hint="eastAsia"/>
                <w:sz w:val="24"/>
              </w:rPr>
              <w:t>在采取以上措施后，可有效减缓施工期噪声对敏感点的影响，防止施工期噪声无污染。</w:t>
            </w:r>
          </w:p>
          <w:p w14:paraId="10D302D7">
            <w:pPr>
              <w:adjustRightInd w:val="0"/>
              <w:snapToGrid w:val="0"/>
              <w:spacing w:line="360" w:lineRule="auto"/>
              <w:ind w:firstLine="482" w:firstLineChars="200"/>
              <w:rPr>
                <w:b/>
                <w:sz w:val="24"/>
              </w:rPr>
            </w:pPr>
            <w:r>
              <w:rPr>
                <w:rFonts w:hint="eastAsia"/>
                <w:b/>
                <w:sz w:val="24"/>
              </w:rPr>
              <w:t>5、固体废弃物</w:t>
            </w:r>
          </w:p>
          <w:p w14:paraId="59196366">
            <w:pPr>
              <w:adjustRightInd w:val="0"/>
              <w:snapToGrid w:val="0"/>
              <w:spacing w:line="360" w:lineRule="auto"/>
              <w:ind w:firstLine="480" w:firstLineChars="200"/>
              <w:rPr>
                <w:sz w:val="24"/>
              </w:rPr>
            </w:pPr>
            <w:r>
              <w:rPr>
                <w:rFonts w:hint="eastAsia"/>
                <w:sz w:val="24"/>
              </w:rPr>
              <w:t>施工期固体废物主要为废弃土石方、建筑垃圾、施工人员生活垃圾。</w:t>
            </w:r>
          </w:p>
          <w:p w14:paraId="5F818420">
            <w:pPr>
              <w:adjustRightInd w:val="0"/>
              <w:snapToGrid w:val="0"/>
              <w:spacing w:line="360" w:lineRule="auto"/>
              <w:ind w:firstLine="482" w:firstLineChars="200"/>
              <w:rPr>
                <w:b/>
                <w:sz w:val="24"/>
              </w:rPr>
            </w:pPr>
            <w:r>
              <w:rPr>
                <w:rFonts w:hint="eastAsia"/>
                <w:b/>
                <w:sz w:val="24"/>
              </w:rPr>
              <w:t>（1）弃土</w:t>
            </w:r>
          </w:p>
          <w:p w14:paraId="5E2B2288">
            <w:pPr>
              <w:adjustRightInd w:val="0"/>
              <w:snapToGrid w:val="0"/>
              <w:spacing w:line="360" w:lineRule="auto"/>
              <w:ind w:firstLine="480" w:firstLineChars="200"/>
              <w:rPr>
                <w:sz w:val="24"/>
              </w:rPr>
            </w:pPr>
            <w:r>
              <w:rPr>
                <w:rFonts w:hint="eastAsia"/>
                <w:sz w:val="24"/>
              </w:rPr>
              <w:t xml:space="preserve">经本项目土石方平衡可知，填方大于挖方，产生弃方调运至大英盐井片区用于施工建设场地填筑，合理利用，本项目不设弃土场，剥离表土回用作项目后期绿化覆土使用。 </w:t>
            </w:r>
          </w:p>
          <w:p w14:paraId="4D04F01D">
            <w:pPr>
              <w:adjustRightInd w:val="0"/>
              <w:snapToGrid w:val="0"/>
              <w:spacing w:line="360" w:lineRule="auto"/>
              <w:ind w:firstLine="482" w:firstLineChars="200"/>
              <w:rPr>
                <w:sz w:val="24"/>
              </w:rPr>
            </w:pPr>
            <w:r>
              <w:rPr>
                <w:rFonts w:hint="eastAsia"/>
                <w:b/>
                <w:sz w:val="24"/>
              </w:rPr>
              <w:t>环评要求：</w:t>
            </w:r>
            <w:r>
              <w:rPr>
                <w:rFonts w:hint="eastAsia"/>
                <w:sz w:val="24"/>
              </w:rPr>
              <w:t>施工期运输车辆进出施工现场时应对车身进行冲洗，避免将施工现场内泥土带出至运输路面上；同时，车辆运输时应使用篷布封闭车斗，避免运输过程中弃土洒落至路面；</w:t>
            </w:r>
          </w:p>
          <w:p w14:paraId="1912F1FE">
            <w:pPr>
              <w:adjustRightInd w:val="0"/>
              <w:snapToGrid w:val="0"/>
              <w:spacing w:line="360" w:lineRule="auto"/>
              <w:ind w:firstLine="480" w:firstLineChars="200"/>
              <w:rPr>
                <w:sz w:val="24"/>
              </w:rPr>
            </w:pPr>
            <w:r>
              <w:rPr>
                <w:rFonts w:hint="eastAsia"/>
                <w:sz w:val="24"/>
              </w:rPr>
              <w:t>其中渣土运输应合理选择运输时间及运输路线，为避免运输过程产生的扬尘和噪声对运输路线两侧居民造成影响，应采取如下防治措施：</w:t>
            </w:r>
          </w:p>
          <w:p w14:paraId="13D9285F">
            <w:pPr>
              <w:adjustRightInd w:val="0"/>
              <w:snapToGrid w:val="0"/>
              <w:spacing w:line="360" w:lineRule="auto"/>
              <w:ind w:firstLine="480" w:firstLineChars="200"/>
              <w:rPr>
                <w:sz w:val="24"/>
              </w:rPr>
            </w:pPr>
            <w:r>
              <w:rPr>
                <w:rFonts w:hint="eastAsia"/>
                <w:sz w:val="24"/>
              </w:rPr>
              <w:t>①运输车辆必须实施限速行驶，同时在运输道路采用洒水抑尘；运输车辆不允许超载，定时对运输路线进行清扫；运输车辆出场时必须封闭，避免在运输过程中的抛洒现象。</w:t>
            </w:r>
          </w:p>
          <w:p w14:paraId="4C3CFBF7">
            <w:pPr>
              <w:adjustRightInd w:val="0"/>
              <w:snapToGrid w:val="0"/>
              <w:spacing w:line="360" w:lineRule="auto"/>
              <w:ind w:firstLine="480" w:firstLineChars="200"/>
              <w:rPr>
                <w:sz w:val="24"/>
              </w:rPr>
            </w:pPr>
            <w:r>
              <w:rPr>
                <w:rFonts w:hint="eastAsia"/>
                <w:sz w:val="24"/>
              </w:rPr>
              <w:t>②对运输车辆司机进行宣传教育，提高环保意识，实施限速行驶。</w:t>
            </w:r>
          </w:p>
          <w:p w14:paraId="59D7342C">
            <w:pPr>
              <w:adjustRightInd w:val="0"/>
              <w:snapToGrid w:val="0"/>
              <w:spacing w:line="360" w:lineRule="auto"/>
              <w:ind w:firstLine="480" w:firstLineChars="200"/>
              <w:rPr>
                <w:sz w:val="24"/>
              </w:rPr>
            </w:pPr>
            <w:r>
              <w:rPr>
                <w:rFonts w:hint="eastAsia"/>
                <w:sz w:val="24"/>
              </w:rPr>
              <w:t>③在经过运输道路沿途村落时，应限制鸣笛，在22:00-06:00间，禁止运输，避免交通噪声对沿途村庄和野生动物的影响。</w:t>
            </w:r>
          </w:p>
          <w:p w14:paraId="309B6B21">
            <w:pPr>
              <w:adjustRightInd w:val="0"/>
              <w:snapToGrid w:val="0"/>
              <w:spacing w:line="360" w:lineRule="auto"/>
              <w:ind w:firstLine="480" w:firstLineChars="200"/>
              <w:rPr>
                <w:sz w:val="24"/>
              </w:rPr>
            </w:pPr>
            <w:r>
              <w:rPr>
                <w:rFonts w:hint="eastAsia"/>
                <w:sz w:val="24"/>
              </w:rPr>
              <w:t>④加强运输道路养护，确保路面平整。</w:t>
            </w:r>
          </w:p>
          <w:p w14:paraId="30A97F9A">
            <w:pPr>
              <w:adjustRightInd w:val="0"/>
              <w:snapToGrid w:val="0"/>
              <w:spacing w:line="360" w:lineRule="auto"/>
              <w:ind w:firstLine="482" w:firstLineChars="200"/>
              <w:rPr>
                <w:b/>
                <w:sz w:val="24"/>
              </w:rPr>
            </w:pPr>
            <w:r>
              <w:rPr>
                <w:rFonts w:hint="eastAsia"/>
                <w:b/>
                <w:sz w:val="24"/>
              </w:rPr>
              <w:t>（2）建筑垃圾</w:t>
            </w:r>
          </w:p>
          <w:p w14:paraId="7508DA4A">
            <w:pPr>
              <w:adjustRightInd w:val="0"/>
              <w:snapToGrid w:val="0"/>
              <w:spacing w:line="360" w:lineRule="auto"/>
              <w:ind w:firstLine="480" w:firstLineChars="200"/>
              <w:rPr>
                <w:sz w:val="24"/>
              </w:rPr>
            </w:pPr>
            <w:r>
              <w:rPr>
                <w:rFonts w:hint="eastAsia"/>
                <w:sz w:val="24"/>
              </w:rPr>
              <w:t>施工期产生的建筑垃圾主要包括废弃的建材、包装材料、砖厂拆除、清表固废等，这些固体废物往往存在于施工场地构筑物附近。施工产生的废弃建材、废弃包装材料，为一般固废，运至遂宁市大英县政府指定的建筑垃圾堆放场堆放。</w:t>
            </w:r>
          </w:p>
          <w:p w14:paraId="4A6F0178">
            <w:pPr>
              <w:adjustRightInd w:val="0"/>
              <w:snapToGrid w:val="0"/>
              <w:spacing w:line="360" w:lineRule="auto"/>
              <w:ind w:firstLine="482" w:firstLineChars="200"/>
              <w:rPr>
                <w:b/>
                <w:sz w:val="24"/>
              </w:rPr>
            </w:pPr>
            <w:r>
              <w:rPr>
                <w:rFonts w:hint="eastAsia"/>
                <w:b/>
                <w:sz w:val="24"/>
              </w:rPr>
              <w:t>（3）生活垃圾</w:t>
            </w:r>
          </w:p>
          <w:p w14:paraId="536BED19">
            <w:pPr>
              <w:adjustRightInd w:val="0"/>
              <w:snapToGrid w:val="0"/>
              <w:spacing w:line="360" w:lineRule="auto"/>
              <w:ind w:firstLine="480" w:firstLineChars="200"/>
              <w:rPr>
                <w:sz w:val="24"/>
              </w:rPr>
            </w:pPr>
            <w:r>
              <w:rPr>
                <w:rFonts w:hint="eastAsia"/>
                <w:sz w:val="24"/>
              </w:rPr>
              <w:t>本项目施工期产生的生活垃圾，主要包括塑料、废纸等，按每人每天产生量0.5kg计，施工人数按50人计，则施工期生活垃圾的产生量为25kg/d。生活垃圾袋装收集后由市政环卫部门统一清运，不会对环境造成二次污染。</w:t>
            </w:r>
          </w:p>
          <w:p w14:paraId="4608633B">
            <w:pPr>
              <w:pStyle w:val="77"/>
              <w:autoSpaceDE/>
              <w:autoSpaceDN/>
              <w:adjustRightInd/>
              <w:spacing w:line="360" w:lineRule="auto"/>
              <w:ind w:firstLine="482" w:firstLineChars="200"/>
              <w:jc w:val="both"/>
              <w:rPr>
                <w:rFonts w:ascii="Times New Roman" w:hAnsi="Times New Roman" w:cs="Times New Roman"/>
                <w:b/>
                <w:color w:val="auto"/>
              </w:rPr>
            </w:pPr>
            <w:r>
              <w:rPr>
                <w:rFonts w:ascii="Times New Roman" w:hAnsi="Times New Roman" w:cs="Times New Roman"/>
                <w:b/>
                <w:color w:val="auto"/>
              </w:rPr>
              <w:t>综上所述，本项目所有固体废物均得到妥善处置，对环境影响较小。</w:t>
            </w:r>
          </w:p>
          <w:p w14:paraId="75F18D0B">
            <w:pPr>
              <w:spacing w:line="360" w:lineRule="auto"/>
              <w:ind w:firstLine="482" w:firstLineChars="200"/>
              <w:rPr>
                <w:b/>
                <w:kern w:val="0"/>
                <w:sz w:val="24"/>
              </w:rPr>
            </w:pPr>
            <w:r>
              <w:rPr>
                <w:rFonts w:hint="eastAsia"/>
                <w:b/>
                <w:kern w:val="0"/>
                <w:sz w:val="24"/>
              </w:rPr>
              <w:t>6、</w:t>
            </w:r>
            <w:r>
              <w:rPr>
                <w:b/>
                <w:kern w:val="0"/>
                <w:sz w:val="24"/>
              </w:rPr>
              <w:t>施工期环境管理建议</w:t>
            </w:r>
          </w:p>
          <w:p w14:paraId="2BA41B55">
            <w:pPr>
              <w:spacing w:line="360" w:lineRule="auto"/>
              <w:ind w:firstLine="482" w:firstLineChars="200"/>
              <w:rPr>
                <w:b/>
                <w:snapToGrid w:val="0"/>
                <w:kern w:val="0"/>
                <w:sz w:val="24"/>
                <w:szCs w:val="20"/>
              </w:rPr>
            </w:pPr>
            <w:r>
              <w:rPr>
                <w:rFonts w:hint="eastAsia"/>
                <w:b/>
                <w:snapToGrid w:val="0"/>
                <w:kern w:val="0"/>
                <w:sz w:val="24"/>
                <w:szCs w:val="20"/>
              </w:rPr>
              <w:t>（1）</w:t>
            </w:r>
            <w:r>
              <w:rPr>
                <w:b/>
                <w:snapToGrid w:val="0"/>
                <w:kern w:val="0"/>
                <w:sz w:val="24"/>
                <w:szCs w:val="20"/>
              </w:rPr>
              <w:t>施工组织</w:t>
            </w:r>
          </w:p>
          <w:p w14:paraId="6C9D4C7D">
            <w:pPr>
              <w:widowControl/>
              <w:wordWrap w:val="0"/>
              <w:spacing w:line="360" w:lineRule="auto"/>
              <w:ind w:firstLine="480" w:firstLineChars="200"/>
              <w:rPr>
                <w:sz w:val="24"/>
              </w:rPr>
            </w:pPr>
            <w:r>
              <w:rPr>
                <w:kern w:val="0"/>
                <w:sz w:val="24"/>
                <w:lang w:bidi="ar"/>
              </w:rPr>
              <w:t>为确保工程质量和工期，须组建一支精干的管理机构，严格控制工程质量和进度。路段应根据工程数量、类别、工期等合理划分施工单元。施工单位的选用应严格</w:t>
            </w:r>
            <w:r>
              <w:rPr>
                <w:rFonts w:hint="eastAsia"/>
                <w:kern w:val="0"/>
                <w:sz w:val="24"/>
                <w:lang w:bidi="ar"/>
              </w:rPr>
              <w:t>参照相关的法律规定及政策进行</w:t>
            </w:r>
            <w:r>
              <w:rPr>
                <w:kern w:val="0"/>
                <w:sz w:val="24"/>
                <w:lang w:bidi="ar"/>
              </w:rPr>
              <w:t>招标。建议由当地政府组织采用招标的方法向全国招标，实行公平竞争、优胜劣汰，邀请信得过、靠得住的施工企业参加投标，在优中选优、强中选强，选择有实力和经验、设备优良的施工队伍进场施工。招标书和施工合同中要有明确的环保条款，施工单位应承诺执行和落实本环境影响报告表中提出的环保措施。</w:t>
            </w:r>
          </w:p>
          <w:p w14:paraId="0F0571DE">
            <w:pPr>
              <w:spacing w:line="360" w:lineRule="auto"/>
              <w:ind w:firstLine="482" w:firstLineChars="200"/>
              <w:rPr>
                <w:b/>
                <w:snapToGrid w:val="0"/>
                <w:kern w:val="0"/>
                <w:sz w:val="24"/>
              </w:rPr>
            </w:pPr>
            <w:r>
              <w:rPr>
                <w:rFonts w:hint="eastAsia"/>
                <w:b/>
                <w:snapToGrid w:val="0"/>
                <w:kern w:val="0"/>
                <w:sz w:val="24"/>
              </w:rPr>
              <w:t>（2）</w:t>
            </w:r>
            <w:r>
              <w:rPr>
                <w:b/>
                <w:snapToGrid w:val="0"/>
                <w:kern w:val="0"/>
                <w:sz w:val="24"/>
              </w:rPr>
              <w:t>环境管理</w:t>
            </w:r>
          </w:p>
          <w:p w14:paraId="76970113">
            <w:pPr>
              <w:pStyle w:val="69"/>
              <w:ind w:firstLine="480"/>
            </w:pPr>
            <w:r>
              <w:rPr>
                <w:lang w:bidi="ar"/>
              </w:rPr>
              <w:t>建议项目参建单位中至少应由一名熟悉环保政策和法规的专业技术人员负责落实环保措施，协调各施工单位的环保工作，可根据情况，对重要地段或敏感点提出环境监测计划，掌握施工期的环境状况，确保不发生重大的环境事故。</w:t>
            </w:r>
          </w:p>
          <w:p w14:paraId="272C6A7E">
            <w:pPr>
              <w:pStyle w:val="69"/>
              <w:ind w:firstLine="482"/>
              <w:rPr>
                <w:b/>
                <w:kern w:val="0"/>
              </w:rPr>
            </w:pPr>
            <w:r>
              <w:rPr>
                <w:b/>
                <w:lang w:bidi="ar"/>
              </w:rPr>
              <w:t>综上，项目施工期对环境造成一定影响，在加强施工期的环境管理并采取环评建议和要求的环保措施的基础上，可将其影响控制在最低程度。</w:t>
            </w:r>
          </w:p>
        </w:tc>
      </w:tr>
      <w:tr w14:paraId="28B493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5" w:hRule="atLeast"/>
          <w:jc w:val="center"/>
        </w:trPr>
        <w:tc>
          <w:tcPr>
            <w:tcW w:w="690" w:type="dxa"/>
            <w:tcMar>
              <w:left w:w="28" w:type="dxa"/>
              <w:right w:w="28" w:type="dxa"/>
            </w:tcMar>
            <w:vAlign w:val="center"/>
          </w:tcPr>
          <w:p w14:paraId="556B410F">
            <w:pPr>
              <w:adjustRightInd w:val="0"/>
              <w:snapToGrid w:val="0"/>
              <w:jc w:val="center"/>
              <w:rPr>
                <w:rFonts w:cs="宋体"/>
                <w:b/>
                <w:bCs/>
                <w:sz w:val="24"/>
              </w:rPr>
            </w:pPr>
            <w:r>
              <w:rPr>
                <w:rFonts w:hint="eastAsia" w:cs="宋体"/>
                <w:b/>
                <w:bCs/>
                <w:spacing w:val="10"/>
                <w:sz w:val="24"/>
              </w:rPr>
              <w:t>运营期生态环境影响分析</w:t>
            </w:r>
          </w:p>
        </w:tc>
        <w:tc>
          <w:tcPr>
            <w:tcW w:w="8647" w:type="dxa"/>
          </w:tcPr>
          <w:p w14:paraId="45F23A09">
            <w:pPr>
              <w:pStyle w:val="86"/>
              <w:snapToGrid/>
              <w:ind w:firstLine="0" w:firstLineChars="0"/>
              <w:rPr>
                <w:rFonts w:ascii="Times New Roman" w:hAnsi="Times New Roman"/>
                <w:b/>
                <w:kern w:val="0"/>
              </w:rPr>
            </w:pPr>
            <w:r>
              <w:rPr>
                <w:rFonts w:hint="eastAsia" w:ascii="Times New Roman" w:hAnsi="Times New Roman"/>
                <w:b/>
                <w:kern w:val="0"/>
              </w:rPr>
              <w:t>一、</w:t>
            </w:r>
            <w:r>
              <w:rPr>
                <w:rFonts w:ascii="Times New Roman" w:hAnsi="Times New Roman"/>
                <w:b/>
                <w:kern w:val="0"/>
              </w:rPr>
              <w:t>营运期环境空气影响分析</w:t>
            </w:r>
          </w:p>
          <w:p w14:paraId="440FCD2B">
            <w:pPr>
              <w:pStyle w:val="69"/>
              <w:ind w:firstLine="480"/>
            </w:pPr>
            <w:r>
              <w:t>项目不涉及服务区、停车场等，营运期主要的大气污染物为汽车尾气及扬尘。</w:t>
            </w:r>
          </w:p>
          <w:p w14:paraId="1DDD46CC">
            <w:pPr>
              <w:spacing w:line="360" w:lineRule="auto"/>
              <w:ind w:firstLine="482" w:firstLineChars="200"/>
              <w:rPr>
                <w:b/>
                <w:sz w:val="24"/>
              </w:rPr>
            </w:pPr>
            <w:r>
              <w:rPr>
                <w:rFonts w:hint="eastAsia"/>
                <w:b/>
                <w:sz w:val="24"/>
              </w:rPr>
              <w:t>（1）汽车尾气</w:t>
            </w:r>
          </w:p>
          <w:p w14:paraId="5796F3D4">
            <w:pPr>
              <w:spacing w:line="360" w:lineRule="auto"/>
              <w:ind w:firstLine="480" w:firstLineChars="200"/>
              <w:rPr>
                <w:sz w:val="24"/>
              </w:rPr>
            </w:pPr>
            <w:r>
              <w:rPr>
                <w:rFonts w:hint="eastAsia"/>
                <w:sz w:val="24"/>
              </w:rPr>
              <w:t>汽车尾气中主要污染源有碳氢化合物（THC）、氮氧化物（NOx）、一氧化碳（CO）和颗粒物。CO是燃料在发动机内不完全燃烧的产物，主要取决于空燃比和各种汽缸燃料分配的均匀性。NO</w:t>
            </w:r>
            <w:r>
              <w:rPr>
                <w:rFonts w:hint="eastAsia"/>
                <w:sz w:val="24"/>
                <w:vertAlign w:val="subscript"/>
              </w:rPr>
              <w:t>2</w:t>
            </w:r>
            <w:r>
              <w:rPr>
                <w:rFonts w:hint="eastAsia"/>
                <w:sz w:val="24"/>
              </w:rPr>
              <w:t>是汽缸内过量空气中的氧气和氮气在高温下形成的产物。THC 产生于汽缸壁面淬效应和混合缸不完全燃烧。这些污染物严重影响环境空气质量，并对人体健康造成很大的危害。由于目前国内汽车已经全面推广使用无铅汽油，因此，汽车尾气污染影响将会越来越小。</w:t>
            </w:r>
          </w:p>
          <w:p w14:paraId="40CA5AD3">
            <w:pPr>
              <w:spacing w:line="360" w:lineRule="auto"/>
              <w:ind w:firstLine="480" w:firstLineChars="200"/>
              <w:rPr>
                <w:sz w:val="24"/>
              </w:rPr>
            </w:pPr>
            <w:r>
              <w:rPr>
                <w:rFonts w:hint="eastAsia"/>
                <w:sz w:val="24"/>
              </w:rPr>
              <w:t>为贯彻《中华人民共和国环境保护法》和《中华人民共和国大气污染防治法》，防治机动车污染物排放对环境的污染，改善环境空气质量状况，原环境保护部先后颁布了有关机动车排气污染物限值标准：2013年5月27日，环境保护部批准了《轻型汽车污染物排放限值及测量方法（中国第五阶段）》（GB18352.5-2013），自2018年1月1日起代替GB18352.3-2005；2018年12 月23日，环境保护部批准了《轻型汽车污染物排放限值及测量方法（中国第六阶段）》（GB18352.6-2016），自2020年7月1日起代替GB18352.5-2013。</w:t>
            </w:r>
          </w:p>
          <w:p w14:paraId="62CEE050">
            <w:pPr>
              <w:spacing w:line="360" w:lineRule="auto"/>
              <w:ind w:firstLine="480" w:firstLineChars="200"/>
            </w:pPr>
            <w:r>
              <w:rPr>
                <w:rFonts w:hint="eastAsia"/>
                <w:sz w:val="24"/>
              </w:rPr>
              <w:t>根据四川省生态环境厅2019年7月5日发布的《关于实施第六阶段机动车排放标准的通告》可知：成渝地区四川省区域内注册登记的轻型汽油车应符合《轻型汽车污染物排放限值及测量方法（中国第六阶段）》（GB 18352.6-2016）6a阶段标准要求，自2020年7月1日起，全省所有销售和注册登记的轻型汽车应符合6a阶段标准要求；自2023年7月1日起，全省所有销售和注册登记的轻型汽车应符合6b阶段标准要求。</w:t>
            </w:r>
          </w:p>
          <w:p w14:paraId="7D7BFC16">
            <w:pPr>
              <w:spacing w:line="360" w:lineRule="auto"/>
              <w:ind w:firstLine="480" w:firstLineChars="200"/>
              <w:rPr>
                <w:sz w:val="24"/>
              </w:rPr>
            </w:pPr>
            <w:r>
              <w:rPr>
                <w:rFonts w:hint="eastAsia"/>
                <w:sz w:val="24"/>
              </w:rPr>
              <w:t>综上，项目建成以后，随着国家汽车尾气排放标准的规定严格执行，汽车尾气污染物的排放量减少；同时项目设置绿化隔离带，可以一定程度达到净化空气的目的。评价认为，在加强管理的基础上，项目在营运期汽车尾气不会对当地大气环境产生明显影响。</w:t>
            </w:r>
          </w:p>
          <w:p w14:paraId="2CAAD866">
            <w:pPr>
              <w:pStyle w:val="69"/>
              <w:ind w:firstLine="480"/>
            </w:pPr>
            <w:r>
              <w:rPr>
                <w:rFonts w:hint="eastAsia"/>
              </w:rPr>
              <w:t>（2）路面扬尘</w:t>
            </w:r>
          </w:p>
          <w:p w14:paraId="7AB389C4">
            <w:pPr>
              <w:pStyle w:val="69"/>
              <w:ind w:firstLine="480"/>
            </w:pPr>
            <w:r>
              <w:rPr>
                <w:rFonts w:hint="eastAsia"/>
              </w:rPr>
              <w:t>路面扬尘主要产生于路面清扫过程中，因此，建议道路清扫时采用自动扫路机。自动扫路机运行时，用机械扫把将路面杂物及灰尘定向扬起后，采用自动集气罩收集，相当于一个袋式除尘器，因此，道路清扫过程扬尘产生量很少，不会造成相应环境影响。</w:t>
            </w:r>
          </w:p>
          <w:p w14:paraId="6D1801A8">
            <w:pPr>
              <w:pStyle w:val="69"/>
              <w:ind w:firstLine="0" w:firstLineChars="0"/>
              <w:rPr>
                <w:b/>
              </w:rPr>
            </w:pPr>
            <w:r>
              <w:rPr>
                <w:rFonts w:hint="eastAsia"/>
                <w:b/>
              </w:rPr>
              <w:t>二、</w:t>
            </w:r>
            <w:r>
              <w:rPr>
                <w:b/>
              </w:rPr>
              <w:t>营运期地表水环境影响分析</w:t>
            </w:r>
          </w:p>
          <w:p w14:paraId="2000AFEE">
            <w:pPr>
              <w:spacing w:line="360" w:lineRule="auto"/>
              <w:ind w:firstLine="480" w:firstLineChars="200"/>
              <w:outlineLvl w:val="3"/>
              <w:rPr>
                <w:sz w:val="24"/>
              </w:rPr>
            </w:pPr>
            <w:r>
              <w:rPr>
                <w:rFonts w:hint="eastAsia"/>
                <w:sz w:val="24"/>
              </w:rPr>
              <w:t>本项目主要建设内容为城市道路，营运期废水主要来源于降水冲刷路面产生的路面径流污水。</w:t>
            </w:r>
          </w:p>
          <w:p w14:paraId="7A051B80">
            <w:pPr>
              <w:spacing w:line="360" w:lineRule="auto"/>
              <w:ind w:firstLine="480" w:firstLineChars="200"/>
              <w:outlineLvl w:val="3"/>
              <w:rPr>
                <w:sz w:val="24"/>
              </w:rPr>
            </w:pPr>
            <w:r>
              <w:rPr>
                <w:rFonts w:hint="eastAsia"/>
                <w:sz w:val="24"/>
              </w:rPr>
              <w:t>本项目建设完成后，路面为不透水的路面，在运输过程中洒落路面的少量尘土、油污及垃圾等污物，降水时被冲刷随路面径流进入地表水，对地表水造成一定污染，尤以降雨初期时的污染最为严重。路面径流通过雨水管网收集后排入地表水体，从而产生不利影响。</w:t>
            </w:r>
          </w:p>
          <w:p w14:paraId="6F8F1CE7">
            <w:pPr>
              <w:snapToGrid w:val="0"/>
              <w:spacing w:line="360" w:lineRule="auto"/>
              <w:ind w:firstLine="480" w:firstLineChars="200"/>
              <w:outlineLvl w:val="3"/>
              <w:rPr>
                <w:b/>
                <w:sz w:val="24"/>
              </w:rPr>
            </w:pPr>
            <w:r>
              <w:rPr>
                <w:rFonts w:hint="eastAsia"/>
                <w:sz w:val="24"/>
              </w:rPr>
              <w:t>根据国内对南方地区路面径流污染情况实验有关资料，在车流量和降雨量已知情况下，降雨历时1小时。降雨强度为81.6mm，在1小时内按不同时段采集水样，测定分析路面径流污染物的变化情况。测定结果表明，降雨初期到形成路面径流的30分钟，雨水径流中的悬浮物和油类物质的浓度比较高，SS和石油类的含量可达158.5~231.4mg/L、19.74~22.30mg/L；30分钟后，其浓度随降雨历时的延长下降较快。雨水径流中的铅的浓度及生化需氧随降雨历时的延长下降速度较前者慢，pH值相对较稳定。降雨历时40分钟后，路面基本被冲洗干净，污染物含量较低。</w:t>
            </w:r>
          </w:p>
          <w:p w14:paraId="0229D802">
            <w:pPr>
              <w:spacing w:line="360" w:lineRule="auto"/>
              <w:ind w:firstLine="480" w:firstLineChars="200"/>
              <w:rPr>
                <w:sz w:val="24"/>
                <w:szCs w:val="20"/>
              </w:rPr>
            </w:pPr>
            <w:r>
              <w:rPr>
                <w:sz w:val="24"/>
                <w:szCs w:val="20"/>
              </w:rPr>
              <w:t>在降雨初期，路面径流通过降水稀释的吸附等作用后，在到达周边水体时污染物浓度基本均可达到《污水综合排放标准》（GB8978-1996）一级标准限值的要求。路面径流从</w:t>
            </w:r>
            <w:r>
              <w:rPr>
                <w:rFonts w:hint="eastAsia"/>
                <w:sz w:val="24"/>
                <w:szCs w:val="20"/>
              </w:rPr>
              <w:t>道路</w:t>
            </w:r>
            <w:r>
              <w:rPr>
                <w:sz w:val="24"/>
                <w:szCs w:val="20"/>
              </w:rPr>
              <w:t>边沟、雨水管出口进入周边水体后，将在径流落水点附近的局部小范围内造成污染物浓度的瞬时升高，但随着水体的湍流混合，污染物迅速在整个断面上混合均匀，其对受纳水体污染物浓度升高的贡献微乎其微，基本不会对沿线水体水质造成影响。</w:t>
            </w:r>
          </w:p>
          <w:p w14:paraId="08CEBAB8">
            <w:pPr>
              <w:pStyle w:val="69"/>
              <w:ind w:firstLine="420" w:firstLineChars="0"/>
            </w:pPr>
            <w:r>
              <w:t>在加强交通管理的基础上，路面径流污水基本可接近国家规定的排放标准，路面径流污水对地面水环境的影响较小，不会造成对环境的污染影响。但在汽车保养状况不良、发生故障、出现事故等时，都可能泄漏汽油和机油污染路面，并在遇降雨后，雨水经</w:t>
            </w:r>
            <w:r>
              <w:rPr>
                <w:rFonts w:hint="eastAsia"/>
              </w:rPr>
              <w:t>路面</w:t>
            </w:r>
            <w:r>
              <w:t>泄水道口流入附近的水域，造成石油类和COD的污染影响，应通过交通管理措施，避免类似事故发生。</w:t>
            </w:r>
          </w:p>
          <w:p w14:paraId="4AB888AF">
            <w:pPr>
              <w:pStyle w:val="69"/>
              <w:ind w:firstLine="420" w:firstLineChars="0"/>
            </w:pPr>
          </w:p>
          <w:p w14:paraId="5A43096B">
            <w:pPr>
              <w:pStyle w:val="86"/>
              <w:snapToGrid/>
              <w:ind w:firstLine="0" w:firstLineChars="0"/>
              <w:rPr>
                <w:rFonts w:ascii="Times New Roman" w:hAnsi="Times New Roman"/>
                <w:b/>
              </w:rPr>
            </w:pPr>
            <w:r>
              <w:rPr>
                <w:rFonts w:hint="eastAsia" w:ascii="Times New Roman" w:hAnsi="Times New Roman"/>
                <w:b/>
              </w:rPr>
              <w:t>三、</w:t>
            </w:r>
            <w:r>
              <w:rPr>
                <w:rFonts w:ascii="Times New Roman" w:hAnsi="Times New Roman"/>
                <w:b/>
              </w:rPr>
              <w:t>营运期固体废物环境影响分析</w:t>
            </w:r>
          </w:p>
          <w:p w14:paraId="33AB8110">
            <w:pPr>
              <w:pStyle w:val="69"/>
              <w:ind w:firstLine="420" w:firstLineChars="0"/>
            </w:pPr>
            <w:r>
              <w:t>本工程投入营运后，</w:t>
            </w:r>
            <w:r>
              <w:rPr>
                <w:rFonts w:hint="eastAsia"/>
              </w:rPr>
              <w:t>不设置停车区、服务区、收费站等，无生活垃圾产生</w:t>
            </w:r>
            <w:r>
              <w:t>。</w:t>
            </w:r>
          </w:p>
          <w:p w14:paraId="568F66D8">
            <w:pPr>
              <w:pStyle w:val="69"/>
              <w:ind w:firstLine="420" w:firstLineChars="0"/>
            </w:pPr>
            <w:r>
              <w:rPr>
                <w:rFonts w:hint="eastAsia"/>
              </w:rPr>
              <w:t>运营期</w:t>
            </w:r>
            <w:r>
              <w:t>固体废物为</w:t>
            </w:r>
            <w:r>
              <w:rPr>
                <w:rFonts w:hint="eastAsia"/>
              </w:rPr>
              <w:t>来往人员产生的垃圾及车辆洒落的</w:t>
            </w:r>
            <w:r>
              <w:t>垃圾，若不妥善处置，则会影响景观，污染空气，传播疾病，危害人体健康。为防止营运期固体废弃物影响环境，应由</w:t>
            </w:r>
            <w:r>
              <w:rPr>
                <w:rFonts w:hint="eastAsia"/>
              </w:rPr>
              <w:t>环卫</w:t>
            </w:r>
            <w:r>
              <w:t>人员</w:t>
            </w:r>
            <w:r>
              <w:rPr>
                <w:rFonts w:hint="eastAsia"/>
              </w:rPr>
              <w:t>将逸散在道路上的固体废弃物和道路沿线垃圾桶内的垃圾集中收集</w:t>
            </w:r>
            <w:r>
              <w:t>，</w:t>
            </w:r>
            <w:r>
              <w:rPr>
                <w:rFonts w:hint="eastAsia"/>
              </w:rPr>
              <w:t>并运至</w:t>
            </w:r>
            <w:r>
              <w:t>城市</w:t>
            </w:r>
            <w:r>
              <w:rPr>
                <w:rFonts w:hint="eastAsia"/>
              </w:rPr>
              <w:t>生活</w:t>
            </w:r>
            <w:r>
              <w:t>垃圾处理场</w:t>
            </w:r>
            <w:r>
              <w:rPr>
                <w:rFonts w:hint="eastAsia"/>
              </w:rPr>
              <w:t>集中</w:t>
            </w:r>
            <w:r>
              <w:t>进行处置，</w:t>
            </w:r>
            <w:r>
              <w:rPr>
                <w:rFonts w:hint="eastAsia"/>
              </w:rPr>
              <w:t>不会影响当地环境</w:t>
            </w:r>
            <w:r>
              <w:t>。</w:t>
            </w:r>
          </w:p>
          <w:p w14:paraId="10C69149">
            <w:pPr>
              <w:pStyle w:val="69"/>
              <w:ind w:firstLine="0" w:firstLineChars="0"/>
              <w:rPr>
                <w:b/>
              </w:rPr>
            </w:pPr>
            <w:r>
              <w:rPr>
                <w:rFonts w:hint="eastAsia"/>
                <w:b/>
              </w:rPr>
              <w:t>四、营运期噪声环境影响分析</w:t>
            </w:r>
          </w:p>
          <w:p w14:paraId="3C02FB53">
            <w:pPr>
              <w:spacing w:line="360" w:lineRule="auto"/>
              <w:ind w:firstLine="480" w:firstLineChars="200"/>
              <w:rPr>
                <w:snapToGrid w:val="0"/>
                <w:kern w:val="0"/>
                <w:sz w:val="24"/>
              </w:rPr>
            </w:pPr>
            <w:r>
              <w:rPr>
                <w:rFonts w:hint="eastAsia"/>
                <w:snapToGrid w:val="0"/>
                <w:kern w:val="0"/>
                <w:sz w:val="24"/>
              </w:rPr>
              <w:t>根据《建设项目报告表编制技术指南（生态影响类）(试行）》，本项目为城市道路，需进行噪声专项评价专章，营运期声环境影响详见噪声专项评价专章。</w:t>
            </w:r>
          </w:p>
          <w:p w14:paraId="02FAC541">
            <w:pPr>
              <w:spacing w:line="360" w:lineRule="auto"/>
              <w:ind w:firstLine="480" w:firstLineChars="200"/>
              <w:rPr>
                <w:snapToGrid w:val="0"/>
                <w:kern w:val="0"/>
                <w:sz w:val="24"/>
              </w:rPr>
            </w:pPr>
            <w:r>
              <w:rPr>
                <w:rFonts w:hint="eastAsia"/>
                <w:snapToGrid w:val="0"/>
                <w:kern w:val="0"/>
                <w:sz w:val="24"/>
              </w:rPr>
              <w:t>专章主要结论如下：综上，在不考虑建筑物和树林的遮挡屏蔽影响情况下，</w:t>
            </w:r>
            <w:r>
              <w:rPr>
                <w:rFonts w:hint="eastAsia"/>
                <w:b/>
                <w:snapToGrid w:val="0"/>
                <w:kern w:val="0"/>
                <w:sz w:val="24"/>
              </w:rPr>
              <w:t>成南大道连接线1段——</w:t>
            </w:r>
            <w:r>
              <w:rPr>
                <w:rFonts w:hint="eastAsia"/>
                <w:snapToGrid w:val="0"/>
                <w:kern w:val="0"/>
                <w:sz w:val="24"/>
              </w:rPr>
              <w:t>营运期近期、中期、远期道路边界线两侧40m范围内，昼、夜间噪声均能满足《声环境质量标准》4a类标准；近期、中期，昼间在道路边界两侧范围外均能达到2类限值要求；远期，昼间在道路边界线两侧11m范围外，能满足《声环境质量标准》2类标准；近期、中期、远期夜间，分别在道路边界线两侧32m、63m、84m范围外，才能满足2类标准。</w:t>
            </w:r>
            <w:r>
              <w:rPr>
                <w:rFonts w:hint="eastAsia"/>
                <w:b/>
                <w:snapToGrid w:val="0"/>
                <w:kern w:val="0"/>
                <w:sz w:val="24"/>
              </w:rPr>
              <w:t>太吉大道西延线1段——</w:t>
            </w:r>
            <w:r>
              <w:rPr>
                <w:rFonts w:hint="eastAsia"/>
                <w:snapToGrid w:val="0"/>
                <w:kern w:val="0"/>
                <w:sz w:val="24"/>
              </w:rPr>
              <w:t>营运期近、中、远期昼、夜间拟建道路边界两侧0~40m范围内能达到4a类限值要求；在营运期近、中、远期，昼、夜间在拟建道路边界两侧范围外，均能达到2类限值要求；</w:t>
            </w:r>
            <w:r>
              <w:rPr>
                <w:rFonts w:hint="eastAsia"/>
                <w:b/>
                <w:snapToGrid w:val="0"/>
                <w:kern w:val="0"/>
                <w:sz w:val="24"/>
              </w:rPr>
              <w:t>太吉大道西延线2段——</w:t>
            </w:r>
            <w:r>
              <w:rPr>
                <w:rFonts w:hint="eastAsia"/>
                <w:snapToGrid w:val="0"/>
                <w:kern w:val="0"/>
                <w:sz w:val="24"/>
              </w:rPr>
              <w:t>营运期近、中、远期昼、夜间拟建道路边界两侧0~40m范围内能达到4a类限值要求；在营运期近、中、远期，昼、夜间在拟建道路边界两侧范围外，均能达到2类限值要求。。</w:t>
            </w:r>
          </w:p>
          <w:p w14:paraId="300EC93D">
            <w:pPr>
              <w:spacing w:line="360" w:lineRule="auto"/>
              <w:ind w:firstLine="480" w:firstLineChars="200"/>
              <w:rPr>
                <w:snapToGrid w:val="0"/>
                <w:kern w:val="0"/>
                <w:sz w:val="24"/>
              </w:rPr>
            </w:pPr>
            <w:r>
              <w:rPr>
                <w:rFonts w:hint="eastAsia"/>
                <w:snapToGrid w:val="0"/>
                <w:kern w:val="0"/>
                <w:sz w:val="24"/>
              </w:rPr>
              <w:t>结合大英县中心城区规划用地布局规划，成南大道连接线、太吉大道西延线两侧已预留绿化公园用地，作为与居住用地之间的缓冲带，能有效降低噪声对未来规划居住区域影响。</w:t>
            </w:r>
          </w:p>
          <w:p w14:paraId="51F417B9">
            <w:pPr>
              <w:spacing w:line="360" w:lineRule="auto"/>
              <w:ind w:firstLine="480" w:firstLineChars="200"/>
              <w:rPr>
                <w:snapToGrid w:val="0"/>
                <w:kern w:val="0"/>
                <w:sz w:val="24"/>
              </w:rPr>
            </w:pPr>
            <w:r>
              <w:rPr>
                <w:rFonts w:hint="eastAsia"/>
                <w:snapToGrid w:val="0"/>
                <w:kern w:val="0"/>
                <w:sz w:val="24"/>
              </w:rPr>
              <w:t>环评建议：根据规划，项目已在道路两侧规划预留绿化用地，再配合营运期采取设置限速标志、加强道路养护、预留专项资金等措施后，可有效避免交通噪声对周边的影响。</w:t>
            </w:r>
          </w:p>
          <w:p w14:paraId="5267F7E0">
            <w:pPr>
              <w:spacing w:line="360" w:lineRule="auto"/>
              <w:ind w:firstLine="480" w:firstLineChars="200"/>
            </w:pPr>
            <w:r>
              <w:rPr>
                <w:rFonts w:hint="eastAsia"/>
                <w:snapToGrid w:val="0"/>
                <w:kern w:val="0"/>
                <w:sz w:val="24"/>
              </w:rPr>
              <w:t>在落实上述措施后，项目营运期噪声对周围的影响较小，本项目噪声影响可以接受。</w:t>
            </w:r>
          </w:p>
        </w:tc>
      </w:tr>
      <w:tr w14:paraId="279DB1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690" w:type="dxa"/>
            <w:vAlign w:val="center"/>
          </w:tcPr>
          <w:p w14:paraId="6546B27E">
            <w:pPr>
              <w:adjustRightInd w:val="0"/>
              <w:snapToGrid w:val="0"/>
              <w:ind w:left="-21" w:leftChars="-10" w:right="-71" w:rightChars="-34"/>
              <w:jc w:val="center"/>
              <w:rPr>
                <w:rFonts w:cs="宋体"/>
                <w:b/>
                <w:bCs/>
                <w:szCs w:val="21"/>
              </w:rPr>
            </w:pPr>
            <w:r>
              <w:rPr>
                <w:rFonts w:hint="eastAsia" w:cs="宋体"/>
                <w:b/>
                <w:bCs/>
                <w:sz w:val="24"/>
                <w:szCs w:val="21"/>
              </w:rPr>
              <w:t>选址选线环境合理性分析</w:t>
            </w:r>
          </w:p>
        </w:tc>
        <w:tc>
          <w:tcPr>
            <w:tcW w:w="8647" w:type="dxa"/>
          </w:tcPr>
          <w:p w14:paraId="1CDBD5C0">
            <w:pPr>
              <w:pStyle w:val="90"/>
              <w:spacing w:line="360" w:lineRule="auto"/>
              <w:ind w:firstLine="442"/>
              <w:rPr>
                <w:rFonts w:ascii="Times New Roman" w:hAnsi="Times New Roman"/>
                <w:b/>
                <w:sz w:val="24"/>
                <w:szCs w:val="24"/>
              </w:rPr>
            </w:pPr>
            <w:r>
              <w:rPr>
                <w:rFonts w:ascii="Times New Roman" w:hAnsi="Times New Roman"/>
                <w:b/>
                <w:sz w:val="24"/>
                <w:szCs w:val="24"/>
              </w:rPr>
              <w:t>（</w:t>
            </w:r>
            <w:r>
              <w:rPr>
                <w:rFonts w:hint="eastAsia" w:ascii="Times New Roman" w:hAnsi="Times New Roman"/>
                <w:b/>
                <w:sz w:val="24"/>
                <w:szCs w:val="24"/>
              </w:rPr>
              <w:t>1</w:t>
            </w:r>
            <w:r>
              <w:rPr>
                <w:rFonts w:ascii="Times New Roman" w:hAnsi="Times New Roman"/>
                <w:b/>
                <w:sz w:val="24"/>
                <w:szCs w:val="24"/>
              </w:rPr>
              <w:t>）</w:t>
            </w:r>
            <w:r>
              <w:rPr>
                <w:rFonts w:hint="eastAsia" w:ascii="Times New Roman" w:hAnsi="Times New Roman"/>
                <w:b/>
                <w:sz w:val="24"/>
                <w:szCs w:val="24"/>
              </w:rPr>
              <w:t>线路</w:t>
            </w:r>
            <w:r>
              <w:rPr>
                <w:rFonts w:ascii="Times New Roman" w:hAnsi="Times New Roman"/>
                <w:b/>
                <w:sz w:val="24"/>
                <w:szCs w:val="24"/>
              </w:rPr>
              <w:t>选线合理性分析</w:t>
            </w:r>
          </w:p>
          <w:p w14:paraId="76CF59A1">
            <w:pPr>
              <w:pStyle w:val="90"/>
              <w:spacing w:line="360" w:lineRule="auto"/>
              <w:ind w:firstLine="480"/>
              <w:rPr>
                <w:rFonts w:ascii="Times New Roman" w:hAnsi="Times New Roman"/>
                <w:spacing w:val="0"/>
                <w:kern w:val="2"/>
                <w:sz w:val="24"/>
                <w:szCs w:val="24"/>
                <w:lang w:val="en-US"/>
              </w:rPr>
            </w:pPr>
            <w:r>
              <w:rPr>
                <w:rFonts w:hint="eastAsia" w:ascii="Times New Roman" w:hAnsi="Times New Roman"/>
                <w:spacing w:val="0"/>
                <w:kern w:val="2"/>
                <w:sz w:val="24"/>
                <w:szCs w:val="24"/>
                <w:lang w:val="en-US"/>
              </w:rPr>
              <w:t>本项目为《大英县国土空间总体规划》中路网规划中的一段。根据建设单位提供设计及主体设计资料，本项目路径唯一，无选址选线比选方案。</w:t>
            </w:r>
          </w:p>
          <w:p w14:paraId="41C59CA7">
            <w:pPr>
              <w:pStyle w:val="90"/>
              <w:spacing w:line="360" w:lineRule="auto"/>
              <w:ind w:firstLine="480"/>
              <w:rPr>
                <w:rFonts w:ascii="Times New Roman" w:hAnsi="Times New Roman"/>
                <w:spacing w:val="0"/>
                <w:kern w:val="2"/>
                <w:sz w:val="24"/>
                <w:szCs w:val="24"/>
                <w:lang w:val="en-US"/>
              </w:rPr>
            </w:pPr>
            <w:r>
              <w:rPr>
                <w:rFonts w:hint="eastAsia" w:ascii="Times New Roman" w:hAnsi="Times New Roman"/>
                <w:spacing w:val="0"/>
                <w:kern w:val="2"/>
                <w:sz w:val="24"/>
                <w:szCs w:val="24"/>
                <w:lang w:val="en-US"/>
              </w:rPr>
              <w:t>本工程位于遂宁市大英县盐井街道，项目施工期不设取土场、永久弃土场、拌合站、施工便道等临时设施，施工期对周边环境影响较小；项目沿线不涉及遂宁市生态保护红线，不涉及自然保护区、风景名胜区、饮用水水源保护区等环境敏感区，无环境制约因素。</w:t>
            </w:r>
          </w:p>
          <w:p w14:paraId="4B3EED18">
            <w:pPr>
              <w:pStyle w:val="90"/>
              <w:spacing w:line="360" w:lineRule="auto"/>
              <w:ind w:firstLine="480"/>
              <w:rPr>
                <w:rFonts w:ascii="Times New Roman" w:hAnsi="Times New Roman"/>
                <w:spacing w:val="0"/>
                <w:kern w:val="2"/>
                <w:sz w:val="24"/>
                <w:szCs w:val="24"/>
                <w:lang w:val="en-US"/>
              </w:rPr>
            </w:pPr>
            <w:r>
              <w:rPr>
                <w:rFonts w:hint="eastAsia" w:ascii="Times New Roman" w:hAnsi="Times New Roman"/>
                <w:spacing w:val="0"/>
                <w:kern w:val="2"/>
                <w:sz w:val="24"/>
                <w:szCs w:val="24"/>
                <w:lang w:val="en-US"/>
              </w:rPr>
              <w:t>本项目的建设对生态环境、大气环境、声环境等影响较小，采取相应措施后，满足《声环境质量标准》（GB3096-2008）等标准要求。</w:t>
            </w:r>
          </w:p>
          <w:p w14:paraId="66D9A7A3">
            <w:pPr>
              <w:pStyle w:val="90"/>
              <w:spacing w:line="360" w:lineRule="auto"/>
              <w:ind w:firstLine="480"/>
              <w:rPr>
                <w:sz w:val="24"/>
              </w:rPr>
            </w:pPr>
            <w:r>
              <w:rPr>
                <w:rFonts w:ascii="Times New Roman" w:hAnsi="Times New Roman"/>
                <w:spacing w:val="0"/>
                <w:kern w:val="2"/>
                <w:sz w:val="24"/>
                <w:szCs w:val="24"/>
                <w:lang w:val="en-US"/>
              </w:rPr>
              <w:t>施工期和运营期经采取污染防治措施后，污染物的排放和环境质量可以满足区域各项环境标准的要求，项目建设周边环境质量能够满足相应的环境功能要求。</w:t>
            </w:r>
          </w:p>
          <w:p w14:paraId="0355160A">
            <w:pPr>
              <w:pStyle w:val="90"/>
              <w:spacing w:line="360" w:lineRule="auto"/>
              <w:ind w:firstLine="442"/>
              <w:rPr>
                <w:rFonts w:ascii="Times New Roman" w:hAnsi="Times New Roman"/>
                <w:b/>
                <w:sz w:val="24"/>
                <w:szCs w:val="24"/>
              </w:rPr>
            </w:pPr>
            <w:r>
              <w:rPr>
                <w:rFonts w:ascii="Times New Roman" w:hAnsi="Times New Roman"/>
                <w:b/>
                <w:sz w:val="24"/>
                <w:szCs w:val="24"/>
              </w:rPr>
              <w:t>（2）施工场地平面布置合理性分析</w:t>
            </w:r>
          </w:p>
          <w:p w14:paraId="67A75FBA">
            <w:pPr>
              <w:pStyle w:val="69"/>
              <w:ind w:firstLine="480"/>
              <w:rPr>
                <w:szCs w:val="24"/>
              </w:rPr>
            </w:pPr>
            <w:r>
              <w:rPr>
                <w:rFonts w:hint="eastAsia"/>
                <w:szCs w:val="24"/>
              </w:rPr>
              <w:t>本项目属于城市道路改造项目，周边地块均已建设，受制于场地限制，项目施工场地设置于本项目道路红线内。</w:t>
            </w:r>
          </w:p>
          <w:p w14:paraId="632B69B6">
            <w:pPr>
              <w:pStyle w:val="69"/>
              <w:ind w:firstLine="480"/>
              <w:rPr>
                <w:szCs w:val="24"/>
              </w:rPr>
            </w:pPr>
            <w:r>
              <w:rPr>
                <w:rFonts w:hint="eastAsia"/>
                <w:szCs w:val="24"/>
              </w:rPr>
              <w:t>1）施工工区外环境介绍</w:t>
            </w:r>
          </w:p>
          <w:p w14:paraId="0B7A9A61">
            <w:pPr>
              <w:pStyle w:val="69"/>
              <w:ind w:firstLine="480"/>
              <w:rPr>
                <w:szCs w:val="24"/>
              </w:rPr>
            </w:pPr>
            <w:r>
              <w:rPr>
                <w:szCs w:val="24"/>
              </w:rPr>
              <w:t>根据现场调查，该</w:t>
            </w:r>
            <w:r>
              <w:rPr>
                <w:rFonts w:hint="eastAsia"/>
                <w:szCs w:val="24"/>
              </w:rPr>
              <w:t>工程</w:t>
            </w:r>
            <w:r>
              <w:rPr>
                <w:szCs w:val="24"/>
              </w:rPr>
              <w:t>沿线周围外环境较为简单，且施工工区位于与</w:t>
            </w:r>
            <w:r>
              <w:rPr>
                <w:rFonts w:hint="eastAsia"/>
                <w:szCs w:val="24"/>
              </w:rPr>
              <w:t>在建</w:t>
            </w:r>
            <w:r>
              <w:rPr>
                <w:szCs w:val="24"/>
              </w:rPr>
              <w:t>、已建道路的连接处，其保证了施工材料运输的需要。</w:t>
            </w:r>
          </w:p>
          <w:p w14:paraId="13827D84">
            <w:pPr>
              <w:pStyle w:val="69"/>
              <w:ind w:firstLine="480"/>
              <w:rPr>
                <w:szCs w:val="24"/>
              </w:rPr>
            </w:pPr>
            <w:r>
              <w:rPr>
                <w:szCs w:val="24"/>
              </w:rPr>
              <w:t>综上所述，本工程各施工工区无明显外环境制约因素。</w:t>
            </w:r>
          </w:p>
          <w:p w14:paraId="3EC71467">
            <w:pPr>
              <w:pStyle w:val="69"/>
              <w:ind w:firstLine="480"/>
              <w:rPr>
                <w:szCs w:val="24"/>
              </w:rPr>
            </w:pPr>
            <w:r>
              <w:rPr>
                <w:rFonts w:hint="eastAsia"/>
                <w:szCs w:val="24"/>
              </w:rPr>
              <w:t>2）施工工区拟采取的环保措施</w:t>
            </w:r>
          </w:p>
          <w:p w14:paraId="6F582424">
            <w:pPr>
              <w:pStyle w:val="77"/>
              <w:spacing w:line="360" w:lineRule="auto"/>
              <w:ind w:firstLine="480" w:firstLineChars="200"/>
              <w:jc w:val="both"/>
              <w:rPr>
                <w:rFonts w:ascii="Times New Roman" w:hAnsi="Times New Roman" w:cs="Times New Roman"/>
                <w:color w:val="auto"/>
              </w:rPr>
            </w:pPr>
            <w:r>
              <w:rPr>
                <w:rFonts w:ascii="Times New Roman" w:hAnsi="Times New Roman" w:cs="Times New Roman"/>
                <w:color w:val="auto"/>
              </w:rPr>
              <w:t>施工工区施工前制定详细的施工方案，限定施工人员活动区域，尽量控制施工动土范围，严禁随意扩大。施工结束后，对施工场地要及时整平，对部分已形成的表层固化层应给予清除。通过采取一系列的环境措施后，能够恢复为原有状况。施工工区施工期间产生一定的施工噪声，可能会对区域居民造成一定的影响，为免施工工区产生施工噪声扰民，在有居民居住的小区施工时，应设立施工围挡，通过</w:t>
            </w:r>
            <w:r>
              <w:rPr>
                <w:rFonts w:hint="eastAsia" w:ascii="Times New Roman" w:hAnsi="Times New Roman" w:cs="Times New Roman"/>
                <w:color w:val="auto"/>
              </w:rPr>
              <w:t>围挡阻隔</w:t>
            </w:r>
            <w:r>
              <w:rPr>
                <w:rFonts w:ascii="Times New Roman" w:hAnsi="Times New Roman" w:cs="Times New Roman"/>
                <w:color w:val="auto"/>
              </w:rPr>
              <w:t>，能减轻噪声对附近居民的影响。</w:t>
            </w:r>
          </w:p>
          <w:p w14:paraId="05504B23">
            <w:pPr>
              <w:pStyle w:val="77"/>
              <w:spacing w:line="360" w:lineRule="auto"/>
              <w:ind w:firstLine="480" w:firstLineChars="200"/>
              <w:jc w:val="both"/>
              <w:rPr>
                <w:rFonts w:ascii="Times New Roman" w:hAnsi="Times New Roman" w:cs="Times New Roman"/>
                <w:color w:val="auto"/>
              </w:rPr>
            </w:pPr>
            <w:r>
              <w:rPr>
                <w:rFonts w:ascii="Times New Roman" w:hAnsi="Times New Roman" w:cs="Times New Roman"/>
                <w:color w:val="auto"/>
              </w:rPr>
              <w:t>同时，本项目施工区应在施工围挡上方设置喷雾装置</w:t>
            </w:r>
            <w:r>
              <w:rPr>
                <w:rFonts w:hint="eastAsia" w:ascii="Times New Roman" w:hAnsi="Times New Roman" w:cs="Times New Roman"/>
                <w:color w:val="auto"/>
              </w:rPr>
              <w:t>，</w:t>
            </w:r>
            <w:r>
              <w:rPr>
                <w:rFonts w:ascii="Times New Roman" w:hAnsi="Times New Roman" w:cs="Times New Roman"/>
                <w:color w:val="auto"/>
              </w:rPr>
              <w:t>可有效减少施工区内扬尘对周围敏感点的影响。项目施工场地内布设有洗车池</w:t>
            </w:r>
            <w:r>
              <w:rPr>
                <w:rFonts w:hint="eastAsia" w:ascii="Times New Roman" w:hAnsi="Times New Roman" w:cs="Times New Roman"/>
                <w:color w:val="auto"/>
              </w:rPr>
              <w:t>，</w:t>
            </w:r>
            <w:r>
              <w:rPr>
                <w:rFonts w:ascii="Times New Roman" w:hAnsi="Times New Roman" w:cs="Times New Roman"/>
                <w:color w:val="auto"/>
              </w:rPr>
              <w:t>隔油沉淀池以及截水沟</w:t>
            </w:r>
            <w:r>
              <w:rPr>
                <w:rFonts w:hint="eastAsia" w:ascii="Times New Roman" w:hAnsi="Times New Roman" w:cs="Times New Roman"/>
                <w:color w:val="auto"/>
              </w:rPr>
              <w:t>，可有效减少施工工区内部废水、扬尘对外界环境的影响。</w:t>
            </w:r>
          </w:p>
          <w:p w14:paraId="736B57AD">
            <w:pPr>
              <w:pStyle w:val="69"/>
              <w:ind w:firstLine="482"/>
              <w:rPr>
                <w:b/>
              </w:rPr>
            </w:pPr>
            <w:r>
              <w:rPr>
                <w:b/>
                <w:szCs w:val="24"/>
              </w:rPr>
              <w:t>综上分析，各施工区在采取一定措施后，</w:t>
            </w:r>
            <w:r>
              <w:rPr>
                <w:b/>
              </w:rPr>
              <w:t>从环保合理性分析，选址较为合理。</w:t>
            </w:r>
          </w:p>
        </w:tc>
      </w:tr>
    </w:tbl>
    <w:p w14:paraId="28ACD23D">
      <w:pPr>
        <w:rPr>
          <w:snapToGrid w:val="0"/>
        </w:rPr>
      </w:pPr>
      <w:r>
        <w:rPr>
          <w:snapToGrid w:val="0"/>
        </w:rPr>
        <w:br w:type="page"/>
      </w:r>
    </w:p>
    <w:p w14:paraId="20CC2522">
      <w:pPr>
        <w:pStyle w:val="3"/>
        <w:numPr>
          <w:ilvl w:val="0"/>
          <w:numId w:val="0"/>
        </w:numPr>
        <w:jc w:val="center"/>
        <w:rPr>
          <w:snapToGrid w:val="0"/>
        </w:rPr>
      </w:pPr>
      <w:bookmarkStart w:id="36" w:name="_Toc150173914"/>
      <w:r>
        <w:rPr>
          <w:rFonts w:hint="eastAsia"/>
          <w:snapToGrid w:val="0"/>
        </w:rPr>
        <w:t>五、主要生态环境保护措施</w:t>
      </w:r>
      <w:bookmarkEnd w:id="36"/>
    </w:p>
    <w:tbl>
      <w:tblPr>
        <w:tblStyle w:val="33"/>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8457"/>
      </w:tblGrid>
      <w:tr w14:paraId="1A9697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753" w:type="dxa"/>
            <w:tcMar>
              <w:left w:w="28" w:type="dxa"/>
              <w:right w:w="28" w:type="dxa"/>
            </w:tcMar>
            <w:vAlign w:val="center"/>
          </w:tcPr>
          <w:p w14:paraId="159F893D">
            <w:pPr>
              <w:adjustRightInd w:val="0"/>
              <w:snapToGrid w:val="0"/>
              <w:jc w:val="center"/>
              <w:rPr>
                <w:rFonts w:ascii="宋体" w:hAnsi="宋体"/>
                <w:b/>
                <w:bCs/>
                <w:sz w:val="24"/>
              </w:rPr>
            </w:pPr>
            <w:r>
              <w:rPr>
                <w:rFonts w:hint="eastAsia" w:ascii="宋体" w:hAnsi="宋体" w:cs="宋体"/>
                <w:b/>
                <w:bCs/>
                <w:spacing w:val="10"/>
                <w:sz w:val="24"/>
              </w:rPr>
              <w:t>施工期生态环境保护措施</w:t>
            </w:r>
          </w:p>
        </w:tc>
        <w:tc>
          <w:tcPr>
            <w:tcW w:w="8457" w:type="dxa"/>
          </w:tcPr>
          <w:p w14:paraId="3B15691E">
            <w:pPr>
              <w:widowControl/>
              <w:spacing w:line="360" w:lineRule="auto"/>
              <w:jc w:val="left"/>
              <w:rPr>
                <w:b/>
              </w:rPr>
            </w:pPr>
            <w:r>
              <w:rPr>
                <w:rFonts w:ascii="宋体" w:hAnsi="宋体" w:cs="宋体"/>
                <w:b/>
                <w:bCs/>
                <w:kern w:val="0"/>
                <w:sz w:val="24"/>
                <w:lang w:bidi="ar"/>
              </w:rPr>
              <w:t>1</w:t>
            </w:r>
            <w:r>
              <w:rPr>
                <w:rFonts w:hint="eastAsia" w:ascii="宋体" w:hAnsi="宋体" w:cs="宋体"/>
                <w:b/>
                <w:bCs/>
                <w:kern w:val="0"/>
                <w:sz w:val="24"/>
                <w:lang w:bidi="ar"/>
              </w:rPr>
              <w:t xml:space="preserve">、施工期废气防治措施 </w:t>
            </w:r>
          </w:p>
          <w:p w14:paraId="7AB41FD7">
            <w:pPr>
              <w:spacing w:line="360" w:lineRule="auto"/>
              <w:ind w:firstLine="482" w:firstLineChars="200"/>
              <w:rPr>
                <w:b/>
                <w:sz w:val="24"/>
              </w:rPr>
            </w:pPr>
            <w:r>
              <w:rPr>
                <w:rFonts w:hint="eastAsia"/>
                <w:b/>
                <w:sz w:val="24"/>
              </w:rPr>
              <w:t>（1</w:t>
            </w:r>
            <w:r>
              <w:rPr>
                <w:b/>
                <w:sz w:val="24"/>
              </w:rPr>
              <w:t>）施工</w:t>
            </w:r>
            <w:r>
              <w:rPr>
                <w:rFonts w:hint="eastAsia"/>
                <w:b/>
                <w:sz w:val="24"/>
              </w:rPr>
              <w:t>车辆及施工机械废气治理</w:t>
            </w:r>
            <w:r>
              <w:rPr>
                <w:b/>
                <w:sz w:val="24"/>
              </w:rPr>
              <w:t>措施</w:t>
            </w:r>
          </w:p>
          <w:p w14:paraId="624B0335">
            <w:pPr>
              <w:adjustRightInd w:val="0"/>
              <w:snapToGrid w:val="0"/>
              <w:spacing w:line="360" w:lineRule="auto"/>
              <w:ind w:firstLine="480" w:firstLineChars="200"/>
              <w:rPr>
                <w:snapToGrid w:val="0"/>
                <w:kern w:val="0"/>
                <w:sz w:val="24"/>
              </w:rPr>
            </w:pPr>
            <w:r>
              <w:rPr>
                <w:snapToGrid w:val="0"/>
                <w:kern w:val="0"/>
                <w:sz w:val="24"/>
              </w:rPr>
              <w:t>施工区的燃油设备主要是施工机械和运输车辆，其排放的尾气在施工期间对施工作业点和交通道路附近的大气环境会造成一定程度的污染，产生CO、碳氢化合物、NO</w:t>
            </w:r>
            <w:r>
              <w:rPr>
                <w:snapToGrid w:val="0"/>
                <w:kern w:val="0"/>
                <w:sz w:val="24"/>
                <w:vertAlign w:val="subscript"/>
              </w:rPr>
              <w:t>2</w:t>
            </w:r>
            <w:r>
              <w:rPr>
                <w:snapToGrid w:val="0"/>
                <w:kern w:val="0"/>
                <w:sz w:val="24"/>
              </w:rPr>
              <w:t>等污染物。运输车辆的废气是沿交通路线沿程排放，施工机械的废气基本是以点源形式排放。</w:t>
            </w:r>
          </w:p>
          <w:p w14:paraId="67B77BD5">
            <w:pPr>
              <w:adjustRightInd w:val="0"/>
              <w:snapToGrid w:val="0"/>
              <w:spacing w:line="360" w:lineRule="auto"/>
              <w:ind w:firstLine="480" w:firstLineChars="200"/>
              <w:rPr>
                <w:snapToGrid w:val="0"/>
                <w:kern w:val="0"/>
                <w:sz w:val="24"/>
              </w:rPr>
            </w:pPr>
            <w:r>
              <w:rPr>
                <w:snapToGrid w:val="0"/>
                <w:kern w:val="0"/>
                <w:sz w:val="24"/>
              </w:rPr>
              <w:t>由于施工区空气流通性好，排放废气中的各项污染物能够很快扩散，不会引起局部大气环境质量的恶化，加之废气排放的不连续性和工程施工期有限，排放的废气对区域的环境空气质量影响是较小的。</w:t>
            </w:r>
          </w:p>
          <w:p w14:paraId="72E48A97">
            <w:pPr>
              <w:adjustRightInd w:val="0"/>
              <w:snapToGrid w:val="0"/>
              <w:spacing w:line="360" w:lineRule="auto"/>
              <w:ind w:firstLine="480" w:firstLineChars="200"/>
              <w:rPr>
                <w:snapToGrid w:val="0"/>
                <w:kern w:val="0"/>
                <w:sz w:val="24"/>
              </w:rPr>
            </w:pPr>
            <w:r>
              <w:rPr>
                <w:rFonts w:hint="eastAsia"/>
                <w:snapToGrid w:val="0"/>
                <w:kern w:val="0"/>
                <w:sz w:val="24"/>
              </w:rPr>
              <w:t>由上述分析可知，为减轻施工机械废气的污染程度和影响范围，施工单位必须采取以下治理措施：</w:t>
            </w:r>
          </w:p>
          <w:p w14:paraId="6252C8ED">
            <w:pPr>
              <w:adjustRightInd w:val="0"/>
              <w:snapToGrid w:val="0"/>
              <w:spacing w:line="360" w:lineRule="auto"/>
              <w:ind w:firstLine="480" w:firstLineChars="200"/>
              <w:rPr>
                <w:snapToGrid w:val="0"/>
                <w:kern w:val="0"/>
                <w:sz w:val="24"/>
              </w:rPr>
            </w:pPr>
            <w:r>
              <w:rPr>
                <w:rFonts w:hint="eastAsia"/>
                <w:snapToGrid w:val="0"/>
                <w:kern w:val="0"/>
                <w:sz w:val="24"/>
              </w:rPr>
              <w:t>1）应严格执行《遂宁市人民政府关于划定禁止使用高排放非道路移动机械区域的通告》的通知（遂府规〔2024〕2号）相关要求，落实非道路移动机械的“备案登记”、“标志管理”和车辆禁行线路制定。</w:t>
            </w:r>
          </w:p>
          <w:p w14:paraId="367B08EA">
            <w:pPr>
              <w:adjustRightInd w:val="0"/>
              <w:snapToGrid w:val="0"/>
              <w:spacing w:line="360" w:lineRule="auto"/>
              <w:ind w:firstLine="480" w:firstLineChars="200"/>
              <w:rPr>
                <w:snapToGrid w:val="0"/>
                <w:kern w:val="0"/>
                <w:sz w:val="24"/>
              </w:rPr>
            </w:pPr>
            <w:r>
              <w:rPr>
                <w:rFonts w:hint="eastAsia"/>
                <w:snapToGrid w:val="0"/>
                <w:kern w:val="0"/>
                <w:sz w:val="24"/>
              </w:rPr>
              <w:t>2）加强施工机械的保养维护，提高机械的正常使用率；加强对车辆的维修保养，禁止以柴油为燃料的施工机械超负荷工作，减少烟度和积粒物排放。</w:t>
            </w:r>
          </w:p>
          <w:p w14:paraId="67C63E1D">
            <w:pPr>
              <w:adjustRightInd w:val="0"/>
              <w:snapToGrid w:val="0"/>
              <w:spacing w:line="360" w:lineRule="auto"/>
              <w:ind w:firstLine="480" w:firstLineChars="200"/>
              <w:rPr>
                <w:snapToGrid w:val="0"/>
                <w:kern w:val="0"/>
                <w:sz w:val="24"/>
              </w:rPr>
            </w:pPr>
            <w:r>
              <w:rPr>
                <w:rFonts w:hint="eastAsia"/>
                <w:snapToGrid w:val="0"/>
                <w:kern w:val="0"/>
                <w:sz w:val="24"/>
              </w:rPr>
              <w:t>3）动力机械多选择使用电动工具，严格控制燃油机械的使用，场内施工内燃机械（如铲车、挖掘机等）需选用符合相关标准的施工机械，并定期清理。</w:t>
            </w:r>
          </w:p>
          <w:p w14:paraId="1873C449">
            <w:pPr>
              <w:adjustRightInd w:val="0"/>
              <w:snapToGrid w:val="0"/>
              <w:spacing w:line="360" w:lineRule="auto"/>
              <w:ind w:firstLine="480" w:firstLineChars="200"/>
              <w:rPr>
                <w:snapToGrid w:val="0"/>
                <w:kern w:val="0"/>
                <w:sz w:val="24"/>
              </w:rPr>
            </w:pPr>
            <w:r>
              <w:rPr>
                <w:rFonts w:hint="eastAsia"/>
                <w:snapToGrid w:val="0"/>
                <w:kern w:val="0"/>
                <w:sz w:val="24"/>
              </w:rPr>
              <w:t>4）施工机械应使用清洁的燃料能源；同时，禁止使用废气排放超标的车辆，使用非道路移动机械应遵守遂宁市关于高排放禁止区和达标排放的有关规定。</w:t>
            </w:r>
          </w:p>
          <w:p w14:paraId="5CB81DF0">
            <w:pPr>
              <w:adjustRightInd w:val="0"/>
              <w:snapToGrid w:val="0"/>
              <w:spacing w:line="360" w:lineRule="auto"/>
              <w:ind w:firstLine="482" w:firstLineChars="200"/>
              <w:rPr>
                <w:rFonts w:ascii="宋体" w:cs="宋体"/>
                <w:b/>
                <w:kern w:val="0"/>
                <w:sz w:val="24"/>
              </w:rPr>
            </w:pPr>
            <w:r>
              <w:rPr>
                <w:b/>
                <w:snapToGrid w:val="0"/>
                <w:kern w:val="0"/>
                <w:sz w:val="24"/>
              </w:rPr>
              <w:t>（2）施工扬尘防治措施</w:t>
            </w:r>
          </w:p>
          <w:p w14:paraId="0E2E7D04">
            <w:pPr>
              <w:snapToGrid w:val="0"/>
              <w:spacing w:line="360" w:lineRule="auto"/>
              <w:ind w:firstLine="480" w:firstLineChars="200"/>
              <w:rPr>
                <w:sz w:val="24"/>
              </w:rPr>
            </w:pPr>
            <w:r>
              <w:rPr>
                <w:sz w:val="24"/>
              </w:rPr>
              <w:t>为减轻施工期扬尘对大气环境的影响，施工单位必须严格按照《防治城市扬尘污染技术规范》（HJ/T393-2007）、《遂宁市建设施工现场管理条例》</w:t>
            </w:r>
            <w:r>
              <w:rPr>
                <w:rFonts w:hint="eastAsia"/>
                <w:sz w:val="24"/>
              </w:rPr>
              <w:t>、遂宁市环境空气质量限期达标规划》、</w:t>
            </w:r>
            <w:r>
              <w:rPr>
                <w:sz w:val="24"/>
              </w:rPr>
              <w:t>《关于印发四川省建筑工程扬尘污染防治技术导则（试行）的通知》（川建发</w:t>
            </w:r>
            <w:r>
              <w:rPr>
                <w:rFonts w:hint="eastAsia"/>
                <w:sz w:val="24"/>
              </w:rPr>
              <w:t>〔</w:t>
            </w:r>
            <w:r>
              <w:rPr>
                <w:sz w:val="24"/>
              </w:rPr>
              <w:t>201</w:t>
            </w:r>
            <w:r>
              <w:rPr>
                <w:rFonts w:hint="eastAsia"/>
                <w:sz w:val="24"/>
              </w:rPr>
              <w:t>9〕</w:t>
            </w:r>
            <w:r>
              <w:rPr>
                <w:sz w:val="24"/>
              </w:rPr>
              <w:t>16号）等文件要求进行施工，尽量减少扬尘的环境影响，采取以下扬尘防治措施：</w:t>
            </w:r>
          </w:p>
          <w:p w14:paraId="7547BEB5">
            <w:pPr>
              <w:spacing w:line="360" w:lineRule="auto"/>
              <w:ind w:firstLine="482" w:firstLineChars="200"/>
              <w:rPr>
                <w:b/>
                <w:sz w:val="24"/>
              </w:rPr>
            </w:pPr>
            <w:r>
              <w:rPr>
                <w:b/>
                <w:sz w:val="24"/>
              </w:rPr>
              <w:t>1）施工现场围挡</w:t>
            </w:r>
          </w:p>
          <w:p w14:paraId="05335C36">
            <w:pPr>
              <w:spacing w:line="360" w:lineRule="auto"/>
              <w:ind w:firstLine="480" w:firstLineChars="200"/>
              <w:rPr>
                <w:sz w:val="24"/>
              </w:rPr>
            </w:pPr>
            <w:r>
              <w:rPr>
                <w:rFonts w:hint="eastAsia" w:ascii="宋体" w:hAnsi="宋体" w:cs="宋体"/>
                <w:sz w:val="24"/>
              </w:rPr>
              <w:t>①</w:t>
            </w:r>
            <w:r>
              <w:rPr>
                <w:sz w:val="24"/>
              </w:rPr>
              <w:t>施工现场架设2.5~3m高施工围挡且在顶部安装喷淋装置，封闭施工现场，采用密目安全网，以减少结构和装修过程中的粉尘飞扬现象，降低粉尘向大气中的排放，达到作业区目测扬尘不高于施工围挡，不扩散到场区外；各种辅助设施在拆除前，先将脚手板上的垃圾清理干净，清理时应避免扬尘。</w:t>
            </w:r>
          </w:p>
          <w:p w14:paraId="5E1ED881">
            <w:pPr>
              <w:spacing w:line="360" w:lineRule="auto"/>
              <w:ind w:firstLine="480" w:firstLineChars="200"/>
              <w:rPr>
                <w:sz w:val="24"/>
              </w:rPr>
            </w:pPr>
            <w:r>
              <w:rPr>
                <w:rFonts w:hint="eastAsia" w:ascii="宋体" w:hAnsi="宋体" w:cs="宋体"/>
                <w:sz w:val="24"/>
              </w:rPr>
              <w:t>②</w:t>
            </w:r>
            <w:r>
              <w:rPr>
                <w:sz w:val="24"/>
              </w:rPr>
              <w:t>施工单位文明施工，定期对地面洒水，并对撒落在路面的渣土及时清除，清理阶段做到先洒水后清扫，避免产生扬尘。</w:t>
            </w:r>
          </w:p>
          <w:p w14:paraId="046D924F">
            <w:pPr>
              <w:spacing w:line="360" w:lineRule="auto"/>
              <w:ind w:firstLine="482" w:firstLineChars="200"/>
              <w:rPr>
                <w:b/>
                <w:sz w:val="24"/>
              </w:rPr>
            </w:pPr>
            <w:r>
              <w:rPr>
                <w:b/>
                <w:sz w:val="24"/>
              </w:rPr>
              <w:t>2）临时施工围挡设施</w:t>
            </w:r>
          </w:p>
          <w:p w14:paraId="6C463A84">
            <w:pPr>
              <w:spacing w:line="360" w:lineRule="auto"/>
              <w:ind w:firstLine="480" w:firstLineChars="200"/>
              <w:rPr>
                <w:sz w:val="24"/>
              </w:rPr>
            </w:pPr>
            <w:r>
              <w:rPr>
                <w:sz w:val="24"/>
              </w:rPr>
              <w:t>施工材料临时堆场要设置高于堆场的围挡、防风网、挡风屏，土石方集中堆放，严禁露天堆放等；进出场车辆进行车轮冲洗。临时堆场四周设置导排沟，汇集处修建沉淀池。</w:t>
            </w:r>
          </w:p>
          <w:p w14:paraId="69D6054D">
            <w:pPr>
              <w:spacing w:line="360" w:lineRule="auto"/>
              <w:ind w:firstLine="482" w:firstLineChars="200"/>
              <w:rPr>
                <w:b/>
                <w:sz w:val="24"/>
              </w:rPr>
            </w:pPr>
            <w:r>
              <w:rPr>
                <w:b/>
                <w:sz w:val="24"/>
              </w:rPr>
              <w:t>3）车辆冲洗措施</w:t>
            </w:r>
          </w:p>
          <w:p w14:paraId="777F0636">
            <w:pPr>
              <w:spacing w:line="360" w:lineRule="auto"/>
              <w:ind w:firstLine="480" w:firstLineChars="200"/>
              <w:rPr>
                <w:sz w:val="24"/>
              </w:rPr>
            </w:pPr>
            <w:r>
              <w:rPr>
                <w:rFonts w:hint="eastAsia" w:ascii="宋体" w:hAnsi="宋体" w:cs="宋体"/>
                <w:sz w:val="24"/>
              </w:rPr>
              <w:t>①</w:t>
            </w:r>
            <w:r>
              <w:rPr>
                <w:sz w:val="24"/>
              </w:rPr>
              <w:t>施工车辆进出施工场地必须实施限速行驶；在施工场地出口放置防尘垫、运输车辆冲洗设施及配套排水沟、沉淀池，运输车辆出入现场时应进行车辆冲洗。</w:t>
            </w:r>
          </w:p>
          <w:p w14:paraId="17B9BEEC">
            <w:pPr>
              <w:spacing w:line="360" w:lineRule="auto"/>
              <w:ind w:firstLine="480" w:firstLineChars="200"/>
              <w:rPr>
                <w:sz w:val="24"/>
              </w:rPr>
            </w:pPr>
            <w:r>
              <w:rPr>
                <w:rFonts w:hint="eastAsia" w:ascii="宋体" w:hAnsi="宋体" w:cs="宋体"/>
                <w:sz w:val="24"/>
              </w:rPr>
              <w:t>②</w:t>
            </w:r>
            <w:r>
              <w:rPr>
                <w:sz w:val="24"/>
              </w:rPr>
              <w:t>运输车辆采取密闭运输（防尘布覆盖），装填时需进行压实，装填高度严禁超过车斗防护栏；车辆卸货时禁止直接倾倒、抛撒；施工期材料尽可能适量、适时采购，运至施工场地后，应尽快使用，禁止在施工场地长时间堆放。</w:t>
            </w:r>
          </w:p>
          <w:p w14:paraId="4D3C168E">
            <w:pPr>
              <w:spacing w:line="360" w:lineRule="auto"/>
              <w:ind w:firstLine="480" w:firstLineChars="200"/>
              <w:rPr>
                <w:sz w:val="24"/>
              </w:rPr>
            </w:pPr>
            <w:r>
              <w:rPr>
                <w:rFonts w:hint="eastAsia" w:ascii="宋体" w:hAnsi="宋体" w:cs="宋体"/>
                <w:sz w:val="24"/>
              </w:rPr>
              <w:t>③</w:t>
            </w:r>
            <w:r>
              <w:rPr>
                <w:sz w:val="24"/>
              </w:rPr>
              <w:t>施工现场车辆出入口应设置车辆冲洗设施，包括冲洗平台、冲洗设备、挡水带、排水沟（沟宽×深</w:t>
            </w:r>
            <w:r>
              <w:rPr>
                <w:rFonts w:asciiTheme="minorEastAsia" w:hAnsiTheme="minorEastAsia" w:eastAsiaTheme="minorEastAsia"/>
                <w:sz w:val="24"/>
              </w:rPr>
              <w:t>≥</w:t>
            </w:r>
            <w:r>
              <w:rPr>
                <w:sz w:val="24"/>
              </w:rPr>
              <w:t>300×300mm，排水坡度应大于3%）、沉淀池，冲洗设施宜采用冲洗平台及设立循环用水装置。</w:t>
            </w:r>
          </w:p>
          <w:p w14:paraId="20E67B61">
            <w:pPr>
              <w:spacing w:line="360" w:lineRule="auto"/>
              <w:ind w:firstLine="480" w:firstLineChars="200"/>
              <w:rPr>
                <w:sz w:val="24"/>
              </w:rPr>
            </w:pPr>
            <w:r>
              <w:rPr>
                <w:rFonts w:hint="eastAsia" w:ascii="宋体" w:hAnsi="宋体" w:cs="宋体"/>
                <w:sz w:val="24"/>
              </w:rPr>
              <w:t>④</w:t>
            </w:r>
            <w:r>
              <w:rPr>
                <w:sz w:val="24"/>
              </w:rPr>
              <w:t>因受场地等条件因素影响，不具备设置自动冲洗设施的工地出入口，应配备高压水枪的人工冲洗设施，冲洗设备额定压力不小于15Mpa，出水量应不低于0.25L/S。</w:t>
            </w:r>
          </w:p>
          <w:p w14:paraId="58ABA7E3">
            <w:pPr>
              <w:spacing w:line="360" w:lineRule="auto"/>
              <w:ind w:firstLine="480" w:firstLineChars="200"/>
              <w:rPr>
                <w:sz w:val="24"/>
              </w:rPr>
            </w:pPr>
            <w:r>
              <w:rPr>
                <w:rFonts w:hint="eastAsia" w:ascii="宋体" w:hAnsi="宋体" w:cs="宋体"/>
                <w:sz w:val="24"/>
              </w:rPr>
              <w:t>⑤</w:t>
            </w:r>
            <w:r>
              <w:rPr>
                <w:sz w:val="24"/>
              </w:rPr>
              <w:t>出场车辆应冲洗干净，车身外部、车轮、底盘处目视不得粘有污物和泥土，严禁带泥出场。车辆冲洗应注意安全，设专人负责对出场车辆清洗和登记，定期清理排水沟、沉淀池，确保场区无积水，防止污水外溢污染道路。</w:t>
            </w:r>
          </w:p>
          <w:p w14:paraId="3AA4ECAB">
            <w:pPr>
              <w:spacing w:line="360" w:lineRule="auto"/>
              <w:ind w:firstLine="480" w:firstLineChars="200"/>
              <w:rPr>
                <w:sz w:val="24"/>
              </w:rPr>
            </w:pPr>
            <w:r>
              <w:rPr>
                <w:sz w:val="24"/>
              </w:rPr>
              <w:t>冲洗设施应从工程开工之日起设置，并保留至工程竣工，对损坏的设备要及时进行维修，保证正常使用。</w:t>
            </w:r>
          </w:p>
          <w:p w14:paraId="3FA46B27">
            <w:pPr>
              <w:spacing w:line="360" w:lineRule="auto"/>
              <w:ind w:firstLine="482" w:firstLineChars="200"/>
              <w:rPr>
                <w:b/>
                <w:sz w:val="24"/>
              </w:rPr>
            </w:pPr>
            <w:r>
              <w:rPr>
                <w:b/>
                <w:sz w:val="24"/>
              </w:rPr>
              <w:t>4）湿法作业：</w:t>
            </w:r>
          </w:p>
          <w:p w14:paraId="14268EA7">
            <w:pPr>
              <w:spacing w:line="360" w:lineRule="auto"/>
              <w:ind w:firstLine="480" w:firstLineChars="200"/>
              <w:rPr>
                <w:sz w:val="24"/>
              </w:rPr>
            </w:pPr>
            <w:r>
              <w:rPr>
                <w:rFonts w:hint="eastAsia" w:ascii="宋体" w:hAnsi="宋体" w:cs="宋体"/>
                <w:sz w:val="24"/>
              </w:rPr>
              <w:t>①</w:t>
            </w:r>
            <w:r>
              <w:rPr>
                <w:sz w:val="24"/>
              </w:rPr>
              <w:t>施工现场进行易产生扬尘的施工作业活动时，应采取喷淋、喷雾等湿法降尘措施，达到作业区目测扬尘高度小于1.5m，不扩散到场区外；非作业区达到目测无扬尘的要求；</w:t>
            </w:r>
          </w:p>
          <w:p w14:paraId="0EF4EE60">
            <w:pPr>
              <w:spacing w:line="360" w:lineRule="auto"/>
              <w:ind w:firstLine="480" w:firstLineChars="200"/>
              <w:rPr>
                <w:sz w:val="24"/>
              </w:rPr>
            </w:pPr>
            <w:r>
              <w:rPr>
                <w:rFonts w:hint="eastAsia" w:ascii="宋体" w:hAnsi="宋体" w:cs="宋体"/>
                <w:sz w:val="24"/>
              </w:rPr>
              <w:t>②</w:t>
            </w:r>
            <w:r>
              <w:rPr>
                <w:sz w:val="24"/>
              </w:rPr>
              <w:t>施工现场进行清理、拆除、切割、开挖等作业时，应在密闭空间进行或采取洒水喷淋等湿法作业法进行施工，防止微尘、碎屑、纤维飘散。</w:t>
            </w:r>
          </w:p>
          <w:p w14:paraId="7A3A40A5">
            <w:pPr>
              <w:spacing w:line="360" w:lineRule="auto"/>
              <w:ind w:firstLine="482" w:firstLineChars="200"/>
              <w:rPr>
                <w:b/>
                <w:sz w:val="24"/>
              </w:rPr>
            </w:pPr>
            <w:r>
              <w:rPr>
                <w:b/>
                <w:sz w:val="24"/>
              </w:rPr>
              <w:t>5）覆盖绿化：</w:t>
            </w:r>
          </w:p>
          <w:p w14:paraId="568651F9">
            <w:pPr>
              <w:spacing w:line="360" w:lineRule="auto"/>
              <w:ind w:firstLine="480" w:firstLineChars="200"/>
              <w:rPr>
                <w:sz w:val="24"/>
              </w:rPr>
            </w:pPr>
            <w:r>
              <w:rPr>
                <w:rFonts w:hint="eastAsia" w:ascii="宋体" w:hAnsi="宋体" w:cs="宋体"/>
                <w:sz w:val="24"/>
              </w:rPr>
              <w:t>①</w:t>
            </w:r>
            <w:r>
              <w:rPr>
                <w:sz w:val="24"/>
              </w:rPr>
              <w:t>施工现场裸土及其他易起尘物料应使用防尘网进行覆盖或种植适宜的植物进行绿化，覆盖要封闭严密、连接牢固，绿化要及时、合理。</w:t>
            </w:r>
          </w:p>
          <w:p w14:paraId="07553033">
            <w:pPr>
              <w:spacing w:line="360" w:lineRule="auto"/>
              <w:ind w:firstLine="480" w:firstLineChars="200"/>
              <w:rPr>
                <w:sz w:val="24"/>
              </w:rPr>
            </w:pPr>
            <w:r>
              <w:rPr>
                <w:rFonts w:hint="eastAsia" w:ascii="宋体" w:hAnsi="宋体" w:cs="宋体"/>
                <w:sz w:val="24"/>
              </w:rPr>
              <w:t>②</w:t>
            </w:r>
            <w:r>
              <w:rPr>
                <w:sz w:val="24"/>
              </w:rPr>
              <w:t>施工现场内堆放超过8小时不扰动的裸土应进行覆盖。暂不能开工建设的建设用地，建设单位应对裸露地面进行覆盖，超过3个月不能开工建设的，应进行绿化、铺装或遮盖。</w:t>
            </w:r>
          </w:p>
          <w:p w14:paraId="0FC9C45F">
            <w:pPr>
              <w:spacing w:line="360" w:lineRule="auto"/>
              <w:ind w:firstLine="482" w:firstLineChars="200"/>
              <w:rPr>
                <w:b/>
                <w:sz w:val="24"/>
              </w:rPr>
            </w:pPr>
            <w:r>
              <w:rPr>
                <w:rFonts w:hint="eastAsia"/>
                <w:b/>
                <w:sz w:val="24"/>
              </w:rPr>
              <w:t>6）渣土处置及运输过程的相关环保管理要求</w:t>
            </w:r>
          </w:p>
          <w:p w14:paraId="7D7B919E">
            <w:pPr>
              <w:spacing w:line="360" w:lineRule="auto"/>
              <w:ind w:firstLine="480" w:firstLineChars="200"/>
              <w:rPr>
                <w:sz w:val="24"/>
              </w:rPr>
            </w:pPr>
            <w:r>
              <w:rPr>
                <w:rFonts w:hint="eastAsia"/>
                <w:sz w:val="24"/>
              </w:rPr>
              <w:t>①施工单位应当建立工程渣土（建筑垃圾）运输扬尘污染防治管理制度和相关措施，使用合规车辆，加强对渣土运输车辆、人员管理；</w:t>
            </w:r>
          </w:p>
          <w:p w14:paraId="76E0E815">
            <w:pPr>
              <w:spacing w:line="360" w:lineRule="auto"/>
              <w:ind w:firstLine="480" w:firstLineChars="200"/>
              <w:rPr>
                <w:sz w:val="24"/>
              </w:rPr>
            </w:pPr>
            <w:r>
              <w:rPr>
                <w:rFonts w:hint="eastAsia"/>
                <w:sz w:val="24"/>
              </w:rPr>
              <w:t>②施工现场渣土运输车辆必须采取覆盖措施，宜采用密闭式运输车辆，装载不得冒出车辆栏板，防止道路遗撒。</w:t>
            </w:r>
          </w:p>
          <w:p w14:paraId="5852CF39">
            <w:pPr>
              <w:spacing w:line="360" w:lineRule="auto"/>
              <w:ind w:firstLine="480" w:firstLineChars="200"/>
              <w:rPr>
                <w:sz w:val="24"/>
              </w:rPr>
            </w:pPr>
            <w:r>
              <w:rPr>
                <w:rFonts w:hint="eastAsia"/>
                <w:sz w:val="24"/>
              </w:rPr>
              <w:t>③建渣及渣土运输单位应安排专人对其运输车辆及运输沿线进行巡视，确保车辆按核准的线路、时间行驶，并运送到核准的处置地点，不得随意变更、随处倾倒。</w:t>
            </w:r>
          </w:p>
          <w:p w14:paraId="2474DD00">
            <w:pPr>
              <w:spacing w:line="360" w:lineRule="auto"/>
              <w:ind w:firstLine="480" w:firstLineChars="200"/>
              <w:rPr>
                <w:sz w:val="24"/>
              </w:rPr>
            </w:pPr>
            <w:r>
              <w:rPr>
                <w:rFonts w:hint="eastAsia"/>
                <w:sz w:val="24"/>
              </w:rPr>
              <w:t>④施工道路作为社会道路通行机动车的，施工单位应每天派专人进行清扫，随时洒水降尘，清理阶段做到先洒水后清扫，避免产生扬尘对周边成影响。</w:t>
            </w:r>
          </w:p>
          <w:p w14:paraId="477E3241">
            <w:pPr>
              <w:spacing w:line="360" w:lineRule="auto"/>
              <w:ind w:firstLine="480" w:firstLineChars="200"/>
              <w:rPr>
                <w:sz w:val="24"/>
              </w:rPr>
            </w:pPr>
            <w:r>
              <w:rPr>
                <w:rFonts w:hint="eastAsia"/>
                <w:sz w:val="24"/>
              </w:rPr>
              <w:t>⑤施工现场应建立和完善出入口保洁和管理制度，专人负责清洗和登记、监督管理工作，确保出场车辆符合要求，不污染城市道路。</w:t>
            </w:r>
          </w:p>
          <w:p w14:paraId="03B6F3B2">
            <w:pPr>
              <w:spacing w:line="360" w:lineRule="auto"/>
              <w:ind w:firstLine="482" w:firstLineChars="200"/>
              <w:rPr>
                <w:b/>
                <w:sz w:val="24"/>
              </w:rPr>
            </w:pPr>
            <w:r>
              <w:rPr>
                <w:rFonts w:hint="eastAsia"/>
                <w:b/>
                <w:sz w:val="24"/>
              </w:rPr>
              <w:t>7）其他治理措施</w:t>
            </w:r>
          </w:p>
          <w:p w14:paraId="0E9026F0">
            <w:pPr>
              <w:spacing w:line="360" w:lineRule="auto"/>
              <w:ind w:firstLine="480" w:firstLineChars="200"/>
              <w:rPr>
                <w:sz w:val="24"/>
              </w:rPr>
            </w:pPr>
            <w:r>
              <w:rPr>
                <w:rFonts w:hint="eastAsia"/>
                <w:sz w:val="24"/>
              </w:rPr>
              <w:t>①</w:t>
            </w:r>
            <w:r>
              <w:rPr>
                <w:sz w:val="24"/>
              </w:rPr>
              <w:t>进行机械剔凿或切割作业时，作业面局部应遮挡、掩盖或采取水淋等降尘措施。</w:t>
            </w:r>
          </w:p>
          <w:p w14:paraId="0E35D793">
            <w:pPr>
              <w:spacing w:line="360" w:lineRule="auto"/>
              <w:ind w:firstLine="480" w:firstLineChars="200"/>
              <w:rPr>
                <w:sz w:val="24"/>
              </w:rPr>
            </w:pPr>
            <w:r>
              <w:rPr>
                <w:rFonts w:hint="eastAsia"/>
                <w:sz w:val="24"/>
              </w:rPr>
              <w:t>②</w:t>
            </w:r>
            <w:r>
              <w:rPr>
                <w:sz w:val="24"/>
              </w:rPr>
              <w:t>禁止在大风天进行渣土堆放作业，建材堆放地点要相对集中，建筑垃圾应及时清运，对易产生扬尘的堆放材料应采取覆盖措施，禁止露天堆放；对粉末状材料应封闭存放；可能引起扬尘的材料及建筑垃圾搬运应有降尘措施。裸露的场地和集中堆放的土方应采取覆盖、固化或绿化等措施。</w:t>
            </w:r>
          </w:p>
          <w:p w14:paraId="17DCA65F">
            <w:pPr>
              <w:spacing w:line="360" w:lineRule="auto"/>
              <w:ind w:firstLine="480" w:firstLineChars="200"/>
              <w:rPr>
                <w:sz w:val="24"/>
              </w:rPr>
            </w:pPr>
            <w:r>
              <w:rPr>
                <w:rFonts w:hint="eastAsia" w:ascii="宋体" w:hAnsi="宋体" w:cs="宋体"/>
                <w:sz w:val="24"/>
              </w:rPr>
              <w:t>③</w:t>
            </w:r>
            <w:r>
              <w:rPr>
                <w:rFonts w:hint="eastAsia"/>
                <w:sz w:val="24"/>
              </w:rPr>
              <w:t>遇有四级以上大风天气</w:t>
            </w:r>
            <w:r>
              <w:rPr>
                <w:sz w:val="24"/>
              </w:rPr>
              <w:t>，禁止进行开挖、沥青铺设、材料运输等作业。尽量避免冬季、春季进行大规模土方作业，做</w:t>
            </w:r>
            <w:r>
              <w:rPr>
                <w:rFonts w:asciiTheme="minorEastAsia" w:hAnsiTheme="minorEastAsia" w:eastAsiaTheme="minorEastAsia"/>
                <w:sz w:val="24"/>
              </w:rPr>
              <w:t>到“慎开工，早完工”</w:t>
            </w:r>
            <w:r>
              <w:rPr>
                <w:sz w:val="24"/>
              </w:rPr>
              <w:t>；遇重污染天气，建设单位和施工单位应按照《遂宁市重污染天气应急预案（202</w:t>
            </w:r>
            <w:r>
              <w:rPr>
                <w:rFonts w:hint="eastAsia"/>
                <w:sz w:val="24"/>
              </w:rPr>
              <w:t>2</w:t>
            </w:r>
            <w:r>
              <w:rPr>
                <w:sz w:val="24"/>
              </w:rPr>
              <w:t>修订）》落实各级预警下施工现场应当采取的应急措施</w:t>
            </w:r>
          </w:p>
          <w:p w14:paraId="5BD178A8">
            <w:pPr>
              <w:spacing w:line="360" w:lineRule="auto"/>
              <w:ind w:firstLine="480" w:firstLineChars="200"/>
              <w:rPr>
                <w:rFonts w:ascii="宋体" w:cs="宋体"/>
                <w:kern w:val="0"/>
                <w:sz w:val="24"/>
              </w:rPr>
            </w:pPr>
            <w:r>
              <w:rPr>
                <w:rFonts w:hint="eastAsia" w:ascii="宋体" w:cs="宋体"/>
                <w:kern w:val="0"/>
                <w:sz w:val="24"/>
              </w:rPr>
              <w:t>④路面、桥面开挖、桥体下部结构拆除时需采取湿法作业，采取雾炮机喷淋、施工围挡喷淋等措施降低破除作业产生的粉尘对周边外环境的影响。</w:t>
            </w:r>
          </w:p>
          <w:p w14:paraId="57AAAD68">
            <w:pPr>
              <w:spacing w:line="360" w:lineRule="auto"/>
              <w:ind w:firstLine="480" w:firstLineChars="200"/>
              <w:rPr>
                <w:sz w:val="24"/>
              </w:rPr>
            </w:pPr>
            <w:r>
              <w:rPr>
                <w:rFonts w:hint="eastAsia"/>
                <w:sz w:val="24"/>
              </w:rPr>
              <w:t>⑤</w:t>
            </w:r>
            <w:r>
              <w:rPr>
                <w:sz w:val="24"/>
              </w:rPr>
              <w:t>施工单位必需加强施工场地扬尘的控制，全面督查建筑工地现场管理</w:t>
            </w:r>
            <w:r>
              <w:rPr>
                <w:rFonts w:hint="eastAsia" w:asciiTheme="minorEastAsia" w:hAnsiTheme="minorEastAsia" w:eastAsiaTheme="minorEastAsia"/>
                <w:b/>
                <w:sz w:val="24"/>
              </w:rPr>
              <w:t>“</w:t>
            </w:r>
            <w:r>
              <w:rPr>
                <w:rFonts w:asciiTheme="minorEastAsia" w:hAnsiTheme="minorEastAsia" w:eastAsiaTheme="minorEastAsia"/>
                <w:b/>
                <w:sz w:val="24"/>
              </w:rPr>
              <w:t>六个百分百”</w:t>
            </w:r>
            <w:r>
              <w:rPr>
                <w:rFonts w:asciiTheme="minorEastAsia" w:hAnsiTheme="minorEastAsia" w:eastAsiaTheme="minorEastAsia"/>
                <w:sz w:val="24"/>
              </w:rPr>
              <w:t>的</w:t>
            </w:r>
            <w:r>
              <w:rPr>
                <w:sz w:val="24"/>
              </w:rPr>
              <w:t>执行情况，即：</w:t>
            </w:r>
            <w:r>
              <w:rPr>
                <w:rFonts w:hint="eastAsia"/>
                <w:sz w:val="24"/>
              </w:rPr>
              <w:t>施工现场</w:t>
            </w:r>
            <w:r>
              <w:rPr>
                <w:sz w:val="24"/>
              </w:rPr>
              <w:t>100%</w:t>
            </w:r>
            <w:r>
              <w:rPr>
                <w:rFonts w:hint="eastAsia"/>
                <w:sz w:val="24"/>
              </w:rPr>
              <w:t>密闭围挡、工地裸露沙土</w:t>
            </w:r>
            <w:r>
              <w:rPr>
                <w:sz w:val="24"/>
              </w:rPr>
              <w:t>100%</w:t>
            </w:r>
            <w:r>
              <w:rPr>
                <w:rFonts w:hint="eastAsia"/>
                <w:sz w:val="24"/>
              </w:rPr>
              <w:t>苫盖、工地主要道路</w:t>
            </w:r>
            <w:r>
              <w:rPr>
                <w:sz w:val="24"/>
              </w:rPr>
              <w:t>100%</w:t>
            </w:r>
            <w:r>
              <w:rPr>
                <w:rFonts w:hint="eastAsia"/>
                <w:sz w:val="24"/>
              </w:rPr>
              <w:t>硬化、运输车辆</w:t>
            </w:r>
            <w:r>
              <w:rPr>
                <w:sz w:val="24"/>
              </w:rPr>
              <w:t>100%</w:t>
            </w:r>
            <w:r>
              <w:rPr>
                <w:rFonts w:hint="eastAsia"/>
                <w:sz w:val="24"/>
              </w:rPr>
              <w:t>冲洗、土石方</w:t>
            </w:r>
            <w:r>
              <w:rPr>
                <w:sz w:val="24"/>
              </w:rPr>
              <w:t>100%</w:t>
            </w:r>
            <w:r>
              <w:rPr>
                <w:rFonts w:hint="eastAsia"/>
                <w:sz w:val="24"/>
              </w:rPr>
              <w:t>湿法作业、运输车辆</w:t>
            </w:r>
            <w:r>
              <w:rPr>
                <w:sz w:val="24"/>
              </w:rPr>
              <w:t>100%</w:t>
            </w:r>
            <w:r>
              <w:rPr>
                <w:rFonts w:hint="eastAsia"/>
                <w:sz w:val="24"/>
              </w:rPr>
              <w:t>密闭运输。</w:t>
            </w:r>
          </w:p>
          <w:p w14:paraId="2D1EA0FB">
            <w:pPr>
              <w:adjustRightInd w:val="0"/>
              <w:snapToGrid w:val="0"/>
              <w:spacing w:line="360" w:lineRule="auto"/>
              <w:ind w:firstLine="480" w:firstLineChars="200"/>
              <w:rPr>
                <w:sz w:val="24"/>
              </w:rPr>
            </w:pPr>
            <w:r>
              <w:rPr>
                <w:sz w:val="24"/>
              </w:rPr>
              <w:t>另外，施工单位还应根据</w:t>
            </w:r>
            <w:r>
              <w:rPr>
                <w:rFonts w:hint="eastAsia"/>
                <w:sz w:val="24"/>
              </w:rPr>
              <w:t>《遂宁市重污染天气应急预案（2024修订）》中的有关要求，本项目辖区内出现或可能出现重污染天气的应对（臭氧为首要污染物引发的重污染天气除外），具体要求如下：</w:t>
            </w:r>
          </w:p>
          <w:p w14:paraId="42636955">
            <w:pPr>
              <w:adjustRightInd w:val="0"/>
              <w:snapToGrid w:val="0"/>
              <w:spacing w:line="360" w:lineRule="auto"/>
              <w:ind w:firstLine="480" w:firstLineChars="200"/>
              <w:rPr>
                <w:sz w:val="24"/>
              </w:rPr>
            </w:pPr>
            <w:r>
              <w:rPr>
                <w:rFonts w:hint="eastAsia"/>
                <w:sz w:val="24"/>
              </w:rPr>
              <w:t>预警分级：重污染天气预警统一划分为三个等级，由低到高依次为黄色预警、橙色预警、红色预警。</w:t>
            </w:r>
          </w:p>
          <w:p w14:paraId="641359CA">
            <w:pPr>
              <w:adjustRightInd w:val="0"/>
              <w:snapToGrid w:val="0"/>
              <w:spacing w:line="360" w:lineRule="auto"/>
              <w:ind w:firstLine="480" w:firstLineChars="200"/>
              <w:rPr>
                <w:sz w:val="24"/>
              </w:rPr>
            </w:pPr>
            <w:r>
              <w:rPr>
                <w:rFonts w:hint="eastAsia" w:ascii="宋体" w:hAnsi="宋体"/>
                <w:sz w:val="24"/>
              </w:rPr>
              <w:t>※</w:t>
            </w:r>
            <w:r>
              <w:rPr>
                <w:rFonts w:hint="eastAsia"/>
                <w:sz w:val="24"/>
              </w:rPr>
              <w:t>黄色预警：预测AQI日均值＞200（或PM</w:t>
            </w:r>
            <w:r>
              <w:rPr>
                <w:rFonts w:hint="eastAsia"/>
                <w:sz w:val="24"/>
                <w:vertAlign w:val="subscript"/>
              </w:rPr>
              <w:t>2.5</w:t>
            </w:r>
            <w:r>
              <w:rPr>
                <w:rFonts w:hint="eastAsia"/>
                <w:sz w:val="24"/>
              </w:rPr>
              <w:t>浓度＞115 微克每立方米）持续2天（48小时）及以上，且未达到高级别预警条件。</w:t>
            </w:r>
          </w:p>
          <w:p w14:paraId="77D0A03B">
            <w:pPr>
              <w:adjustRightInd w:val="0"/>
              <w:snapToGrid w:val="0"/>
              <w:spacing w:line="360" w:lineRule="auto"/>
              <w:ind w:firstLine="480" w:firstLineChars="200"/>
              <w:rPr>
                <w:sz w:val="24"/>
              </w:rPr>
            </w:pPr>
            <w:r>
              <w:rPr>
                <w:rFonts w:hint="eastAsia" w:ascii="宋体" w:hAnsi="宋体"/>
                <w:sz w:val="24"/>
              </w:rPr>
              <w:t>※</w:t>
            </w:r>
            <w:r>
              <w:rPr>
                <w:rFonts w:hint="eastAsia"/>
                <w:sz w:val="24"/>
              </w:rPr>
              <w:t>橙色预警：预测AQI日均值＞200 持续3天（72小时）及以上，或预测PM</w:t>
            </w:r>
            <w:r>
              <w:rPr>
                <w:rFonts w:hint="eastAsia"/>
                <w:sz w:val="24"/>
                <w:vertAlign w:val="subscript"/>
              </w:rPr>
              <w:t>2.5</w:t>
            </w:r>
            <w:r>
              <w:rPr>
                <w:rFonts w:hint="eastAsia"/>
                <w:sz w:val="24"/>
              </w:rPr>
              <w:t>浓度＞115 微克每立方米持续3天（72小时）及以上且PM</w:t>
            </w:r>
            <w:r>
              <w:rPr>
                <w:rFonts w:hint="eastAsia"/>
                <w:sz w:val="24"/>
                <w:vertAlign w:val="subscript"/>
              </w:rPr>
              <w:t>2.5</w:t>
            </w:r>
            <w:r>
              <w:rPr>
                <w:rFonts w:hint="eastAsia"/>
                <w:sz w:val="24"/>
              </w:rPr>
              <w:t>浓度＞150微克每立方米持续1天（24小时）及以上，且未达到高级别预警条件。</w:t>
            </w:r>
          </w:p>
          <w:p w14:paraId="3E8F125D">
            <w:pPr>
              <w:adjustRightInd w:val="0"/>
              <w:snapToGrid w:val="0"/>
              <w:spacing w:line="360" w:lineRule="auto"/>
              <w:ind w:firstLine="480" w:firstLineChars="200"/>
              <w:rPr>
                <w:sz w:val="24"/>
              </w:rPr>
            </w:pPr>
            <w:r>
              <w:rPr>
                <w:rFonts w:hint="eastAsia" w:ascii="宋体" w:hAnsi="宋体"/>
                <w:sz w:val="24"/>
              </w:rPr>
              <w:t>※</w:t>
            </w:r>
            <w:r>
              <w:rPr>
                <w:rFonts w:hint="eastAsia"/>
                <w:sz w:val="24"/>
              </w:rPr>
              <w:t>红色预警：预测AQI日均值＞200持续4天（96小时）及以上，且预测AQI日均值＞300持续2天（48小时）及以上；或预测AQI日均值达到500。</w:t>
            </w:r>
          </w:p>
          <w:p w14:paraId="2DC8C3C6">
            <w:pPr>
              <w:adjustRightInd w:val="0"/>
              <w:snapToGrid w:val="0"/>
              <w:spacing w:line="360" w:lineRule="auto"/>
              <w:ind w:firstLine="482" w:firstLineChars="200"/>
              <w:rPr>
                <w:b/>
                <w:sz w:val="24"/>
              </w:rPr>
            </w:pPr>
            <w:r>
              <w:rPr>
                <w:rFonts w:hint="eastAsia" w:ascii="宋体" w:hAnsi="宋体"/>
                <w:b/>
                <w:sz w:val="24"/>
              </w:rPr>
              <w:t>※</w:t>
            </w:r>
            <w:r>
              <w:rPr>
                <w:rFonts w:hint="eastAsia"/>
                <w:b/>
                <w:sz w:val="24"/>
              </w:rPr>
              <w:t>应急响应措施：</w:t>
            </w:r>
          </w:p>
          <w:p w14:paraId="6E8B9B61">
            <w:pPr>
              <w:adjustRightInd w:val="0"/>
              <w:snapToGrid w:val="0"/>
              <w:spacing w:line="360" w:lineRule="auto"/>
              <w:ind w:firstLine="480" w:firstLineChars="200"/>
              <w:rPr>
                <w:sz w:val="24"/>
              </w:rPr>
            </w:pPr>
            <w:r>
              <w:rPr>
                <w:rFonts w:hint="eastAsia"/>
                <w:sz w:val="24"/>
              </w:rPr>
              <w:t>根据空气重污染预警级别，采取相应的健康防护引导、倡议性和强制性减排措施。</w:t>
            </w:r>
          </w:p>
          <w:p w14:paraId="2DF4A649">
            <w:pPr>
              <w:adjustRightInd w:val="0"/>
              <w:snapToGrid w:val="0"/>
              <w:spacing w:line="360" w:lineRule="auto"/>
              <w:ind w:firstLine="480" w:firstLineChars="200"/>
              <w:rPr>
                <w:sz w:val="24"/>
              </w:rPr>
            </w:pPr>
            <w:r>
              <w:rPr>
                <w:rFonts w:hint="eastAsia"/>
                <w:sz w:val="24"/>
              </w:rPr>
              <w:t>★★★三级响应（黄色预警）与本项目相关的污染减排措施要求</w:t>
            </w:r>
          </w:p>
          <w:p w14:paraId="5FC3E35E">
            <w:pPr>
              <w:adjustRightInd w:val="0"/>
              <w:snapToGrid w:val="0"/>
              <w:spacing w:line="360" w:lineRule="auto"/>
              <w:ind w:firstLine="482" w:firstLineChars="200"/>
              <w:rPr>
                <w:b/>
                <w:sz w:val="24"/>
                <w:bdr w:val="single" w:color="auto" w:sz="4" w:space="0"/>
              </w:rPr>
            </w:pPr>
            <w:r>
              <w:rPr>
                <w:rFonts w:hint="eastAsia"/>
                <w:b/>
                <w:sz w:val="24"/>
                <w:bdr w:val="single" w:color="auto" w:sz="4" w:space="0"/>
              </w:rPr>
              <w:t>★倡议性污染减排措施</w:t>
            </w:r>
          </w:p>
          <w:p w14:paraId="298F761F">
            <w:pPr>
              <w:adjustRightInd w:val="0"/>
              <w:snapToGrid w:val="0"/>
              <w:spacing w:line="360" w:lineRule="auto"/>
              <w:ind w:firstLine="480" w:firstLineChars="200"/>
              <w:rPr>
                <w:sz w:val="24"/>
              </w:rPr>
            </w:pPr>
            <w:r>
              <w:rPr>
                <w:rFonts w:hint="eastAsia"/>
                <w:sz w:val="24"/>
              </w:rPr>
              <w:t>①加大施工工地、裸露堆土、物料堆放等的扬尘控制力度。</w:t>
            </w:r>
          </w:p>
          <w:p w14:paraId="5064C8B9">
            <w:pPr>
              <w:adjustRightInd w:val="0"/>
              <w:snapToGrid w:val="0"/>
              <w:spacing w:line="360" w:lineRule="auto"/>
              <w:ind w:firstLine="480" w:firstLineChars="200"/>
              <w:rPr>
                <w:sz w:val="24"/>
              </w:rPr>
            </w:pPr>
            <w:r>
              <w:rPr>
                <w:rFonts w:hint="eastAsia"/>
                <w:sz w:val="24"/>
              </w:rPr>
              <w:t>②减少涂料、油漆、溶剂等含挥发性有机物的原材料及产品使用。</w:t>
            </w:r>
          </w:p>
          <w:p w14:paraId="15C9824A">
            <w:pPr>
              <w:adjustRightInd w:val="0"/>
              <w:snapToGrid w:val="0"/>
              <w:spacing w:line="360" w:lineRule="auto"/>
              <w:ind w:firstLine="482" w:firstLineChars="200"/>
              <w:rPr>
                <w:b/>
                <w:sz w:val="24"/>
                <w:bdr w:val="single" w:color="auto" w:sz="4" w:space="0"/>
              </w:rPr>
            </w:pPr>
            <w:r>
              <w:rPr>
                <w:rFonts w:hint="eastAsia"/>
                <w:b/>
                <w:sz w:val="24"/>
                <w:bdr w:val="single" w:color="auto" w:sz="4" w:space="0"/>
              </w:rPr>
              <w:t>★具体强制性减排措施</w:t>
            </w:r>
          </w:p>
          <w:p w14:paraId="764B006B">
            <w:pPr>
              <w:adjustRightInd w:val="0"/>
              <w:snapToGrid w:val="0"/>
              <w:spacing w:line="360" w:lineRule="auto"/>
              <w:ind w:firstLine="480" w:firstLineChars="200"/>
              <w:rPr>
                <w:sz w:val="24"/>
              </w:rPr>
            </w:pPr>
            <w:r>
              <w:rPr>
                <w:rFonts w:hint="eastAsia"/>
                <w:sz w:val="24"/>
              </w:rPr>
              <w:t>①重点管理区、一般管理区的城市化管理区域：全天禁止易产生扬尘、烟（粉）尘的建材露天敞开堆放和加工；全天禁止露天焊接；全天停止房屋修缮、建筑工地喷涂粉刷等排放挥发性有机物的施工作业，全天停止市政设施和道桥防腐维护作业、大型商业建筑装修、外立面改造、防水作业、道路沥青铺设，以及人行道护栏、道路交通隔离栏、道路标线和标识以及广告等的喷涂、粉刷或翻新作业（绿色标杆工地及应急抢险工程除外）；全天禁止施工工地土石方作业（包括停止土石方开挖、回填、转运、场内倒运、掺拌石灰、混凝土剔凿等作业，停止建筑工程配套道路和管沟开挖作业）、石材切割、建筑构件破拆、路面铣刨、桩类作业、房屋拆除、基坑护坡粉浆等作业（绿色标杆工地及应急抢险工程除外）；全天禁止施工现场使用国Ⅱ（含）以下的燃油（气）非道路移动机械（新能源非道路移动机械、应急抢险工程作业机械除外）。</w:t>
            </w:r>
          </w:p>
          <w:p w14:paraId="10CE6087">
            <w:pPr>
              <w:adjustRightInd w:val="0"/>
              <w:snapToGrid w:val="0"/>
              <w:spacing w:line="360" w:lineRule="auto"/>
              <w:ind w:firstLine="480" w:firstLineChars="200"/>
              <w:rPr>
                <w:sz w:val="24"/>
              </w:rPr>
            </w:pPr>
            <w:r>
              <w:rPr>
                <w:rFonts w:hint="eastAsia"/>
                <w:sz w:val="24"/>
              </w:rPr>
              <w:t>②重点管理区、一般管理区的城市化管理区域：建筑垃圾（含工程渣土）运输车辆［新能源车辆、为绿色标杆工地和应急抢险工程提供保障的国Ⅵ（含）以上排放标准车辆除外］以及运输砂石、袋装水泥等易产生扬尘的运输车辆［新能源车辆、采用集装箱式密闭运输的国Ⅵ（含）以上排放标准车辆除外］全天24小时禁止通行。</w:t>
            </w:r>
          </w:p>
          <w:p w14:paraId="35FC1529">
            <w:pPr>
              <w:adjustRightInd w:val="0"/>
              <w:snapToGrid w:val="0"/>
              <w:spacing w:line="360" w:lineRule="auto"/>
              <w:ind w:firstLine="480" w:firstLineChars="200"/>
              <w:rPr>
                <w:sz w:val="24"/>
              </w:rPr>
            </w:pPr>
            <w:r>
              <w:rPr>
                <w:rFonts w:hint="eastAsia"/>
                <w:sz w:val="24"/>
              </w:rPr>
              <w:t>★★★ 二级响应（橙色预警）与本项目相关的污染减排措施要求</w:t>
            </w:r>
          </w:p>
          <w:p w14:paraId="2E0754DB">
            <w:pPr>
              <w:adjustRightInd w:val="0"/>
              <w:snapToGrid w:val="0"/>
              <w:spacing w:line="360" w:lineRule="auto"/>
              <w:ind w:firstLine="482" w:firstLineChars="200"/>
              <w:rPr>
                <w:b/>
                <w:sz w:val="24"/>
                <w:bdr w:val="single" w:color="auto" w:sz="4" w:space="0"/>
              </w:rPr>
            </w:pPr>
            <w:r>
              <w:rPr>
                <w:rFonts w:hint="eastAsia"/>
                <w:b/>
                <w:sz w:val="24"/>
                <w:bdr w:val="single" w:color="auto" w:sz="4" w:space="0"/>
              </w:rPr>
              <w:t>★★倡议性污染减排措施</w:t>
            </w:r>
          </w:p>
          <w:p w14:paraId="55D7E0A5">
            <w:pPr>
              <w:adjustRightInd w:val="0"/>
              <w:snapToGrid w:val="0"/>
              <w:spacing w:line="360" w:lineRule="auto"/>
              <w:ind w:firstLine="480" w:firstLineChars="200"/>
              <w:rPr>
                <w:sz w:val="24"/>
              </w:rPr>
            </w:pPr>
            <w:r>
              <w:rPr>
                <w:rFonts w:hint="eastAsia"/>
                <w:sz w:val="24"/>
              </w:rPr>
              <w:t>①加大施工工地、裸露堆土、物料堆放等的扬尘控制力度。</w:t>
            </w:r>
          </w:p>
          <w:p w14:paraId="419803E8">
            <w:pPr>
              <w:adjustRightInd w:val="0"/>
              <w:snapToGrid w:val="0"/>
              <w:spacing w:line="360" w:lineRule="auto"/>
              <w:ind w:firstLine="480" w:firstLineChars="200"/>
              <w:rPr>
                <w:sz w:val="24"/>
              </w:rPr>
            </w:pPr>
            <w:r>
              <w:rPr>
                <w:rFonts w:hint="eastAsia"/>
                <w:sz w:val="24"/>
              </w:rPr>
              <w:t>②减少涂料、油漆、溶剂等含挥发性有机物的原材料及产品使用。</w:t>
            </w:r>
          </w:p>
          <w:p w14:paraId="7CC1C949">
            <w:pPr>
              <w:adjustRightInd w:val="0"/>
              <w:snapToGrid w:val="0"/>
              <w:spacing w:line="360" w:lineRule="auto"/>
              <w:ind w:firstLine="482" w:firstLineChars="200"/>
              <w:rPr>
                <w:b/>
                <w:sz w:val="24"/>
                <w:bdr w:val="single" w:color="auto" w:sz="4" w:space="0"/>
              </w:rPr>
            </w:pPr>
            <w:r>
              <w:rPr>
                <w:rFonts w:hint="eastAsia"/>
                <w:b/>
                <w:sz w:val="24"/>
                <w:bdr w:val="single" w:color="auto" w:sz="4" w:space="0"/>
              </w:rPr>
              <w:t>★★具体强制性减排措施</w:t>
            </w:r>
          </w:p>
          <w:p w14:paraId="2A938D05">
            <w:pPr>
              <w:adjustRightInd w:val="0"/>
              <w:snapToGrid w:val="0"/>
              <w:spacing w:line="360" w:lineRule="auto"/>
              <w:ind w:firstLine="480" w:firstLineChars="200"/>
              <w:rPr>
                <w:sz w:val="24"/>
              </w:rPr>
            </w:pPr>
            <w:r>
              <w:rPr>
                <w:rFonts w:hint="eastAsia"/>
                <w:sz w:val="24"/>
              </w:rPr>
              <w:t>①全市范围内：全天禁止易产生扬尘、烟（粉）尘的建材露天敞开堆放和加工；全天禁止露天焊接；全天停止房屋修缮、建筑工地喷涂粉刷等排放挥发性有机物的施工作业，全天停止市政设施和道桥防腐维护作业、大型商业建筑装修、外立面改造、防水作业、道路沥青铺设，以及人行道护栏、道路交通隔离栏、道路标线和标识以及广告等的喷涂、粉刷或翻新作业（绿色标杆工地及应急抢险工程除外）。</w:t>
            </w:r>
          </w:p>
          <w:p w14:paraId="53ABD413">
            <w:pPr>
              <w:adjustRightInd w:val="0"/>
              <w:snapToGrid w:val="0"/>
              <w:spacing w:line="360" w:lineRule="auto"/>
              <w:ind w:firstLine="480" w:firstLineChars="200"/>
              <w:rPr>
                <w:sz w:val="24"/>
              </w:rPr>
            </w:pPr>
            <w:r>
              <w:rPr>
                <w:rFonts w:hint="eastAsia"/>
                <w:sz w:val="24"/>
              </w:rPr>
              <w:t>②全市范围内：全天禁止施工工地土石方作业（包括停止土石方开挖、回填、转运、场内倒运、掺拌石灰、混凝土剔凿等作业，停止建筑工程配套道路和管沟开挖作业）、石材切割、建筑构件破拆、路面铣刨、桩类作业、房屋拆除、基坑护坡粉浆等作业（绿色标杆工地及应急抢险工程除外）。</w:t>
            </w:r>
          </w:p>
          <w:p w14:paraId="42EA90A3">
            <w:pPr>
              <w:adjustRightInd w:val="0"/>
              <w:snapToGrid w:val="0"/>
              <w:spacing w:line="360" w:lineRule="auto"/>
              <w:ind w:firstLine="480" w:firstLineChars="200"/>
              <w:rPr>
                <w:sz w:val="24"/>
              </w:rPr>
            </w:pPr>
            <w:r>
              <w:rPr>
                <w:rFonts w:hint="eastAsia"/>
                <w:sz w:val="24"/>
              </w:rPr>
              <w:t>③建筑垃圾（含工程渣土）运输车辆［新能源车辆、为绿色标杆工地和应急抢险工程提供保障的国Ⅵ（含）以上排放标准车辆除外］以及运输砂石、袋装水泥等易产生扬尘的运输车辆［新能源车辆、采用集装箱式密闭运输的国Ⅵ（含）以上排放标准车辆除外］全天禁止通行。预拌混凝土运输车辆、预拌砂浆运输车辆、沥青混合料运输车辆［新能源车辆、国Ⅵ（含）以上排放标准车辆除外］全天禁止通行。</w:t>
            </w:r>
          </w:p>
          <w:p w14:paraId="5FF7A7B7">
            <w:pPr>
              <w:adjustRightInd w:val="0"/>
              <w:snapToGrid w:val="0"/>
              <w:spacing w:line="360" w:lineRule="auto"/>
              <w:ind w:firstLine="480" w:firstLineChars="200"/>
              <w:rPr>
                <w:sz w:val="24"/>
              </w:rPr>
            </w:pPr>
            <w:r>
              <w:rPr>
                <w:rFonts w:hint="eastAsia"/>
                <w:sz w:val="24"/>
              </w:rPr>
              <w:t>★★★一级响应（红色预警）与本项目相关的污染减排措施要求</w:t>
            </w:r>
          </w:p>
          <w:p w14:paraId="595C9CBE">
            <w:pPr>
              <w:adjustRightInd w:val="0"/>
              <w:snapToGrid w:val="0"/>
              <w:spacing w:line="360" w:lineRule="auto"/>
              <w:ind w:firstLine="482" w:firstLineChars="200"/>
              <w:rPr>
                <w:b/>
                <w:sz w:val="24"/>
                <w:bdr w:val="single" w:color="auto" w:sz="4" w:space="0"/>
              </w:rPr>
            </w:pPr>
            <w:r>
              <w:rPr>
                <w:rFonts w:hint="eastAsia"/>
                <w:b/>
                <w:sz w:val="24"/>
                <w:bdr w:val="single" w:color="auto" w:sz="4" w:space="0"/>
              </w:rPr>
              <w:t>★★倡议性污染减排措施</w:t>
            </w:r>
          </w:p>
          <w:p w14:paraId="74A4358E">
            <w:pPr>
              <w:adjustRightInd w:val="0"/>
              <w:snapToGrid w:val="0"/>
              <w:spacing w:line="360" w:lineRule="auto"/>
              <w:ind w:firstLine="480" w:firstLineChars="200"/>
              <w:rPr>
                <w:sz w:val="24"/>
              </w:rPr>
            </w:pPr>
            <w:r>
              <w:rPr>
                <w:rFonts w:hint="eastAsia"/>
                <w:sz w:val="24"/>
              </w:rPr>
              <w:t>①加大施工工地、裸露堆土、物料堆放等的扬尘控制力度。</w:t>
            </w:r>
          </w:p>
          <w:p w14:paraId="53C609F3">
            <w:pPr>
              <w:adjustRightInd w:val="0"/>
              <w:snapToGrid w:val="0"/>
              <w:spacing w:line="360" w:lineRule="auto"/>
              <w:ind w:firstLine="480" w:firstLineChars="200"/>
              <w:rPr>
                <w:sz w:val="24"/>
              </w:rPr>
            </w:pPr>
            <w:r>
              <w:rPr>
                <w:rFonts w:hint="eastAsia"/>
                <w:sz w:val="24"/>
              </w:rPr>
              <w:t>②减少涂料、油漆、溶剂等含挥发性有机物的原材料及产品使用。</w:t>
            </w:r>
          </w:p>
          <w:p w14:paraId="72FBBAB1">
            <w:pPr>
              <w:adjustRightInd w:val="0"/>
              <w:snapToGrid w:val="0"/>
              <w:spacing w:line="360" w:lineRule="auto"/>
              <w:ind w:firstLine="482" w:firstLineChars="200"/>
              <w:rPr>
                <w:b/>
                <w:sz w:val="24"/>
                <w:bdr w:val="single" w:color="auto" w:sz="4" w:space="0"/>
              </w:rPr>
            </w:pPr>
            <w:r>
              <w:rPr>
                <w:rFonts w:hint="eastAsia"/>
                <w:b/>
                <w:sz w:val="24"/>
                <w:bdr w:val="single" w:color="auto" w:sz="4" w:space="0"/>
              </w:rPr>
              <w:t>★★具体强制性减排措施</w:t>
            </w:r>
          </w:p>
          <w:p w14:paraId="614CCE46">
            <w:pPr>
              <w:adjustRightInd w:val="0"/>
              <w:snapToGrid w:val="0"/>
              <w:spacing w:line="360" w:lineRule="auto"/>
              <w:ind w:firstLine="480" w:firstLineChars="200"/>
              <w:rPr>
                <w:sz w:val="24"/>
              </w:rPr>
            </w:pPr>
            <w:r>
              <w:rPr>
                <w:rFonts w:hint="eastAsia"/>
                <w:sz w:val="24"/>
              </w:rPr>
              <w:t>①全市所有矿山、石材厂、石板厂停止露天作业，砂石厂（场）、水泥粉磨站停止生产运行，场地内每天3次以上清扫冲洗作业；未苫盖条件的堆场，每天至少喷淋6次。</w:t>
            </w:r>
          </w:p>
          <w:p w14:paraId="0C15A958">
            <w:pPr>
              <w:adjustRightInd w:val="0"/>
              <w:snapToGrid w:val="0"/>
              <w:spacing w:line="360" w:lineRule="auto"/>
              <w:ind w:firstLine="480" w:firstLineChars="200"/>
              <w:rPr>
                <w:sz w:val="24"/>
              </w:rPr>
            </w:pPr>
            <w:r>
              <w:rPr>
                <w:rFonts w:hint="eastAsia"/>
                <w:sz w:val="24"/>
              </w:rPr>
              <w:t>②全市范围内：易产生扬尘、烟（粉）尘的建材全天禁止露天敞开堆放和加工；全天禁止露天焊接；全天停止房屋修缮、建筑工地喷涂粉刷等排放挥发性有机物的施工作业，全天停止市政设施和道桥防腐维护作业、大型商业建筑装修、外立面改造、防水作业、道路沥青铺设，以及人行道护栏、道路交通隔离栏、道路标线和标识以及广告等的喷涂、粉刷或翻新作业（应急抢险工程除外）。全天禁止施工工地土石方作业（包括停止土石方开挖、回填、转运、场内倒运、掺拌石灰、混凝土剔凿等作业，停止建筑工程配套道路和管沟开挖作业）、石材切割、建筑构件破拆、路面铣刨、桩类作业、房屋拆除、基坑护坡粉浆等作业（应急抢险工程作业，城市轨道交通盾构掘进作业，城市轨道交通车站及场段主体结构大体积混凝土连续浇筑作业并使用新能源车辆的，以及使用新能源非道路移动机械作业的除外）。全天禁止施工现场使用国Ⅱ（含）以下的燃油（气）非道路移动机械（应急抢险工程作业机械除外）。</w:t>
            </w:r>
          </w:p>
          <w:p w14:paraId="75545509">
            <w:pPr>
              <w:adjustRightInd w:val="0"/>
              <w:snapToGrid w:val="0"/>
              <w:spacing w:line="360" w:lineRule="auto"/>
              <w:ind w:firstLine="480" w:firstLineChars="200"/>
              <w:rPr>
                <w:sz w:val="24"/>
              </w:rPr>
            </w:pPr>
            <w:r>
              <w:rPr>
                <w:rFonts w:hint="eastAsia"/>
                <w:sz w:val="24"/>
              </w:rPr>
              <w:t>③全市范围内：建筑垃圾（含工程渣土）运输车辆以及运输砂石、袋装水泥等易产生扬尘的运输车辆［新能源车辆、为应急抢险工程、城市轨道交通车站及场段主体结构大体积混凝土连续浇筑作业提供保障的国Ⅵ（含）以上排放标准车辆除外］全天禁止通行。预拌混凝土运输车辆、预拌砂浆运输车辆、沥青混合料运输车［新能源车辆、为应急抢险工程、城市轨道交通车站及场段主体结构大体积混凝土连续浇筑作业提供保障的国Ⅵ（含）以上排放标准车辆除外］全天禁止通行。</w:t>
            </w:r>
          </w:p>
          <w:p w14:paraId="59A19FAC">
            <w:pPr>
              <w:adjustRightInd w:val="0"/>
              <w:snapToGrid w:val="0"/>
              <w:spacing w:line="360" w:lineRule="auto"/>
              <w:ind w:firstLine="480" w:firstLineChars="200"/>
              <w:rPr>
                <w:lang w:bidi="ar"/>
              </w:rPr>
            </w:pPr>
            <w:r>
              <w:rPr>
                <w:rFonts w:hint="eastAsia"/>
                <w:sz w:val="24"/>
              </w:rPr>
              <w:t>采取以上措施后项目施工期施工粉尘对场界外影响，其超标距离一次值可减至离场界5~6m，日均值可减至80~90m，不会对周边环境空气产生明显影响。</w:t>
            </w:r>
          </w:p>
          <w:p w14:paraId="76919148">
            <w:pPr>
              <w:spacing w:line="360" w:lineRule="auto"/>
              <w:ind w:firstLine="482" w:firstLineChars="200"/>
              <w:rPr>
                <w:b/>
                <w:sz w:val="24"/>
              </w:rPr>
            </w:pPr>
            <w:r>
              <w:rPr>
                <w:rFonts w:hint="eastAsia"/>
                <w:b/>
                <w:sz w:val="24"/>
              </w:rPr>
              <w:t>（3</w:t>
            </w:r>
            <w:r>
              <w:rPr>
                <w:b/>
                <w:sz w:val="24"/>
              </w:rPr>
              <w:t>）沥青烟防治措施</w:t>
            </w:r>
          </w:p>
          <w:p w14:paraId="7787451A">
            <w:pPr>
              <w:spacing w:line="360" w:lineRule="auto"/>
              <w:ind w:firstLine="480" w:firstLineChars="200"/>
              <w:rPr>
                <w:sz w:val="24"/>
              </w:rPr>
            </w:pPr>
            <w:r>
              <w:rPr>
                <w:sz w:val="24"/>
              </w:rPr>
              <w:t>该项目路面施工采用沥青混凝土路面，本项目全部采用商品沥青砼，不在现场设置沥青拌和站，避免了沥青烟的产生。</w:t>
            </w:r>
          </w:p>
          <w:p w14:paraId="7A5E4670">
            <w:pPr>
              <w:spacing w:line="360" w:lineRule="auto"/>
              <w:ind w:firstLine="480" w:firstLineChars="200"/>
              <w:rPr>
                <w:sz w:val="24"/>
              </w:rPr>
            </w:pPr>
            <w:r>
              <w:rPr>
                <w:sz w:val="24"/>
              </w:rPr>
              <w:t>沥青混凝土在铺筑中及铺筑后一段时间内，会自然挥发少量有机物，由于其浓度和数量较小，仅产生局部的暂时性影响。</w:t>
            </w:r>
          </w:p>
          <w:p w14:paraId="6EF9AB93">
            <w:pPr>
              <w:spacing w:line="360" w:lineRule="auto"/>
              <w:ind w:firstLine="480" w:firstLineChars="200"/>
              <w:rPr>
                <w:sz w:val="24"/>
              </w:rPr>
            </w:pPr>
            <w:r>
              <w:rPr>
                <w:sz w:val="24"/>
              </w:rPr>
              <w:t>环评要求：施工方严格执行《公路沥青路的施工技术规范（JTGF40-2004）》，抓紧施工，缩短施工期，并按照沿路住户和单位的要求调整施工期。尽量减少沥青混凝土</w:t>
            </w:r>
            <w:r>
              <w:rPr>
                <w:rFonts w:hint="eastAsia"/>
                <w:sz w:val="24"/>
              </w:rPr>
              <w:t>路面</w:t>
            </w:r>
            <w:r>
              <w:rPr>
                <w:sz w:val="24"/>
              </w:rPr>
              <w:t>在施工过程中沥青烟和苯并[a]芘产生和污染危害。</w:t>
            </w:r>
          </w:p>
          <w:p w14:paraId="017482EA">
            <w:pPr>
              <w:widowControl/>
              <w:spacing w:line="360" w:lineRule="auto"/>
              <w:ind w:firstLine="480" w:firstLineChars="200"/>
              <w:jc w:val="left"/>
              <w:rPr>
                <w:sz w:val="24"/>
              </w:rPr>
            </w:pPr>
            <w:r>
              <w:rPr>
                <w:sz w:val="24"/>
              </w:rPr>
              <w:t>拟建道路路面设计为沥青混凝土路面，本项目不设沥青拌和站，项目购买商品沥青。</w:t>
            </w:r>
            <w:r>
              <w:rPr>
                <w:rFonts w:hint="eastAsia"/>
                <w:sz w:val="24"/>
              </w:rPr>
              <w:t>沥青在专业搅拌站制成成品后，由专用运输车运至现场，立即铺设，约2~3小时后即固化可通车，液体沥青在施工现场停留时间较短。沥青烟气不会对周围大气环境造成明显影响。</w:t>
            </w:r>
          </w:p>
          <w:p w14:paraId="70853839">
            <w:pPr>
              <w:widowControl/>
              <w:spacing w:line="360" w:lineRule="auto"/>
              <w:ind w:firstLine="480" w:firstLineChars="200"/>
              <w:jc w:val="left"/>
              <w:rPr>
                <w:sz w:val="24"/>
              </w:rPr>
            </w:pPr>
            <w:r>
              <w:rPr>
                <w:rFonts w:hint="eastAsia"/>
                <w:sz w:val="24"/>
              </w:rPr>
              <w:t>同时，通过本次环评</w:t>
            </w:r>
            <w:r>
              <w:rPr>
                <w:sz w:val="24"/>
              </w:rPr>
              <w:t>要求</w:t>
            </w:r>
            <w:r>
              <w:rPr>
                <w:rFonts w:hint="eastAsia"/>
                <w:sz w:val="24"/>
              </w:rPr>
              <w:t>：</w:t>
            </w:r>
            <w:r>
              <w:rPr>
                <w:sz w:val="24"/>
              </w:rPr>
              <w:t>须车辆</w:t>
            </w:r>
            <w:r>
              <w:rPr>
                <w:rFonts w:hint="eastAsia"/>
                <w:sz w:val="24"/>
              </w:rPr>
              <w:t>密闭</w:t>
            </w:r>
            <w:r>
              <w:rPr>
                <w:sz w:val="24"/>
              </w:rPr>
              <w:t>装运，以防止沿程</w:t>
            </w:r>
            <w:r>
              <w:rPr>
                <w:rFonts w:hint="eastAsia"/>
                <w:sz w:val="24"/>
              </w:rPr>
              <w:t>洒落</w:t>
            </w:r>
            <w:r>
              <w:rPr>
                <w:sz w:val="24"/>
              </w:rPr>
              <w:t>污染环境。</w:t>
            </w:r>
          </w:p>
          <w:p w14:paraId="1B16D4C1">
            <w:pPr>
              <w:widowControl/>
              <w:spacing w:line="360" w:lineRule="auto"/>
              <w:jc w:val="left"/>
              <w:rPr>
                <w:b/>
              </w:rPr>
            </w:pPr>
            <w:r>
              <w:rPr>
                <w:b/>
                <w:bCs/>
                <w:kern w:val="0"/>
                <w:sz w:val="24"/>
                <w:lang w:bidi="ar"/>
              </w:rPr>
              <w:t>2、</w:t>
            </w:r>
            <w:r>
              <w:rPr>
                <w:rFonts w:hint="eastAsia"/>
                <w:b/>
                <w:bCs/>
                <w:kern w:val="0"/>
                <w:sz w:val="24"/>
                <w:lang w:bidi="ar"/>
              </w:rPr>
              <w:t>施工废水治理</w:t>
            </w:r>
            <w:r>
              <w:rPr>
                <w:b/>
                <w:bCs/>
                <w:kern w:val="0"/>
                <w:sz w:val="24"/>
                <w:lang w:bidi="ar"/>
              </w:rPr>
              <w:t xml:space="preserve">措施 </w:t>
            </w:r>
          </w:p>
          <w:p w14:paraId="302AD046">
            <w:pPr>
              <w:spacing w:line="360" w:lineRule="auto"/>
              <w:ind w:firstLine="480" w:firstLineChars="200"/>
              <w:rPr>
                <w:rFonts w:ascii="宋体" w:hAnsi="宋体" w:cs="宋体"/>
                <w:sz w:val="24"/>
              </w:rPr>
            </w:pPr>
            <w:r>
              <w:rPr>
                <w:rFonts w:hint="eastAsia" w:ascii="宋体" w:hAnsi="宋体" w:cs="宋体"/>
                <w:sz w:val="24"/>
              </w:rPr>
              <w:t>项目施工建设中均使用商品沥青混凝土，施工场内不设搅拌场。本项目施工期对水环境的污染主要来自施工时产生的施工废水和生活污水，施工废水包括施工机械设备、车辆冲洗含油废水，桥梁工程钻孔泥浆。此外，降雨产生的面源流失对地表水环境的影响。</w:t>
            </w:r>
          </w:p>
          <w:p w14:paraId="3335CCC0">
            <w:pPr>
              <w:spacing w:line="360" w:lineRule="auto"/>
              <w:ind w:firstLine="482" w:firstLineChars="200"/>
              <w:rPr>
                <w:rFonts w:ascii="宋体" w:hAnsi="宋体" w:cs="宋体"/>
                <w:b/>
                <w:sz w:val="24"/>
              </w:rPr>
            </w:pPr>
            <w:r>
              <w:rPr>
                <w:rFonts w:hint="eastAsia" w:ascii="宋体" w:hAnsi="宋体" w:cs="宋体"/>
                <w:b/>
                <w:sz w:val="24"/>
              </w:rPr>
              <w:t>（1）施工废水</w:t>
            </w:r>
          </w:p>
          <w:p w14:paraId="33D8B32B">
            <w:pPr>
              <w:spacing w:line="360" w:lineRule="auto"/>
              <w:ind w:firstLine="480" w:firstLineChars="200"/>
              <w:rPr>
                <w:sz w:val="24"/>
              </w:rPr>
            </w:pPr>
            <w:r>
              <w:rPr>
                <w:sz w:val="24"/>
              </w:rPr>
              <w:t>施工期废水主要是施工工地废水，其中施工工地废水主要为机械设备冲洗水，此外施工机械跑、冒、滴、漏的污油及露天机械被暴雨冲刷后产生的含油污废水，根据同类型项目的施工情况，其废水量约为2m</w:t>
            </w:r>
            <w:r>
              <w:rPr>
                <w:sz w:val="24"/>
                <w:vertAlign w:val="superscript"/>
              </w:rPr>
              <w:t>3</w:t>
            </w:r>
            <w:r>
              <w:rPr>
                <w:sz w:val="24"/>
              </w:rPr>
              <w:t>/d，污染物主要为SS</w:t>
            </w:r>
            <w:r>
              <w:rPr>
                <w:rFonts w:hint="eastAsia"/>
                <w:sz w:val="24"/>
              </w:rPr>
              <w:t xml:space="preserve"> </w:t>
            </w:r>
            <w:r>
              <w:rPr>
                <w:sz w:val="24"/>
              </w:rPr>
              <w:t>1000mg/L、石油类36</w:t>
            </w:r>
            <w:r>
              <w:rPr>
                <w:rFonts w:hint="eastAsia"/>
                <w:sz w:val="24"/>
              </w:rPr>
              <w:t xml:space="preserve"> </w:t>
            </w:r>
            <w:r>
              <w:rPr>
                <w:sz w:val="24"/>
              </w:rPr>
              <w:t>mg/L。</w:t>
            </w:r>
          </w:p>
          <w:p w14:paraId="78769BE8">
            <w:pPr>
              <w:spacing w:line="360" w:lineRule="auto"/>
              <w:ind w:firstLine="480" w:firstLineChars="200"/>
              <w:rPr>
                <w:rFonts w:ascii="宋体" w:hAnsi="宋体" w:cs="宋体"/>
                <w:sz w:val="24"/>
              </w:rPr>
            </w:pPr>
            <w:r>
              <w:rPr>
                <w:rFonts w:hint="eastAsia" w:ascii="宋体" w:hAnsi="宋体" w:cs="宋体"/>
                <w:sz w:val="24"/>
              </w:rPr>
              <w:t>拟采取以下措施防治施工期废水：</w:t>
            </w:r>
          </w:p>
          <w:p w14:paraId="77FAF84A">
            <w:pPr>
              <w:spacing w:line="360" w:lineRule="auto"/>
              <w:ind w:firstLine="480" w:firstLineChars="200"/>
              <w:rPr>
                <w:sz w:val="24"/>
              </w:rPr>
            </w:pPr>
            <w:r>
              <w:rPr>
                <w:sz w:val="24"/>
              </w:rPr>
              <w:t>1）施工废水经隔油沉淀池处理后回用，在沉淀池出水的一侧设土工布围栏，再次拦截泥沙，施工废水经沉淀处理后用于施工场地降尘，不外排。</w:t>
            </w:r>
          </w:p>
          <w:p w14:paraId="06F78A5C">
            <w:pPr>
              <w:spacing w:line="360" w:lineRule="auto"/>
              <w:ind w:firstLine="480" w:firstLineChars="200"/>
              <w:rPr>
                <w:rFonts w:ascii="宋体" w:hAnsi="宋体" w:cs="宋体"/>
                <w:sz w:val="24"/>
              </w:rPr>
            </w:pPr>
            <w:r>
              <w:rPr>
                <w:sz w:val="24"/>
              </w:rPr>
              <w:t>2）合理安排好施工进度，尽量避免雨季施工；开挖后的地表及早夯实，铺设混凝土；施工现场备有毡布，用于雨季对施工场地内的器械、裸露地面的覆盖;以上措施的采取，可降低初期雨水中SS和石油类的产生量和产</w:t>
            </w:r>
            <w:r>
              <w:rPr>
                <w:rFonts w:hint="eastAsia" w:ascii="宋体" w:hAnsi="宋体" w:cs="宋体"/>
                <w:sz w:val="24"/>
              </w:rPr>
              <w:t>生浓度。</w:t>
            </w:r>
          </w:p>
          <w:p w14:paraId="53FD9858">
            <w:pPr>
              <w:spacing w:line="360" w:lineRule="auto"/>
              <w:ind w:firstLine="480" w:firstLineChars="200"/>
              <w:rPr>
                <w:sz w:val="24"/>
              </w:rPr>
            </w:pPr>
            <w:r>
              <w:rPr>
                <w:sz w:val="24"/>
              </w:rPr>
              <w:t>3）加强施工期的环境管理。避免机械油料的泄漏或废油料的倾倒进入水体后引</w:t>
            </w:r>
            <w:r>
              <w:rPr>
                <w:rFonts w:hint="eastAsia"/>
                <w:sz w:val="24"/>
              </w:rPr>
              <w:t>起土壤污染和水体污染；同时施工材料如沥青、油料、化学品不能堆放河流水体附近，否则也容易造成水体污染。</w:t>
            </w:r>
          </w:p>
          <w:p w14:paraId="61D75EC3">
            <w:pPr>
              <w:spacing w:line="360" w:lineRule="auto"/>
              <w:ind w:firstLine="480" w:firstLineChars="200"/>
              <w:rPr>
                <w:sz w:val="24"/>
              </w:rPr>
            </w:pPr>
            <w:r>
              <w:rPr>
                <w:rFonts w:hint="eastAsia"/>
                <w:sz w:val="24"/>
              </w:rPr>
              <w:t>4）试压废水采用沉淀池沉淀处理后，回用于施工场地降尘，不外排。</w:t>
            </w:r>
          </w:p>
          <w:p w14:paraId="45C1D9DC">
            <w:pPr>
              <w:spacing w:line="360" w:lineRule="auto"/>
              <w:ind w:firstLine="482" w:firstLineChars="200"/>
              <w:rPr>
                <w:b/>
                <w:sz w:val="24"/>
              </w:rPr>
            </w:pPr>
            <w:r>
              <w:rPr>
                <w:rFonts w:hint="eastAsia"/>
                <w:b/>
                <w:sz w:val="24"/>
              </w:rPr>
              <w:t>（2）施工人员生活污水</w:t>
            </w:r>
          </w:p>
          <w:p w14:paraId="4070953F">
            <w:pPr>
              <w:spacing w:line="360" w:lineRule="auto"/>
              <w:ind w:firstLine="480" w:firstLineChars="200"/>
              <w:rPr>
                <w:sz w:val="24"/>
              </w:rPr>
            </w:pPr>
            <w:r>
              <w:rPr>
                <w:rFonts w:hint="eastAsia"/>
                <w:sz w:val="24"/>
              </w:rPr>
              <w:t>施工人员租用当地民房，生活污水利用居民已有的预处理池处理后，用于附近农肥或排入市政污水管网，施工人员生活污水不会对水环境产生明显影响。</w:t>
            </w:r>
          </w:p>
          <w:p w14:paraId="018AC200">
            <w:pPr>
              <w:spacing w:line="360" w:lineRule="auto"/>
              <w:ind w:firstLine="482" w:firstLineChars="200"/>
              <w:rPr>
                <w:b/>
                <w:sz w:val="24"/>
              </w:rPr>
            </w:pPr>
            <w:r>
              <w:rPr>
                <w:rFonts w:hint="eastAsia"/>
                <w:b/>
                <w:sz w:val="24"/>
              </w:rPr>
              <w:t>（3）降雨产生的面源流失对水环境的影响</w:t>
            </w:r>
          </w:p>
          <w:p w14:paraId="372720DE">
            <w:pPr>
              <w:spacing w:line="360" w:lineRule="auto"/>
              <w:ind w:firstLine="480" w:firstLineChars="200"/>
              <w:rPr>
                <w:sz w:val="24"/>
              </w:rPr>
            </w:pPr>
            <w:r>
              <w:rPr>
                <w:rFonts w:hint="eastAsia"/>
                <w:sz w:val="24"/>
              </w:rPr>
              <w:t>项目在施工时考虑用防雨布对开挖和填筑的未采取防护措施的边坡、临时堆放场等进行覆盖。采取这些措施后，项目在施工期间，降雨产生的面源流失对周围水环境的影响很小。</w:t>
            </w:r>
          </w:p>
          <w:p w14:paraId="42291D71">
            <w:pPr>
              <w:spacing w:line="360" w:lineRule="auto"/>
              <w:ind w:firstLine="482" w:firstLineChars="200"/>
              <w:rPr>
                <w:b/>
                <w:sz w:val="24"/>
              </w:rPr>
            </w:pPr>
            <w:r>
              <w:rPr>
                <w:rFonts w:hint="eastAsia"/>
                <w:b/>
                <w:sz w:val="24"/>
              </w:rPr>
              <w:t>（4）工程施工对现有河道的影响</w:t>
            </w:r>
          </w:p>
          <w:p w14:paraId="5C013A06">
            <w:pPr>
              <w:spacing w:line="360" w:lineRule="auto"/>
              <w:ind w:firstLine="480" w:firstLineChars="200"/>
              <w:rPr>
                <w:sz w:val="24"/>
              </w:rPr>
            </w:pPr>
            <w:r>
              <w:rPr>
                <w:rFonts w:hint="eastAsia"/>
                <w:sz w:val="24"/>
              </w:rPr>
              <w:t>由于本工程的跨越水体的规模较小，本项目桥梁均无涉水桥墩，施工时由于工艺较为简单，规模较小，使用的机械不多，可以采取以下措施减少施工期间对现有河道产生影响：</w:t>
            </w:r>
          </w:p>
          <w:p w14:paraId="5C88F80E">
            <w:pPr>
              <w:spacing w:line="360" w:lineRule="auto"/>
              <w:ind w:firstLine="480" w:firstLineChars="200"/>
              <w:rPr>
                <w:sz w:val="24"/>
              </w:rPr>
            </w:pPr>
            <w:r>
              <w:rPr>
                <w:rFonts w:hint="eastAsia"/>
                <w:sz w:val="24"/>
              </w:rPr>
              <w:t>①避开雨季施工，选在枯水期对该路段进行施工；②分段施工、合理安排工期、尽量缩短工期；③采取临时倒排措施；④施工开挖土石合理妥善处置，对水质不产生影响。</w:t>
            </w:r>
          </w:p>
          <w:p w14:paraId="2A6E6CAD">
            <w:pPr>
              <w:spacing w:line="360" w:lineRule="auto"/>
              <w:ind w:firstLine="480" w:firstLineChars="200"/>
              <w:rPr>
                <w:sz w:val="24"/>
              </w:rPr>
            </w:pPr>
            <w:r>
              <w:rPr>
                <w:rFonts w:hint="eastAsia"/>
                <w:sz w:val="24"/>
              </w:rPr>
              <w:t>经采取措施后，本项目施工期对现有河道影响较小。</w:t>
            </w:r>
          </w:p>
          <w:p w14:paraId="34EF5C2A">
            <w:pPr>
              <w:spacing w:line="360" w:lineRule="auto"/>
              <w:ind w:firstLine="482" w:firstLineChars="200"/>
              <w:rPr>
                <w:b/>
                <w:sz w:val="24"/>
              </w:rPr>
            </w:pPr>
            <w:r>
              <w:rPr>
                <w:b/>
                <w:sz w:val="24"/>
              </w:rPr>
              <w:t>（5）施工管理措施</w:t>
            </w:r>
          </w:p>
          <w:p w14:paraId="229E1088">
            <w:pPr>
              <w:spacing w:line="360" w:lineRule="auto"/>
              <w:ind w:firstLine="480" w:firstLineChars="200"/>
              <w:rPr>
                <w:sz w:val="24"/>
              </w:rPr>
            </w:pPr>
            <w:r>
              <w:rPr>
                <w:sz w:val="24"/>
              </w:rPr>
              <w:t>项目应避免在暴雨</w:t>
            </w:r>
            <w:r>
              <w:rPr>
                <w:rFonts w:hint="eastAsia"/>
                <w:sz w:val="24"/>
              </w:rPr>
              <w:t>天气</w:t>
            </w:r>
            <w:r>
              <w:rPr>
                <w:sz w:val="24"/>
              </w:rPr>
              <w:t>施工，暴雨期应采取应急措施，尽量用覆盖物覆盖新挖的陡坡，防止冲刷和塌崩。</w:t>
            </w:r>
          </w:p>
          <w:p w14:paraId="33507C00">
            <w:pPr>
              <w:spacing w:line="360" w:lineRule="auto"/>
              <w:ind w:firstLine="480" w:firstLineChars="200"/>
              <w:rPr>
                <w:sz w:val="24"/>
              </w:rPr>
            </w:pPr>
            <w:r>
              <w:rPr>
                <w:sz w:val="24"/>
              </w:rPr>
              <w:t>开展施工场所和营地的水环境保护教育，让施工人员</w:t>
            </w:r>
            <w:r>
              <w:rPr>
                <w:rFonts w:hint="eastAsia"/>
                <w:sz w:val="24"/>
              </w:rPr>
              <w:t>了解水环境</w:t>
            </w:r>
            <w:r>
              <w:rPr>
                <w:sz w:val="24"/>
              </w:rPr>
              <w:t>保护的重要性；加强施工管理和工程监理工作，防止发生交通安全事故导致油料</w:t>
            </w:r>
            <w:r>
              <w:rPr>
                <w:rFonts w:hint="eastAsia"/>
                <w:sz w:val="24"/>
              </w:rPr>
              <w:t>泄漏</w:t>
            </w:r>
            <w:r>
              <w:rPr>
                <w:sz w:val="24"/>
              </w:rPr>
              <w:t>至附近水体；严格检查施工机械，防止油料泄漏污染水体。施工材料如油料、化学品等不宜堆放在地表水体附近，并应备有临时遮挡的帆布；采取措施防止泥土和散体施工材料阻塞水渠或现有的灌溉沟渠及水管。</w:t>
            </w:r>
          </w:p>
          <w:p w14:paraId="07007646">
            <w:pPr>
              <w:widowControl/>
              <w:spacing w:line="360" w:lineRule="auto"/>
              <w:ind w:firstLine="480" w:firstLineChars="200"/>
              <w:rPr>
                <w:sz w:val="24"/>
              </w:rPr>
            </w:pPr>
            <w:r>
              <w:rPr>
                <w:sz w:val="24"/>
              </w:rPr>
              <w:t>综上所述</w:t>
            </w:r>
            <w:r>
              <w:rPr>
                <w:rFonts w:hint="eastAsia"/>
                <w:sz w:val="24"/>
              </w:rPr>
              <w:t>，</w:t>
            </w:r>
            <w:r>
              <w:rPr>
                <w:sz w:val="24"/>
              </w:rPr>
              <w:t>项目施工期的各类废水均得到了有效治理</w:t>
            </w:r>
            <w:r>
              <w:rPr>
                <w:rFonts w:hint="eastAsia"/>
                <w:sz w:val="24"/>
              </w:rPr>
              <w:t>，</w:t>
            </w:r>
            <w:r>
              <w:rPr>
                <w:sz w:val="24"/>
              </w:rPr>
              <w:t>环境影响可以接受</w:t>
            </w:r>
            <w:r>
              <w:rPr>
                <w:rFonts w:hint="eastAsia"/>
                <w:sz w:val="24"/>
              </w:rPr>
              <w:t>。</w:t>
            </w:r>
          </w:p>
          <w:p w14:paraId="14B1336E">
            <w:pPr>
              <w:widowControl/>
              <w:spacing w:line="360" w:lineRule="auto"/>
              <w:jc w:val="left"/>
              <w:rPr>
                <w:b/>
                <w:bCs/>
                <w:kern w:val="0"/>
                <w:sz w:val="24"/>
                <w:lang w:bidi="ar"/>
              </w:rPr>
            </w:pPr>
            <w:r>
              <w:rPr>
                <w:b/>
                <w:bCs/>
                <w:kern w:val="0"/>
                <w:sz w:val="24"/>
                <w:lang w:bidi="ar"/>
              </w:rPr>
              <w:t xml:space="preserve">3、施工期噪声防治措施 </w:t>
            </w:r>
          </w:p>
          <w:p w14:paraId="14116F3E">
            <w:pPr>
              <w:widowControl/>
              <w:spacing w:line="360" w:lineRule="auto"/>
              <w:ind w:firstLine="480" w:firstLineChars="200"/>
              <w:jc w:val="left"/>
              <w:rPr>
                <w:bCs/>
                <w:kern w:val="0"/>
                <w:sz w:val="24"/>
                <w:lang w:bidi="ar"/>
              </w:rPr>
            </w:pPr>
            <w:r>
              <w:rPr>
                <w:rFonts w:hint="eastAsia"/>
                <w:bCs/>
                <w:sz w:val="24"/>
              </w:rPr>
              <w:t>（1）选用符合国家标准的低噪声施工设备，并加强对设备的维修保养，避免由于设备非正常工作而产生高噪声污染。</w:t>
            </w:r>
          </w:p>
          <w:p w14:paraId="2FB48A84">
            <w:pPr>
              <w:widowControl/>
              <w:spacing w:line="360" w:lineRule="auto"/>
              <w:ind w:firstLine="480" w:firstLineChars="200"/>
              <w:rPr>
                <w:bCs/>
                <w:sz w:val="24"/>
              </w:rPr>
            </w:pPr>
            <w:r>
              <w:rPr>
                <w:rFonts w:hint="eastAsia"/>
                <w:bCs/>
                <w:sz w:val="24"/>
              </w:rPr>
              <w:t>（2）为了减少施工噪声对敏感点和周围环境的影响，施工单位应合理安排施工时间，原则上禁止在夜间进行施工，必须连续施工作业的，施工单位应及时与相关部门取得联系，按规定申领夜间施工证，同时发布公告或以张贴告示等方式告知周围居民，并征得其同意，防止扰民纠纷。</w:t>
            </w:r>
          </w:p>
          <w:p w14:paraId="4DBB4498">
            <w:pPr>
              <w:widowControl/>
              <w:spacing w:line="360" w:lineRule="auto"/>
              <w:ind w:firstLine="480" w:firstLineChars="200"/>
              <w:rPr>
                <w:bCs/>
                <w:sz w:val="24"/>
              </w:rPr>
            </w:pPr>
            <w:r>
              <w:rPr>
                <w:rFonts w:hint="eastAsia"/>
                <w:bCs/>
                <w:sz w:val="24"/>
              </w:rPr>
              <w:t>（3）对钢筋、钢板等构件装卸、搬运应该轻拿轻放，严禁抛掷。使用商品混凝土，避免现场混凝土噪声。（4）合理安排施工时间。不得在居民休息时间（12时至14时、22时至次日6时）进行高噪声作业；不得在国家高考、中考等特殊时期或全市处于噪声严格管控期间进行施工。</w:t>
            </w:r>
          </w:p>
          <w:p w14:paraId="7FCC0719">
            <w:pPr>
              <w:widowControl/>
              <w:spacing w:line="360" w:lineRule="auto"/>
              <w:ind w:firstLine="480" w:firstLineChars="200"/>
              <w:rPr>
                <w:bCs/>
                <w:sz w:val="24"/>
              </w:rPr>
            </w:pPr>
            <w:r>
              <w:rPr>
                <w:rFonts w:hint="eastAsia"/>
                <w:bCs/>
                <w:sz w:val="24"/>
              </w:rPr>
              <w:t>根据《中华人民共和国噪声污染防治法》第二十二、四十三条的规定，本工程在施工期应符合国家规定的建筑施工场界环境噪声排放标准；因特殊需要必须连续施工作业的，应当取得地方人民政府住房和城乡建设、生态环境主管部门或者地方人民政府指定的部门的证明，并在施工现场显著位置公示或者以其他方式公告附近居民。</w:t>
            </w:r>
          </w:p>
          <w:p w14:paraId="6DC7F8F7">
            <w:pPr>
              <w:widowControl/>
              <w:spacing w:line="360" w:lineRule="auto"/>
              <w:ind w:firstLine="480" w:firstLineChars="200"/>
              <w:rPr>
                <w:bCs/>
                <w:sz w:val="24"/>
              </w:rPr>
            </w:pPr>
            <w:r>
              <w:rPr>
                <w:rFonts w:hint="eastAsia"/>
                <w:bCs/>
                <w:sz w:val="24"/>
              </w:rPr>
              <w:t>（5）项目现场施工时，施工场地并布设彩钢围挡、合理安排施工时间，防止噪声扰民。</w:t>
            </w:r>
          </w:p>
          <w:p w14:paraId="2E70129E">
            <w:pPr>
              <w:widowControl/>
              <w:spacing w:line="360" w:lineRule="auto"/>
              <w:ind w:firstLine="480" w:firstLineChars="200"/>
              <w:rPr>
                <w:bCs/>
                <w:sz w:val="24"/>
              </w:rPr>
            </w:pPr>
            <w:r>
              <w:rPr>
                <w:rFonts w:hint="eastAsia"/>
                <w:bCs/>
                <w:sz w:val="24"/>
              </w:rPr>
              <w:t>综上所述，在采取以上措施后，可以有效降低施工噪声，可以有效的减缓施工期噪声对敏感点的影响。同时施工期产生的噪声污染是暂时的，随着项目的竣工，因施工而产生的噪声污染也将会随着消失。</w:t>
            </w:r>
          </w:p>
          <w:p w14:paraId="6BA4266A">
            <w:pPr>
              <w:widowControl/>
              <w:spacing w:line="360" w:lineRule="auto"/>
              <w:jc w:val="left"/>
              <w:rPr>
                <w:b/>
                <w:bCs/>
                <w:kern w:val="0"/>
                <w:sz w:val="24"/>
                <w:lang w:bidi="ar"/>
              </w:rPr>
            </w:pPr>
            <w:r>
              <w:rPr>
                <w:rFonts w:hint="eastAsia"/>
                <w:b/>
                <w:bCs/>
                <w:kern w:val="0"/>
                <w:sz w:val="24"/>
                <w:lang w:bidi="ar"/>
              </w:rPr>
              <w:t>4、施工期固体废物治理措施</w:t>
            </w:r>
          </w:p>
          <w:p w14:paraId="124D4648">
            <w:pPr>
              <w:widowControl/>
              <w:spacing w:line="360" w:lineRule="auto"/>
              <w:ind w:firstLine="480" w:firstLineChars="200"/>
              <w:rPr>
                <w:bCs/>
                <w:sz w:val="24"/>
              </w:rPr>
            </w:pPr>
            <w:r>
              <w:rPr>
                <w:rFonts w:hint="eastAsia"/>
                <w:bCs/>
                <w:sz w:val="24"/>
              </w:rPr>
              <w:t>（1）运输渣土和建筑垃圾的车辆必须符合道路运输安全及交通和交警部门的准运要求，必须经过加盖密闭改装，经质量技术监督部门检查合格，且蓬盖开合有效、无破损。建筑垃圾主要为废弃的建筑材料如砂石、石灰、混凝土、木材、废砖、废金属、钢筋、铁丝等，对于可以回收利用的建筑材料，如废金属、废钢筋、废铁丝、废砖块、废木料等应尽量回收利用，不能回收利用的按规范处置。</w:t>
            </w:r>
          </w:p>
          <w:p w14:paraId="4FD1B659">
            <w:pPr>
              <w:widowControl/>
              <w:spacing w:line="360" w:lineRule="auto"/>
              <w:ind w:firstLine="480" w:firstLineChars="200"/>
              <w:rPr>
                <w:bCs/>
                <w:sz w:val="24"/>
              </w:rPr>
            </w:pPr>
            <w:r>
              <w:rPr>
                <w:rFonts w:hint="eastAsia"/>
                <w:bCs/>
                <w:sz w:val="24"/>
              </w:rPr>
              <w:t>（2）弃渣和建筑垃圾的运输车辆必须服从统一调度，加强管理，按照有关部门的要求和指定路线、时间、方式清运。</w:t>
            </w:r>
          </w:p>
          <w:p w14:paraId="4119DA05">
            <w:pPr>
              <w:widowControl/>
              <w:spacing w:line="360" w:lineRule="auto"/>
              <w:ind w:firstLine="480" w:firstLineChars="200"/>
              <w:rPr>
                <w:bCs/>
                <w:sz w:val="24"/>
              </w:rPr>
            </w:pPr>
            <w:r>
              <w:rPr>
                <w:rFonts w:hint="eastAsia"/>
                <w:bCs/>
                <w:sz w:val="24"/>
              </w:rPr>
              <w:t>（3）弃渣和建筑垃圾密闭运输，运输过程中不得出现超载、撒漏、不到指定地点清运等现象。</w:t>
            </w:r>
          </w:p>
          <w:p w14:paraId="537F0A90">
            <w:pPr>
              <w:widowControl/>
              <w:spacing w:line="360" w:lineRule="auto"/>
              <w:ind w:firstLine="480" w:firstLineChars="200"/>
              <w:rPr>
                <w:bCs/>
                <w:sz w:val="24"/>
              </w:rPr>
            </w:pPr>
            <w:r>
              <w:rPr>
                <w:rFonts w:hint="eastAsia"/>
                <w:bCs/>
                <w:sz w:val="24"/>
              </w:rPr>
              <w:t>（4）对施工车辆必须实施限速行驶，不允许超载，采用篷布遮盖，严禁沿途洒落，选择对周围环境影响较小的运输路线，定时对运输路线进行清扫。</w:t>
            </w:r>
          </w:p>
          <w:p w14:paraId="7A893B8D">
            <w:pPr>
              <w:widowControl/>
              <w:spacing w:line="360" w:lineRule="auto"/>
              <w:ind w:firstLine="480" w:firstLineChars="200"/>
              <w:rPr>
                <w:bCs/>
                <w:sz w:val="24"/>
              </w:rPr>
            </w:pPr>
            <w:r>
              <w:rPr>
                <w:rFonts w:hint="eastAsia"/>
                <w:bCs/>
                <w:sz w:val="24"/>
              </w:rPr>
              <w:t>（5）运输弃渣车辆必须符合道路运输安全及交通和交警部门的准运要求，必须经过加盖密闭改装，经市质量技术监督部门检查合格，且蓬盖开合有效、无破损；需要办理通行手续的，要及时提供车辆《行车证》《道路运输证》及驾驶员的《驾驶证》《从业资格证》等相关资料。</w:t>
            </w:r>
          </w:p>
          <w:p w14:paraId="72932395">
            <w:pPr>
              <w:widowControl/>
              <w:spacing w:line="360" w:lineRule="auto"/>
              <w:ind w:firstLine="480" w:firstLineChars="200"/>
              <w:rPr>
                <w:bCs/>
                <w:sz w:val="24"/>
              </w:rPr>
            </w:pPr>
            <w:r>
              <w:rPr>
                <w:rFonts w:hint="eastAsia"/>
                <w:bCs/>
                <w:sz w:val="24"/>
              </w:rPr>
              <w:t>（6）极端天气情况下严禁进行弃土运输作业。</w:t>
            </w:r>
          </w:p>
          <w:p w14:paraId="51961BB2">
            <w:pPr>
              <w:widowControl/>
              <w:spacing w:line="360" w:lineRule="auto"/>
              <w:ind w:firstLine="480" w:firstLineChars="200"/>
              <w:rPr>
                <w:bCs/>
                <w:sz w:val="24"/>
              </w:rPr>
            </w:pPr>
            <w:r>
              <w:rPr>
                <w:rFonts w:hint="eastAsia"/>
                <w:bCs/>
                <w:sz w:val="24"/>
              </w:rPr>
              <w:t>通过采取以上措施，项目产生的固体废弃物对周围环境的影响较小。</w:t>
            </w:r>
          </w:p>
          <w:p w14:paraId="22E8D0EB">
            <w:pPr>
              <w:pStyle w:val="69"/>
              <w:ind w:firstLine="0" w:firstLineChars="0"/>
              <w:rPr>
                <w:b/>
              </w:rPr>
            </w:pPr>
            <w:r>
              <w:rPr>
                <w:b/>
                <w:lang w:bidi="ar"/>
              </w:rPr>
              <w:t xml:space="preserve">5、施工期生态环境保护措施 </w:t>
            </w:r>
          </w:p>
          <w:p w14:paraId="1E6E94E5">
            <w:pPr>
              <w:widowControl/>
              <w:spacing w:line="360" w:lineRule="auto"/>
              <w:ind w:firstLine="480" w:firstLineChars="200"/>
              <w:rPr>
                <w:sz w:val="24"/>
              </w:rPr>
            </w:pPr>
            <w:r>
              <w:rPr>
                <w:rFonts w:hint="eastAsia"/>
                <w:sz w:val="24"/>
              </w:rPr>
              <w:t>项目施工过程中因土石方开挖、表土层的剥离等会产生水土流失，地表受到扰动、原始地貌受到破坏。结合项目特点，在本项目建设过程中，其水土流失主要来源于施工期扰动地表引起的水土流失。</w:t>
            </w:r>
          </w:p>
          <w:p w14:paraId="5BA5F3AF">
            <w:pPr>
              <w:widowControl/>
              <w:spacing w:line="360" w:lineRule="auto"/>
              <w:ind w:firstLine="482" w:firstLineChars="200"/>
              <w:rPr>
                <w:b/>
                <w:sz w:val="24"/>
              </w:rPr>
            </w:pPr>
            <w:r>
              <w:rPr>
                <w:rFonts w:hint="eastAsia"/>
                <w:b/>
                <w:sz w:val="24"/>
              </w:rPr>
              <w:t>（1）植物保护措施</w:t>
            </w:r>
          </w:p>
          <w:p w14:paraId="0C1FC485">
            <w:pPr>
              <w:widowControl/>
              <w:spacing w:line="360" w:lineRule="auto"/>
              <w:ind w:firstLine="480" w:firstLineChars="200"/>
              <w:rPr>
                <w:sz w:val="24"/>
              </w:rPr>
            </w:pPr>
            <w:r>
              <w:rPr>
                <w:rFonts w:hint="eastAsia"/>
                <w:sz w:val="24"/>
              </w:rPr>
              <w:t>1）划定最小施工范围，减小植物、植被受影响面积，严禁施工人员和器械超出施工区域对工地周边的植被、植物物种造成破坏；施工材料输运到施工现场后，应立即进行建设，减少施工材料临时堆放点；临时占地施工时尽可能避开植物生长期，减少对植物影响，施工采取相对集中进行建设方式，缩短施工扰动。施工结束后，应临时占地应马上实行植被恢复措施，植被物种应选用占地周围同类物种，禁止采用外来物种。</w:t>
            </w:r>
          </w:p>
          <w:p w14:paraId="15BB7348">
            <w:pPr>
              <w:widowControl/>
              <w:spacing w:line="360" w:lineRule="auto"/>
              <w:ind w:firstLine="480" w:firstLineChars="200"/>
              <w:rPr>
                <w:sz w:val="24"/>
              </w:rPr>
            </w:pPr>
            <w:r>
              <w:rPr>
                <w:rFonts w:hint="eastAsia"/>
                <w:sz w:val="24"/>
              </w:rPr>
              <w:t>2）为确保有序施工，对施工机械及运输车辆走行路线进行统一安排，施工道路上应减少交通流量，以防止交通堵塞。</w:t>
            </w:r>
          </w:p>
          <w:p w14:paraId="176F9CA7">
            <w:pPr>
              <w:widowControl/>
              <w:spacing w:line="360" w:lineRule="auto"/>
              <w:ind w:firstLine="480" w:firstLineChars="200"/>
              <w:rPr>
                <w:sz w:val="24"/>
              </w:rPr>
            </w:pPr>
            <w:r>
              <w:rPr>
                <w:rFonts w:hint="eastAsia"/>
                <w:sz w:val="24"/>
              </w:rPr>
              <w:t>3）施工单位应提前与有关部门联系，确定管线接引方案，并提前做好临时管线的接引，对局部容量不足区段，应事先进行管线的改造，防止临时停电、停水或影响附近地区的正常供水供电。</w:t>
            </w:r>
          </w:p>
          <w:p w14:paraId="216F00F6">
            <w:pPr>
              <w:widowControl/>
              <w:spacing w:line="360" w:lineRule="auto"/>
              <w:ind w:firstLine="480" w:firstLineChars="200"/>
              <w:rPr>
                <w:sz w:val="24"/>
              </w:rPr>
            </w:pPr>
            <w:r>
              <w:rPr>
                <w:rFonts w:hint="eastAsia"/>
                <w:sz w:val="24"/>
              </w:rPr>
              <w:t>4）建设单位应委托有资质的单位，加强沿线区域的地表沉降观测，当出现异常沉降情况时，应立即停止施工，并采取有效补救措施，确保沿线地表建筑物的安全。</w:t>
            </w:r>
          </w:p>
          <w:p w14:paraId="443064B2">
            <w:pPr>
              <w:widowControl/>
              <w:spacing w:line="360" w:lineRule="auto"/>
              <w:ind w:firstLine="480" w:firstLineChars="200"/>
              <w:rPr>
                <w:sz w:val="24"/>
              </w:rPr>
            </w:pPr>
            <w:r>
              <w:rPr>
                <w:rFonts w:hint="eastAsia"/>
                <w:sz w:val="24"/>
              </w:rPr>
              <w:t>5）施工期根据当地的降雨特点，制订土石方工程施工组织计划，避开雨季进行大规模土石方工程施工；进行土石方工程施工时，应采取必要的水土保持措施。</w:t>
            </w:r>
          </w:p>
          <w:p w14:paraId="18B6FEC8">
            <w:pPr>
              <w:widowControl/>
              <w:spacing w:line="360" w:lineRule="auto"/>
              <w:ind w:firstLine="480" w:firstLineChars="200"/>
              <w:rPr>
                <w:sz w:val="24"/>
              </w:rPr>
            </w:pPr>
            <w:r>
              <w:rPr>
                <w:rFonts w:hint="eastAsia"/>
                <w:sz w:val="24"/>
              </w:rPr>
              <w:t>6）项目施工场地应严格按施工规划要求布置在项目影响区内，不得随意扩大范围和占用其他用地。</w:t>
            </w:r>
          </w:p>
          <w:p w14:paraId="1A984602">
            <w:pPr>
              <w:widowControl/>
              <w:spacing w:line="360" w:lineRule="auto"/>
              <w:ind w:firstLine="480" w:firstLineChars="200"/>
              <w:rPr>
                <w:sz w:val="24"/>
              </w:rPr>
            </w:pPr>
            <w:r>
              <w:rPr>
                <w:rFonts w:hint="eastAsia"/>
                <w:sz w:val="24"/>
              </w:rPr>
              <w:t>施工期结束，应立即对施工场地进行植被绿化，以避免水土流失。</w:t>
            </w:r>
          </w:p>
          <w:p w14:paraId="4F3289FE">
            <w:pPr>
              <w:widowControl/>
              <w:spacing w:line="360" w:lineRule="auto"/>
              <w:ind w:firstLine="482" w:firstLineChars="200"/>
              <w:rPr>
                <w:b/>
                <w:sz w:val="24"/>
              </w:rPr>
            </w:pPr>
            <w:r>
              <w:rPr>
                <w:rFonts w:hint="eastAsia"/>
                <w:b/>
                <w:sz w:val="24"/>
              </w:rPr>
              <w:t>（2）对野生动物保护措施</w:t>
            </w:r>
          </w:p>
          <w:p w14:paraId="5D40253B">
            <w:pPr>
              <w:widowControl/>
              <w:spacing w:line="360" w:lineRule="auto"/>
              <w:ind w:firstLine="480" w:firstLineChars="200"/>
              <w:rPr>
                <w:sz w:val="24"/>
              </w:rPr>
            </w:pPr>
            <w:r>
              <w:rPr>
                <w:rFonts w:hint="eastAsia"/>
                <w:sz w:val="24"/>
              </w:rPr>
              <w:t>在项目建设过程中，由于工程永久性占地不大，整个工程建设后对陆生动物影响很小。但是，在施工期间，由于机械噪声和大量施工人员的涌入，施工惊吓陆生动物，使其逃离工程噪声影响区。由于本项目沿线所经区域开发历史较长，区域受人为干扰明显，区内没有大型动物的活动。间接影响主要是施工人员对动物的生活环境干扰，缩小动物的栖居环境，使它们的生长、发育和繁育后代受到影响。由于本项目施工期较短，因此对动物的影响较小。</w:t>
            </w:r>
          </w:p>
          <w:p w14:paraId="308C81EC">
            <w:pPr>
              <w:widowControl/>
              <w:spacing w:line="360" w:lineRule="auto"/>
              <w:ind w:firstLine="480" w:firstLineChars="200"/>
              <w:rPr>
                <w:sz w:val="24"/>
              </w:rPr>
            </w:pPr>
            <w:r>
              <w:rPr>
                <w:rFonts w:hint="eastAsia"/>
                <w:sz w:val="24"/>
              </w:rPr>
              <w:t>1）施工中尽量避免噪声干扰，减少车辆鸣笛，应选用符合国家有关标准的施工机械和设备，定期对施工机具进行维护保养，降低施工机械因养护不良产生的振动和噪声对野生动物造成影响。</w:t>
            </w:r>
          </w:p>
          <w:p w14:paraId="2A8A7DAF">
            <w:pPr>
              <w:widowControl/>
              <w:spacing w:line="360" w:lineRule="auto"/>
              <w:ind w:firstLine="480" w:firstLineChars="200"/>
              <w:rPr>
                <w:sz w:val="24"/>
              </w:rPr>
            </w:pPr>
            <w:r>
              <w:rPr>
                <w:rFonts w:hint="eastAsia"/>
                <w:sz w:val="24"/>
              </w:rPr>
              <w:t>2）施工中时，应严格限定施工范围，不得随意新增对永久及临时占地，尽量减少对动物栖息地的破坏。</w:t>
            </w:r>
          </w:p>
          <w:p w14:paraId="321D458D">
            <w:pPr>
              <w:widowControl/>
              <w:spacing w:line="360" w:lineRule="auto"/>
              <w:ind w:firstLine="480" w:firstLineChars="200"/>
              <w:rPr>
                <w:sz w:val="24"/>
              </w:rPr>
            </w:pPr>
            <w:r>
              <w:rPr>
                <w:rFonts w:hint="eastAsia"/>
                <w:sz w:val="24"/>
              </w:rPr>
              <w:t>3）严禁施工机械出现滴漏现象，防止泄漏物质对野生动物本身及其栖息环境的污染。</w:t>
            </w:r>
          </w:p>
          <w:p w14:paraId="46EEA76E">
            <w:pPr>
              <w:widowControl/>
              <w:spacing w:line="360" w:lineRule="auto"/>
              <w:ind w:firstLine="480" w:firstLineChars="200"/>
              <w:rPr>
                <w:sz w:val="24"/>
              </w:rPr>
            </w:pPr>
            <w:r>
              <w:rPr>
                <w:rFonts w:hint="eastAsia"/>
                <w:sz w:val="24"/>
              </w:rPr>
              <w:t>4）施工区应设置临时垃圾收集箱，多余的土方、生活垃圾等不得随意丢，应集中收集，快速清除。</w:t>
            </w:r>
          </w:p>
          <w:p w14:paraId="504DB8A7">
            <w:pPr>
              <w:widowControl/>
              <w:spacing w:line="360" w:lineRule="auto"/>
              <w:ind w:firstLine="480" w:firstLineChars="200"/>
              <w:rPr>
                <w:sz w:val="24"/>
              </w:rPr>
            </w:pPr>
            <w:r>
              <w:rPr>
                <w:rFonts w:hint="eastAsia"/>
                <w:sz w:val="24"/>
              </w:rPr>
              <w:t>5）对在施工中遇到需要保护的幼鸟和鸟卵(蛋)，应及时向相关管理机构汇报，不得擅自处理；若野生动物进入施工区或邻近区域，应立即停止周围200m范围内的所有施工活动；若在施工区发现行动迟缓或呈现病态的珍稀动物，应及时上报施工区负责人，在采取保护措施的同时通知林业管理部门进行处理。</w:t>
            </w:r>
          </w:p>
          <w:p w14:paraId="1E37976A">
            <w:pPr>
              <w:widowControl/>
              <w:spacing w:line="360" w:lineRule="auto"/>
              <w:ind w:firstLine="480" w:firstLineChars="200"/>
              <w:rPr>
                <w:sz w:val="24"/>
              </w:rPr>
            </w:pPr>
            <w:r>
              <w:rPr>
                <w:rFonts w:hint="eastAsia"/>
                <w:sz w:val="24"/>
              </w:rPr>
              <w:t>6）禁止掏鸟窝、捡鸟蛋、捉幼鸟等行为，禁止捕捉和猎杀野生动物；严禁对野生动物实施惊吓、拍照、追赶、捕捉等行为。</w:t>
            </w:r>
          </w:p>
          <w:p w14:paraId="1222D6B9">
            <w:pPr>
              <w:widowControl/>
              <w:spacing w:line="360" w:lineRule="auto"/>
              <w:ind w:firstLine="480" w:firstLineChars="200"/>
              <w:rPr>
                <w:sz w:val="24"/>
              </w:rPr>
            </w:pPr>
            <w:r>
              <w:rPr>
                <w:rFonts w:hint="eastAsia"/>
                <w:sz w:val="24"/>
              </w:rPr>
              <w:t>7）鸟类和兽类大多是晨、昏或夜间外出，正午是鸟类休息时间，为减少工程施工噪声对其惊扰，在晨昏、正午、夜间禁止出现高噪声的施工作业。</w:t>
            </w:r>
          </w:p>
          <w:p w14:paraId="2764873F">
            <w:pPr>
              <w:widowControl/>
              <w:spacing w:line="360" w:lineRule="auto"/>
              <w:ind w:firstLine="480" w:firstLineChars="200"/>
              <w:rPr>
                <w:sz w:val="24"/>
              </w:rPr>
            </w:pPr>
            <w:r>
              <w:rPr>
                <w:rFonts w:hint="eastAsia"/>
                <w:sz w:val="24"/>
              </w:rPr>
              <w:t>8）对因施工期间破坏的各种植被和生境类型，应尽量通过实施生态恢复措施使其逐步得到恢复，使野生动物失去的栖息地得以部分恢复。</w:t>
            </w:r>
          </w:p>
          <w:p w14:paraId="63872F83">
            <w:pPr>
              <w:widowControl/>
              <w:spacing w:line="360" w:lineRule="auto"/>
              <w:ind w:firstLine="480" w:firstLineChars="200"/>
              <w:rPr>
                <w:sz w:val="24"/>
              </w:rPr>
            </w:pPr>
            <w:r>
              <w:rPr>
                <w:rFonts w:hint="eastAsia"/>
                <w:sz w:val="24"/>
              </w:rPr>
              <w:t>根据现场勘查，本项目评价范围内未发现珍稀濒危及国家重点保护的野生植，不会对当地野生动物产生明显不利影响。</w:t>
            </w:r>
          </w:p>
          <w:p w14:paraId="0F565A07">
            <w:pPr>
              <w:widowControl/>
              <w:spacing w:line="360" w:lineRule="auto"/>
              <w:ind w:firstLine="482" w:firstLineChars="200"/>
              <w:rPr>
                <w:b/>
                <w:sz w:val="24"/>
              </w:rPr>
            </w:pPr>
            <w:r>
              <w:rPr>
                <w:rFonts w:hint="eastAsia"/>
                <w:b/>
                <w:sz w:val="24"/>
              </w:rPr>
              <w:t>（3）对水生生态保护措施</w:t>
            </w:r>
          </w:p>
          <w:p w14:paraId="31078C1F">
            <w:pPr>
              <w:widowControl/>
              <w:spacing w:line="360" w:lineRule="auto"/>
              <w:ind w:firstLine="480" w:firstLineChars="200"/>
              <w:rPr>
                <w:sz w:val="24"/>
              </w:rPr>
            </w:pPr>
            <w:r>
              <w:rPr>
                <w:rFonts w:hint="eastAsia"/>
                <w:sz w:val="24"/>
              </w:rPr>
              <w:t>本项目施工期对水生生态的直接影响是施工人员集中活动和工程施工过程对水生生物的影响。项目沿线河道水体中，水生生物主要水生动物为鲤鱼、鳃鱼、鲢鱼、沙娼子、泥鲋、黄鳝、青鳝等，都为当地常见鱼类，且由于人类频繁活动导致目前上述常见鱼类出现的频率也越来越少。评价范围内未发现现有国家重点保护鱼类和珍稀濒危鱼类。</w:t>
            </w:r>
          </w:p>
          <w:p w14:paraId="66597A3B">
            <w:pPr>
              <w:widowControl/>
              <w:spacing w:line="360" w:lineRule="auto"/>
              <w:ind w:firstLine="480" w:firstLineChars="200"/>
              <w:rPr>
                <w:sz w:val="24"/>
              </w:rPr>
            </w:pPr>
            <w:r>
              <w:rPr>
                <w:rFonts w:hint="eastAsia"/>
                <w:sz w:val="24"/>
              </w:rPr>
              <w:t>由于本工程的跨越水体的规模较小，本项目桥梁均不设涉水桥墩，施工时由于工艺较为简单，规模较小，使用的机械不多，可以采取以下措施减少施工期间对水生生态的影响：①合理规划路线，尽量减少河道的占用面积；②避开雨季施工，选在枯水期对该路段进行施工；③分段施工、合理安排工期、尽量缩短工期；④采取临时倒排措施；⑤施工开挖土石合理妥善处置，禁止倾倒入水体。经采取上述措施后，本项目施工期对水生生态影响较小。</w:t>
            </w:r>
          </w:p>
          <w:p w14:paraId="6905777B">
            <w:pPr>
              <w:widowControl/>
              <w:spacing w:line="360" w:lineRule="auto"/>
              <w:ind w:firstLine="482" w:firstLineChars="200"/>
              <w:rPr>
                <w:b/>
                <w:sz w:val="24"/>
              </w:rPr>
            </w:pPr>
            <w:r>
              <w:rPr>
                <w:rFonts w:hint="eastAsia"/>
                <w:b/>
                <w:sz w:val="24"/>
              </w:rPr>
              <w:t>（4）施工结束后生态恢复措施</w:t>
            </w:r>
          </w:p>
          <w:p w14:paraId="12FC612F">
            <w:pPr>
              <w:widowControl/>
              <w:spacing w:line="360" w:lineRule="auto"/>
              <w:ind w:firstLine="482" w:firstLineChars="200"/>
              <w:rPr>
                <w:b/>
                <w:sz w:val="24"/>
              </w:rPr>
            </w:pPr>
            <w:r>
              <w:rPr>
                <w:rFonts w:hint="eastAsia"/>
                <w:b/>
                <w:sz w:val="24"/>
              </w:rPr>
              <w:t>1）施工迹地恢复要求</w:t>
            </w:r>
          </w:p>
          <w:p w14:paraId="252188EC">
            <w:pPr>
              <w:widowControl/>
              <w:spacing w:line="360" w:lineRule="auto"/>
              <w:ind w:firstLine="480" w:firstLineChars="200"/>
              <w:rPr>
                <w:sz w:val="24"/>
              </w:rPr>
            </w:pPr>
            <w:r>
              <w:rPr>
                <w:rFonts w:hint="eastAsia"/>
                <w:sz w:val="24"/>
              </w:rPr>
              <w:t>针对工程的具体情况，最大限度减少对地表植被的破坏和人为造成的新的水土流失，保护、改善和合理利用水土资源，促进生态环境向良性循环发展。尽可能将点上重点治理和面上一般防治、植物措施与工程措施、防治水土流失与治理土壤侵蚀和提高土地生产力有机结合起来，统筹安排各类水土保持措施，并经优化布局，形成完整的水土流失防治体系。竣工后及时拆除施工场地等临时设施，并对临时占地并进行迹地恢复。</w:t>
            </w:r>
          </w:p>
          <w:p w14:paraId="1494C4C1">
            <w:pPr>
              <w:widowControl/>
              <w:spacing w:line="360" w:lineRule="auto"/>
              <w:ind w:firstLine="480" w:firstLineChars="200"/>
              <w:rPr>
                <w:sz w:val="24"/>
              </w:rPr>
            </w:pPr>
            <w:r>
              <w:rPr>
                <w:rFonts w:hint="eastAsia"/>
                <w:sz w:val="24"/>
              </w:rPr>
              <w:t>对施工区形成的裸地要及时采取工程措施，可绿化的土地要全部进行绿化。施工期产生的各类垃圾分类清理打扫干净后，施工单位方可退场，防止施工期固废挤占植被生存空间。加强对水土流失的综合治理，严格按照水土保持方案做好水土保持工作。对临时占地做好植被恢复工作，增加区域绿地面积，对主道两侧选用区内主体树种和特点树种进行配置，并间以与此相协调的灌木和地被植物。</w:t>
            </w:r>
          </w:p>
          <w:p w14:paraId="3C1F0A97">
            <w:pPr>
              <w:widowControl/>
              <w:spacing w:line="360" w:lineRule="auto"/>
              <w:ind w:firstLine="482" w:firstLineChars="200"/>
              <w:rPr>
                <w:b/>
                <w:sz w:val="24"/>
              </w:rPr>
            </w:pPr>
            <w:r>
              <w:rPr>
                <w:rFonts w:hint="eastAsia"/>
                <w:b/>
                <w:sz w:val="24"/>
              </w:rPr>
              <w:t>2）临时用地复垦计划</w:t>
            </w:r>
          </w:p>
          <w:p w14:paraId="304F6692">
            <w:pPr>
              <w:widowControl/>
              <w:spacing w:line="360" w:lineRule="auto"/>
              <w:ind w:firstLine="480" w:firstLineChars="200"/>
              <w:rPr>
                <w:sz w:val="24"/>
              </w:rPr>
            </w:pPr>
            <w:r>
              <w:rPr>
                <w:rFonts w:hint="eastAsia"/>
                <w:sz w:val="24"/>
              </w:rPr>
              <w:t>本项目的临时工程占地主要是林地、耕地、其它土地，施工结束后应进行土地恢复、复垦。土地复垦工作应遵循“谁破坏，谁复垦”的原则，根据《土地复垦条例》（国务院令第592号）的要求，执行以下原则。</w:t>
            </w:r>
          </w:p>
          <w:p w14:paraId="22CEE87A">
            <w:pPr>
              <w:widowControl/>
              <w:spacing w:line="360" w:lineRule="auto"/>
              <w:ind w:firstLine="480" w:firstLineChars="200"/>
              <w:rPr>
                <w:sz w:val="24"/>
              </w:rPr>
            </w:pPr>
            <w:r>
              <w:rPr>
                <w:rFonts w:hint="eastAsia"/>
                <w:sz w:val="24"/>
              </w:rPr>
              <w:t>①耕作土剥离。工程开工前，施工单位应先将临时占地范围内涉及耕地的耕作土50cm先行剥离，到指定的场地单独堆放，作为后期场地恢复覆土土源。</w:t>
            </w:r>
          </w:p>
          <w:p w14:paraId="3C927B7E">
            <w:pPr>
              <w:widowControl/>
              <w:spacing w:line="360" w:lineRule="auto"/>
              <w:ind w:firstLine="480" w:firstLineChars="200"/>
              <w:rPr>
                <w:sz w:val="24"/>
              </w:rPr>
            </w:pPr>
            <w:r>
              <w:rPr>
                <w:rFonts w:hint="eastAsia"/>
                <w:sz w:val="24"/>
              </w:rPr>
              <w:t>②场地清理。工程施工完成后，施工单位应负责将砼坪等地面构筑物清除。土地开发。场地清理后，首先应进行场地平整，然后在初步平整的场地上回填底层土平整压实，再将原有耕作土回填平整。</w:t>
            </w:r>
          </w:p>
          <w:p w14:paraId="2DF9EF37">
            <w:pPr>
              <w:widowControl/>
              <w:spacing w:line="360" w:lineRule="auto"/>
              <w:ind w:firstLine="480" w:firstLineChars="200"/>
              <w:rPr>
                <w:sz w:val="24"/>
              </w:rPr>
            </w:pPr>
            <w:r>
              <w:rPr>
                <w:rFonts w:hint="eastAsia"/>
                <w:sz w:val="24"/>
              </w:rPr>
              <w:t>③土壤熟化。由于施工期间耕作土长时间堆放，容易造成土壤板结和养分流失，对于复垦的土地必须施加各类肥料以增强土地肥力。</w:t>
            </w:r>
          </w:p>
          <w:p w14:paraId="01D54846">
            <w:pPr>
              <w:widowControl/>
              <w:spacing w:line="360" w:lineRule="auto"/>
              <w:ind w:firstLine="480" w:firstLineChars="200"/>
              <w:rPr>
                <w:sz w:val="24"/>
              </w:rPr>
            </w:pPr>
            <w:r>
              <w:rPr>
                <w:rFonts w:hint="eastAsia"/>
                <w:sz w:val="24"/>
              </w:rPr>
              <w:t>建设单位按照土地复垦方案的要求完成土地复垦任务后，按照国务院国土资源主管部门的规定向所在地国土资源主管部门申请验收。</w:t>
            </w:r>
          </w:p>
          <w:p w14:paraId="6544898C">
            <w:pPr>
              <w:widowControl/>
              <w:spacing w:line="360" w:lineRule="auto"/>
              <w:ind w:firstLine="480" w:firstLineChars="200"/>
              <w:rPr>
                <w:lang w:bidi="ar"/>
              </w:rPr>
            </w:pPr>
            <w:r>
              <w:rPr>
                <w:rFonts w:hint="eastAsia"/>
                <w:bCs/>
                <w:sz w:val="24"/>
              </w:rPr>
              <w:t>综上所述，本项目在建设期间，对周围环境会产生一定影响，建设单位应该要求施工单位遵守国家和地方环境保护等有关法律法规及各种要求，加强施工管理、文明施工，并采取适当的防治措施，使污染物对环境的影响降到最低限度，则该项目的施工期影响随施工结束逐渐消失，对周围环境不会造成太大的影响。</w:t>
            </w:r>
          </w:p>
        </w:tc>
      </w:tr>
      <w:tr w14:paraId="752FCE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6" w:hRule="atLeast"/>
          <w:jc w:val="center"/>
        </w:trPr>
        <w:tc>
          <w:tcPr>
            <w:tcW w:w="753" w:type="dxa"/>
            <w:tcMar>
              <w:left w:w="28" w:type="dxa"/>
              <w:right w:w="28" w:type="dxa"/>
            </w:tcMar>
            <w:vAlign w:val="center"/>
          </w:tcPr>
          <w:p w14:paraId="5825F277">
            <w:pPr>
              <w:adjustRightInd w:val="0"/>
              <w:snapToGrid w:val="0"/>
              <w:jc w:val="center"/>
              <w:rPr>
                <w:rFonts w:ascii="宋体" w:hAnsi="宋体" w:cs="宋体"/>
                <w:b/>
                <w:bCs/>
                <w:spacing w:val="10"/>
                <w:szCs w:val="21"/>
              </w:rPr>
            </w:pPr>
            <w:r>
              <w:rPr>
                <w:rFonts w:hint="eastAsia" w:ascii="宋体" w:hAnsi="宋体" w:cs="宋体"/>
                <w:b/>
                <w:bCs/>
                <w:spacing w:val="10"/>
                <w:sz w:val="24"/>
                <w:szCs w:val="21"/>
              </w:rPr>
              <w:t>运营期生态环境保护措施</w:t>
            </w:r>
          </w:p>
        </w:tc>
        <w:tc>
          <w:tcPr>
            <w:tcW w:w="8457" w:type="dxa"/>
          </w:tcPr>
          <w:p w14:paraId="022452E0">
            <w:pPr>
              <w:kinsoku w:val="0"/>
              <w:wordWrap w:val="0"/>
              <w:adjustRightInd w:val="0"/>
              <w:snapToGrid w:val="0"/>
              <w:spacing w:line="360" w:lineRule="auto"/>
              <w:ind w:firstLine="480"/>
              <w:rPr>
                <w:sz w:val="24"/>
              </w:rPr>
            </w:pPr>
            <w:r>
              <w:rPr>
                <w:rFonts w:hint="eastAsia"/>
                <w:sz w:val="24"/>
              </w:rPr>
              <w:t>本项目主要的环境影响因素均体现在施工期；项目进入营运期后，对生态环境、水环境、大气环境、声环境等存在较小的影响。</w:t>
            </w:r>
          </w:p>
          <w:p w14:paraId="29FA378B">
            <w:pPr>
              <w:pStyle w:val="69"/>
              <w:ind w:firstLine="0" w:firstLineChars="0"/>
              <w:rPr>
                <w:b/>
              </w:rPr>
            </w:pPr>
            <w:r>
              <w:rPr>
                <w:rFonts w:hint="eastAsia"/>
                <w:b/>
                <w:lang w:bidi="ar"/>
              </w:rPr>
              <w:t>1、运营期大气环境保护措施</w:t>
            </w:r>
          </w:p>
          <w:p w14:paraId="678D8C9E">
            <w:pPr>
              <w:pStyle w:val="69"/>
              <w:ind w:firstLine="480"/>
            </w:pPr>
            <w:r>
              <w:t>从长远来看，拟建项目汽车尾气对环境的影响不大。但为进一步降低道路建成后汽车尾气对环境的影响，本次评价要求项目营运后应采取以下措施：</w:t>
            </w:r>
          </w:p>
          <w:p w14:paraId="76198609">
            <w:pPr>
              <w:pStyle w:val="69"/>
              <w:numPr>
                <w:ilvl w:val="0"/>
                <w:numId w:val="7"/>
              </w:numPr>
              <w:ind w:left="0" w:firstLine="420" w:firstLineChars="0"/>
            </w:pPr>
            <w:r>
              <w:t>加强绿化措施，有针对性地优化绿化树种、绿化结构和层次，提高绿化防治效果。在道路两侧绿化选种时，尽可能有计划选择吸尘降噪效果较好的植物，减少气态污染物对周围环境的影响。</w:t>
            </w:r>
          </w:p>
          <w:p w14:paraId="0F9752C8">
            <w:pPr>
              <w:pStyle w:val="69"/>
              <w:numPr>
                <w:ilvl w:val="0"/>
                <w:numId w:val="7"/>
              </w:numPr>
              <w:ind w:left="0" w:firstLine="420" w:firstLineChars="0"/>
            </w:pPr>
            <w:r>
              <w:t>加强交通管理，规定车速范围，减少事故发生。</w:t>
            </w:r>
          </w:p>
          <w:p w14:paraId="59F33655">
            <w:pPr>
              <w:pStyle w:val="69"/>
              <w:numPr>
                <w:ilvl w:val="0"/>
                <w:numId w:val="7"/>
              </w:numPr>
              <w:ind w:left="0" w:firstLine="420" w:firstLineChars="0"/>
            </w:pPr>
            <w:r>
              <w:t>做好路面维护，定期对路面进行清扫。</w:t>
            </w:r>
          </w:p>
          <w:p w14:paraId="777D0AE1">
            <w:pPr>
              <w:pStyle w:val="69"/>
              <w:numPr>
                <w:ilvl w:val="0"/>
                <w:numId w:val="7"/>
              </w:numPr>
              <w:ind w:left="0" w:firstLine="420" w:firstLineChars="0"/>
            </w:pPr>
            <w:r>
              <w:t>加大环境管理力度，做好道路路面及绿化的维护工作。</w:t>
            </w:r>
          </w:p>
          <w:p w14:paraId="4CD6F46D">
            <w:pPr>
              <w:pStyle w:val="69"/>
              <w:ind w:firstLine="420" w:firstLineChars="0"/>
            </w:pPr>
            <w:r>
              <w:t>综上所述</w:t>
            </w:r>
            <w:r>
              <w:rPr>
                <w:spacing w:val="-46"/>
              </w:rPr>
              <w:t>，</w:t>
            </w:r>
            <w:r>
              <w:t>在采取上述措施后</w:t>
            </w:r>
            <w:r>
              <w:rPr>
                <w:spacing w:val="-44"/>
              </w:rPr>
              <w:t>，</w:t>
            </w:r>
            <w:r>
              <w:t>可最大限度减缓项目汽车尾气及道路扬尘对区域大气环境的影响。</w:t>
            </w:r>
          </w:p>
          <w:p w14:paraId="0853880E">
            <w:pPr>
              <w:pStyle w:val="69"/>
              <w:ind w:firstLine="0" w:firstLineChars="0"/>
              <w:rPr>
                <w:b/>
              </w:rPr>
            </w:pPr>
            <w:r>
              <w:rPr>
                <w:rFonts w:hint="eastAsia"/>
                <w:b/>
                <w:lang w:bidi="ar"/>
              </w:rPr>
              <w:t>2、运营期地表水污染防治措施</w:t>
            </w:r>
          </w:p>
          <w:p w14:paraId="5431B737">
            <w:pPr>
              <w:spacing w:line="360" w:lineRule="auto"/>
              <w:ind w:firstLine="480" w:firstLineChars="200"/>
              <w:rPr>
                <w:rFonts w:ascii="宋体" w:hAnsi="宋体" w:cs="宋体"/>
                <w:sz w:val="24"/>
              </w:rPr>
            </w:pPr>
            <w:r>
              <w:rPr>
                <w:rFonts w:hint="eastAsia" w:ascii="宋体" w:hAnsi="宋体" w:cs="宋体"/>
                <w:sz w:val="24"/>
              </w:rPr>
              <w:t>项目建成后，道路全路段由分路段指派专人负责卫生，如发现车辆物料洒落及时清扫。根据国内研究资料和评价资料统计，路面径流对水体的污染多发生在降雨初期随着降雨时间延长，路面径流中污染物含量降低，对水体的污染也随之减少，正常情况下路面雨污水排放对地表水水质不会造成污染影响。</w:t>
            </w:r>
          </w:p>
          <w:p w14:paraId="61BA66C9">
            <w:pPr>
              <w:spacing w:line="360" w:lineRule="auto"/>
              <w:ind w:firstLine="480" w:firstLineChars="200"/>
              <w:rPr>
                <w:rFonts w:ascii="宋体" w:hAnsi="宋体" w:cs="宋体"/>
                <w:sz w:val="24"/>
              </w:rPr>
            </w:pPr>
            <w:r>
              <w:rPr>
                <w:rFonts w:hint="eastAsia" w:ascii="宋体" w:hAnsi="宋体" w:cs="宋体"/>
                <w:sz w:val="24"/>
              </w:rPr>
              <w:t>营运期因车辆事故造成有毒、有害物质外泄，在未采取应急措施进行处理的情况下，致使有毒、有害物质进入地面水体而造成污染事故。交通管理部门加强对道路运输车辆类型、运输货物类型进行管理，保证运输车辆正常行驶，尽量避免运输车辆风险事故的发生。同时环评建议：对道路绿化带应合理、适当施肥、喷洒农药，避免过度施肥、用药对地表水产生污染。</w:t>
            </w:r>
          </w:p>
          <w:p w14:paraId="54AF93EB">
            <w:pPr>
              <w:spacing w:line="360" w:lineRule="auto"/>
              <w:ind w:firstLine="480" w:firstLineChars="200"/>
              <w:rPr>
                <w:rFonts w:ascii="宋体" w:hAnsi="宋体" w:cs="宋体"/>
                <w:sz w:val="24"/>
              </w:rPr>
            </w:pPr>
            <w:r>
              <w:rPr>
                <w:rFonts w:hint="eastAsia" w:ascii="宋体" w:hAnsi="宋体" w:cs="宋体"/>
                <w:sz w:val="24"/>
              </w:rPr>
              <w:t>根据建设单位提供设计资料，项目建成后道路两侧地块内的建设项目产生的雨水、污水顺利接入市政规划雨、污管网。本次环评建议：道路应结合道路两侧用地性质，预留支管检查井位置，方便雨污水顺利接管。</w:t>
            </w:r>
          </w:p>
          <w:p w14:paraId="1545E71C">
            <w:pPr>
              <w:pStyle w:val="69"/>
              <w:ind w:firstLine="0" w:firstLineChars="0"/>
              <w:rPr>
                <w:b/>
                <w:lang w:bidi="ar"/>
              </w:rPr>
            </w:pPr>
            <w:r>
              <w:rPr>
                <w:rFonts w:hint="eastAsia"/>
                <w:b/>
                <w:lang w:bidi="ar"/>
              </w:rPr>
              <w:t>3、营运期噪声污染防治措施</w:t>
            </w:r>
          </w:p>
          <w:p w14:paraId="476F1CEF">
            <w:pPr>
              <w:spacing w:line="360" w:lineRule="auto"/>
              <w:ind w:firstLine="480" w:firstLineChars="200"/>
              <w:rPr>
                <w:rFonts w:ascii="宋体" w:hAnsi="宋体" w:cs="宋体"/>
                <w:sz w:val="24"/>
              </w:rPr>
            </w:pPr>
            <w:r>
              <w:rPr>
                <w:rFonts w:hint="eastAsia" w:ascii="宋体" w:hAnsi="宋体" w:cs="宋体"/>
                <w:sz w:val="24"/>
              </w:rPr>
              <w:t>针对本项目情况，本次环评提出以下措施来防止噪声对周围环境的影响：</w:t>
            </w:r>
          </w:p>
          <w:p w14:paraId="64AF93FA">
            <w:pPr>
              <w:spacing w:line="360" w:lineRule="auto"/>
              <w:ind w:firstLine="482" w:firstLineChars="200"/>
              <w:rPr>
                <w:rFonts w:ascii="宋体" w:hAnsi="宋体" w:cs="宋体"/>
                <w:b/>
                <w:sz w:val="24"/>
              </w:rPr>
            </w:pPr>
            <w:r>
              <w:rPr>
                <w:rFonts w:hint="eastAsia" w:ascii="宋体" w:hAnsi="宋体" w:cs="宋体"/>
                <w:b/>
                <w:sz w:val="24"/>
              </w:rPr>
              <w:t>（1）规划建议</w:t>
            </w:r>
          </w:p>
          <w:p w14:paraId="3E921EBB">
            <w:pPr>
              <w:spacing w:line="360" w:lineRule="auto"/>
              <w:ind w:firstLine="480" w:firstLineChars="200"/>
              <w:rPr>
                <w:sz w:val="24"/>
              </w:rPr>
            </w:pPr>
            <w:r>
              <w:rPr>
                <w:rFonts w:hint="eastAsia" w:ascii="宋体" w:hAnsi="宋体" w:cs="宋体"/>
                <w:sz w:val="24"/>
              </w:rPr>
              <w:t>根据《中华人民共和国噪声污染防治法》第三章、第二十六条“建设噪声敏感建筑物，应当符合民用建筑隔声设计相关标准要求，不符合标准要求的，不得通过验收、交付使用；在交通干线两侧、工业企业周边等地方建设噪声敏感建筑物，还应当按照规定间隔一定距离，并采取减少振动、降低噪声的措施”的规定，应对道路两侧土地进行合理规划，严格控制沿线土地的使用功能。原则上噪声规划控制距离以内区域，不宜新建、扩建学校、医院和集中居民住宅区等敏感建筑。本次环评建议合理规划道路两侧土地功能的同时，应加强建筑布局和</w:t>
            </w:r>
            <w:r>
              <w:rPr>
                <w:sz w:val="24"/>
              </w:rPr>
              <w:t>隔声设计，保证敏感建筑室内环境能满足使用功能的要求。</w:t>
            </w:r>
          </w:p>
          <w:p w14:paraId="3898E6A7">
            <w:pPr>
              <w:spacing w:line="360" w:lineRule="auto"/>
              <w:ind w:firstLine="480" w:firstLineChars="200"/>
              <w:rPr>
                <w:sz w:val="24"/>
              </w:rPr>
            </w:pPr>
            <w:r>
              <w:rPr>
                <w:sz w:val="24"/>
              </w:rPr>
              <w:t>根据《</w:t>
            </w:r>
            <w:r>
              <w:rPr>
                <w:rFonts w:hint="eastAsia"/>
                <w:sz w:val="24"/>
              </w:rPr>
              <w:t>大英县国土空间总体规划》（2021-2035）</w:t>
            </w:r>
            <w:r>
              <w:rPr>
                <w:sz w:val="24"/>
              </w:rPr>
              <w:t>，项目沿线两侧分布有</w:t>
            </w:r>
            <w:r>
              <w:rPr>
                <w:rFonts w:hint="eastAsia"/>
                <w:sz w:val="24"/>
              </w:rPr>
              <w:t>居住</w:t>
            </w:r>
            <w:r>
              <w:rPr>
                <w:sz w:val="24"/>
              </w:rPr>
              <w:t>用地、</w:t>
            </w:r>
            <w:r>
              <w:rPr>
                <w:rFonts w:hint="eastAsia"/>
                <w:sz w:val="24"/>
              </w:rPr>
              <w:t>商业</w:t>
            </w:r>
            <w:r>
              <w:rPr>
                <w:sz w:val="24"/>
              </w:rPr>
              <w:t>用地及公园绿地，故对今后区域规划提出如下建议：</w:t>
            </w:r>
          </w:p>
          <w:p w14:paraId="2DD8D54B">
            <w:pPr>
              <w:spacing w:line="360" w:lineRule="auto"/>
              <w:ind w:firstLine="480" w:firstLineChars="200"/>
              <w:rPr>
                <w:sz w:val="24"/>
              </w:rPr>
            </w:pPr>
            <w:r>
              <w:rPr>
                <w:rFonts w:hint="eastAsia" w:ascii="宋体" w:hAnsi="宋体" w:cs="宋体"/>
                <w:sz w:val="24"/>
              </w:rPr>
              <w:t>①</w:t>
            </w:r>
            <w:r>
              <w:rPr>
                <w:sz w:val="24"/>
              </w:rPr>
              <w:t>道路两侧建设住宅等敏感建筑时，应考虑建筑退距，在满足相关设计规范的基础上，结合本项目情况，最大程度保持与本项目的距离；</w:t>
            </w:r>
          </w:p>
          <w:p w14:paraId="68457A5F">
            <w:pPr>
              <w:spacing w:line="360" w:lineRule="auto"/>
              <w:ind w:firstLine="480" w:firstLineChars="200"/>
              <w:rPr>
                <w:rFonts w:ascii="宋体" w:hAnsi="宋体" w:cs="宋体"/>
                <w:sz w:val="24"/>
              </w:rPr>
            </w:pPr>
            <w:r>
              <w:rPr>
                <w:rFonts w:hint="eastAsia" w:ascii="宋体" w:hAnsi="宋体" w:cs="宋体"/>
                <w:sz w:val="24"/>
              </w:rPr>
              <w:t>②</w:t>
            </w:r>
            <w:r>
              <w:rPr>
                <w:sz w:val="24"/>
              </w:rPr>
              <w:t>新建敏感建筑物时，其建设单位应做好噪声污染防治工作，使其建设的敏感建筑物符合民用建筑设计相关标准要求，</w:t>
            </w:r>
            <w:r>
              <w:rPr>
                <w:rFonts w:hint="eastAsia" w:ascii="宋体" w:hAnsi="宋体" w:cs="宋体"/>
                <w:sz w:val="24"/>
              </w:rPr>
              <w:t>并预留资金防止其建成后受到交通噪声影响；</w:t>
            </w:r>
          </w:p>
          <w:p w14:paraId="7E66A812">
            <w:pPr>
              <w:spacing w:line="360" w:lineRule="auto"/>
              <w:ind w:firstLine="480" w:firstLineChars="200"/>
              <w:rPr>
                <w:rFonts w:ascii="宋体" w:hAnsi="宋体" w:cs="宋体"/>
                <w:sz w:val="24"/>
              </w:rPr>
            </w:pPr>
            <w:r>
              <w:rPr>
                <w:rFonts w:hint="eastAsia" w:ascii="宋体" w:hAnsi="宋体" w:cs="宋体"/>
                <w:sz w:val="24"/>
              </w:rPr>
              <w:t>③新建敏感建筑时，应考虑优化建筑布局或合理规划临近道路的第一排房屋的建筑使用功能，合理布局朝向，布局时将卧房、书房等需要保持安静的房间设置在背对本道路的位置。</w:t>
            </w:r>
          </w:p>
          <w:p w14:paraId="7F10A060">
            <w:pPr>
              <w:spacing w:line="360" w:lineRule="auto"/>
              <w:ind w:firstLine="482" w:firstLineChars="200"/>
              <w:rPr>
                <w:b/>
                <w:sz w:val="24"/>
              </w:rPr>
            </w:pPr>
            <w:r>
              <w:rPr>
                <w:b/>
                <w:sz w:val="24"/>
              </w:rPr>
              <w:t>（2）噪声防治措施</w:t>
            </w:r>
          </w:p>
          <w:p w14:paraId="21029603">
            <w:pPr>
              <w:spacing w:line="360" w:lineRule="auto"/>
              <w:ind w:firstLine="480" w:firstLineChars="200"/>
              <w:rPr>
                <w:sz w:val="24"/>
              </w:rPr>
            </w:pPr>
            <w:r>
              <w:rPr>
                <w:sz w:val="24"/>
              </w:rPr>
              <w:t>在项目运营期间，为保障道路两侧良好的声环境质量，必须采取一系列措施，包括合理构建交通网络、合理确定道路两侧功能分区和建设布局、工程降噪措施、工程管理措施等。采取的噪声防治措施如下：</w:t>
            </w:r>
          </w:p>
          <w:p w14:paraId="4F8D6E25">
            <w:pPr>
              <w:spacing w:line="360" w:lineRule="auto"/>
              <w:ind w:firstLine="480" w:firstLineChars="200"/>
              <w:rPr>
                <w:sz w:val="24"/>
              </w:rPr>
            </w:pPr>
            <w:r>
              <w:rPr>
                <w:sz w:val="24"/>
              </w:rPr>
              <w:t>1）工程控制措施</w:t>
            </w:r>
          </w:p>
          <w:p w14:paraId="43FF61F4">
            <w:pPr>
              <w:spacing w:line="360" w:lineRule="auto"/>
              <w:ind w:firstLine="480" w:firstLineChars="200"/>
              <w:rPr>
                <w:sz w:val="24"/>
              </w:rPr>
            </w:pPr>
            <w:r>
              <w:rPr>
                <w:rFonts w:hint="eastAsia" w:ascii="宋体" w:hAnsi="宋体" w:cs="宋体"/>
                <w:sz w:val="24"/>
              </w:rPr>
              <w:t>①</w:t>
            </w:r>
            <w:r>
              <w:rPr>
                <w:sz w:val="24"/>
              </w:rPr>
              <w:t>靠近道路一侧建筑物墙外宜种植适宜乔木，起到绿化隔离作用，枝叶茂密又不影响交通，树木的种植可对交通噪声起到一定程度的阻隔。</w:t>
            </w:r>
          </w:p>
          <w:p w14:paraId="0E259052">
            <w:pPr>
              <w:spacing w:line="360" w:lineRule="auto"/>
              <w:ind w:firstLine="480" w:firstLineChars="200"/>
              <w:rPr>
                <w:rFonts w:ascii="宋体" w:hAnsi="宋体" w:cs="宋体"/>
                <w:sz w:val="24"/>
              </w:rPr>
            </w:pPr>
            <w:r>
              <w:rPr>
                <w:rFonts w:hint="eastAsia" w:ascii="宋体" w:hAnsi="宋体" w:cs="宋体"/>
                <w:sz w:val="24"/>
              </w:rPr>
              <w:t>②本项目路面采用</w:t>
            </w:r>
            <w:r>
              <w:rPr>
                <w:rFonts w:eastAsia="隶书"/>
                <w:sz w:val="24"/>
              </w:rPr>
              <w:t>SMA</w:t>
            </w:r>
            <w:r>
              <w:rPr>
                <w:rFonts w:hint="eastAsia" w:eastAsia="隶书"/>
                <w:sz w:val="24"/>
              </w:rPr>
              <w:t>（SBS）</w:t>
            </w:r>
            <w:r>
              <w:rPr>
                <w:rFonts w:hint="eastAsia" w:ascii="宋体" w:hAnsi="宋体" w:cs="宋体"/>
                <w:sz w:val="24"/>
              </w:rPr>
              <w:t>吸声降噪沥青混凝土路面，能有效降低车辆行驶过程中产生的交通噪声；</w:t>
            </w:r>
          </w:p>
          <w:p w14:paraId="09E67F0E">
            <w:pPr>
              <w:spacing w:line="360" w:lineRule="auto"/>
              <w:ind w:firstLine="480" w:firstLineChars="200"/>
              <w:rPr>
                <w:sz w:val="24"/>
              </w:rPr>
            </w:pPr>
            <w:r>
              <w:rPr>
                <w:rFonts w:hint="eastAsia" w:ascii="宋体" w:hAnsi="宋体" w:cs="宋体"/>
                <w:sz w:val="24"/>
              </w:rPr>
              <w:t>③</w:t>
            </w:r>
            <w:r>
              <w:rPr>
                <w:sz w:val="24"/>
              </w:rPr>
              <w:t>加强路面维护，做好路面清洁，定期修补破损路面。</w:t>
            </w:r>
          </w:p>
          <w:p w14:paraId="315A5F75">
            <w:pPr>
              <w:spacing w:line="360" w:lineRule="auto"/>
              <w:ind w:firstLine="480" w:firstLineChars="200"/>
              <w:rPr>
                <w:sz w:val="24"/>
              </w:rPr>
            </w:pPr>
            <w:r>
              <w:rPr>
                <w:sz w:val="24"/>
              </w:rPr>
              <w:t>2）管理控制措施</w:t>
            </w:r>
          </w:p>
          <w:p w14:paraId="463065AE">
            <w:pPr>
              <w:spacing w:line="360" w:lineRule="auto"/>
              <w:ind w:firstLine="480" w:firstLineChars="200"/>
              <w:rPr>
                <w:sz w:val="24"/>
              </w:rPr>
            </w:pPr>
            <w:r>
              <w:rPr>
                <w:rFonts w:hint="eastAsia" w:ascii="宋体" w:hAnsi="宋体" w:cs="宋体"/>
                <w:sz w:val="24"/>
              </w:rPr>
              <w:t>①</w:t>
            </w:r>
            <w:r>
              <w:rPr>
                <w:sz w:val="24"/>
              </w:rPr>
              <w:t>加强道路管理，严格控制过往车辆车速，禁止超速行驶，并禁止鸣笛。</w:t>
            </w:r>
          </w:p>
          <w:p w14:paraId="7FF51DE0">
            <w:pPr>
              <w:spacing w:line="360" w:lineRule="auto"/>
              <w:ind w:firstLine="480" w:firstLineChars="200"/>
              <w:rPr>
                <w:sz w:val="24"/>
              </w:rPr>
            </w:pPr>
            <w:r>
              <w:rPr>
                <w:rFonts w:hint="eastAsia" w:ascii="宋体" w:hAnsi="宋体" w:cs="宋体"/>
                <w:sz w:val="24"/>
              </w:rPr>
              <w:t>②</w:t>
            </w:r>
            <w:r>
              <w:rPr>
                <w:sz w:val="24"/>
              </w:rPr>
              <w:t>加强交通管理，避免因交通拥堵而造成噪声超标。</w:t>
            </w:r>
          </w:p>
          <w:p w14:paraId="093270C1">
            <w:pPr>
              <w:spacing w:line="360" w:lineRule="auto"/>
              <w:ind w:firstLine="480" w:firstLineChars="200"/>
              <w:rPr>
                <w:sz w:val="24"/>
              </w:rPr>
            </w:pPr>
            <w:r>
              <w:rPr>
                <w:rFonts w:hint="eastAsia" w:ascii="宋体" w:hAnsi="宋体" w:cs="宋体"/>
                <w:sz w:val="24"/>
              </w:rPr>
              <w:t>③</w:t>
            </w:r>
            <w:r>
              <w:rPr>
                <w:sz w:val="24"/>
              </w:rPr>
              <w:t>营运期加强噪声监测，如监测过程中发现</w:t>
            </w:r>
            <w:r>
              <w:rPr>
                <w:rFonts w:hint="eastAsia"/>
                <w:sz w:val="24"/>
              </w:rPr>
              <w:t>因交通噪声造成的现状敏感点噪声超标</w:t>
            </w:r>
            <w:r>
              <w:rPr>
                <w:sz w:val="24"/>
              </w:rPr>
              <w:t>，应提出相应的噪声防治措施。</w:t>
            </w:r>
          </w:p>
          <w:p w14:paraId="66431C2C">
            <w:pPr>
              <w:spacing w:line="360" w:lineRule="auto"/>
              <w:rPr>
                <w:b/>
                <w:sz w:val="24"/>
              </w:rPr>
            </w:pPr>
            <w:r>
              <w:rPr>
                <w:b/>
                <w:sz w:val="24"/>
              </w:rPr>
              <w:t>4、营运期固体废物处置措施</w:t>
            </w:r>
          </w:p>
          <w:p w14:paraId="48F76808">
            <w:pPr>
              <w:spacing w:line="360" w:lineRule="auto"/>
              <w:ind w:firstLine="480" w:firstLineChars="200"/>
              <w:rPr>
                <w:sz w:val="24"/>
              </w:rPr>
            </w:pPr>
            <w:r>
              <w:rPr>
                <w:sz w:val="24"/>
              </w:rPr>
              <w:t>本项目投入使用后，固体废弃物主要为运输车辆的散落物，行驶车辆</w:t>
            </w:r>
            <w:r>
              <w:rPr>
                <w:rFonts w:hint="eastAsia"/>
                <w:sz w:val="24"/>
              </w:rPr>
              <w:t>及行人沿途丢弃产生的生活垃圾等</w:t>
            </w:r>
            <w:r>
              <w:rPr>
                <w:sz w:val="24"/>
              </w:rPr>
              <w:t>固体废弃物，主要为瓜果皮、塑料袋、纸屑及铝制易拉罐等。由环卫部门统一收集清理，环境影响很小。</w:t>
            </w:r>
          </w:p>
          <w:p w14:paraId="11A0909F">
            <w:pPr>
              <w:spacing w:line="360" w:lineRule="auto"/>
              <w:rPr>
                <w:b/>
                <w:sz w:val="24"/>
              </w:rPr>
            </w:pPr>
            <w:r>
              <w:rPr>
                <w:b/>
                <w:sz w:val="24"/>
              </w:rPr>
              <w:t xml:space="preserve">5、环境风险 </w:t>
            </w:r>
          </w:p>
          <w:p w14:paraId="742E5053">
            <w:pPr>
              <w:spacing w:line="360" w:lineRule="auto"/>
              <w:ind w:firstLine="480" w:firstLineChars="200"/>
              <w:rPr>
                <w:rFonts w:ascii="宋体" w:hAnsi="宋体" w:cs="宋体"/>
                <w:sz w:val="24"/>
              </w:rPr>
            </w:pPr>
            <w:r>
              <w:rPr>
                <w:sz w:val="24"/>
              </w:rPr>
              <w:t>（1）施工期环境风险评</w:t>
            </w:r>
            <w:r>
              <w:rPr>
                <w:rFonts w:hint="eastAsia" w:ascii="宋体" w:hAnsi="宋体" w:cs="宋体"/>
                <w:sz w:val="24"/>
              </w:rPr>
              <w:t xml:space="preserve">价 </w:t>
            </w:r>
          </w:p>
          <w:p w14:paraId="22CDDF45">
            <w:pPr>
              <w:spacing w:line="360" w:lineRule="auto"/>
              <w:ind w:firstLine="480" w:firstLineChars="200"/>
              <w:rPr>
                <w:sz w:val="24"/>
              </w:rPr>
            </w:pPr>
            <w:r>
              <w:rPr>
                <w:sz w:val="24"/>
              </w:rPr>
              <w:t xml:space="preserve">1）环境风险识别 </w:t>
            </w:r>
          </w:p>
          <w:p w14:paraId="5FC092D3">
            <w:pPr>
              <w:spacing w:line="360" w:lineRule="auto"/>
              <w:ind w:firstLine="480" w:firstLineChars="200"/>
              <w:rPr>
                <w:sz w:val="24"/>
              </w:rPr>
            </w:pPr>
            <w:r>
              <w:rPr>
                <w:sz w:val="24"/>
              </w:rPr>
              <w:t xml:space="preserve">道路工程在施工期的环境风险主要是因施工人员不当施工、违规操作或自然因素造成，其风险源项主要包括： </w:t>
            </w:r>
          </w:p>
          <w:p w14:paraId="0EDF18EA">
            <w:pPr>
              <w:spacing w:line="360" w:lineRule="auto"/>
              <w:ind w:firstLine="480" w:firstLineChars="200"/>
              <w:rPr>
                <w:sz w:val="24"/>
              </w:rPr>
            </w:pPr>
            <w:r>
              <w:rPr>
                <w:rFonts w:hint="eastAsia" w:ascii="宋体" w:hAnsi="宋体" w:cs="宋体"/>
                <w:sz w:val="24"/>
              </w:rPr>
              <w:t>①</w:t>
            </w:r>
            <w:r>
              <w:rPr>
                <w:sz w:val="24"/>
              </w:rPr>
              <w:t xml:space="preserve">施工活动引发地质灾害； </w:t>
            </w:r>
          </w:p>
          <w:p w14:paraId="36820A46">
            <w:pPr>
              <w:spacing w:line="360" w:lineRule="auto"/>
              <w:ind w:firstLine="480" w:firstLineChars="200"/>
              <w:rPr>
                <w:sz w:val="24"/>
              </w:rPr>
            </w:pPr>
            <w:r>
              <w:rPr>
                <w:rFonts w:hint="eastAsia" w:ascii="宋体" w:hAnsi="宋体" w:cs="宋体"/>
                <w:sz w:val="24"/>
              </w:rPr>
              <w:t>②</w:t>
            </w:r>
            <w:r>
              <w:rPr>
                <w:sz w:val="24"/>
              </w:rPr>
              <w:t xml:space="preserve">储油罐泄漏、燃爆污染地表水体或造成火险； </w:t>
            </w:r>
          </w:p>
          <w:p w14:paraId="5C15DDBD">
            <w:pPr>
              <w:spacing w:line="360" w:lineRule="auto"/>
              <w:ind w:firstLine="480" w:firstLineChars="200"/>
              <w:rPr>
                <w:sz w:val="24"/>
              </w:rPr>
            </w:pPr>
            <w:r>
              <w:rPr>
                <w:rFonts w:hint="eastAsia" w:ascii="宋体" w:hAnsi="宋体" w:cs="宋体"/>
                <w:sz w:val="24"/>
              </w:rPr>
              <w:t>③</w:t>
            </w:r>
            <w:r>
              <w:rPr>
                <w:sz w:val="24"/>
              </w:rPr>
              <w:t xml:space="preserve">燃油运输车辆泄漏、燃爆污染地表水体。 </w:t>
            </w:r>
          </w:p>
          <w:p w14:paraId="541E998D">
            <w:pPr>
              <w:spacing w:line="360" w:lineRule="auto"/>
              <w:ind w:firstLine="480" w:firstLineChars="200"/>
              <w:rPr>
                <w:sz w:val="24"/>
              </w:rPr>
            </w:pPr>
            <w:r>
              <w:rPr>
                <w:sz w:val="24"/>
              </w:rPr>
              <w:t xml:space="preserve">2）风险影响分析 </w:t>
            </w:r>
          </w:p>
          <w:p w14:paraId="5CF69A93">
            <w:pPr>
              <w:spacing w:line="360" w:lineRule="auto"/>
              <w:ind w:firstLine="480" w:firstLineChars="200"/>
              <w:rPr>
                <w:sz w:val="24"/>
              </w:rPr>
            </w:pPr>
            <w:r>
              <w:rPr>
                <w:rFonts w:hint="eastAsia" w:ascii="宋体" w:hAnsi="宋体" w:cs="宋体"/>
                <w:sz w:val="24"/>
              </w:rPr>
              <w:t>①</w:t>
            </w:r>
            <w:r>
              <w:rPr>
                <w:sz w:val="24"/>
              </w:rPr>
              <w:t xml:space="preserve">施工活动引发地质灾害 </w:t>
            </w:r>
          </w:p>
          <w:p w14:paraId="3087F580">
            <w:pPr>
              <w:spacing w:line="360" w:lineRule="auto"/>
              <w:ind w:firstLine="480" w:firstLineChars="200"/>
              <w:rPr>
                <w:rFonts w:ascii="宋体" w:hAnsi="宋体" w:cs="宋体"/>
                <w:sz w:val="24"/>
              </w:rPr>
            </w:pPr>
            <w:r>
              <w:rPr>
                <w:rFonts w:hint="eastAsia" w:ascii="宋体" w:hAnsi="宋体" w:cs="宋体"/>
                <w:sz w:val="24"/>
              </w:rPr>
              <w:t xml:space="preserve">道路建设项目在施工过程中，可能因大范围土石方挖填或施工机械振动导致沿线不稳定的山体发生崩塌、滑坡等地质灾害。根据施工图阶段地勘报告，本项目不良地质现象及不良工程地质出现的可能性为低，危害性和危险性低，工程地质条件一般。因人为或自然因素引发地质灾害，并造成环境风险事故的几率很小。 </w:t>
            </w:r>
          </w:p>
          <w:p w14:paraId="29504D0B">
            <w:pPr>
              <w:spacing w:line="360" w:lineRule="auto"/>
              <w:ind w:firstLine="480" w:firstLineChars="200"/>
              <w:rPr>
                <w:rFonts w:ascii="宋体" w:hAnsi="宋体" w:cs="宋体"/>
                <w:sz w:val="24"/>
              </w:rPr>
            </w:pPr>
            <w:r>
              <w:rPr>
                <w:rFonts w:hint="eastAsia" w:ascii="宋体" w:hAnsi="宋体" w:cs="宋体"/>
                <w:sz w:val="24"/>
              </w:rPr>
              <w:t xml:space="preserve">②储油罐泄漏、燃爆污染地表水体或造成火险 </w:t>
            </w:r>
          </w:p>
          <w:p w14:paraId="1DF30AD5">
            <w:pPr>
              <w:spacing w:line="360" w:lineRule="auto"/>
              <w:ind w:firstLine="480" w:firstLineChars="200"/>
              <w:rPr>
                <w:rFonts w:ascii="宋体" w:hAnsi="宋体" w:cs="宋体"/>
                <w:sz w:val="24"/>
              </w:rPr>
            </w:pPr>
            <w:r>
              <w:rPr>
                <w:rFonts w:hint="eastAsia" w:ascii="宋体" w:hAnsi="宋体" w:cs="宋体"/>
                <w:sz w:val="24"/>
              </w:rPr>
              <w:t xml:space="preserve">本项目施工场地不进行柴油、汽油、爆炸品等危化物资存储。 </w:t>
            </w:r>
          </w:p>
          <w:p w14:paraId="51EEB1C7">
            <w:pPr>
              <w:spacing w:line="360" w:lineRule="auto"/>
              <w:ind w:firstLine="480" w:firstLineChars="200"/>
              <w:rPr>
                <w:rFonts w:ascii="宋体" w:hAnsi="宋体" w:cs="宋体"/>
                <w:sz w:val="24"/>
              </w:rPr>
            </w:pPr>
            <w:r>
              <w:rPr>
                <w:rFonts w:hint="eastAsia" w:ascii="宋体" w:hAnsi="宋体" w:cs="宋体"/>
                <w:sz w:val="24"/>
              </w:rPr>
              <w:t xml:space="preserve">③燃油运输车辆泄漏、燃爆污染地表水体 </w:t>
            </w:r>
          </w:p>
          <w:p w14:paraId="112E905E">
            <w:pPr>
              <w:spacing w:line="360" w:lineRule="auto"/>
              <w:ind w:firstLine="480" w:firstLineChars="200"/>
              <w:rPr>
                <w:sz w:val="24"/>
              </w:rPr>
            </w:pPr>
            <w:r>
              <w:rPr>
                <w:rFonts w:hint="eastAsia" w:ascii="宋体" w:hAnsi="宋体" w:cs="宋体"/>
                <w:sz w:val="24"/>
              </w:rPr>
              <w:t>该风险源项主要是施工期燃油运输车辆在行驶过程中因交通事故或自然因素</w:t>
            </w:r>
            <w:r>
              <w:rPr>
                <w:sz w:val="24"/>
              </w:rPr>
              <w:t>导致车辆翻覆，燃油泄漏，进而对沿线水体造成环境风险事故。</w:t>
            </w:r>
          </w:p>
          <w:p w14:paraId="676895F1">
            <w:pPr>
              <w:spacing w:line="360" w:lineRule="auto"/>
              <w:ind w:firstLine="480" w:firstLineChars="200"/>
              <w:rPr>
                <w:sz w:val="24"/>
              </w:rPr>
            </w:pPr>
            <w:r>
              <w:rPr>
                <w:sz w:val="24"/>
              </w:rPr>
              <w:t xml:space="preserve">3）风险防范及管控 </w:t>
            </w:r>
          </w:p>
          <w:p w14:paraId="222EF887">
            <w:pPr>
              <w:spacing w:line="360" w:lineRule="auto"/>
              <w:ind w:firstLine="480" w:firstLineChars="200"/>
              <w:rPr>
                <w:sz w:val="24"/>
              </w:rPr>
            </w:pPr>
            <w:r>
              <w:rPr>
                <w:rFonts w:hint="eastAsia" w:ascii="宋体" w:hAnsi="宋体" w:cs="宋体"/>
                <w:sz w:val="24"/>
              </w:rPr>
              <w:t>①</w:t>
            </w:r>
            <w:r>
              <w:rPr>
                <w:sz w:val="24"/>
              </w:rPr>
              <w:t xml:space="preserve">施工活动风险管控措施 </w:t>
            </w:r>
          </w:p>
          <w:p w14:paraId="2B7636B8">
            <w:pPr>
              <w:spacing w:line="360" w:lineRule="auto"/>
              <w:ind w:firstLine="480" w:firstLineChars="200"/>
              <w:rPr>
                <w:sz w:val="24"/>
              </w:rPr>
            </w:pPr>
            <w:r>
              <w:rPr>
                <w:sz w:val="24"/>
              </w:rPr>
              <w:t xml:space="preserve">施工单位在主体工程施工前需严格落实工程设计文件中的地质灾害治理措施，未完成整治之前不得进行施工作业。 </w:t>
            </w:r>
          </w:p>
          <w:p w14:paraId="34D00110">
            <w:pPr>
              <w:spacing w:line="360" w:lineRule="auto"/>
              <w:ind w:firstLine="480" w:firstLineChars="200"/>
              <w:rPr>
                <w:sz w:val="24"/>
              </w:rPr>
            </w:pPr>
            <w:r>
              <w:rPr>
                <w:sz w:val="24"/>
              </w:rPr>
              <w:t xml:space="preserve">在施工中若因引发了新的次生地质灾害点，需立即采取相应的治理措施。 </w:t>
            </w:r>
          </w:p>
          <w:p w14:paraId="787DB56B">
            <w:pPr>
              <w:spacing w:line="360" w:lineRule="auto"/>
              <w:ind w:firstLine="480" w:firstLineChars="200"/>
              <w:rPr>
                <w:sz w:val="24"/>
              </w:rPr>
            </w:pPr>
            <w:r>
              <w:rPr>
                <w:rFonts w:hint="eastAsia" w:ascii="宋体" w:hAnsi="宋体" w:cs="宋体"/>
                <w:sz w:val="24"/>
              </w:rPr>
              <w:t>②</w:t>
            </w:r>
            <w:r>
              <w:rPr>
                <w:sz w:val="24"/>
              </w:rPr>
              <w:t>燃油运输车辆风险防范措施</w:t>
            </w:r>
          </w:p>
          <w:p w14:paraId="4C495976">
            <w:pPr>
              <w:spacing w:line="360" w:lineRule="auto"/>
              <w:ind w:firstLine="480" w:firstLineChars="200"/>
              <w:rPr>
                <w:sz w:val="24"/>
              </w:rPr>
            </w:pPr>
            <w:r>
              <w:rPr>
                <w:rFonts w:hint="eastAsia"/>
                <w:sz w:val="24"/>
              </w:rPr>
              <w:t>项目施工期燃油运输车辆风险防范措施见下表。</w:t>
            </w:r>
          </w:p>
          <w:p w14:paraId="7DECFD39">
            <w:pPr>
              <w:pStyle w:val="4"/>
              <w:numPr>
                <w:ilvl w:val="1"/>
                <w:numId w:val="0"/>
              </w:numPr>
              <w:spacing w:line="240" w:lineRule="auto"/>
              <w:rPr>
                <w:rFonts w:eastAsia="黑体"/>
                <w:b w:val="0"/>
                <w:sz w:val="21"/>
                <w:szCs w:val="21"/>
              </w:rPr>
            </w:pPr>
            <w:bookmarkStart w:id="37" w:name="_Toc150173915"/>
          </w:p>
          <w:p w14:paraId="48719F79">
            <w:pPr>
              <w:pStyle w:val="4"/>
              <w:numPr>
                <w:ilvl w:val="1"/>
                <w:numId w:val="0"/>
              </w:numPr>
              <w:spacing w:line="240" w:lineRule="auto"/>
              <w:rPr>
                <w:rFonts w:eastAsia="黑体"/>
                <w:b w:val="0"/>
                <w:sz w:val="21"/>
                <w:szCs w:val="21"/>
              </w:rPr>
            </w:pPr>
            <w:r>
              <w:rPr>
                <w:rFonts w:eastAsia="黑体"/>
                <w:b w:val="0"/>
                <w:sz w:val="21"/>
                <w:szCs w:val="21"/>
              </w:rPr>
              <w:t>表</w:t>
            </w:r>
            <w:r>
              <w:rPr>
                <w:rFonts w:hint="eastAsia" w:eastAsia="黑体"/>
                <w:b w:val="0"/>
                <w:sz w:val="21"/>
                <w:szCs w:val="21"/>
              </w:rPr>
              <w:t>5</w:t>
            </w:r>
            <w:r>
              <w:rPr>
                <w:rFonts w:eastAsia="黑体"/>
                <w:b w:val="0"/>
                <w:sz w:val="21"/>
                <w:szCs w:val="21"/>
              </w:rPr>
              <w:t>-</w:t>
            </w:r>
            <w:r>
              <w:rPr>
                <w:rFonts w:hint="eastAsia" w:eastAsia="黑体"/>
                <w:b w:val="0"/>
                <w:sz w:val="21"/>
                <w:szCs w:val="21"/>
              </w:rPr>
              <w:t>1    施工运输车辆管理要求</w:t>
            </w:r>
            <w:bookmarkEnd w:id="37"/>
          </w:p>
          <w:tbl>
            <w:tblPr>
              <w:tblStyle w:val="34"/>
              <w:tblW w:w="0" w:type="auto"/>
              <w:tblInd w:w="0" w:type="dxa"/>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6"/>
              <w:gridCol w:w="708"/>
              <w:gridCol w:w="1134"/>
              <w:gridCol w:w="993"/>
              <w:gridCol w:w="4815"/>
            </w:tblGrid>
            <w:tr w14:paraId="6280F705">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Align w:val="center"/>
                </w:tcPr>
                <w:p w14:paraId="7BC48E46">
                  <w:pPr>
                    <w:pStyle w:val="5"/>
                    <w:spacing w:line="240" w:lineRule="auto"/>
                    <w:ind w:left="-99" w:leftChars="-47" w:right="-107" w:rightChars="-51" w:firstLine="0" w:firstLineChars="0"/>
                    <w:jc w:val="center"/>
                    <w:rPr>
                      <w:b/>
                      <w:sz w:val="21"/>
                      <w:szCs w:val="21"/>
                    </w:rPr>
                  </w:pPr>
                  <w:r>
                    <w:rPr>
                      <w:rFonts w:hint="eastAsia"/>
                      <w:b/>
                      <w:sz w:val="21"/>
                      <w:szCs w:val="21"/>
                    </w:rPr>
                    <w:t>序号</w:t>
                  </w:r>
                </w:p>
              </w:tc>
              <w:tc>
                <w:tcPr>
                  <w:tcW w:w="7650" w:type="dxa"/>
                  <w:gridSpan w:val="4"/>
                  <w:vAlign w:val="center"/>
                </w:tcPr>
                <w:p w14:paraId="159DB814">
                  <w:pPr>
                    <w:pStyle w:val="5"/>
                    <w:spacing w:line="240" w:lineRule="auto"/>
                    <w:ind w:firstLine="0" w:firstLineChars="0"/>
                    <w:jc w:val="center"/>
                    <w:rPr>
                      <w:b/>
                      <w:sz w:val="21"/>
                      <w:szCs w:val="21"/>
                    </w:rPr>
                  </w:pPr>
                  <w:r>
                    <w:rPr>
                      <w:rFonts w:hint="eastAsia"/>
                      <w:b/>
                      <w:sz w:val="21"/>
                      <w:szCs w:val="21"/>
                    </w:rPr>
                    <w:t>施工车辆管理要求</w:t>
                  </w:r>
                </w:p>
              </w:tc>
            </w:tr>
            <w:tr w14:paraId="50D874A4">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Align w:val="center"/>
                </w:tcPr>
                <w:p w14:paraId="18533F98">
                  <w:pPr>
                    <w:pStyle w:val="5"/>
                    <w:spacing w:line="240" w:lineRule="auto"/>
                    <w:ind w:firstLine="0" w:firstLineChars="0"/>
                    <w:jc w:val="center"/>
                    <w:rPr>
                      <w:sz w:val="21"/>
                      <w:szCs w:val="21"/>
                    </w:rPr>
                  </w:pPr>
                  <w:r>
                    <w:rPr>
                      <w:rFonts w:hint="eastAsia"/>
                      <w:sz w:val="21"/>
                      <w:szCs w:val="21"/>
                    </w:rPr>
                    <w:t>1</w:t>
                  </w:r>
                </w:p>
              </w:tc>
              <w:tc>
                <w:tcPr>
                  <w:tcW w:w="708" w:type="dxa"/>
                  <w:vMerge w:val="restart"/>
                  <w:vAlign w:val="center"/>
                </w:tcPr>
                <w:p w14:paraId="723F85CF">
                  <w:pPr>
                    <w:pStyle w:val="5"/>
                    <w:spacing w:line="240" w:lineRule="auto"/>
                    <w:ind w:left="-107" w:leftChars="-51" w:right="-107" w:rightChars="-51" w:firstLine="0" w:firstLineChars="0"/>
                    <w:jc w:val="center"/>
                    <w:rPr>
                      <w:sz w:val="21"/>
                      <w:szCs w:val="21"/>
                    </w:rPr>
                  </w:pPr>
                  <w:r>
                    <w:rPr>
                      <w:rFonts w:hint="eastAsia"/>
                      <w:sz w:val="21"/>
                      <w:szCs w:val="21"/>
                    </w:rPr>
                    <w:t>管理机构设置与职责</w:t>
                  </w:r>
                </w:p>
              </w:tc>
              <w:tc>
                <w:tcPr>
                  <w:tcW w:w="6942" w:type="dxa"/>
                  <w:gridSpan w:val="3"/>
                  <w:vAlign w:val="center"/>
                </w:tcPr>
                <w:p w14:paraId="7708181E">
                  <w:pPr>
                    <w:pStyle w:val="5"/>
                    <w:adjustRightInd w:val="0"/>
                    <w:snapToGrid w:val="0"/>
                    <w:spacing w:line="240" w:lineRule="auto"/>
                    <w:ind w:firstLine="0" w:firstLineChars="0"/>
                    <w:jc w:val="center"/>
                    <w:rPr>
                      <w:sz w:val="21"/>
                      <w:szCs w:val="21"/>
                    </w:rPr>
                  </w:pPr>
                  <w:r>
                    <w:rPr>
                      <w:rFonts w:hint="eastAsia"/>
                      <w:sz w:val="21"/>
                      <w:szCs w:val="21"/>
                    </w:rPr>
                    <w:t>施工单位车辆管理部门对施工车辆运输安全管理工作进行监督检查，施工车辆的日常管理进行监督检查，车辆负责人对项目车辆进行日常安全管理</w:t>
                  </w:r>
                </w:p>
              </w:tc>
            </w:tr>
            <w:tr w14:paraId="52DC4DA3">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Align w:val="center"/>
                </w:tcPr>
                <w:p w14:paraId="39C77224">
                  <w:pPr>
                    <w:pStyle w:val="5"/>
                    <w:spacing w:line="240" w:lineRule="auto"/>
                    <w:ind w:firstLine="0" w:firstLineChars="0"/>
                    <w:jc w:val="center"/>
                    <w:rPr>
                      <w:sz w:val="21"/>
                      <w:szCs w:val="21"/>
                    </w:rPr>
                  </w:pPr>
                  <w:r>
                    <w:rPr>
                      <w:rFonts w:hint="eastAsia"/>
                      <w:sz w:val="21"/>
                      <w:szCs w:val="21"/>
                    </w:rPr>
                    <w:t>2</w:t>
                  </w:r>
                </w:p>
              </w:tc>
              <w:tc>
                <w:tcPr>
                  <w:tcW w:w="708" w:type="dxa"/>
                  <w:vMerge w:val="continue"/>
                  <w:vAlign w:val="center"/>
                </w:tcPr>
                <w:p w14:paraId="115DF96A">
                  <w:pPr>
                    <w:pStyle w:val="5"/>
                    <w:spacing w:line="240" w:lineRule="auto"/>
                    <w:ind w:firstLine="0" w:firstLineChars="0"/>
                    <w:jc w:val="center"/>
                    <w:rPr>
                      <w:sz w:val="21"/>
                      <w:szCs w:val="21"/>
                    </w:rPr>
                  </w:pPr>
                </w:p>
              </w:tc>
              <w:tc>
                <w:tcPr>
                  <w:tcW w:w="6942" w:type="dxa"/>
                  <w:gridSpan w:val="3"/>
                  <w:vAlign w:val="center"/>
                </w:tcPr>
                <w:p w14:paraId="67896772">
                  <w:pPr>
                    <w:pStyle w:val="5"/>
                    <w:adjustRightInd w:val="0"/>
                    <w:snapToGrid w:val="0"/>
                    <w:spacing w:line="240" w:lineRule="auto"/>
                    <w:ind w:firstLine="0" w:firstLineChars="0"/>
                    <w:jc w:val="center"/>
                    <w:rPr>
                      <w:sz w:val="21"/>
                      <w:szCs w:val="21"/>
                    </w:rPr>
                  </w:pPr>
                  <w:r>
                    <w:rPr>
                      <w:rFonts w:hint="eastAsia"/>
                      <w:sz w:val="21"/>
                      <w:szCs w:val="21"/>
                    </w:rPr>
                    <w:t>项目部安全质量负责项目施工车辆的场内道路运输安全检查，车辆驾驶员负责车辆的日常管理，车辆办公室负责项目部施工车辆的日常管理。</w:t>
                  </w:r>
                </w:p>
              </w:tc>
            </w:tr>
            <w:tr w14:paraId="5BB6F0B1">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restart"/>
                  <w:vAlign w:val="center"/>
                </w:tcPr>
                <w:p w14:paraId="234B016B">
                  <w:pPr>
                    <w:pStyle w:val="5"/>
                    <w:spacing w:line="240" w:lineRule="auto"/>
                    <w:ind w:firstLine="0" w:firstLineChars="0"/>
                    <w:jc w:val="center"/>
                    <w:rPr>
                      <w:sz w:val="21"/>
                      <w:szCs w:val="21"/>
                    </w:rPr>
                  </w:pPr>
                  <w:r>
                    <w:rPr>
                      <w:rFonts w:hint="eastAsia"/>
                      <w:sz w:val="21"/>
                      <w:szCs w:val="21"/>
                    </w:rPr>
                    <w:t>3</w:t>
                  </w:r>
                </w:p>
              </w:tc>
              <w:tc>
                <w:tcPr>
                  <w:tcW w:w="708" w:type="dxa"/>
                  <w:vMerge w:val="continue"/>
                  <w:vAlign w:val="center"/>
                </w:tcPr>
                <w:p w14:paraId="7A69F49D">
                  <w:pPr>
                    <w:pStyle w:val="5"/>
                    <w:spacing w:line="240" w:lineRule="auto"/>
                    <w:ind w:firstLine="0" w:firstLineChars="0"/>
                    <w:jc w:val="center"/>
                    <w:rPr>
                      <w:sz w:val="21"/>
                      <w:szCs w:val="21"/>
                    </w:rPr>
                  </w:pPr>
                </w:p>
              </w:tc>
              <w:tc>
                <w:tcPr>
                  <w:tcW w:w="2127" w:type="dxa"/>
                  <w:gridSpan w:val="2"/>
                  <w:vMerge w:val="restart"/>
                  <w:vAlign w:val="center"/>
                </w:tcPr>
                <w:p w14:paraId="09D764A0">
                  <w:pPr>
                    <w:pStyle w:val="5"/>
                    <w:adjustRightInd w:val="0"/>
                    <w:snapToGrid w:val="0"/>
                    <w:spacing w:line="240" w:lineRule="auto"/>
                    <w:ind w:left="-105" w:leftChars="-50" w:right="-105" w:rightChars="-50" w:firstLine="0" w:firstLineChars="0"/>
                    <w:jc w:val="center"/>
                    <w:rPr>
                      <w:sz w:val="21"/>
                      <w:szCs w:val="21"/>
                    </w:rPr>
                  </w:pPr>
                  <w:r>
                    <w:rPr>
                      <w:rFonts w:hint="eastAsia"/>
                      <w:sz w:val="21"/>
                      <w:szCs w:val="21"/>
                    </w:rPr>
                    <w:t>项目部安全质量负责项目施工车辆的场内道路运输安全检查，车辆驾驶员负责车辆的日常管理，车辆办公室负责项目部施工车辆日常管理</w:t>
                  </w:r>
                </w:p>
              </w:tc>
              <w:tc>
                <w:tcPr>
                  <w:tcW w:w="4815" w:type="dxa"/>
                  <w:vAlign w:val="center"/>
                </w:tcPr>
                <w:p w14:paraId="008AF41C">
                  <w:pPr>
                    <w:pStyle w:val="5"/>
                    <w:adjustRightInd w:val="0"/>
                    <w:snapToGrid w:val="0"/>
                    <w:spacing w:line="240" w:lineRule="auto"/>
                    <w:ind w:left="-105" w:leftChars="-50" w:right="-105" w:rightChars="-50" w:firstLine="0" w:firstLineChars="0"/>
                    <w:rPr>
                      <w:sz w:val="21"/>
                      <w:szCs w:val="21"/>
                    </w:rPr>
                  </w:pPr>
                  <w:r>
                    <w:rPr>
                      <w:rFonts w:hint="eastAsia"/>
                      <w:sz w:val="21"/>
                      <w:szCs w:val="21"/>
                    </w:rPr>
                    <w:t>建立健全机动车辆安全技术、运行、维修等管理规章制度。</w:t>
                  </w:r>
                </w:p>
              </w:tc>
            </w:tr>
            <w:tr w14:paraId="48496A80">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trPr>
              <w:tc>
                <w:tcPr>
                  <w:tcW w:w="576" w:type="dxa"/>
                  <w:vMerge w:val="continue"/>
                  <w:vAlign w:val="center"/>
                </w:tcPr>
                <w:p w14:paraId="70C0DEF6">
                  <w:pPr>
                    <w:pStyle w:val="5"/>
                    <w:spacing w:line="240" w:lineRule="auto"/>
                    <w:ind w:firstLine="0" w:firstLineChars="0"/>
                    <w:jc w:val="center"/>
                    <w:rPr>
                      <w:sz w:val="21"/>
                      <w:szCs w:val="21"/>
                    </w:rPr>
                  </w:pPr>
                </w:p>
              </w:tc>
              <w:tc>
                <w:tcPr>
                  <w:tcW w:w="708" w:type="dxa"/>
                  <w:vMerge w:val="continue"/>
                  <w:vAlign w:val="center"/>
                </w:tcPr>
                <w:p w14:paraId="01EF6FFD">
                  <w:pPr>
                    <w:pStyle w:val="5"/>
                    <w:spacing w:line="240" w:lineRule="auto"/>
                    <w:ind w:firstLine="0" w:firstLineChars="0"/>
                    <w:jc w:val="center"/>
                    <w:rPr>
                      <w:sz w:val="21"/>
                      <w:szCs w:val="21"/>
                    </w:rPr>
                  </w:pPr>
                </w:p>
              </w:tc>
              <w:tc>
                <w:tcPr>
                  <w:tcW w:w="2127" w:type="dxa"/>
                  <w:gridSpan w:val="2"/>
                  <w:vMerge w:val="continue"/>
                  <w:vAlign w:val="center"/>
                </w:tcPr>
                <w:p w14:paraId="1F5527C4">
                  <w:pPr>
                    <w:pStyle w:val="5"/>
                    <w:spacing w:line="240" w:lineRule="auto"/>
                    <w:ind w:firstLine="0" w:firstLineChars="0"/>
                    <w:jc w:val="center"/>
                    <w:rPr>
                      <w:sz w:val="21"/>
                      <w:szCs w:val="21"/>
                    </w:rPr>
                  </w:pPr>
                </w:p>
              </w:tc>
              <w:tc>
                <w:tcPr>
                  <w:tcW w:w="4815" w:type="dxa"/>
                  <w:vAlign w:val="center"/>
                </w:tcPr>
                <w:p w14:paraId="68C0AA99">
                  <w:pPr>
                    <w:pStyle w:val="5"/>
                    <w:adjustRightInd w:val="0"/>
                    <w:snapToGrid w:val="0"/>
                    <w:spacing w:line="240" w:lineRule="auto"/>
                    <w:ind w:left="-105" w:leftChars="-50" w:right="-105" w:rightChars="-50" w:firstLine="0" w:firstLineChars="0"/>
                    <w:rPr>
                      <w:sz w:val="21"/>
                      <w:szCs w:val="21"/>
                    </w:rPr>
                  </w:pPr>
                  <w:r>
                    <w:rPr>
                      <w:rFonts w:hint="eastAsia"/>
                      <w:sz w:val="21"/>
                      <w:szCs w:val="21"/>
                    </w:rPr>
                    <w:t>做好机动车辆日常安全检查、维修、保养和运输调配工作。</w:t>
                  </w:r>
                </w:p>
              </w:tc>
            </w:tr>
            <w:tr w14:paraId="3C25C162">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trPr>
              <w:tc>
                <w:tcPr>
                  <w:tcW w:w="576" w:type="dxa"/>
                  <w:vMerge w:val="continue"/>
                  <w:vAlign w:val="center"/>
                </w:tcPr>
                <w:p w14:paraId="3CE8B95B">
                  <w:pPr>
                    <w:pStyle w:val="5"/>
                    <w:spacing w:line="240" w:lineRule="auto"/>
                    <w:ind w:firstLine="0" w:firstLineChars="0"/>
                    <w:jc w:val="center"/>
                    <w:rPr>
                      <w:sz w:val="21"/>
                      <w:szCs w:val="21"/>
                    </w:rPr>
                  </w:pPr>
                </w:p>
              </w:tc>
              <w:tc>
                <w:tcPr>
                  <w:tcW w:w="708" w:type="dxa"/>
                  <w:vMerge w:val="continue"/>
                  <w:vAlign w:val="center"/>
                </w:tcPr>
                <w:p w14:paraId="3796C997">
                  <w:pPr>
                    <w:pStyle w:val="5"/>
                    <w:spacing w:line="240" w:lineRule="auto"/>
                    <w:ind w:firstLine="0" w:firstLineChars="0"/>
                    <w:jc w:val="center"/>
                    <w:rPr>
                      <w:sz w:val="21"/>
                      <w:szCs w:val="21"/>
                    </w:rPr>
                  </w:pPr>
                </w:p>
              </w:tc>
              <w:tc>
                <w:tcPr>
                  <w:tcW w:w="2127" w:type="dxa"/>
                  <w:gridSpan w:val="2"/>
                  <w:vMerge w:val="continue"/>
                  <w:vAlign w:val="center"/>
                </w:tcPr>
                <w:p w14:paraId="4339DBCE">
                  <w:pPr>
                    <w:pStyle w:val="5"/>
                    <w:spacing w:line="240" w:lineRule="auto"/>
                    <w:ind w:firstLine="0" w:firstLineChars="0"/>
                    <w:jc w:val="center"/>
                    <w:rPr>
                      <w:sz w:val="21"/>
                      <w:szCs w:val="21"/>
                    </w:rPr>
                  </w:pPr>
                </w:p>
              </w:tc>
              <w:tc>
                <w:tcPr>
                  <w:tcW w:w="4815" w:type="dxa"/>
                  <w:vAlign w:val="center"/>
                </w:tcPr>
                <w:p w14:paraId="07653D7A">
                  <w:pPr>
                    <w:pStyle w:val="5"/>
                    <w:adjustRightInd w:val="0"/>
                    <w:snapToGrid w:val="0"/>
                    <w:spacing w:line="240" w:lineRule="auto"/>
                    <w:ind w:left="-105" w:leftChars="-50" w:right="-105" w:rightChars="-50" w:firstLine="0" w:firstLineChars="0"/>
                    <w:rPr>
                      <w:sz w:val="21"/>
                      <w:szCs w:val="21"/>
                    </w:rPr>
                  </w:pPr>
                  <w:r>
                    <w:rPr>
                      <w:rFonts w:hint="eastAsia"/>
                      <w:sz w:val="21"/>
                      <w:szCs w:val="21"/>
                    </w:rPr>
                    <w:t>组织驾驶员、维修管理人员开展日常和专项安全教育培训。</w:t>
                  </w:r>
                </w:p>
              </w:tc>
            </w:tr>
            <w:tr w14:paraId="4B2E422A">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trPr>
              <w:tc>
                <w:tcPr>
                  <w:tcW w:w="576" w:type="dxa"/>
                  <w:vMerge w:val="continue"/>
                  <w:vAlign w:val="center"/>
                </w:tcPr>
                <w:p w14:paraId="1F5F47D9">
                  <w:pPr>
                    <w:pStyle w:val="5"/>
                    <w:spacing w:line="240" w:lineRule="auto"/>
                    <w:ind w:firstLine="0" w:firstLineChars="0"/>
                    <w:jc w:val="center"/>
                    <w:rPr>
                      <w:sz w:val="21"/>
                      <w:szCs w:val="21"/>
                    </w:rPr>
                  </w:pPr>
                </w:p>
              </w:tc>
              <w:tc>
                <w:tcPr>
                  <w:tcW w:w="708" w:type="dxa"/>
                  <w:vMerge w:val="continue"/>
                  <w:vAlign w:val="center"/>
                </w:tcPr>
                <w:p w14:paraId="7AF095AE">
                  <w:pPr>
                    <w:pStyle w:val="5"/>
                    <w:spacing w:line="240" w:lineRule="auto"/>
                    <w:ind w:firstLine="0" w:firstLineChars="0"/>
                    <w:jc w:val="center"/>
                    <w:rPr>
                      <w:sz w:val="21"/>
                      <w:szCs w:val="21"/>
                    </w:rPr>
                  </w:pPr>
                </w:p>
              </w:tc>
              <w:tc>
                <w:tcPr>
                  <w:tcW w:w="2127" w:type="dxa"/>
                  <w:gridSpan w:val="2"/>
                  <w:vMerge w:val="continue"/>
                  <w:vAlign w:val="center"/>
                </w:tcPr>
                <w:p w14:paraId="3A1562AD">
                  <w:pPr>
                    <w:pStyle w:val="5"/>
                    <w:spacing w:line="240" w:lineRule="auto"/>
                    <w:ind w:firstLine="0" w:firstLineChars="0"/>
                    <w:jc w:val="center"/>
                    <w:rPr>
                      <w:sz w:val="21"/>
                      <w:szCs w:val="21"/>
                    </w:rPr>
                  </w:pPr>
                </w:p>
              </w:tc>
              <w:tc>
                <w:tcPr>
                  <w:tcW w:w="4815" w:type="dxa"/>
                  <w:vAlign w:val="center"/>
                </w:tcPr>
                <w:p w14:paraId="31507CA8">
                  <w:pPr>
                    <w:pStyle w:val="5"/>
                    <w:adjustRightInd w:val="0"/>
                    <w:snapToGrid w:val="0"/>
                    <w:spacing w:line="240" w:lineRule="auto"/>
                    <w:ind w:left="-105" w:leftChars="-50" w:right="-105" w:rightChars="-50" w:firstLine="0" w:firstLineChars="0"/>
                    <w:rPr>
                      <w:sz w:val="21"/>
                      <w:szCs w:val="21"/>
                    </w:rPr>
                  </w:pPr>
                  <w:r>
                    <w:rPr>
                      <w:rFonts w:hint="eastAsia"/>
                      <w:sz w:val="21"/>
                      <w:szCs w:val="21"/>
                    </w:rPr>
                    <w:t>发生场内道路安全事项及时报告，配合事故调查，制定防范措施，做好善后处理工作。</w:t>
                  </w:r>
                </w:p>
              </w:tc>
            </w:tr>
            <w:tr w14:paraId="272985C9">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trPr>
              <w:tc>
                <w:tcPr>
                  <w:tcW w:w="576" w:type="dxa"/>
                  <w:vAlign w:val="center"/>
                </w:tcPr>
                <w:p w14:paraId="1BBD9E1E">
                  <w:pPr>
                    <w:pStyle w:val="5"/>
                    <w:spacing w:line="240" w:lineRule="auto"/>
                    <w:ind w:firstLine="0" w:firstLineChars="0"/>
                    <w:jc w:val="center"/>
                    <w:rPr>
                      <w:sz w:val="21"/>
                      <w:szCs w:val="21"/>
                    </w:rPr>
                  </w:pPr>
                  <w:r>
                    <w:rPr>
                      <w:rFonts w:hint="eastAsia"/>
                      <w:sz w:val="21"/>
                      <w:szCs w:val="21"/>
                    </w:rPr>
                    <w:t>4</w:t>
                  </w:r>
                </w:p>
              </w:tc>
              <w:tc>
                <w:tcPr>
                  <w:tcW w:w="708" w:type="dxa"/>
                  <w:vMerge w:val="continue"/>
                  <w:vAlign w:val="center"/>
                </w:tcPr>
                <w:p w14:paraId="2A70994D">
                  <w:pPr>
                    <w:pStyle w:val="5"/>
                    <w:spacing w:line="240" w:lineRule="auto"/>
                    <w:ind w:firstLine="0" w:firstLineChars="0"/>
                    <w:jc w:val="center"/>
                    <w:rPr>
                      <w:sz w:val="21"/>
                      <w:szCs w:val="21"/>
                    </w:rPr>
                  </w:pPr>
                </w:p>
              </w:tc>
              <w:tc>
                <w:tcPr>
                  <w:tcW w:w="6942" w:type="dxa"/>
                  <w:gridSpan w:val="3"/>
                  <w:vAlign w:val="center"/>
                </w:tcPr>
                <w:p w14:paraId="3E54BA84">
                  <w:pPr>
                    <w:pStyle w:val="5"/>
                    <w:adjustRightInd w:val="0"/>
                    <w:snapToGrid w:val="0"/>
                    <w:spacing w:line="240" w:lineRule="auto"/>
                    <w:ind w:firstLine="0" w:firstLineChars="0"/>
                    <w:jc w:val="center"/>
                    <w:rPr>
                      <w:sz w:val="21"/>
                      <w:szCs w:val="21"/>
                    </w:rPr>
                  </w:pPr>
                  <w:r>
                    <w:rPr>
                      <w:rFonts w:hint="eastAsia"/>
                      <w:sz w:val="21"/>
                      <w:szCs w:val="21"/>
                    </w:rPr>
                    <w:t>施工单位车辆管理部门对新进场的驾驶员进行审查并备案，驾驶员在施工现场从事驾驶工作必须持有相关准驾证，操作证，上岗证等相关证件，严禁无证驾驶，严禁驾驶与证件不符的车辆。</w:t>
                  </w:r>
                </w:p>
              </w:tc>
            </w:tr>
            <w:tr w14:paraId="7F2EEF37">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 w:hRule="atLeast"/>
              </w:trPr>
              <w:tc>
                <w:tcPr>
                  <w:tcW w:w="576" w:type="dxa"/>
                  <w:vMerge w:val="restart"/>
                  <w:vAlign w:val="center"/>
                </w:tcPr>
                <w:p w14:paraId="62B690B1">
                  <w:pPr>
                    <w:pStyle w:val="5"/>
                    <w:spacing w:line="240" w:lineRule="auto"/>
                    <w:ind w:firstLine="0" w:firstLineChars="0"/>
                    <w:jc w:val="center"/>
                    <w:rPr>
                      <w:sz w:val="21"/>
                      <w:szCs w:val="21"/>
                    </w:rPr>
                  </w:pPr>
                  <w:r>
                    <w:rPr>
                      <w:rFonts w:hint="eastAsia"/>
                      <w:sz w:val="21"/>
                      <w:szCs w:val="21"/>
                    </w:rPr>
                    <w:t>5</w:t>
                  </w:r>
                </w:p>
              </w:tc>
              <w:tc>
                <w:tcPr>
                  <w:tcW w:w="708" w:type="dxa"/>
                  <w:vMerge w:val="continue"/>
                  <w:vAlign w:val="center"/>
                </w:tcPr>
                <w:p w14:paraId="63A40571">
                  <w:pPr>
                    <w:pStyle w:val="5"/>
                    <w:spacing w:line="240" w:lineRule="auto"/>
                    <w:ind w:firstLine="0" w:firstLineChars="0"/>
                    <w:jc w:val="center"/>
                    <w:rPr>
                      <w:sz w:val="21"/>
                      <w:szCs w:val="21"/>
                    </w:rPr>
                  </w:pPr>
                </w:p>
              </w:tc>
              <w:tc>
                <w:tcPr>
                  <w:tcW w:w="1134" w:type="dxa"/>
                  <w:vMerge w:val="restart"/>
                  <w:vAlign w:val="center"/>
                </w:tcPr>
                <w:p w14:paraId="6F7E793F">
                  <w:pPr>
                    <w:pStyle w:val="5"/>
                    <w:spacing w:line="240" w:lineRule="auto"/>
                    <w:ind w:left="-107" w:leftChars="-51" w:right="-107" w:rightChars="-51" w:firstLine="0" w:firstLineChars="0"/>
                    <w:jc w:val="center"/>
                    <w:rPr>
                      <w:sz w:val="21"/>
                      <w:szCs w:val="21"/>
                    </w:rPr>
                  </w:pPr>
                  <w:r>
                    <w:rPr>
                      <w:rFonts w:hint="eastAsia"/>
                      <w:sz w:val="21"/>
                      <w:szCs w:val="21"/>
                    </w:rPr>
                    <w:t>机动车驾驶员对车辆行驶安全负直接责任</w:t>
                  </w:r>
                </w:p>
              </w:tc>
              <w:tc>
                <w:tcPr>
                  <w:tcW w:w="5808" w:type="dxa"/>
                  <w:gridSpan w:val="2"/>
                  <w:vAlign w:val="center"/>
                </w:tcPr>
                <w:p w14:paraId="19D96392">
                  <w:pPr>
                    <w:pStyle w:val="5"/>
                    <w:spacing w:line="240" w:lineRule="auto"/>
                    <w:ind w:firstLine="0" w:firstLineChars="0"/>
                    <w:jc w:val="center"/>
                    <w:rPr>
                      <w:sz w:val="21"/>
                      <w:szCs w:val="21"/>
                    </w:rPr>
                  </w:pPr>
                  <w:r>
                    <w:rPr>
                      <w:rFonts w:hint="eastAsia"/>
                      <w:sz w:val="21"/>
                      <w:szCs w:val="21"/>
                    </w:rPr>
                    <w:t>遵章守纪，严格按岗位操作技术规程和交通法规驾驶车辆。</w:t>
                  </w:r>
                </w:p>
              </w:tc>
            </w:tr>
            <w:tr w14:paraId="044E04EC">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576" w:type="dxa"/>
                  <w:vMerge w:val="continue"/>
                  <w:vAlign w:val="center"/>
                </w:tcPr>
                <w:p w14:paraId="520063BF">
                  <w:pPr>
                    <w:pStyle w:val="5"/>
                    <w:spacing w:line="240" w:lineRule="auto"/>
                    <w:ind w:firstLine="0" w:firstLineChars="0"/>
                    <w:jc w:val="center"/>
                    <w:rPr>
                      <w:sz w:val="21"/>
                      <w:szCs w:val="21"/>
                    </w:rPr>
                  </w:pPr>
                </w:p>
              </w:tc>
              <w:tc>
                <w:tcPr>
                  <w:tcW w:w="708" w:type="dxa"/>
                  <w:vMerge w:val="continue"/>
                  <w:vAlign w:val="center"/>
                </w:tcPr>
                <w:p w14:paraId="68ACFA8D">
                  <w:pPr>
                    <w:pStyle w:val="5"/>
                    <w:spacing w:line="240" w:lineRule="auto"/>
                    <w:ind w:firstLine="0" w:firstLineChars="0"/>
                    <w:jc w:val="center"/>
                    <w:rPr>
                      <w:sz w:val="21"/>
                      <w:szCs w:val="21"/>
                    </w:rPr>
                  </w:pPr>
                </w:p>
              </w:tc>
              <w:tc>
                <w:tcPr>
                  <w:tcW w:w="1134" w:type="dxa"/>
                  <w:vMerge w:val="continue"/>
                  <w:vAlign w:val="center"/>
                </w:tcPr>
                <w:p w14:paraId="284E9B02">
                  <w:pPr>
                    <w:pStyle w:val="5"/>
                    <w:spacing w:line="240" w:lineRule="auto"/>
                    <w:ind w:left="-107" w:leftChars="-51" w:right="-107" w:rightChars="-51" w:firstLine="0" w:firstLineChars="0"/>
                    <w:jc w:val="center"/>
                    <w:rPr>
                      <w:sz w:val="21"/>
                      <w:szCs w:val="21"/>
                    </w:rPr>
                  </w:pPr>
                </w:p>
              </w:tc>
              <w:tc>
                <w:tcPr>
                  <w:tcW w:w="5808" w:type="dxa"/>
                  <w:gridSpan w:val="2"/>
                  <w:vAlign w:val="center"/>
                </w:tcPr>
                <w:p w14:paraId="5592A7EF">
                  <w:pPr>
                    <w:pStyle w:val="5"/>
                    <w:spacing w:line="240" w:lineRule="auto"/>
                    <w:ind w:firstLine="0" w:firstLineChars="0"/>
                    <w:jc w:val="center"/>
                    <w:rPr>
                      <w:sz w:val="21"/>
                      <w:szCs w:val="21"/>
                    </w:rPr>
                  </w:pPr>
                  <w:r>
                    <w:rPr>
                      <w:rFonts w:hint="eastAsia"/>
                      <w:sz w:val="21"/>
                      <w:szCs w:val="21"/>
                    </w:rPr>
                    <w:t>爱护车辆，保持车辆良好安全技术状态和车容车貌</w:t>
                  </w:r>
                </w:p>
              </w:tc>
            </w:tr>
            <w:tr w14:paraId="12170701">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576" w:type="dxa"/>
                  <w:vMerge w:val="continue"/>
                  <w:vAlign w:val="center"/>
                </w:tcPr>
                <w:p w14:paraId="25EB95D0">
                  <w:pPr>
                    <w:pStyle w:val="5"/>
                    <w:spacing w:line="240" w:lineRule="auto"/>
                    <w:ind w:firstLine="0" w:firstLineChars="0"/>
                    <w:jc w:val="center"/>
                    <w:rPr>
                      <w:sz w:val="21"/>
                      <w:szCs w:val="21"/>
                    </w:rPr>
                  </w:pPr>
                </w:p>
              </w:tc>
              <w:tc>
                <w:tcPr>
                  <w:tcW w:w="708" w:type="dxa"/>
                  <w:vMerge w:val="continue"/>
                  <w:vAlign w:val="center"/>
                </w:tcPr>
                <w:p w14:paraId="07C8130E">
                  <w:pPr>
                    <w:pStyle w:val="5"/>
                    <w:spacing w:line="240" w:lineRule="auto"/>
                    <w:ind w:firstLine="0" w:firstLineChars="0"/>
                    <w:jc w:val="center"/>
                    <w:rPr>
                      <w:sz w:val="21"/>
                      <w:szCs w:val="21"/>
                    </w:rPr>
                  </w:pPr>
                </w:p>
              </w:tc>
              <w:tc>
                <w:tcPr>
                  <w:tcW w:w="1134" w:type="dxa"/>
                  <w:vMerge w:val="continue"/>
                  <w:vAlign w:val="center"/>
                </w:tcPr>
                <w:p w14:paraId="01140936">
                  <w:pPr>
                    <w:pStyle w:val="5"/>
                    <w:spacing w:line="240" w:lineRule="auto"/>
                    <w:ind w:left="-107" w:leftChars="-51" w:right="-107" w:rightChars="-51" w:firstLine="0" w:firstLineChars="0"/>
                    <w:jc w:val="center"/>
                    <w:rPr>
                      <w:sz w:val="21"/>
                      <w:szCs w:val="21"/>
                    </w:rPr>
                  </w:pPr>
                </w:p>
              </w:tc>
              <w:tc>
                <w:tcPr>
                  <w:tcW w:w="5808" w:type="dxa"/>
                  <w:gridSpan w:val="2"/>
                  <w:vAlign w:val="center"/>
                </w:tcPr>
                <w:p w14:paraId="0C74BFC1">
                  <w:pPr>
                    <w:pStyle w:val="5"/>
                    <w:spacing w:line="240" w:lineRule="auto"/>
                    <w:ind w:firstLine="0" w:firstLineChars="0"/>
                    <w:jc w:val="center"/>
                    <w:rPr>
                      <w:sz w:val="21"/>
                      <w:szCs w:val="21"/>
                    </w:rPr>
                  </w:pPr>
                  <w:r>
                    <w:rPr>
                      <w:rFonts w:hint="eastAsia"/>
                      <w:sz w:val="21"/>
                      <w:szCs w:val="21"/>
                    </w:rPr>
                    <w:t>做好出车前安全检查和收车后的保养工作。</w:t>
                  </w:r>
                </w:p>
              </w:tc>
            </w:tr>
            <w:tr w14:paraId="2009EDE1">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576" w:type="dxa"/>
                  <w:vMerge w:val="continue"/>
                  <w:vAlign w:val="center"/>
                </w:tcPr>
                <w:p w14:paraId="66DE310E">
                  <w:pPr>
                    <w:pStyle w:val="5"/>
                    <w:spacing w:line="240" w:lineRule="auto"/>
                    <w:ind w:firstLine="0" w:firstLineChars="0"/>
                    <w:jc w:val="center"/>
                    <w:rPr>
                      <w:sz w:val="21"/>
                      <w:szCs w:val="21"/>
                    </w:rPr>
                  </w:pPr>
                </w:p>
              </w:tc>
              <w:tc>
                <w:tcPr>
                  <w:tcW w:w="708" w:type="dxa"/>
                  <w:vMerge w:val="continue"/>
                  <w:vAlign w:val="center"/>
                </w:tcPr>
                <w:p w14:paraId="2D55F4DF">
                  <w:pPr>
                    <w:pStyle w:val="5"/>
                    <w:spacing w:line="240" w:lineRule="auto"/>
                    <w:ind w:firstLine="0" w:firstLineChars="0"/>
                    <w:jc w:val="center"/>
                    <w:rPr>
                      <w:sz w:val="21"/>
                      <w:szCs w:val="21"/>
                    </w:rPr>
                  </w:pPr>
                </w:p>
              </w:tc>
              <w:tc>
                <w:tcPr>
                  <w:tcW w:w="1134" w:type="dxa"/>
                  <w:vMerge w:val="continue"/>
                  <w:vAlign w:val="center"/>
                </w:tcPr>
                <w:p w14:paraId="3572E56A">
                  <w:pPr>
                    <w:pStyle w:val="5"/>
                    <w:spacing w:line="240" w:lineRule="auto"/>
                    <w:ind w:left="-107" w:leftChars="-51" w:right="-107" w:rightChars="-51" w:firstLine="0" w:firstLineChars="0"/>
                    <w:jc w:val="center"/>
                    <w:rPr>
                      <w:sz w:val="21"/>
                      <w:szCs w:val="21"/>
                    </w:rPr>
                  </w:pPr>
                </w:p>
              </w:tc>
              <w:tc>
                <w:tcPr>
                  <w:tcW w:w="5808" w:type="dxa"/>
                  <w:gridSpan w:val="2"/>
                  <w:vAlign w:val="center"/>
                </w:tcPr>
                <w:p w14:paraId="3E5DB06D">
                  <w:pPr>
                    <w:pStyle w:val="5"/>
                    <w:spacing w:line="240" w:lineRule="auto"/>
                    <w:ind w:firstLine="0" w:firstLineChars="0"/>
                    <w:jc w:val="center"/>
                    <w:rPr>
                      <w:sz w:val="21"/>
                      <w:szCs w:val="21"/>
                    </w:rPr>
                  </w:pPr>
                  <w:r>
                    <w:rPr>
                      <w:rFonts w:hint="eastAsia"/>
                      <w:sz w:val="21"/>
                      <w:szCs w:val="21"/>
                    </w:rPr>
                    <w:t>发生道路安全事故时应保护好现场，及时报告。</w:t>
                  </w:r>
                </w:p>
              </w:tc>
            </w:tr>
            <w:tr w14:paraId="20A16C79">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Align w:val="center"/>
                </w:tcPr>
                <w:p w14:paraId="4D09692A">
                  <w:pPr>
                    <w:pStyle w:val="5"/>
                    <w:spacing w:line="240" w:lineRule="auto"/>
                    <w:ind w:firstLine="0" w:firstLineChars="0"/>
                    <w:jc w:val="center"/>
                    <w:rPr>
                      <w:sz w:val="21"/>
                      <w:szCs w:val="21"/>
                    </w:rPr>
                  </w:pPr>
                  <w:r>
                    <w:rPr>
                      <w:rFonts w:hint="eastAsia"/>
                      <w:sz w:val="21"/>
                      <w:szCs w:val="21"/>
                    </w:rPr>
                    <w:t>6</w:t>
                  </w:r>
                </w:p>
              </w:tc>
              <w:tc>
                <w:tcPr>
                  <w:tcW w:w="708" w:type="dxa"/>
                  <w:vMerge w:val="continue"/>
                  <w:vAlign w:val="center"/>
                </w:tcPr>
                <w:p w14:paraId="70ED27C9">
                  <w:pPr>
                    <w:pStyle w:val="5"/>
                    <w:spacing w:line="240" w:lineRule="auto"/>
                    <w:ind w:firstLine="0" w:firstLineChars="0"/>
                    <w:jc w:val="center"/>
                    <w:rPr>
                      <w:sz w:val="21"/>
                      <w:szCs w:val="21"/>
                    </w:rPr>
                  </w:pPr>
                </w:p>
              </w:tc>
              <w:tc>
                <w:tcPr>
                  <w:tcW w:w="6942" w:type="dxa"/>
                  <w:gridSpan w:val="3"/>
                  <w:vAlign w:val="center"/>
                </w:tcPr>
                <w:p w14:paraId="217162CF">
                  <w:pPr>
                    <w:pStyle w:val="5"/>
                    <w:spacing w:line="240" w:lineRule="auto"/>
                    <w:ind w:firstLine="0" w:firstLineChars="0"/>
                    <w:jc w:val="center"/>
                    <w:rPr>
                      <w:sz w:val="21"/>
                      <w:szCs w:val="21"/>
                    </w:rPr>
                  </w:pPr>
                  <w:r>
                    <w:rPr>
                      <w:rFonts w:hint="eastAsia"/>
                      <w:sz w:val="21"/>
                      <w:szCs w:val="21"/>
                    </w:rPr>
                    <w:t>施工单位车辆管理部门应合理安排车辆和驾驶员，带“病”车辆禁止派出使用。</w:t>
                  </w:r>
                </w:p>
              </w:tc>
            </w:tr>
            <w:tr w14:paraId="2C6465C4">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576" w:type="dxa"/>
                  <w:vAlign w:val="center"/>
                </w:tcPr>
                <w:p w14:paraId="4C4B0BF9">
                  <w:pPr>
                    <w:pStyle w:val="5"/>
                    <w:spacing w:line="240" w:lineRule="auto"/>
                    <w:ind w:firstLine="0" w:firstLineChars="0"/>
                    <w:jc w:val="center"/>
                    <w:rPr>
                      <w:sz w:val="21"/>
                      <w:szCs w:val="21"/>
                    </w:rPr>
                  </w:pPr>
                  <w:r>
                    <w:rPr>
                      <w:rFonts w:hint="eastAsia"/>
                      <w:sz w:val="21"/>
                      <w:szCs w:val="21"/>
                    </w:rPr>
                    <w:t>7</w:t>
                  </w:r>
                </w:p>
              </w:tc>
              <w:tc>
                <w:tcPr>
                  <w:tcW w:w="708" w:type="dxa"/>
                  <w:vMerge w:val="restart"/>
                  <w:vAlign w:val="center"/>
                </w:tcPr>
                <w:p w14:paraId="2EFCB825">
                  <w:pPr>
                    <w:pStyle w:val="5"/>
                    <w:spacing w:line="240" w:lineRule="auto"/>
                    <w:ind w:left="-107" w:leftChars="-51" w:right="-107" w:rightChars="-51" w:firstLine="0" w:firstLineChars="0"/>
                    <w:jc w:val="center"/>
                    <w:rPr>
                      <w:sz w:val="21"/>
                      <w:szCs w:val="21"/>
                    </w:rPr>
                  </w:pPr>
                  <w:r>
                    <w:rPr>
                      <w:rFonts w:hint="eastAsia"/>
                      <w:sz w:val="21"/>
                      <w:szCs w:val="21"/>
                    </w:rPr>
                    <w:t>施工道路要求</w:t>
                  </w:r>
                </w:p>
              </w:tc>
              <w:tc>
                <w:tcPr>
                  <w:tcW w:w="6942" w:type="dxa"/>
                  <w:gridSpan w:val="3"/>
                  <w:vAlign w:val="center"/>
                </w:tcPr>
                <w:p w14:paraId="77154C80">
                  <w:pPr>
                    <w:pStyle w:val="5"/>
                    <w:spacing w:line="240" w:lineRule="auto"/>
                    <w:ind w:firstLine="0" w:firstLineChars="0"/>
                    <w:jc w:val="center"/>
                    <w:rPr>
                      <w:sz w:val="21"/>
                      <w:szCs w:val="21"/>
                    </w:rPr>
                  </w:pPr>
                  <w:r>
                    <w:rPr>
                      <w:rFonts w:hint="eastAsia"/>
                      <w:sz w:val="21"/>
                      <w:szCs w:val="21"/>
                    </w:rPr>
                    <w:t>对既有运输道路沿线的不良地质灾害点进行治理，防止施工期间由于车辆振动或自然因素发生崩塌、滑坡。</w:t>
                  </w:r>
                </w:p>
              </w:tc>
            </w:tr>
            <w:tr w14:paraId="06403DE3">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576" w:type="dxa"/>
                  <w:vAlign w:val="center"/>
                </w:tcPr>
                <w:p w14:paraId="357E4148">
                  <w:pPr>
                    <w:pStyle w:val="5"/>
                    <w:spacing w:line="240" w:lineRule="auto"/>
                    <w:ind w:firstLine="0" w:firstLineChars="0"/>
                    <w:jc w:val="center"/>
                    <w:rPr>
                      <w:sz w:val="21"/>
                      <w:szCs w:val="21"/>
                    </w:rPr>
                  </w:pPr>
                  <w:r>
                    <w:rPr>
                      <w:rFonts w:hint="eastAsia"/>
                      <w:sz w:val="21"/>
                      <w:szCs w:val="21"/>
                    </w:rPr>
                    <w:t>8</w:t>
                  </w:r>
                </w:p>
              </w:tc>
              <w:tc>
                <w:tcPr>
                  <w:tcW w:w="708" w:type="dxa"/>
                  <w:vMerge w:val="continue"/>
                  <w:vAlign w:val="center"/>
                </w:tcPr>
                <w:p w14:paraId="07DF4A6D">
                  <w:pPr>
                    <w:pStyle w:val="5"/>
                    <w:spacing w:line="240" w:lineRule="auto"/>
                    <w:ind w:firstLine="0" w:firstLineChars="0"/>
                    <w:jc w:val="center"/>
                    <w:rPr>
                      <w:sz w:val="21"/>
                      <w:szCs w:val="21"/>
                    </w:rPr>
                  </w:pPr>
                </w:p>
              </w:tc>
              <w:tc>
                <w:tcPr>
                  <w:tcW w:w="6942" w:type="dxa"/>
                  <w:gridSpan w:val="3"/>
                  <w:vAlign w:val="center"/>
                </w:tcPr>
                <w:p w14:paraId="39A5B2E7">
                  <w:pPr>
                    <w:pStyle w:val="5"/>
                    <w:spacing w:line="240" w:lineRule="auto"/>
                    <w:ind w:firstLine="0" w:firstLineChars="0"/>
                    <w:jc w:val="center"/>
                    <w:rPr>
                      <w:sz w:val="21"/>
                      <w:szCs w:val="21"/>
                    </w:rPr>
                  </w:pPr>
                  <w:r>
                    <w:rPr>
                      <w:rFonts w:hint="eastAsia"/>
                      <w:sz w:val="21"/>
                      <w:szCs w:val="21"/>
                    </w:rPr>
                    <w:t>确保既有的施工道路路基坚实，边缘稳定，满足重载车辆安全行驶要求。</w:t>
                  </w:r>
                </w:p>
              </w:tc>
            </w:tr>
            <w:tr w14:paraId="1E31A5BB">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576" w:type="dxa"/>
                  <w:vAlign w:val="center"/>
                </w:tcPr>
                <w:p w14:paraId="1D15DE79">
                  <w:pPr>
                    <w:pStyle w:val="5"/>
                    <w:spacing w:line="240" w:lineRule="auto"/>
                    <w:ind w:firstLine="0" w:firstLineChars="0"/>
                    <w:jc w:val="center"/>
                    <w:rPr>
                      <w:sz w:val="21"/>
                      <w:szCs w:val="21"/>
                    </w:rPr>
                  </w:pPr>
                  <w:r>
                    <w:rPr>
                      <w:rFonts w:hint="eastAsia"/>
                      <w:sz w:val="21"/>
                      <w:szCs w:val="21"/>
                    </w:rPr>
                    <w:t>9</w:t>
                  </w:r>
                </w:p>
              </w:tc>
              <w:tc>
                <w:tcPr>
                  <w:tcW w:w="708" w:type="dxa"/>
                  <w:vMerge w:val="continue"/>
                  <w:vAlign w:val="center"/>
                </w:tcPr>
                <w:p w14:paraId="3AA84CC3">
                  <w:pPr>
                    <w:pStyle w:val="5"/>
                    <w:spacing w:line="240" w:lineRule="auto"/>
                    <w:ind w:firstLine="0" w:firstLineChars="0"/>
                    <w:jc w:val="center"/>
                    <w:rPr>
                      <w:sz w:val="21"/>
                      <w:szCs w:val="21"/>
                    </w:rPr>
                  </w:pPr>
                </w:p>
              </w:tc>
              <w:tc>
                <w:tcPr>
                  <w:tcW w:w="6942" w:type="dxa"/>
                  <w:gridSpan w:val="3"/>
                  <w:vAlign w:val="center"/>
                </w:tcPr>
                <w:p w14:paraId="787F351E">
                  <w:pPr>
                    <w:pStyle w:val="5"/>
                    <w:spacing w:line="240" w:lineRule="auto"/>
                    <w:ind w:firstLine="0" w:firstLineChars="0"/>
                    <w:jc w:val="center"/>
                    <w:rPr>
                      <w:sz w:val="21"/>
                      <w:szCs w:val="21"/>
                    </w:rPr>
                  </w:pPr>
                  <w:r>
                    <w:rPr>
                      <w:rFonts w:hint="eastAsia"/>
                      <w:sz w:val="21"/>
                      <w:szCs w:val="21"/>
                    </w:rPr>
                    <w:t>确保既有的施工道路路宽满足施工车辆行驶及错车要求，单车道应设有备车位置。</w:t>
                  </w:r>
                </w:p>
              </w:tc>
            </w:tr>
            <w:tr w14:paraId="3AA3543F">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Align w:val="center"/>
                </w:tcPr>
                <w:p w14:paraId="7BCB21D9">
                  <w:pPr>
                    <w:pStyle w:val="5"/>
                    <w:spacing w:line="240" w:lineRule="auto"/>
                    <w:ind w:firstLine="0" w:firstLineChars="0"/>
                    <w:jc w:val="center"/>
                    <w:rPr>
                      <w:sz w:val="21"/>
                      <w:szCs w:val="21"/>
                    </w:rPr>
                  </w:pPr>
                  <w:r>
                    <w:rPr>
                      <w:rFonts w:hint="eastAsia"/>
                      <w:sz w:val="21"/>
                      <w:szCs w:val="21"/>
                    </w:rPr>
                    <w:t>10</w:t>
                  </w:r>
                </w:p>
              </w:tc>
              <w:tc>
                <w:tcPr>
                  <w:tcW w:w="708" w:type="dxa"/>
                  <w:vMerge w:val="restart"/>
                  <w:vAlign w:val="center"/>
                </w:tcPr>
                <w:p w14:paraId="5834E177">
                  <w:pPr>
                    <w:pStyle w:val="5"/>
                    <w:spacing w:line="240" w:lineRule="auto"/>
                    <w:ind w:left="-107" w:leftChars="-51" w:right="-107" w:rightChars="-51" w:firstLine="0" w:firstLineChars="0"/>
                    <w:jc w:val="center"/>
                    <w:rPr>
                      <w:sz w:val="21"/>
                      <w:szCs w:val="21"/>
                    </w:rPr>
                  </w:pPr>
                  <w:r>
                    <w:rPr>
                      <w:rFonts w:hint="eastAsia"/>
                      <w:sz w:val="21"/>
                      <w:szCs w:val="21"/>
                    </w:rPr>
                    <w:t>道路运输管理要求</w:t>
                  </w:r>
                </w:p>
              </w:tc>
              <w:tc>
                <w:tcPr>
                  <w:tcW w:w="6942" w:type="dxa"/>
                  <w:gridSpan w:val="3"/>
                  <w:vAlign w:val="center"/>
                </w:tcPr>
                <w:p w14:paraId="4932A646">
                  <w:pPr>
                    <w:pStyle w:val="5"/>
                    <w:spacing w:line="240" w:lineRule="auto"/>
                    <w:ind w:firstLine="0" w:firstLineChars="0"/>
                    <w:jc w:val="center"/>
                    <w:rPr>
                      <w:sz w:val="21"/>
                      <w:szCs w:val="21"/>
                    </w:rPr>
                  </w:pPr>
                  <w:r>
                    <w:rPr>
                      <w:rFonts w:hint="eastAsia"/>
                      <w:sz w:val="21"/>
                      <w:szCs w:val="21"/>
                    </w:rPr>
                    <w:t>严禁施工车辆超载、超速行驶。</w:t>
                  </w:r>
                </w:p>
              </w:tc>
            </w:tr>
            <w:tr w14:paraId="3317047E">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Align w:val="center"/>
                </w:tcPr>
                <w:p w14:paraId="199056F5">
                  <w:pPr>
                    <w:pStyle w:val="5"/>
                    <w:spacing w:line="240" w:lineRule="auto"/>
                    <w:ind w:firstLine="0" w:firstLineChars="0"/>
                    <w:jc w:val="center"/>
                    <w:rPr>
                      <w:sz w:val="21"/>
                      <w:szCs w:val="21"/>
                    </w:rPr>
                  </w:pPr>
                  <w:r>
                    <w:rPr>
                      <w:rFonts w:hint="eastAsia"/>
                      <w:sz w:val="21"/>
                      <w:szCs w:val="21"/>
                    </w:rPr>
                    <w:t>11</w:t>
                  </w:r>
                </w:p>
              </w:tc>
              <w:tc>
                <w:tcPr>
                  <w:tcW w:w="708" w:type="dxa"/>
                  <w:vMerge w:val="continue"/>
                  <w:vAlign w:val="center"/>
                </w:tcPr>
                <w:p w14:paraId="071B9C71">
                  <w:pPr>
                    <w:pStyle w:val="5"/>
                    <w:spacing w:line="240" w:lineRule="auto"/>
                    <w:ind w:firstLine="0" w:firstLineChars="0"/>
                    <w:jc w:val="center"/>
                    <w:rPr>
                      <w:sz w:val="21"/>
                      <w:szCs w:val="21"/>
                    </w:rPr>
                  </w:pPr>
                </w:p>
              </w:tc>
              <w:tc>
                <w:tcPr>
                  <w:tcW w:w="6942" w:type="dxa"/>
                  <w:gridSpan w:val="3"/>
                  <w:vAlign w:val="center"/>
                </w:tcPr>
                <w:p w14:paraId="29513571">
                  <w:pPr>
                    <w:pStyle w:val="5"/>
                    <w:spacing w:line="240" w:lineRule="auto"/>
                    <w:ind w:firstLine="0" w:firstLineChars="0"/>
                    <w:jc w:val="center"/>
                    <w:rPr>
                      <w:sz w:val="21"/>
                      <w:szCs w:val="21"/>
                    </w:rPr>
                  </w:pPr>
                  <w:r>
                    <w:rPr>
                      <w:rFonts w:hint="eastAsia"/>
                      <w:sz w:val="21"/>
                      <w:szCs w:val="21"/>
                    </w:rPr>
                    <w:t>临河及跨水体路段应尽快通过，不得随意停放。</w:t>
                  </w:r>
                </w:p>
              </w:tc>
            </w:tr>
          </w:tbl>
          <w:p w14:paraId="57075898">
            <w:pPr>
              <w:widowControl/>
              <w:autoSpaceDE w:val="0"/>
              <w:autoSpaceDN w:val="0"/>
              <w:adjustRightInd w:val="0"/>
              <w:spacing w:line="360" w:lineRule="auto"/>
              <w:ind w:firstLine="480"/>
              <w:jc w:val="left"/>
              <w:rPr>
                <w:b/>
                <w:kern w:val="0"/>
                <w:sz w:val="24"/>
              </w:rPr>
            </w:pPr>
            <w:r>
              <w:rPr>
                <w:rFonts w:hint="eastAsia"/>
                <w:b/>
                <w:kern w:val="0"/>
                <w:sz w:val="24"/>
              </w:rPr>
              <w:t xml:space="preserve">（2）运营期环境风险评价 </w:t>
            </w:r>
          </w:p>
          <w:p w14:paraId="3E7D6E09">
            <w:pPr>
              <w:widowControl/>
              <w:autoSpaceDE w:val="0"/>
              <w:autoSpaceDN w:val="0"/>
              <w:adjustRightInd w:val="0"/>
              <w:spacing w:line="360" w:lineRule="auto"/>
              <w:ind w:firstLine="480"/>
              <w:jc w:val="left"/>
              <w:rPr>
                <w:kern w:val="0"/>
                <w:sz w:val="24"/>
              </w:rPr>
            </w:pPr>
            <w:r>
              <w:rPr>
                <w:rFonts w:hint="eastAsia"/>
                <w:kern w:val="0"/>
                <w:sz w:val="24"/>
              </w:rPr>
              <w:t>一般而言，城市道路运输风险主要表现在因交通事故和违反危险品运输的有关规定，使被运送的危险品在运输途中突发性发生泄漏、爆炸、燃烧等，一旦出现将在很短的时间内造成一定面积的恶性污染。</w:t>
            </w:r>
          </w:p>
          <w:p w14:paraId="0F29DD44">
            <w:pPr>
              <w:widowControl/>
              <w:autoSpaceDE w:val="0"/>
              <w:autoSpaceDN w:val="0"/>
              <w:adjustRightInd w:val="0"/>
              <w:spacing w:line="360" w:lineRule="auto"/>
              <w:ind w:firstLine="480"/>
              <w:jc w:val="left"/>
              <w:rPr>
                <w:kern w:val="0"/>
                <w:sz w:val="24"/>
              </w:rPr>
            </w:pPr>
            <w:r>
              <w:rPr>
                <w:rFonts w:hint="eastAsia"/>
                <w:kern w:val="0"/>
                <w:sz w:val="24"/>
              </w:rPr>
              <w:t>又根据区域发展规划，本项目沿线周边规划为公园绿地、居住用地等，不会成为承担危险化学品运输主要路线。</w:t>
            </w:r>
          </w:p>
          <w:p w14:paraId="015EAD15">
            <w:pPr>
              <w:widowControl/>
              <w:autoSpaceDE w:val="0"/>
              <w:autoSpaceDN w:val="0"/>
              <w:adjustRightInd w:val="0"/>
              <w:spacing w:line="360" w:lineRule="auto"/>
              <w:ind w:firstLine="480"/>
              <w:jc w:val="left"/>
              <w:rPr>
                <w:kern w:val="0"/>
                <w:sz w:val="24"/>
              </w:rPr>
            </w:pPr>
            <w:r>
              <w:rPr>
                <w:rFonts w:hint="eastAsia"/>
                <w:kern w:val="0"/>
                <w:sz w:val="24"/>
              </w:rPr>
              <w:t>考虑到本项目为城市道路，且周边范围未来不会规划设置工业区，运输危化品运输可能行较小，周边环境不敏感，营运期环境风险影响较小。</w:t>
            </w:r>
            <w:r>
              <w:rPr>
                <w:kern w:val="0"/>
                <w:sz w:val="24"/>
              </w:rPr>
              <w:t xml:space="preserve"> </w:t>
            </w:r>
          </w:p>
          <w:p w14:paraId="6B24870A">
            <w:pPr>
              <w:widowControl/>
              <w:autoSpaceDE w:val="0"/>
              <w:autoSpaceDN w:val="0"/>
              <w:adjustRightInd w:val="0"/>
              <w:spacing w:line="360" w:lineRule="auto"/>
              <w:ind w:firstLine="480"/>
              <w:jc w:val="left"/>
              <w:rPr>
                <w:b/>
                <w:kern w:val="0"/>
                <w:sz w:val="24"/>
              </w:rPr>
            </w:pPr>
            <w:r>
              <w:rPr>
                <w:rFonts w:hint="eastAsia"/>
                <w:b/>
                <w:kern w:val="0"/>
                <w:sz w:val="24"/>
              </w:rPr>
              <w:t>（3）环境风险评价结论</w:t>
            </w:r>
          </w:p>
          <w:p w14:paraId="3B60B07E">
            <w:pPr>
              <w:widowControl/>
              <w:tabs>
                <w:tab w:val="left" w:pos="2861"/>
              </w:tabs>
              <w:autoSpaceDE w:val="0"/>
              <w:autoSpaceDN w:val="0"/>
              <w:adjustRightInd w:val="0"/>
              <w:spacing w:line="360" w:lineRule="auto"/>
              <w:ind w:firstLine="480"/>
              <w:jc w:val="left"/>
              <w:rPr>
                <w:sz w:val="24"/>
              </w:rPr>
            </w:pPr>
            <w:r>
              <w:rPr>
                <w:rFonts w:hint="eastAsia"/>
                <w:kern w:val="0"/>
                <w:sz w:val="24"/>
              </w:rPr>
              <w:t>本项目实施的主要环境风险来自施工期和营运期。从风险分析结果可知，本项目施工期和营运期发生环境风险事故的概率小。只要在道路建设及运营管理过程中严格按照有关规范及标准的要求，严格采取相应的防范措施，搞好安全配套设施的建设，危险品运输车辆按有关行业或国家标准、规范及条例的要求进行严格管理，加强对运输过程中的监控，认真落实环境风险防范措施，结合环评报告表中提出的预防、监督和管理措施，本项目风险防范措施可靠有效。从环境风险角度分析，本项目建设是安全可行的。</w:t>
            </w:r>
          </w:p>
        </w:tc>
      </w:tr>
      <w:tr w14:paraId="4CA9F5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753" w:type="dxa"/>
            <w:vAlign w:val="center"/>
          </w:tcPr>
          <w:p w14:paraId="5F111A07">
            <w:pPr>
              <w:adjustRightInd w:val="0"/>
              <w:snapToGrid w:val="0"/>
              <w:jc w:val="center"/>
              <w:rPr>
                <w:rFonts w:ascii="宋体" w:hAnsi="宋体" w:cs="宋体"/>
                <w:bCs/>
                <w:spacing w:val="10"/>
                <w:szCs w:val="21"/>
              </w:rPr>
            </w:pPr>
            <w:r>
              <w:rPr>
                <w:rFonts w:hint="eastAsia" w:ascii="宋体" w:hAnsi="宋体"/>
                <w:bCs/>
                <w:sz w:val="24"/>
                <w:szCs w:val="21"/>
              </w:rPr>
              <w:t>其他</w:t>
            </w:r>
          </w:p>
        </w:tc>
        <w:tc>
          <w:tcPr>
            <w:tcW w:w="8457" w:type="dxa"/>
            <w:vAlign w:val="center"/>
          </w:tcPr>
          <w:p w14:paraId="49CB7533">
            <w:pPr>
              <w:widowControl/>
              <w:autoSpaceDE w:val="0"/>
              <w:autoSpaceDN w:val="0"/>
              <w:adjustRightInd w:val="0"/>
              <w:spacing w:line="360" w:lineRule="auto"/>
              <w:jc w:val="left"/>
              <w:rPr>
                <w:rFonts w:ascii="宋体" w:hAnsi="宋体"/>
                <w:b/>
                <w:bCs/>
                <w:sz w:val="24"/>
              </w:rPr>
            </w:pPr>
            <w:r>
              <w:rPr>
                <w:rFonts w:hint="eastAsia" w:ascii="宋体" w:hAnsi="宋体"/>
                <w:b/>
                <w:bCs/>
                <w:sz w:val="24"/>
              </w:rPr>
              <w:t>1、环境管理与监测计划</w:t>
            </w:r>
          </w:p>
          <w:p w14:paraId="05306ADB">
            <w:pPr>
              <w:widowControl/>
              <w:autoSpaceDE w:val="0"/>
              <w:autoSpaceDN w:val="0"/>
              <w:adjustRightInd w:val="0"/>
              <w:spacing w:line="360" w:lineRule="auto"/>
              <w:ind w:firstLine="480"/>
              <w:jc w:val="left"/>
              <w:rPr>
                <w:rFonts w:ascii="宋体" w:hAnsi="宋体"/>
                <w:bCs/>
                <w:sz w:val="24"/>
              </w:rPr>
            </w:pPr>
            <w:r>
              <w:rPr>
                <w:rFonts w:hint="eastAsia" w:ascii="宋体" w:hAnsi="宋体"/>
                <w:bCs/>
                <w:sz w:val="24"/>
              </w:rPr>
              <w:t>环境管理与环保治理措施一样重要，是保证建设项目排污达到相应标准、控制建设地周围区域环境质量不下降的一个重要技术手段。根据《中华人民共和国环境保护法》和《建设项目环境保护管理条例》的规定，新建和扩建企业要设置环境保护管理机构，制定切实可行的环保制度。</w:t>
            </w:r>
          </w:p>
          <w:p w14:paraId="123E2EC9">
            <w:pPr>
              <w:widowControl/>
              <w:autoSpaceDE w:val="0"/>
              <w:autoSpaceDN w:val="0"/>
              <w:adjustRightInd w:val="0"/>
              <w:spacing w:line="360" w:lineRule="auto"/>
              <w:ind w:firstLine="480"/>
              <w:jc w:val="left"/>
              <w:rPr>
                <w:rFonts w:ascii="宋体" w:hAnsi="宋体"/>
                <w:b/>
                <w:bCs/>
                <w:sz w:val="24"/>
              </w:rPr>
            </w:pPr>
            <w:r>
              <w:rPr>
                <w:rFonts w:hint="eastAsia" w:ascii="宋体" w:hAnsi="宋体"/>
                <w:b/>
                <w:bCs/>
                <w:sz w:val="24"/>
              </w:rPr>
              <w:t>（1）施工期</w:t>
            </w:r>
          </w:p>
          <w:p w14:paraId="1A84804D">
            <w:pPr>
              <w:widowControl/>
              <w:autoSpaceDE w:val="0"/>
              <w:autoSpaceDN w:val="0"/>
              <w:adjustRightInd w:val="0"/>
              <w:spacing w:line="360" w:lineRule="auto"/>
              <w:ind w:firstLine="480"/>
              <w:jc w:val="left"/>
              <w:rPr>
                <w:rFonts w:ascii="宋体" w:hAnsi="宋体"/>
                <w:b/>
                <w:bCs/>
                <w:sz w:val="24"/>
              </w:rPr>
            </w:pPr>
            <w:r>
              <w:rPr>
                <w:rFonts w:hint="eastAsia" w:ascii="宋体" w:hAnsi="宋体"/>
                <w:b/>
                <w:bCs/>
                <w:sz w:val="24"/>
              </w:rPr>
              <w:t>①环境保护责任主体</w:t>
            </w:r>
          </w:p>
          <w:p w14:paraId="70935868">
            <w:pPr>
              <w:widowControl/>
              <w:autoSpaceDE w:val="0"/>
              <w:autoSpaceDN w:val="0"/>
              <w:adjustRightInd w:val="0"/>
              <w:spacing w:line="360" w:lineRule="auto"/>
              <w:ind w:firstLine="480"/>
              <w:jc w:val="left"/>
              <w:rPr>
                <w:bCs/>
                <w:sz w:val="24"/>
              </w:rPr>
            </w:pPr>
            <w:r>
              <w:rPr>
                <w:rFonts w:hint="eastAsia" w:ascii="宋体" w:hAnsi="宋体"/>
                <w:bCs/>
                <w:sz w:val="24"/>
              </w:rPr>
              <w:t>环境管理与环保治理措施一样重要，是保证建设项目排污达到相应标准、控制</w:t>
            </w:r>
            <w:r>
              <w:rPr>
                <w:bCs/>
                <w:sz w:val="24"/>
              </w:rPr>
              <w:t>建设地周围区域环境质量不下降的一个重要技术手段。</w:t>
            </w:r>
          </w:p>
          <w:p w14:paraId="268F9FCA">
            <w:pPr>
              <w:widowControl/>
              <w:autoSpaceDE w:val="0"/>
              <w:autoSpaceDN w:val="0"/>
              <w:adjustRightInd w:val="0"/>
              <w:spacing w:line="360" w:lineRule="auto"/>
              <w:ind w:firstLine="480"/>
              <w:jc w:val="left"/>
              <w:rPr>
                <w:bCs/>
                <w:sz w:val="24"/>
              </w:rPr>
            </w:pPr>
            <w:r>
              <w:rPr>
                <w:bCs/>
                <w:sz w:val="24"/>
              </w:rPr>
              <w:t>施工期，环境保护主体为大英县通源实业有限责任公司，施工单位应配合业主实施环保工作。</w:t>
            </w:r>
          </w:p>
          <w:p w14:paraId="3D28ED4B">
            <w:pPr>
              <w:widowControl/>
              <w:autoSpaceDE w:val="0"/>
              <w:autoSpaceDN w:val="0"/>
              <w:adjustRightInd w:val="0"/>
              <w:spacing w:line="360" w:lineRule="auto"/>
              <w:ind w:firstLine="480"/>
              <w:jc w:val="left"/>
              <w:rPr>
                <w:b/>
                <w:bCs/>
                <w:sz w:val="24"/>
              </w:rPr>
            </w:pPr>
            <w:r>
              <w:rPr>
                <w:rFonts w:hint="eastAsia" w:ascii="宋体" w:hAnsi="宋体" w:cs="宋体"/>
                <w:b/>
                <w:bCs/>
                <w:sz w:val="24"/>
              </w:rPr>
              <w:t>②</w:t>
            </w:r>
            <w:r>
              <w:rPr>
                <w:b/>
                <w:bCs/>
                <w:sz w:val="24"/>
              </w:rPr>
              <w:t>环境监理职责</w:t>
            </w:r>
          </w:p>
          <w:p w14:paraId="029D3099">
            <w:pPr>
              <w:widowControl/>
              <w:autoSpaceDE w:val="0"/>
              <w:autoSpaceDN w:val="0"/>
              <w:adjustRightInd w:val="0"/>
              <w:spacing w:line="360" w:lineRule="auto"/>
              <w:ind w:firstLine="480"/>
              <w:jc w:val="left"/>
              <w:rPr>
                <w:bCs/>
                <w:sz w:val="24"/>
              </w:rPr>
            </w:pPr>
            <w:r>
              <w:rPr>
                <w:bCs/>
                <w:sz w:val="24"/>
              </w:rPr>
              <w:t xml:space="preserve">为加强企业的环境保护管理工作，发挥环保管理机构的作用，其环境管理的主要职责为： </w:t>
            </w:r>
          </w:p>
          <w:p w14:paraId="57C72D08">
            <w:pPr>
              <w:widowControl/>
              <w:autoSpaceDE w:val="0"/>
              <w:autoSpaceDN w:val="0"/>
              <w:adjustRightInd w:val="0"/>
              <w:spacing w:line="360" w:lineRule="auto"/>
              <w:ind w:firstLine="480"/>
              <w:jc w:val="left"/>
              <w:rPr>
                <w:bCs/>
                <w:sz w:val="24"/>
              </w:rPr>
            </w:pPr>
            <w:r>
              <w:rPr>
                <w:bCs/>
                <w:sz w:val="24"/>
              </w:rPr>
              <w:t xml:space="preserve">A、贯彻执行国家、地方环境保护法规和标准。 </w:t>
            </w:r>
          </w:p>
          <w:p w14:paraId="11674972">
            <w:pPr>
              <w:widowControl/>
              <w:autoSpaceDE w:val="0"/>
              <w:autoSpaceDN w:val="0"/>
              <w:adjustRightInd w:val="0"/>
              <w:spacing w:line="360" w:lineRule="auto"/>
              <w:ind w:firstLine="480"/>
              <w:jc w:val="left"/>
              <w:rPr>
                <w:bCs/>
                <w:sz w:val="24"/>
              </w:rPr>
            </w:pPr>
            <w:r>
              <w:rPr>
                <w:bCs/>
                <w:sz w:val="24"/>
              </w:rPr>
              <w:t xml:space="preserve">B、随着工程进展情况，不断落实环评中的环境保护措施。领导并组织项目环境监测工作，建立监测档案。落实和协调环境监理工作。 </w:t>
            </w:r>
          </w:p>
          <w:p w14:paraId="79215AC6">
            <w:pPr>
              <w:widowControl/>
              <w:autoSpaceDE w:val="0"/>
              <w:autoSpaceDN w:val="0"/>
              <w:adjustRightInd w:val="0"/>
              <w:spacing w:line="360" w:lineRule="auto"/>
              <w:ind w:firstLine="480"/>
              <w:jc w:val="left"/>
              <w:rPr>
                <w:bCs/>
                <w:sz w:val="24"/>
              </w:rPr>
            </w:pPr>
            <w:r>
              <w:rPr>
                <w:bCs/>
                <w:sz w:val="24"/>
              </w:rPr>
              <w:t>C、施工过程中监督各个施工期的环保措施实施情况，并对污染物排放情况进行记录、汇总。</w:t>
            </w:r>
          </w:p>
          <w:p w14:paraId="68DAFD77">
            <w:pPr>
              <w:widowControl/>
              <w:autoSpaceDE w:val="0"/>
              <w:autoSpaceDN w:val="0"/>
              <w:adjustRightInd w:val="0"/>
              <w:spacing w:line="360" w:lineRule="auto"/>
              <w:ind w:firstLine="480"/>
              <w:jc w:val="left"/>
              <w:rPr>
                <w:bCs/>
                <w:sz w:val="24"/>
              </w:rPr>
            </w:pPr>
            <w:r>
              <w:rPr>
                <w:bCs/>
                <w:sz w:val="24"/>
              </w:rPr>
              <w:t>D、在施工过程中编制项目环境保护和环境监测计划，设计并组织实施;建立</w:t>
            </w:r>
            <w:r>
              <w:rPr>
                <w:rFonts w:hint="eastAsia"/>
                <w:bCs/>
                <w:sz w:val="24"/>
                <w:lang w:val="en-US" w:eastAsia="zh-CN"/>
              </w:rPr>
              <w:t>健全</w:t>
            </w:r>
            <w:r>
              <w:rPr>
                <w:bCs/>
                <w:sz w:val="24"/>
              </w:rPr>
              <w:t xml:space="preserve">各种规章制度，并检查督促实施。按有关规定编制各种报告与报表，并负责向上级领导及环保部门呈报。 </w:t>
            </w:r>
          </w:p>
          <w:p w14:paraId="2BB2BBD7">
            <w:pPr>
              <w:widowControl/>
              <w:autoSpaceDE w:val="0"/>
              <w:autoSpaceDN w:val="0"/>
              <w:adjustRightInd w:val="0"/>
              <w:spacing w:line="360" w:lineRule="auto"/>
              <w:ind w:firstLine="480"/>
              <w:jc w:val="left"/>
              <w:rPr>
                <w:bCs/>
                <w:sz w:val="24"/>
              </w:rPr>
            </w:pPr>
            <w:r>
              <w:rPr>
                <w:bCs/>
                <w:sz w:val="24"/>
              </w:rPr>
              <w:t xml:space="preserve">E、协同当地环保部门处理与本项目有关的环境问题，以及公众提出的意见和建议，并做好统计工作。 </w:t>
            </w:r>
          </w:p>
          <w:p w14:paraId="067CCB81">
            <w:pPr>
              <w:widowControl/>
              <w:autoSpaceDE w:val="0"/>
              <w:autoSpaceDN w:val="0"/>
              <w:adjustRightInd w:val="0"/>
              <w:spacing w:line="360" w:lineRule="auto"/>
              <w:ind w:firstLine="480"/>
              <w:jc w:val="left"/>
              <w:rPr>
                <w:bCs/>
                <w:sz w:val="24"/>
              </w:rPr>
            </w:pPr>
            <w:r>
              <w:rPr>
                <w:bCs/>
                <w:sz w:val="24"/>
              </w:rPr>
              <w:t xml:space="preserve">F、负责宣传环保相关知识，提高施工人员的环保意识。 </w:t>
            </w:r>
          </w:p>
          <w:p w14:paraId="027E1CCE">
            <w:pPr>
              <w:widowControl/>
              <w:autoSpaceDE w:val="0"/>
              <w:autoSpaceDN w:val="0"/>
              <w:adjustRightInd w:val="0"/>
              <w:spacing w:line="360" w:lineRule="auto"/>
              <w:ind w:firstLine="480"/>
              <w:jc w:val="left"/>
              <w:rPr>
                <w:bCs/>
                <w:sz w:val="24"/>
              </w:rPr>
            </w:pPr>
            <w:r>
              <w:rPr>
                <w:bCs/>
                <w:sz w:val="24"/>
              </w:rPr>
              <w:t xml:space="preserve">落实经环保行政主管部门批复的工程环境影响评价报告表中的环境保护措施:在工程建设施工合同中应包括环境保护、水土保持有关条款，明确相应的责任与义务。 </w:t>
            </w:r>
          </w:p>
          <w:p w14:paraId="78904947">
            <w:pPr>
              <w:widowControl/>
              <w:autoSpaceDE w:val="0"/>
              <w:autoSpaceDN w:val="0"/>
              <w:adjustRightInd w:val="0"/>
              <w:spacing w:line="360" w:lineRule="auto"/>
              <w:ind w:firstLine="480"/>
              <w:jc w:val="left"/>
              <w:rPr>
                <w:bCs/>
                <w:sz w:val="24"/>
              </w:rPr>
            </w:pPr>
            <w:r>
              <w:rPr>
                <w:bCs/>
                <w:sz w:val="24"/>
              </w:rPr>
              <w:t xml:space="preserve">H、监督施工单位环保设施的建设实施情况、环保设施的处理效果等。 </w:t>
            </w:r>
          </w:p>
          <w:p w14:paraId="52391DF5">
            <w:pPr>
              <w:widowControl/>
              <w:autoSpaceDE w:val="0"/>
              <w:autoSpaceDN w:val="0"/>
              <w:adjustRightInd w:val="0"/>
              <w:spacing w:line="360" w:lineRule="auto"/>
              <w:ind w:firstLine="480"/>
              <w:jc w:val="left"/>
              <w:rPr>
                <w:bCs/>
                <w:sz w:val="24"/>
              </w:rPr>
            </w:pPr>
            <w:r>
              <w:rPr>
                <w:bCs/>
                <w:sz w:val="24"/>
              </w:rPr>
              <w:t xml:space="preserve">I、负责筹措环保措施需要的经费，确保各项环保能够顺利落实。 </w:t>
            </w:r>
          </w:p>
          <w:p w14:paraId="3F84F927">
            <w:pPr>
              <w:widowControl/>
              <w:autoSpaceDE w:val="0"/>
              <w:autoSpaceDN w:val="0"/>
              <w:adjustRightInd w:val="0"/>
              <w:spacing w:line="360" w:lineRule="auto"/>
              <w:ind w:firstLine="480"/>
              <w:jc w:val="left"/>
              <w:rPr>
                <w:bCs/>
                <w:sz w:val="24"/>
              </w:rPr>
            </w:pPr>
            <w:r>
              <w:rPr>
                <w:bCs/>
                <w:sz w:val="24"/>
              </w:rPr>
              <w:t>J、施工单位必须遵循</w:t>
            </w:r>
            <w:r>
              <w:rPr>
                <w:rFonts w:asciiTheme="minorEastAsia" w:hAnsiTheme="minorEastAsia" w:eastAsiaTheme="minorEastAsia"/>
                <w:bCs/>
                <w:sz w:val="24"/>
              </w:rPr>
              <w:t>“三同时”</w:t>
            </w:r>
            <w:r>
              <w:rPr>
                <w:bCs/>
                <w:sz w:val="24"/>
              </w:rPr>
              <w:t>原则（即建设项目中防治污染的措施，必须与主体工程同时设计、同时施工、同时投入生产和使用）并纳入施工期环境监理。</w:t>
            </w:r>
            <w:r>
              <w:rPr>
                <w:rFonts w:hint="eastAsia"/>
                <w:bCs/>
                <w:sz w:val="24"/>
              </w:rPr>
              <w:t>监理单位做好施工期生态保护措施记录，实施情况纳入施工期监理记录表。</w:t>
            </w:r>
          </w:p>
          <w:p w14:paraId="43CE2F85">
            <w:pPr>
              <w:widowControl/>
              <w:autoSpaceDE w:val="0"/>
              <w:autoSpaceDN w:val="0"/>
              <w:adjustRightInd w:val="0"/>
              <w:spacing w:line="360" w:lineRule="auto"/>
              <w:ind w:firstLine="480"/>
              <w:jc w:val="left"/>
              <w:rPr>
                <w:bCs/>
                <w:sz w:val="24"/>
              </w:rPr>
            </w:pPr>
            <w:r>
              <w:rPr>
                <w:rFonts w:hint="eastAsia"/>
                <w:bCs/>
                <w:sz w:val="24"/>
              </w:rPr>
              <w:t>环境监理记录要求如下：a、记录施工期生产和生活污水的来源、排放量、水质标准、处理设施的建设过程和处理效果等，检查是否达到污水排放标准。b、固体废物处置措施的环境监理：包括施工废渣、生活垃圾的生产与处理去向，记录固废处理的程序和达标情况。c、噪声控制措施的环境监理：监督施工区域及其影响区的噪声环境质量达标情况，避免噪声扰民。d、大气污染防治措施的环境监理：检查和监测记录施工期大气污染防治达标情况。</w:t>
            </w:r>
          </w:p>
          <w:p w14:paraId="3FCB8C27">
            <w:pPr>
              <w:widowControl/>
              <w:autoSpaceDE w:val="0"/>
              <w:autoSpaceDN w:val="0"/>
              <w:adjustRightInd w:val="0"/>
              <w:spacing w:line="360" w:lineRule="auto"/>
              <w:ind w:firstLine="482"/>
              <w:jc w:val="left"/>
              <w:rPr>
                <w:b/>
                <w:kern w:val="0"/>
                <w:sz w:val="24"/>
              </w:rPr>
            </w:pPr>
            <w:r>
              <w:rPr>
                <w:rFonts w:hint="eastAsia"/>
                <w:b/>
                <w:kern w:val="0"/>
                <w:sz w:val="24"/>
              </w:rPr>
              <w:t>③</w:t>
            </w:r>
            <w:r>
              <w:rPr>
                <w:b/>
                <w:kern w:val="0"/>
                <w:sz w:val="24"/>
              </w:rPr>
              <w:t>环境</w:t>
            </w:r>
            <w:r>
              <w:rPr>
                <w:rFonts w:hint="eastAsia"/>
                <w:b/>
                <w:kern w:val="0"/>
                <w:sz w:val="24"/>
              </w:rPr>
              <w:t>监测计</w:t>
            </w:r>
            <w:r>
              <w:rPr>
                <w:b/>
                <w:kern w:val="0"/>
                <w:sz w:val="24"/>
              </w:rPr>
              <w:t>划</w:t>
            </w:r>
          </w:p>
          <w:p w14:paraId="5C21F6AF">
            <w:pPr>
              <w:widowControl/>
              <w:spacing w:line="360" w:lineRule="auto"/>
              <w:ind w:firstLine="480"/>
              <w:jc w:val="left"/>
              <w:rPr>
                <w:rFonts w:eastAsia="黑体"/>
                <w:b/>
                <w:szCs w:val="21"/>
              </w:rPr>
            </w:pPr>
            <w:r>
              <w:rPr>
                <w:rFonts w:hint="eastAsia"/>
                <w:sz w:val="24"/>
              </w:rPr>
              <w:t>企业应按照最新的监测方案开展监测活动，可根据自身条件和能力，利用人员、场所和设备自行监测，也可委托其他有资质的检（监）测机构代其开展自行监测。根据工程特点，确定本项目环境监测要素为环境空气、声环境等，具体详见下表：</w:t>
            </w:r>
            <w:bookmarkStart w:id="38" w:name="_Toc150173917"/>
            <w:r>
              <w:rPr>
                <w:rFonts w:hint="eastAsia" w:eastAsia="黑体"/>
                <w:b/>
                <w:szCs w:val="21"/>
              </w:rPr>
              <w:t xml:space="preserve"> </w:t>
            </w:r>
          </w:p>
          <w:p w14:paraId="1B222C39">
            <w:pPr>
              <w:pStyle w:val="4"/>
              <w:numPr>
                <w:ilvl w:val="1"/>
                <w:numId w:val="0"/>
              </w:numPr>
              <w:spacing w:line="240" w:lineRule="auto"/>
              <w:rPr>
                <w:rFonts w:eastAsia="黑体"/>
                <w:b w:val="0"/>
                <w:sz w:val="21"/>
                <w:szCs w:val="21"/>
              </w:rPr>
            </w:pPr>
            <w:r>
              <w:rPr>
                <w:rFonts w:hint="eastAsia" w:eastAsia="黑体"/>
                <w:b w:val="0"/>
                <w:sz w:val="21"/>
                <w:szCs w:val="21"/>
              </w:rPr>
              <w:t>表5-3    施工期</w:t>
            </w:r>
            <w:r>
              <w:rPr>
                <w:rFonts w:eastAsia="黑体"/>
                <w:b w:val="0"/>
                <w:sz w:val="21"/>
                <w:szCs w:val="21"/>
              </w:rPr>
              <w:t>环境监测计划</w:t>
            </w:r>
            <w:bookmarkEnd w:id="38"/>
          </w:p>
          <w:tbl>
            <w:tblPr>
              <w:tblStyle w:val="3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6"/>
              <w:gridCol w:w="427"/>
              <w:gridCol w:w="1617"/>
              <w:gridCol w:w="1314"/>
              <w:gridCol w:w="1416"/>
              <w:gridCol w:w="793"/>
              <w:gridCol w:w="2128"/>
            </w:tblGrid>
            <w:tr w14:paraId="579B4E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1" w:type="pct"/>
                  <w:vAlign w:val="center"/>
                </w:tcPr>
                <w:p w14:paraId="5B19CA25">
                  <w:pPr>
                    <w:widowControl/>
                    <w:adjustRightInd w:val="0"/>
                    <w:snapToGrid w:val="0"/>
                    <w:ind w:left="-105" w:leftChars="-50" w:right="-105" w:rightChars="-50"/>
                    <w:jc w:val="center"/>
                    <w:rPr>
                      <w:b/>
                      <w:kern w:val="0"/>
                      <w:szCs w:val="21"/>
                    </w:rPr>
                  </w:pPr>
                  <w:r>
                    <w:rPr>
                      <w:b/>
                      <w:kern w:val="0"/>
                      <w:szCs w:val="21"/>
                    </w:rPr>
                    <w:t>类别</w:t>
                  </w:r>
                </w:p>
              </w:tc>
              <w:tc>
                <w:tcPr>
                  <w:tcW w:w="1240" w:type="pct"/>
                  <w:gridSpan w:val="2"/>
                  <w:vAlign w:val="center"/>
                </w:tcPr>
                <w:p w14:paraId="1B0BCE06">
                  <w:pPr>
                    <w:widowControl/>
                    <w:adjustRightInd w:val="0"/>
                    <w:snapToGrid w:val="0"/>
                    <w:ind w:left="-105" w:leftChars="-50" w:right="-105" w:rightChars="-50"/>
                    <w:jc w:val="center"/>
                    <w:rPr>
                      <w:b/>
                      <w:kern w:val="0"/>
                      <w:szCs w:val="21"/>
                    </w:rPr>
                  </w:pPr>
                  <w:r>
                    <w:rPr>
                      <w:b/>
                      <w:kern w:val="0"/>
                      <w:szCs w:val="21"/>
                    </w:rPr>
                    <w:t>监测位置</w:t>
                  </w:r>
                </w:p>
              </w:tc>
              <w:tc>
                <w:tcPr>
                  <w:tcW w:w="797" w:type="pct"/>
                  <w:vAlign w:val="center"/>
                </w:tcPr>
                <w:p w14:paraId="100CC56B">
                  <w:pPr>
                    <w:widowControl/>
                    <w:adjustRightInd w:val="0"/>
                    <w:snapToGrid w:val="0"/>
                    <w:ind w:left="-105" w:leftChars="-50" w:right="-105" w:rightChars="-50"/>
                    <w:jc w:val="center"/>
                    <w:rPr>
                      <w:b/>
                      <w:kern w:val="0"/>
                      <w:szCs w:val="21"/>
                    </w:rPr>
                  </w:pPr>
                  <w:r>
                    <w:rPr>
                      <w:b/>
                      <w:kern w:val="0"/>
                      <w:szCs w:val="21"/>
                    </w:rPr>
                    <w:t>监测项目</w:t>
                  </w:r>
                </w:p>
              </w:tc>
              <w:tc>
                <w:tcPr>
                  <w:tcW w:w="859" w:type="pct"/>
                  <w:vAlign w:val="center"/>
                </w:tcPr>
                <w:p w14:paraId="576BCDE7">
                  <w:pPr>
                    <w:widowControl/>
                    <w:adjustRightInd w:val="0"/>
                    <w:snapToGrid w:val="0"/>
                    <w:ind w:left="-105" w:leftChars="-50" w:right="-105" w:rightChars="-50"/>
                    <w:jc w:val="center"/>
                    <w:rPr>
                      <w:b/>
                      <w:kern w:val="0"/>
                      <w:szCs w:val="21"/>
                    </w:rPr>
                  </w:pPr>
                  <w:r>
                    <w:rPr>
                      <w:rFonts w:hint="eastAsia"/>
                      <w:b/>
                      <w:kern w:val="0"/>
                      <w:szCs w:val="21"/>
                    </w:rPr>
                    <w:t>监测方式</w:t>
                  </w:r>
                </w:p>
              </w:tc>
              <w:tc>
                <w:tcPr>
                  <w:tcW w:w="481" w:type="pct"/>
                  <w:vAlign w:val="center"/>
                </w:tcPr>
                <w:p w14:paraId="64EBADD2">
                  <w:pPr>
                    <w:widowControl/>
                    <w:adjustRightInd w:val="0"/>
                    <w:snapToGrid w:val="0"/>
                    <w:ind w:left="-105" w:leftChars="-50" w:right="-105" w:rightChars="-50"/>
                    <w:jc w:val="center"/>
                    <w:rPr>
                      <w:b/>
                      <w:kern w:val="0"/>
                      <w:szCs w:val="21"/>
                    </w:rPr>
                  </w:pPr>
                  <w:r>
                    <w:rPr>
                      <w:b/>
                      <w:kern w:val="0"/>
                      <w:szCs w:val="21"/>
                    </w:rPr>
                    <w:t>监测频率</w:t>
                  </w:r>
                </w:p>
              </w:tc>
              <w:tc>
                <w:tcPr>
                  <w:tcW w:w="1291" w:type="pct"/>
                  <w:vAlign w:val="center"/>
                </w:tcPr>
                <w:p w14:paraId="2682F8BD">
                  <w:pPr>
                    <w:widowControl/>
                    <w:adjustRightInd w:val="0"/>
                    <w:snapToGrid w:val="0"/>
                    <w:ind w:left="-105" w:leftChars="-50" w:right="-105" w:rightChars="-50"/>
                    <w:jc w:val="center"/>
                    <w:rPr>
                      <w:b/>
                      <w:kern w:val="0"/>
                      <w:szCs w:val="21"/>
                    </w:rPr>
                  </w:pPr>
                  <w:r>
                    <w:rPr>
                      <w:rFonts w:hint="eastAsia"/>
                      <w:b/>
                      <w:kern w:val="0"/>
                      <w:szCs w:val="21"/>
                    </w:rPr>
                    <w:t>执行标准</w:t>
                  </w:r>
                </w:p>
              </w:tc>
            </w:tr>
            <w:tr w14:paraId="361BA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1" w:type="pct"/>
                  <w:vAlign w:val="center"/>
                </w:tcPr>
                <w:p w14:paraId="15F36DB8">
                  <w:pPr>
                    <w:widowControl/>
                    <w:adjustRightInd w:val="0"/>
                    <w:snapToGrid w:val="0"/>
                    <w:ind w:left="-105" w:leftChars="-50" w:right="-105" w:rightChars="-50"/>
                    <w:jc w:val="center"/>
                    <w:rPr>
                      <w:kern w:val="0"/>
                      <w:szCs w:val="21"/>
                    </w:rPr>
                  </w:pPr>
                  <w:r>
                    <w:rPr>
                      <w:rFonts w:hint="eastAsia"/>
                      <w:kern w:val="0"/>
                      <w:szCs w:val="21"/>
                    </w:rPr>
                    <w:t>废气</w:t>
                  </w:r>
                </w:p>
              </w:tc>
              <w:tc>
                <w:tcPr>
                  <w:tcW w:w="259" w:type="pct"/>
                  <w:vAlign w:val="center"/>
                </w:tcPr>
                <w:p w14:paraId="0605D1E8">
                  <w:pPr>
                    <w:widowControl/>
                    <w:adjustRightInd w:val="0"/>
                    <w:snapToGrid w:val="0"/>
                    <w:ind w:left="-105" w:leftChars="-50" w:right="-105" w:rightChars="-50"/>
                    <w:jc w:val="center"/>
                    <w:rPr>
                      <w:kern w:val="0"/>
                      <w:szCs w:val="21"/>
                    </w:rPr>
                  </w:pPr>
                  <w:r>
                    <w:rPr>
                      <w:rFonts w:hint="eastAsia"/>
                      <w:szCs w:val="21"/>
                    </w:rPr>
                    <w:t>施工期</w:t>
                  </w:r>
                </w:p>
              </w:tc>
              <w:tc>
                <w:tcPr>
                  <w:tcW w:w="981" w:type="pct"/>
                  <w:vAlign w:val="center"/>
                </w:tcPr>
                <w:p w14:paraId="5549CC4B">
                  <w:pPr>
                    <w:widowControl/>
                    <w:adjustRightInd w:val="0"/>
                    <w:snapToGrid w:val="0"/>
                    <w:ind w:left="-105" w:leftChars="-50" w:right="-105" w:rightChars="-50"/>
                    <w:jc w:val="center"/>
                    <w:rPr>
                      <w:kern w:val="0"/>
                      <w:szCs w:val="21"/>
                    </w:rPr>
                  </w:pPr>
                  <w:r>
                    <w:rPr>
                      <w:rFonts w:hint="eastAsia"/>
                      <w:kern w:val="0"/>
                      <w:szCs w:val="21"/>
                    </w:rPr>
                    <w:t>施工区场界上、下风向</w:t>
                  </w:r>
                </w:p>
              </w:tc>
              <w:tc>
                <w:tcPr>
                  <w:tcW w:w="797" w:type="pct"/>
                  <w:vAlign w:val="center"/>
                </w:tcPr>
                <w:p w14:paraId="174266CD">
                  <w:pPr>
                    <w:widowControl/>
                    <w:adjustRightInd w:val="0"/>
                    <w:snapToGrid w:val="0"/>
                    <w:ind w:left="-105" w:leftChars="-50" w:right="-105" w:rightChars="-50"/>
                    <w:jc w:val="center"/>
                    <w:rPr>
                      <w:kern w:val="0"/>
                      <w:szCs w:val="21"/>
                    </w:rPr>
                  </w:pPr>
                  <w:r>
                    <w:rPr>
                      <w:rFonts w:hint="eastAsia"/>
                      <w:kern w:val="0"/>
                      <w:szCs w:val="21"/>
                    </w:rPr>
                    <w:t>颗粒物</w:t>
                  </w:r>
                </w:p>
              </w:tc>
              <w:tc>
                <w:tcPr>
                  <w:tcW w:w="859" w:type="pct"/>
                  <w:vMerge w:val="restart"/>
                  <w:vAlign w:val="center"/>
                </w:tcPr>
                <w:p w14:paraId="74FBDFD7">
                  <w:pPr>
                    <w:widowControl/>
                    <w:adjustRightInd w:val="0"/>
                    <w:snapToGrid w:val="0"/>
                    <w:ind w:left="-105" w:leftChars="-50" w:right="-105" w:rightChars="-50"/>
                    <w:jc w:val="center"/>
                    <w:rPr>
                      <w:spacing w:val="-2"/>
                      <w:szCs w:val="21"/>
                    </w:rPr>
                  </w:pPr>
                  <w:r>
                    <w:rPr>
                      <w:rFonts w:hint="eastAsia"/>
                      <w:spacing w:val="-2"/>
                      <w:szCs w:val="21"/>
                    </w:rPr>
                    <w:t>由企业自行定期监测或委托有资质的单位监测</w:t>
                  </w:r>
                </w:p>
              </w:tc>
              <w:tc>
                <w:tcPr>
                  <w:tcW w:w="481" w:type="pct"/>
                  <w:vMerge w:val="restart"/>
                  <w:vAlign w:val="center"/>
                </w:tcPr>
                <w:p w14:paraId="66F5FA8F">
                  <w:pPr>
                    <w:adjustRightInd w:val="0"/>
                    <w:snapToGrid w:val="0"/>
                    <w:ind w:left="-105" w:leftChars="-50" w:right="-105" w:rightChars="-50"/>
                    <w:jc w:val="center"/>
                    <w:rPr>
                      <w:kern w:val="0"/>
                      <w:szCs w:val="21"/>
                    </w:rPr>
                  </w:pPr>
                  <w:r>
                    <w:rPr>
                      <w:rFonts w:hint="eastAsia"/>
                      <w:kern w:val="0"/>
                      <w:szCs w:val="21"/>
                    </w:rPr>
                    <w:t>发生污染或街道投诉时</w:t>
                  </w:r>
                </w:p>
              </w:tc>
              <w:tc>
                <w:tcPr>
                  <w:tcW w:w="1291" w:type="pct"/>
                  <w:vAlign w:val="center"/>
                </w:tcPr>
                <w:p w14:paraId="33BBCE8F">
                  <w:pPr>
                    <w:widowControl/>
                    <w:adjustRightInd w:val="0"/>
                    <w:snapToGrid w:val="0"/>
                    <w:ind w:left="-105" w:leftChars="-50" w:right="-105" w:rightChars="-50"/>
                    <w:jc w:val="left"/>
                    <w:rPr>
                      <w:kern w:val="0"/>
                      <w:szCs w:val="21"/>
                    </w:rPr>
                  </w:pPr>
                  <w:r>
                    <w:rPr>
                      <w:rFonts w:hint="eastAsia"/>
                      <w:kern w:val="0"/>
                      <w:szCs w:val="21"/>
                    </w:rPr>
                    <w:t>《环境空气质量标准》（GB3095-2012）</w:t>
                  </w:r>
                </w:p>
              </w:tc>
            </w:tr>
            <w:tr w14:paraId="0A8CC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1" w:type="pct"/>
                  <w:vAlign w:val="center"/>
                </w:tcPr>
                <w:p w14:paraId="55E7BE27">
                  <w:pPr>
                    <w:adjustRightInd w:val="0"/>
                    <w:snapToGrid w:val="0"/>
                    <w:ind w:left="-105" w:leftChars="-50" w:right="-105" w:rightChars="-50"/>
                    <w:jc w:val="center"/>
                    <w:rPr>
                      <w:kern w:val="0"/>
                      <w:szCs w:val="21"/>
                    </w:rPr>
                  </w:pPr>
                  <w:r>
                    <w:rPr>
                      <w:kern w:val="0"/>
                      <w:szCs w:val="21"/>
                    </w:rPr>
                    <w:t>噪声</w:t>
                  </w:r>
                </w:p>
              </w:tc>
              <w:tc>
                <w:tcPr>
                  <w:tcW w:w="259" w:type="pct"/>
                  <w:vAlign w:val="center"/>
                </w:tcPr>
                <w:p w14:paraId="1E032195">
                  <w:pPr>
                    <w:widowControl/>
                    <w:adjustRightInd w:val="0"/>
                    <w:snapToGrid w:val="0"/>
                    <w:ind w:left="-105" w:leftChars="-50" w:right="-105" w:rightChars="-50"/>
                    <w:jc w:val="center"/>
                    <w:rPr>
                      <w:kern w:val="0"/>
                      <w:szCs w:val="21"/>
                    </w:rPr>
                  </w:pPr>
                  <w:r>
                    <w:rPr>
                      <w:rFonts w:hint="eastAsia"/>
                      <w:szCs w:val="21"/>
                    </w:rPr>
                    <w:t>施工期</w:t>
                  </w:r>
                </w:p>
              </w:tc>
              <w:tc>
                <w:tcPr>
                  <w:tcW w:w="981" w:type="pct"/>
                  <w:vAlign w:val="center"/>
                </w:tcPr>
                <w:p w14:paraId="07D0E384">
                  <w:pPr>
                    <w:widowControl/>
                    <w:adjustRightInd w:val="0"/>
                    <w:snapToGrid w:val="0"/>
                    <w:ind w:left="-105" w:leftChars="-50" w:right="-105" w:rightChars="-50"/>
                    <w:jc w:val="center"/>
                    <w:rPr>
                      <w:kern w:val="0"/>
                      <w:szCs w:val="21"/>
                    </w:rPr>
                  </w:pPr>
                  <w:r>
                    <w:rPr>
                      <w:rFonts w:hint="eastAsia"/>
                      <w:kern w:val="0"/>
                      <w:szCs w:val="21"/>
                    </w:rPr>
                    <w:t>施工场界边界</w:t>
                  </w:r>
                </w:p>
              </w:tc>
              <w:tc>
                <w:tcPr>
                  <w:tcW w:w="797" w:type="pct"/>
                  <w:vAlign w:val="center"/>
                </w:tcPr>
                <w:p w14:paraId="2E4C108E">
                  <w:pPr>
                    <w:widowControl/>
                    <w:adjustRightInd w:val="0"/>
                    <w:snapToGrid w:val="0"/>
                    <w:ind w:left="-105" w:leftChars="-50" w:right="-105" w:rightChars="-50"/>
                    <w:jc w:val="center"/>
                    <w:rPr>
                      <w:kern w:val="0"/>
                      <w:szCs w:val="21"/>
                    </w:rPr>
                  </w:pPr>
                  <w:r>
                    <w:rPr>
                      <w:rFonts w:hint="eastAsia"/>
                      <w:kern w:val="0"/>
                      <w:szCs w:val="21"/>
                    </w:rPr>
                    <w:t>等效连续A 声级</w:t>
                  </w:r>
                </w:p>
              </w:tc>
              <w:tc>
                <w:tcPr>
                  <w:tcW w:w="859" w:type="pct"/>
                  <w:vMerge w:val="continue"/>
                  <w:vAlign w:val="center"/>
                </w:tcPr>
                <w:p w14:paraId="5D0B8891">
                  <w:pPr>
                    <w:widowControl/>
                    <w:adjustRightInd w:val="0"/>
                    <w:snapToGrid w:val="0"/>
                    <w:ind w:left="-105" w:leftChars="-50" w:right="-105" w:rightChars="-50"/>
                    <w:jc w:val="center"/>
                    <w:rPr>
                      <w:szCs w:val="21"/>
                    </w:rPr>
                  </w:pPr>
                </w:p>
              </w:tc>
              <w:tc>
                <w:tcPr>
                  <w:tcW w:w="481" w:type="pct"/>
                  <w:vMerge w:val="continue"/>
                  <w:vAlign w:val="center"/>
                </w:tcPr>
                <w:p w14:paraId="04383356">
                  <w:pPr>
                    <w:widowControl/>
                    <w:adjustRightInd w:val="0"/>
                    <w:snapToGrid w:val="0"/>
                    <w:ind w:left="-105" w:leftChars="-50" w:right="-105" w:rightChars="-50"/>
                    <w:jc w:val="center"/>
                    <w:rPr>
                      <w:kern w:val="0"/>
                      <w:szCs w:val="21"/>
                    </w:rPr>
                  </w:pPr>
                </w:p>
              </w:tc>
              <w:tc>
                <w:tcPr>
                  <w:tcW w:w="1291" w:type="pct"/>
                  <w:vAlign w:val="center"/>
                </w:tcPr>
                <w:p w14:paraId="30C14119">
                  <w:pPr>
                    <w:widowControl/>
                    <w:adjustRightInd w:val="0"/>
                    <w:snapToGrid w:val="0"/>
                    <w:ind w:left="-105" w:leftChars="-50" w:right="-105" w:rightChars="-50"/>
                    <w:jc w:val="center"/>
                    <w:rPr>
                      <w:kern w:val="0"/>
                      <w:szCs w:val="21"/>
                    </w:rPr>
                  </w:pPr>
                  <w:r>
                    <w:rPr>
                      <w:rFonts w:hint="eastAsia"/>
                      <w:kern w:val="0"/>
                      <w:szCs w:val="21"/>
                    </w:rPr>
                    <w:t>《建筑施工场界环境噪声排放标准》（GB12523-2011）</w:t>
                  </w:r>
                </w:p>
              </w:tc>
            </w:tr>
          </w:tbl>
          <w:p w14:paraId="10F5649D">
            <w:pPr>
              <w:widowControl/>
              <w:autoSpaceDE w:val="0"/>
              <w:autoSpaceDN w:val="0"/>
              <w:adjustRightInd w:val="0"/>
              <w:spacing w:line="360" w:lineRule="auto"/>
              <w:ind w:firstLine="482"/>
              <w:jc w:val="left"/>
              <w:rPr>
                <w:b/>
                <w:kern w:val="0"/>
                <w:sz w:val="24"/>
              </w:rPr>
            </w:pPr>
            <w:r>
              <w:rPr>
                <w:rFonts w:hint="eastAsia"/>
                <w:b/>
                <w:kern w:val="0"/>
                <w:sz w:val="24"/>
              </w:rPr>
              <w:t xml:space="preserve">（2）运营期 </w:t>
            </w:r>
          </w:p>
          <w:p w14:paraId="74711D8C">
            <w:pPr>
              <w:widowControl/>
              <w:autoSpaceDE w:val="0"/>
              <w:autoSpaceDN w:val="0"/>
              <w:adjustRightInd w:val="0"/>
              <w:spacing w:line="360" w:lineRule="auto"/>
              <w:ind w:firstLine="482"/>
              <w:jc w:val="left"/>
              <w:rPr>
                <w:kern w:val="0"/>
                <w:sz w:val="24"/>
              </w:rPr>
            </w:pPr>
            <w:r>
              <w:rPr>
                <w:rFonts w:hint="eastAsia"/>
                <w:kern w:val="0"/>
                <w:sz w:val="24"/>
              </w:rPr>
              <w:t xml:space="preserve">①环境保护责任主体 </w:t>
            </w:r>
          </w:p>
          <w:p w14:paraId="6E50F31B">
            <w:pPr>
              <w:widowControl/>
              <w:autoSpaceDE w:val="0"/>
              <w:autoSpaceDN w:val="0"/>
              <w:adjustRightInd w:val="0"/>
              <w:spacing w:line="360" w:lineRule="auto"/>
              <w:ind w:firstLine="482"/>
              <w:jc w:val="left"/>
              <w:rPr>
                <w:kern w:val="0"/>
                <w:sz w:val="24"/>
              </w:rPr>
            </w:pPr>
            <w:r>
              <w:rPr>
                <w:rFonts w:hint="eastAsia"/>
                <w:kern w:val="0"/>
                <w:sz w:val="24"/>
              </w:rPr>
              <w:t xml:space="preserve">项目建成后，应交由市政环卫部门，负责整个区域的环保工作，道路管理部门负责进行道路桥梁维护、检修，水务部门对管网运行情况进行监督管理，对外的环保协调工作，履行环境管理和环境监控职责， </w:t>
            </w:r>
          </w:p>
          <w:p w14:paraId="61C69466">
            <w:pPr>
              <w:widowControl/>
              <w:autoSpaceDE w:val="0"/>
              <w:autoSpaceDN w:val="0"/>
              <w:adjustRightInd w:val="0"/>
              <w:spacing w:line="360" w:lineRule="auto"/>
              <w:ind w:firstLine="482"/>
              <w:jc w:val="left"/>
              <w:rPr>
                <w:kern w:val="0"/>
                <w:sz w:val="24"/>
              </w:rPr>
            </w:pPr>
            <w:r>
              <w:rPr>
                <w:rFonts w:hint="eastAsia"/>
                <w:kern w:val="0"/>
                <w:sz w:val="24"/>
              </w:rPr>
              <w:t xml:space="preserve">②环境管理职责 </w:t>
            </w:r>
          </w:p>
          <w:p w14:paraId="5447D7D3">
            <w:pPr>
              <w:widowControl/>
              <w:autoSpaceDE w:val="0"/>
              <w:autoSpaceDN w:val="0"/>
              <w:adjustRightInd w:val="0"/>
              <w:spacing w:line="360" w:lineRule="auto"/>
              <w:ind w:firstLine="482"/>
              <w:jc w:val="left"/>
              <w:rPr>
                <w:kern w:val="0"/>
                <w:sz w:val="24"/>
              </w:rPr>
            </w:pPr>
            <w:r>
              <w:rPr>
                <w:rFonts w:hint="eastAsia"/>
                <w:kern w:val="0"/>
                <w:sz w:val="24"/>
              </w:rPr>
              <w:t xml:space="preserve">A、贯彻执行环境保护法规和标准； </w:t>
            </w:r>
          </w:p>
          <w:p w14:paraId="75170F01">
            <w:pPr>
              <w:widowControl/>
              <w:autoSpaceDE w:val="0"/>
              <w:autoSpaceDN w:val="0"/>
              <w:adjustRightInd w:val="0"/>
              <w:spacing w:line="360" w:lineRule="auto"/>
              <w:ind w:firstLine="482"/>
              <w:jc w:val="left"/>
              <w:rPr>
                <w:kern w:val="0"/>
                <w:sz w:val="24"/>
              </w:rPr>
            </w:pPr>
            <w:r>
              <w:rPr>
                <w:rFonts w:hint="eastAsia"/>
                <w:kern w:val="0"/>
                <w:sz w:val="24"/>
              </w:rPr>
              <w:t xml:space="preserve">B、建立各种环境管理制度，并经常检查监督； </w:t>
            </w:r>
          </w:p>
          <w:p w14:paraId="60738A5E">
            <w:pPr>
              <w:widowControl/>
              <w:autoSpaceDE w:val="0"/>
              <w:autoSpaceDN w:val="0"/>
              <w:adjustRightInd w:val="0"/>
              <w:spacing w:line="360" w:lineRule="auto"/>
              <w:ind w:firstLine="482"/>
              <w:jc w:val="left"/>
              <w:rPr>
                <w:kern w:val="0"/>
                <w:sz w:val="24"/>
              </w:rPr>
            </w:pPr>
            <w:r>
              <w:rPr>
                <w:rFonts w:hint="eastAsia"/>
                <w:kern w:val="0"/>
                <w:sz w:val="24"/>
              </w:rPr>
              <w:t xml:space="preserve">C、编制项目环境保护规划并组织实施； </w:t>
            </w:r>
          </w:p>
          <w:p w14:paraId="1FB94278">
            <w:pPr>
              <w:widowControl/>
              <w:autoSpaceDE w:val="0"/>
              <w:autoSpaceDN w:val="0"/>
              <w:adjustRightInd w:val="0"/>
              <w:spacing w:line="360" w:lineRule="auto"/>
              <w:ind w:firstLine="482"/>
              <w:jc w:val="left"/>
              <w:rPr>
                <w:kern w:val="0"/>
                <w:sz w:val="24"/>
              </w:rPr>
            </w:pPr>
            <w:r>
              <w:rPr>
                <w:rFonts w:hint="eastAsia"/>
                <w:kern w:val="0"/>
                <w:sz w:val="24"/>
              </w:rPr>
              <w:t xml:space="preserve">D、领导并组织实施项目的环境监测工作，建立监控档案； </w:t>
            </w:r>
          </w:p>
          <w:p w14:paraId="1E75525C">
            <w:pPr>
              <w:widowControl/>
              <w:autoSpaceDE w:val="0"/>
              <w:autoSpaceDN w:val="0"/>
              <w:adjustRightInd w:val="0"/>
              <w:spacing w:line="360" w:lineRule="auto"/>
              <w:ind w:firstLine="482"/>
              <w:jc w:val="left"/>
              <w:rPr>
                <w:kern w:val="0"/>
                <w:sz w:val="24"/>
              </w:rPr>
            </w:pPr>
            <w:r>
              <w:rPr>
                <w:rFonts w:hint="eastAsia"/>
                <w:kern w:val="0"/>
                <w:sz w:val="24"/>
              </w:rPr>
              <w:t xml:space="preserve">E抓好环境教育和技术培训工作，提高员工素质； </w:t>
            </w:r>
          </w:p>
          <w:p w14:paraId="5A6CB10E">
            <w:pPr>
              <w:widowControl/>
              <w:autoSpaceDE w:val="0"/>
              <w:autoSpaceDN w:val="0"/>
              <w:adjustRightInd w:val="0"/>
              <w:spacing w:line="360" w:lineRule="auto"/>
              <w:ind w:firstLine="482"/>
              <w:jc w:val="left"/>
              <w:rPr>
                <w:kern w:val="0"/>
                <w:sz w:val="24"/>
              </w:rPr>
            </w:pPr>
            <w:r>
              <w:rPr>
                <w:rFonts w:hint="eastAsia"/>
                <w:kern w:val="0"/>
                <w:sz w:val="24"/>
              </w:rPr>
              <w:t xml:space="preserve">F、建立项目有关污染物排放和环保设施运转的规章制度； </w:t>
            </w:r>
          </w:p>
          <w:p w14:paraId="203B43DB">
            <w:pPr>
              <w:widowControl/>
              <w:autoSpaceDE w:val="0"/>
              <w:autoSpaceDN w:val="0"/>
              <w:adjustRightInd w:val="0"/>
              <w:spacing w:line="360" w:lineRule="auto"/>
              <w:ind w:firstLine="482"/>
              <w:jc w:val="left"/>
              <w:rPr>
                <w:kern w:val="0"/>
                <w:sz w:val="24"/>
              </w:rPr>
            </w:pPr>
            <w:r>
              <w:rPr>
                <w:rFonts w:hint="eastAsia"/>
                <w:kern w:val="0"/>
                <w:sz w:val="24"/>
              </w:rPr>
              <w:t xml:space="preserve">G、负责日常环境管理工作，并配合环保管理部门做好与其它社会各界有关环保问题的协调工作； </w:t>
            </w:r>
          </w:p>
          <w:p w14:paraId="71EA0FB1">
            <w:pPr>
              <w:widowControl/>
              <w:autoSpaceDE w:val="0"/>
              <w:autoSpaceDN w:val="0"/>
              <w:adjustRightInd w:val="0"/>
              <w:spacing w:line="360" w:lineRule="auto"/>
              <w:ind w:firstLine="482"/>
              <w:jc w:val="left"/>
              <w:rPr>
                <w:kern w:val="0"/>
                <w:sz w:val="24"/>
              </w:rPr>
            </w:pPr>
            <w:r>
              <w:rPr>
                <w:rFonts w:hint="eastAsia"/>
                <w:kern w:val="0"/>
                <w:sz w:val="24"/>
              </w:rPr>
              <w:t xml:space="preserve">H、制定突发性事故的应急处理方案并参与突发性事故的应急处理工作； </w:t>
            </w:r>
          </w:p>
          <w:p w14:paraId="2E67CA2F">
            <w:pPr>
              <w:widowControl/>
              <w:autoSpaceDE w:val="0"/>
              <w:autoSpaceDN w:val="0"/>
              <w:adjustRightInd w:val="0"/>
              <w:spacing w:line="360" w:lineRule="auto"/>
              <w:ind w:firstLine="482"/>
              <w:jc w:val="left"/>
              <w:rPr>
                <w:kern w:val="0"/>
                <w:sz w:val="24"/>
              </w:rPr>
            </w:pPr>
            <w:r>
              <w:rPr>
                <w:rFonts w:hint="eastAsia"/>
                <w:kern w:val="0"/>
                <w:sz w:val="24"/>
              </w:rPr>
              <w:t xml:space="preserve">I、定期检查监督环保法规执行情况，及时和有关部门联系落实各方面的环保措施，使之正常运行。 </w:t>
            </w:r>
          </w:p>
          <w:p w14:paraId="06589BDF">
            <w:pPr>
              <w:widowControl/>
              <w:autoSpaceDE w:val="0"/>
              <w:autoSpaceDN w:val="0"/>
              <w:adjustRightInd w:val="0"/>
              <w:spacing w:line="360" w:lineRule="auto"/>
              <w:ind w:firstLine="482"/>
              <w:jc w:val="left"/>
              <w:rPr>
                <w:kern w:val="0"/>
                <w:sz w:val="24"/>
              </w:rPr>
            </w:pPr>
            <w:r>
              <w:rPr>
                <w:rFonts w:hint="eastAsia"/>
                <w:kern w:val="0"/>
                <w:sz w:val="24"/>
              </w:rPr>
              <w:t xml:space="preserve">（3）环境监控职责 </w:t>
            </w:r>
          </w:p>
          <w:p w14:paraId="6A57C4CA">
            <w:pPr>
              <w:widowControl/>
              <w:autoSpaceDE w:val="0"/>
              <w:autoSpaceDN w:val="0"/>
              <w:adjustRightInd w:val="0"/>
              <w:spacing w:line="360" w:lineRule="auto"/>
              <w:ind w:firstLine="482"/>
              <w:jc w:val="left"/>
              <w:rPr>
                <w:kern w:val="0"/>
                <w:sz w:val="24"/>
              </w:rPr>
            </w:pPr>
            <w:r>
              <w:rPr>
                <w:rFonts w:hint="eastAsia"/>
                <w:kern w:val="0"/>
                <w:sz w:val="24"/>
              </w:rPr>
              <w:t xml:space="preserve">①制定环境监测年度计划和实施方案，并建立环保规章制度加以落实； </w:t>
            </w:r>
          </w:p>
          <w:p w14:paraId="62F25CA5">
            <w:pPr>
              <w:widowControl/>
              <w:autoSpaceDE w:val="0"/>
              <w:autoSpaceDN w:val="0"/>
              <w:adjustRightInd w:val="0"/>
              <w:spacing w:line="360" w:lineRule="auto"/>
              <w:ind w:firstLine="482"/>
              <w:jc w:val="left"/>
              <w:rPr>
                <w:kern w:val="0"/>
                <w:sz w:val="24"/>
              </w:rPr>
            </w:pPr>
            <w:r>
              <w:rPr>
                <w:rFonts w:hint="eastAsia"/>
                <w:kern w:val="0"/>
                <w:sz w:val="24"/>
              </w:rPr>
              <w:t xml:space="preserve">②按时完成项目的环境监控计划规定的各项监控任务，并按有关规定编制报告表，负责做好呈报工作； </w:t>
            </w:r>
          </w:p>
          <w:p w14:paraId="2968AF26">
            <w:pPr>
              <w:widowControl/>
              <w:autoSpaceDE w:val="0"/>
              <w:autoSpaceDN w:val="0"/>
              <w:adjustRightInd w:val="0"/>
              <w:spacing w:line="360" w:lineRule="auto"/>
              <w:ind w:firstLine="482"/>
              <w:jc w:val="left"/>
              <w:rPr>
                <w:kern w:val="0"/>
                <w:sz w:val="24"/>
              </w:rPr>
            </w:pPr>
            <w:r>
              <w:rPr>
                <w:rFonts w:hint="eastAsia"/>
                <w:kern w:val="0"/>
                <w:sz w:val="24"/>
              </w:rPr>
              <w:t xml:space="preserve">③在项目出现突发性污染事故时，积极参与事故的调查和处理工作； </w:t>
            </w:r>
          </w:p>
          <w:p w14:paraId="2878AE72">
            <w:pPr>
              <w:widowControl/>
              <w:autoSpaceDE w:val="0"/>
              <w:autoSpaceDN w:val="0"/>
              <w:adjustRightInd w:val="0"/>
              <w:spacing w:line="360" w:lineRule="auto"/>
              <w:ind w:firstLine="482"/>
              <w:jc w:val="left"/>
              <w:rPr>
                <w:kern w:val="0"/>
                <w:sz w:val="24"/>
              </w:rPr>
            </w:pPr>
            <w:r>
              <w:rPr>
                <w:rFonts w:hint="eastAsia"/>
                <w:kern w:val="0"/>
                <w:sz w:val="24"/>
              </w:rPr>
              <w:t xml:space="preserve">④组织并监督环境监测计划的实施； </w:t>
            </w:r>
          </w:p>
          <w:p w14:paraId="1D4F1C4E">
            <w:pPr>
              <w:widowControl/>
              <w:autoSpaceDE w:val="0"/>
              <w:autoSpaceDN w:val="0"/>
              <w:adjustRightInd w:val="0"/>
              <w:spacing w:line="360" w:lineRule="auto"/>
              <w:ind w:firstLine="482"/>
              <w:jc w:val="left"/>
              <w:rPr>
                <w:kern w:val="0"/>
                <w:sz w:val="24"/>
              </w:rPr>
            </w:pPr>
            <w:r>
              <w:rPr>
                <w:rFonts w:hint="eastAsia"/>
                <w:kern w:val="0"/>
                <w:sz w:val="24"/>
              </w:rPr>
              <w:t>⑤在环境监测基础上，建立项目的污染源档案，了解项目污染物排放量、排放源强、排放规律及相关的污染治理、综合利用情况。</w:t>
            </w:r>
          </w:p>
          <w:p w14:paraId="7B11D206">
            <w:pPr>
              <w:widowControl/>
              <w:autoSpaceDE w:val="0"/>
              <w:autoSpaceDN w:val="0"/>
              <w:adjustRightInd w:val="0"/>
              <w:spacing w:line="360" w:lineRule="auto"/>
              <w:ind w:firstLine="482"/>
              <w:jc w:val="left"/>
              <w:rPr>
                <w:kern w:val="0"/>
                <w:sz w:val="24"/>
              </w:rPr>
            </w:pPr>
            <w:r>
              <w:rPr>
                <w:rFonts w:hint="eastAsia"/>
                <w:b/>
                <w:kern w:val="0"/>
                <w:sz w:val="24"/>
              </w:rPr>
              <w:t>（3）自主竣工验收</w:t>
            </w:r>
          </w:p>
          <w:p w14:paraId="064E503F">
            <w:pPr>
              <w:widowControl/>
              <w:autoSpaceDE w:val="0"/>
              <w:autoSpaceDN w:val="0"/>
              <w:adjustRightInd w:val="0"/>
              <w:spacing w:line="360" w:lineRule="auto"/>
              <w:ind w:firstLine="482"/>
              <w:jc w:val="left"/>
              <w:rPr>
                <w:kern w:val="0"/>
                <w:sz w:val="24"/>
              </w:rPr>
            </w:pPr>
            <w:r>
              <w:rPr>
                <w:rFonts w:hint="eastAsia"/>
                <w:kern w:val="0"/>
                <w:sz w:val="24"/>
              </w:rPr>
              <w:t>建设单位或者其委托的技术机构应当依照国家有关法律法规、建设项目竣工环境保护验收技术规范、建设项目环境影响报告和审批决定等要求，如实查验、监测、记载建设项目环境保护设施的建设和调试情况，同时还应如实记载其他环境保护对策措施“三同时”落实情况，编制竣工环境保护验收报告。验收报告编制完成后，建设单位应组织成立验收工作组。</w:t>
            </w:r>
          </w:p>
          <w:p w14:paraId="04E95570">
            <w:pPr>
              <w:widowControl/>
              <w:autoSpaceDE w:val="0"/>
              <w:autoSpaceDN w:val="0"/>
              <w:adjustRightInd w:val="0"/>
              <w:spacing w:line="360" w:lineRule="auto"/>
              <w:ind w:firstLine="482"/>
              <w:jc w:val="left"/>
              <w:rPr>
                <w:kern w:val="0"/>
                <w:sz w:val="24"/>
              </w:rPr>
            </w:pPr>
            <w:r>
              <w:rPr>
                <w:rFonts w:hint="eastAsia"/>
                <w:kern w:val="0"/>
                <w:sz w:val="24"/>
              </w:rPr>
              <w:t>验收工作组应当严格依照国家有关法律法规、建设项目竣工环境保护验收技术规范、建设项目环境影响报告表和审批决定等要求对建设项目配套建设的环境保护设施进行验收，形成验收意见。验收意见应当包括工程建设基本情况，工程变更情况，环境保护设施落实情况，环境保护设施调试效果和工程建设对环境的影响，验收存在的主要问题，验收结论和后续要求。建设单位应当对验收工作组提出的问题进行整改，合格后方可出具验收合格的意见。其主体工程方可投入生产或者使用。</w:t>
            </w:r>
          </w:p>
        </w:tc>
      </w:tr>
      <w:tr w14:paraId="0B199E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37" w:hRule="atLeast"/>
          <w:jc w:val="center"/>
        </w:trPr>
        <w:tc>
          <w:tcPr>
            <w:tcW w:w="753" w:type="dxa"/>
            <w:vAlign w:val="center"/>
          </w:tcPr>
          <w:p w14:paraId="04B540BC">
            <w:pPr>
              <w:adjustRightInd w:val="0"/>
              <w:snapToGrid w:val="0"/>
              <w:jc w:val="center"/>
              <w:rPr>
                <w:rFonts w:ascii="宋体" w:hAnsi="宋体" w:cs="宋体"/>
                <w:bCs/>
                <w:spacing w:val="10"/>
                <w:sz w:val="24"/>
              </w:rPr>
            </w:pPr>
            <w:r>
              <w:rPr>
                <w:rFonts w:hint="eastAsia" w:ascii="宋体" w:hAnsi="宋体"/>
                <w:bCs/>
                <w:sz w:val="24"/>
              </w:rPr>
              <w:t>环保投资</w:t>
            </w:r>
          </w:p>
        </w:tc>
        <w:tc>
          <w:tcPr>
            <w:tcW w:w="8457" w:type="dxa"/>
          </w:tcPr>
          <w:p w14:paraId="58A6C090">
            <w:pPr>
              <w:spacing w:line="360" w:lineRule="auto"/>
              <w:ind w:firstLine="480" w:firstLineChars="200"/>
              <w:rPr>
                <w:snapToGrid w:val="0"/>
                <w:kern w:val="0"/>
                <w:sz w:val="24"/>
              </w:rPr>
            </w:pPr>
            <w:r>
              <w:rPr>
                <w:snapToGrid w:val="0"/>
                <w:kern w:val="0"/>
                <w:sz w:val="24"/>
              </w:rPr>
              <w:t>拟建道路项目的各种环境保护措施包括环保设施、设备等，将纳入拟建项目的预算之中，投资见下表。</w:t>
            </w:r>
          </w:p>
          <w:p w14:paraId="54545332">
            <w:pPr>
              <w:spacing w:line="360" w:lineRule="auto"/>
              <w:ind w:firstLine="480" w:firstLineChars="200"/>
              <w:rPr>
                <w:sz w:val="24"/>
              </w:rPr>
            </w:pPr>
            <w:r>
              <w:rPr>
                <w:snapToGrid w:val="0"/>
                <w:kern w:val="0"/>
                <w:sz w:val="24"/>
              </w:rPr>
              <w:t>本项目预估一次性环保投资约为</w:t>
            </w:r>
            <w:r>
              <w:rPr>
                <w:rFonts w:hint="eastAsia"/>
                <w:snapToGrid w:val="0"/>
                <w:kern w:val="0"/>
                <w:sz w:val="24"/>
              </w:rPr>
              <w:t>337</w:t>
            </w:r>
            <w:r>
              <w:rPr>
                <w:snapToGrid w:val="0"/>
                <w:kern w:val="0"/>
                <w:sz w:val="24"/>
              </w:rPr>
              <w:t>万元，占工程总投资</w:t>
            </w:r>
            <w:r>
              <w:rPr>
                <w:sz w:val="24"/>
              </w:rPr>
              <w:t>23950.62</w:t>
            </w:r>
            <w:r>
              <w:rPr>
                <w:snapToGrid w:val="0"/>
                <w:kern w:val="0"/>
                <w:sz w:val="24"/>
              </w:rPr>
              <w:t>万元的1.407%。</w:t>
            </w:r>
          </w:p>
          <w:p w14:paraId="7D7929D2">
            <w:pPr>
              <w:pStyle w:val="4"/>
              <w:numPr>
                <w:ilvl w:val="1"/>
                <w:numId w:val="0"/>
              </w:numPr>
              <w:spacing w:line="240" w:lineRule="auto"/>
              <w:rPr>
                <w:sz w:val="21"/>
                <w:szCs w:val="21"/>
              </w:rPr>
            </w:pPr>
            <w:bookmarkStart w:id="39" w:name="_Toc150173918"/>
            <w:r>
              <w:rPr>
                <w:rFonts w:hint="eastAsia"/>
                <w:sz w:val="21"/>
                <w:szCs w:val="21"/>
              </w:rPr>
              <w:t>表5-2    环保投资估算表</w:t>
            </w:r>
            <w:bookmarkEnd w:id="39"/>
          </w:p>
          <w:tbl>
            <w:tblPr>
              <w:tblStyle w:val="33"/>
              <w:tblW w:w="5000"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3554"/>
              <w:gridCol w:w="708"/>
              <w:gridCol w:w="991"/>
              <w:gridCol w:w="848"/>
              <w:gridCol w:w="1139"/>
            </w:tblGrid>
            <w:tr w14:paraId="6DBE2AE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Align w:val="center"/>
                </w:tcPr>
                <w:p w14:paraId="675511AB">
                  <w:pPr>
                    <w:snapToGrid w:val="0"/>
                    <w:ind w:left="-105" w:leftChars="-50" w:right="-105" w:rightChars="-50"/>
                    <w:jc w:val="center"/>
                    <w:rPr>
                      <w:b/>
                      <w:szCs w:val="21"/>
                    </w:rPr>
                  </w:pPr>
                  <w:r>
                    <w:rPr>
                      <w:rFonts w:hint="eastAsia"/>
                      <w:b/>
                      <w:szCs w:val="21"/>
                    </w:rPr>
                    <w:t>类别</w:t>
                  </w:r>
                </w:p>
              </w:tc>
              <w:tc>
                <w:tcPr>
                  <w:tcW w:w="2159" w:type="pct"/>
                  <w:vAlign w:val="center"/>
                </w:tcPr>
                <w:p w14:paraId="178A4F41">
                  <w:pPr>
                    <w:snapToGrid w:val="0"/>
                    <w:jc w:val="center"/>
                    <w:rPr>
                      <w:b/>
                      <w:szCs w:val="21"/>
                    </w:rPr>
                  </w:pPr>
                  <w:r>
                    <w:rPr>
                      <w:b/>
                      <w:szCs w:val="21"/>
                    </w:rPr>
                    <w:t>环保措施</w:t>
                  </w:r>
                  <w:r>
                    <w:rPr>
                      <w:rFonts w:hint="eastAsia"/>
                      <w:b/>
                      <w:szCs w:val="21"/>
                    </w:rPr>
                    <w:t>内容</w:t>
                  </w:r>
                </w:p>
              </w:tc>
              <w:tc>
                <w:tcPr>
                  <w:tcW w:w="430" w:type="pct"/>
                  <w:vAlign w:val="center"/>
                </w:tcPr>
                <w:p w14:paraId="13AE739F">
                  <w:pPr>
                    <w:snapToGrid w:val="0"/>
                    <w:jc w:val="center"/>
                    <w:rPr>
                      <w:b/>
                      <w:szCs w:val="21"/>
                    </w:rPr>
                  </w:pPr>
                  <w:r>
                    <w:rPr>
                      <w:rFonts w:hint="eastAsia"/>
                      <w:b/>
                      <w:szCs w:val="21"/>
                    </w:rPr>
                    <w:t>数量</w:t>
                  </w:r>
                </w:p>
              </w:tc>
              <w:tc>
                <w:tcPr>
                  <w:tcW w:w="602" w:type="pct"/>
                  <w:vAlign w:val="center"/>
                </w:tcPr>
                <w:p w14:paraId="5F9DAA82">
                  <w:pPr>
                    <w:snapToGrid w:val="0"/>
                    <w:jc w:val="center"/>
                    <w:rPr>
                      <w:b/>
                      <w:szCs w:val="21"/>
                    </w:rPr>
                  </w:pPr>
                  <w:r>
                    <w:rPr>
                      <w:b/>
                      <w:szCs w:val="21"/>
                    </w:rPr>
                    <w:t>金额</w:t>
                  </w:r>
                </w:p>
                <w:p w14:paraId="30279AE8">
                  <w:pPr>
                    <w:snapToGrid w:val="0"/>
                    <w:jc w:val="center"/>
                    <w:rPr>
                      <w:b/>
                      <w:szCs w:val="21"/>
                    </w:rPr>
                  </w:pPr>
                  <w:r>
                    <w:rPr>
                      <w:b/>
                      <w:szCs w:val="21"/>
                    </w:rPr>
                    <w:t>（万元）</w:t>
                  </w:r>
                </w:p>
              </w:tc>
              <w:tc>
                <w:tcPr>
                  <w:tcW w:w="515" w:type="pct"/>
                  <w:vAlign w:val="center"/>
                </w:tcPr>
                <w:p w14:paraId="7824156A">
                  <w:pPr>
                    <w:snapToGrid w:val="0"/>
                    <w:jc w:val="center"/>
                    <w:rPr>
                      <w:b/>
                      <w:szCs w:val="21"/>
                    </w:rPr>
                  </w:pPr>
                  <w:r>
                    <w:rPr>
                      <w:b/>
                      <w:szCs w:val="21"/>
                    </w:rPr>
                    <w:t>阶段</w:t>
                  </w:r>
                </w:p>
              </w:tc>
              <w:tc>
                <w:tcPr>
                  <w:tcW w:w="692" w:type="pct"/>
                  <w:vAlign w:val="center"/>
                </w:tcPr>
                <w:p w14:paraId="1262E226">
                  <w:pPr>
                    <w:snapToGrid w:val="0"/>
                    <w:jc w:val="center"/>
                    <w:rPr>
                      <w:b/>
                      <w:szCs w:val="21"/>
                    </w:rPr>
                  </w:pPr>
                  <w:r>
                    <w:rPr>
                      <w:b/>
                      <w:szCs w:val="21"/>
                    </w:rPr>
                    <w:t>投资用途</w:t>
                  </w:r>
                </w:p>
              </w:tc>
            </w:tr>
            <w:tr w14:paraId="194D095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Align w:val="center"/>
                </w:tcPr>
                <w:p w14:paraId="7EFDF49B">
                  <w:pPr>
                    <w:snapToGrid w:val="0"/>
                    <w:ind w:left="-105" w:leftChars="-50" w:right="-105" w:rightChars="-50"/>
                    <w:jc w:val="center"/>
                    <w:rPr>
                      <w:szCs w:val="21"/>
                    </w:rPr>
                  </w:pPr>
                  <w:r>
                    <w:rPr>
                      <w:szCs w:val="21"/>
                    </w:rPr>
                    <w:t>生态环境保护及恢复措施</w:t>
                  </w:r>
                </w:p>
              </w:tc>
              <w:tc>
                <w:tcPr>
                  <w:tcW w:w="2159" w:type="pct"/>
                  <w:vAlign w:val="center"/>
                </w:tcPr>
                <w:p w14:paraId="7F386576">
                  <w:pPr>
                    <w:snapToGrid w:val="0"/>
                    <w:jc w:val="center"/>
                    <w:rPr>
                      <w:szCs w:val="21"/>
                    </w:rPr>
                  </w:pPr>
                  <w:r>
                    <w:rPr>
                      <w:szCs w:val="21"/>
                    </w:rPr>
                    <w:t>临时堆土场</w:t>
                  </w:r>
                  <w:r>
                    <w:rPr>
                      <w:rFonts w:hint="eastAsia"/>
                      <w:szCs w:val="21"/>
                    </w:rPr>
                    <w:t>及</w:t>
                  </w:r>
                  <w:r>
                    <w:rPr>
                      <w:szCs w:val="21"/>
                    </w:rPr>
                    <w:t>施工场地周边设置临时排水沟、沉淀池、编织袋土挡护，帆布遮盖，撒播草籽工程等。对道路沿线及时进行绿化恢复，并确保绿植成活率，树种则已本地树种为主；对施工范围内农用地进行复垦；</w:t>
                  </w:r>
                </w:p>
              </w:tc>
              <w:tc>
                <w:tcPr>
                  <w:tcW w:w="430" w:type="pct"/>
                  <w:vAlign w:val="center"/>
                </w:tcPr>
                <w:p w14:paraId="37A1BFD7">
                  <w:pPr>
                    <w:snapToGrid w:val="0"/>
                    <w:jc w:val="center"/>
                    <w:rPr>
                      <w:szCs w:val="21"/>
                    </w:rPr>
                  </w:pPr>
                  <w:r>
                    <w:rPr>
                      <w:rFonts w:hint="eastAsia"/>
                      <w:szCs w:val="21"/>
                    </w:rPr>
                    <w:t>/</w:t>
                  </w:r>
                </w:p>
              </w:tc>
              <w:tc>
                <w:tcPr>
                  <w:tcW w:w="602" w:type="pct"/>
                  <w:vAlign w:val="center"/>
                </w:tcPr>
                <w:p w14:paraId="69657614">
                  <w:pPr>
                    <w:snapToGrid w:val="0"/>
                    <w:jc w:val="center"/>
                    <w:rPr>
                      <w:szCs w:val="21"/>
                    </w:rPr>
                  </w:pPr>
                  <w:r>
                    <w:rPr>
                      <w:rFonts w:hint="eastAsia"/>
                      <w:szCs w:val="21"/>
                    </w:rPr>
                    <w:t>200</w:t>
                  </w:r>
                </w:p>
              </w:tc>
              <w:tc>
                <w:tcPr>
                  <w:tcW w:w="515" w:type="pct"/>
                  <w:vAlign w:val="center"/>
                </w:tcPr>
                <w:p w14:paraId="66DD6853">
                  <w:pPr>
                    <w:snapToGrid w:val="0"/>
                    <w:jc w:val="center"/>
                    <w:rPr>
                      <w:szCs w:val="21"/>
                    </w:rPr>
                  </w:pPr>
                  <w:r>
                    <w:rPr>
                      <w:szCs w:val="21"/>
                    </w:rPr>
                    <w:t>施工期</w:t>
                  </w:r>
                </w:p>
              </w:tc>
              <w:tc>
                <w:tcPr>
                  <w:tcW w:w="692" w:type="pct"/>
                  <w:vAlign w:val="center"/>
                </w:tcPr>
                <w:p w14:paraId="50620774">
                  <w:pPr>
                    <w:snapToGrid w:val="0"/>
                    <w:jc w:val="center"/>
                    <w:rPr>
                      <w:szCs w:val="21"/>
                    </w:rPr>
                  </w:pPr>
                  <w:r>
                    <w:rPr>
                      <w:rFonts w:hint="eastAsia"/>
                      <w:szCs w:val="21"/>
                    </w:rPr>
                    <w:t>水土保持及生态恢复</w:t>
                  </w:r>
                </w:p>
              </w:tc>
            </w:tr>
            <w:tr w14:paraId="0D1B275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restart"/>
                  <w:vAlign w:val="center"/>
                </w:tcPr>
                <w:p w14:paraId="669479BF">
                  <w:pPr>
                    <w:snapToGrid w:val="0"/>
                    <w:ind w:left="-105" w:leftChars="-50" w:right="-105" w:rightChars="-50"/>
                    <w:jc w:val="center"/>
                    <w:rPr>
                      <w:szCs w:val="21"/>
                    </w:rPr>
                  </w:pPr>
                  <w:r>
                    <w:rPr>
                      <w:rFonts w:hint="eastAsia"/>
                      <w:szCs w:val="21"/>
                    </w:rPr>
                    <w:t>大气环境保护措施</w:t>
                  </w:r>
                </w:p>
              </w:tc>
              <w:tc>
                <w:tcPr>
                  <w:tcW w:w="2159" w:type="pct"/>
                  <w:vAlign w:val="center"/>
                </w:tcPr>
                <w:p w14:paraId="39F33591">
                  <w:pPr>
                    <w:snapToGrid w:val="0"/>
                    <w:jc w:val="center"/>
                    <w:rPr>
                      <w:szCs w:val="21"/>
                    </w:rPr>
                  </w:pPr>
                  <w:r>
                    <w:rPr>
                      <w:rFonts w:hint="eastAsia"/>
                      <w:szCs w:val="21"/>
                    </w:rPr>
                    <w:t>洒水车</w:t>
                  </w:r>
                </w:p>
              </w:tc>
              <w:tc>
                <w:tcPr>
                  <w:tcW w:w="430" w:type="pct"/>
                  <w:vAlign w:val="center"/>
                </w:tcPr>
                <w:p w14:paraId="0E1B5C1D">
                  <w:pPr>
                    <w:snapToGrid w:val="0"/>
                    <w:jc w:val="center"/>
                    <w:rPr>
                      <w:szCs w:val="21"/>
                    </w:rPr>
                  </w:pPr>
                  <w:r>
                    <w:rPr>
                      <w:szCs w:val="21"/>
                    </w:rPr>
                    <w:t>1</w:t>
                  </w:r>
                  <w:r>
                    <w:rPr>
                      <w:rFonts w:hint="eastAsia"/>
                      <w:szCs w:val="21"/>
                    </w:rPr>
                    <w:t>辆</w:t>
                  </w:r>
                </w:p>
              </w:tc>
              <w:tc>
                <w:tcPr>
                  <w:tcW w:w="602" w:type="pct"/>
                  <w:vAlign w:val="center"/>
                </w:tcPr>
                <w:p w14:paraId="2FB07942">
                  <w:pPr>
                    <w:snapToGrid w:val="0"/>
                    <w:jc w:val="center"/>
                    <w:rPr>
                      <w:szCs w:val="21"/>
                    </w:rPr>
                  </w:pPr>
                  <w:r>
                    <w:rPr>
                      <w:szCs w:val="21"/>
                    </w:rPr>
                    <w:t>2</w:t>
                  </w:r>
                </w:p>
              </w:tc>
              <w:tc>
                <w:tcPr>
                  <w:tcW w:w="515" w:type="pct"/>
                  <w:vMerge w:val="restart"/>
                  <w:vAlign w:val="center"/>
                </w:tcPr>
                <w:p w14:paraId="7DE8A92C">
                  <w:pPr>
                    <w:snapToGrid w:val="0"/>
                    <w:jc w:val="center"/>
                    <w:rPr>
                      <w:szCs w:val="21"/>
                    </w:rPr>
                  </w:pPr>
                  <w:r>
                    <w:rPr>
                      <w:szCs w:val="21"/>
                    </w:rPr>
                    <w:t>施工期</w:t>
                  </w:r>
                </w:p>
              </w:tc>
              <w:tc>
                <w:tcPr>
                  <w:tcW w:w="692" w:type="pct"/>
                  <w:vMerge w:val="restart"/>
                  <w:vAlign w:val="center"/>
                </w:tcPr>
                <w:p w14:paraId="58128FFE">
                  <w:pPr>
                    <w:snapToGrid w:val="0"/>
                    <w:jc w:val="center"/>
                    <w:rPr>
                      <w:szCs w:val="21"/>
                    </w:rPr>
                  </w:pPr>
                  <w:r>
                    <w:rPr>
                      <w:szCs w:val="21"/>
                    </w:rPr>
                    <w:t>减缓</w:t>
                  </w:r>
                  <w:r>
                    <w:rPr>
                      <w:rFonts w:hint="eastAsia"/>
                      <w:szCs w:val="21"/>
                    </w:rPr>
                    <w:t>大气</w:t>
                  </w:r>
                  <w:r>
                    <w:rPr>
                      <w:szCs w:val="21"/>
                    </w:rPr>
                    <w:t>污染</w:t>
                  </w:r>
                </w:p>
              </w:tc>
            </w:tr>
            <w:tr w14:paraId="7EC2F61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continue"/>
                  <w:vAlign w:val="center"/>
                </w:tcPr>
                <w:p w14:paraId="4C498DE2">
                  <w:pPr>
                    <w:snapToGrid w:val="0"/>
                    <w:ind w:left="-105" w:leftChars="-50" w:right="-105" w:rightChars="-50"/>
                    <w:jc w:val="center"/>
                    <w:rPr>
                      <w:szCs w:val="21"/>
                    </w:rPr>
                  </w:pPr>
                </w:p>
              </w:tc>
              <w:tc>
                <w:tcPr>
                  <w:tcW w:w="2159" w:type="pct"/>
                  <w:vAlign w:val="center"/>
                </w:tcPr>
                <w:p w14:paraId="4B5B97A4">
                  <w:pPr>
                    <w:snapToGrid w:val="0"/>
                    <w:jc w:val="center"/>
                    <w:rPr>
                      <w:szCs w:val="21"/>
                    </w:rPr>
                  </w:pPr>
                  <w:r>
                    <w:rPr>
                      <w:rFonts w:hint="eastAsia"/>
                      <w:szCs w:val="21"/>
                    </w:rPr>
                    <w:t>遮盖篷布、冲洗轮胎</w:t>
                  </w:r>
                </w:p>
              </w:tc>
              <w:tc>
                <w:tcPr>
                  <w:tcW w:w="430" w:type="pct"/>
                  <w:vAlign w:val="center"/>
                </w:tcPr>
                <w:p w14:paraId="5EEAB708">
                  <w:pPr>
                    <w:snapToGrid w:val="0"/>
                    <w:jc w:val="center"/>
                    <w:rPr>
                      <w:szCs w:val="21"/>
                    </w:rPr>
                  </w:pPr>
                  <w:r>
                    <w:rPr>
                      <w:szCs w:val="21"/>
                    </w:rPr>
                    <w:t>/</w:t>
                  </w:r>
                </w:p>
              </w:tc>
              <w:tc>
                <w:tcPr>
                  <w:tcW w:w="602" w:type="pct"/>
                  <w:vAlign w:val="center"/>
                </w:tcPr>
                <w:p w14:paraId="5EE1A41F">
                  <w:pPr>
                    <w:snapToGrid w:val="0"/>
                    <w:jc w:val="center"/>
                    <w:rPr>
                      <w:szCs w:val="21"/>
                    </w:rPr>
                  </w:pPr>
                  <w:r>
                    <w:rPr>
                      <w:rFonts w:hint="eastAsia"/>
                      <w:szCs w:val="21"/>
                    </w:rPr>
                    <w:t>5</w:t>
                  </w:r>
                </w:p>
              </w:tc>
              <w:tc>
                <w:tcPr>
                  <w:tcW w:w="515" w:type="pct"/>
                  <w:vMerge w:val="continue"/>
                  <w:vAlign w:val="center"/>
                </w:tcPr>
                <w:p w14:paraId="2ED6B15D">
                  <w:pPr>
                    <w:snapToGrid w:val="0"/>
                    <w:jc w:val="center"/>
                    <w:rPr>
                      <w:szCs w:val="21"/>
                      <w:shd w:val="pct10" w:color="auto" w:fill="FFFFFF"/>
                    </w:rPr>
                  </w:pPr>
                </w:p>
              </w:tc>
              <w:tc>
                <w:tcPr>
                  <w:tcW w:w="692" w:type="pct"/>
                  <w:vMerge w:val="continue"/>
                  <w:vAlign w:val="center"/>
                </w:tcPr>
                <w:p w14:paraId="5876862E">
                  <w:pPr>
                    <w:snapToGrid w:val="0"/>
                    <w:jc w:val="center"/>
                    <w:rPr>
                      <w:szCs w:val="21"/>
                      <w:shd w:val="pct10" w:color="auto" w:fill="FFFFFF"/>
                    </w:rPr>
                  </w:pPr>
                </w:p>
              </w:tc>
            </w:tr>
            <w:tr w14:paraId="510909B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continue"/>
                  <w:vAlign w:val="center"/>
                </w:tcPr>
                <w:p w14:paraId="47A6D745">
                  <w:pPr>
                    <w:snapToGrid w:val="0"/>
                    <w:ind w:left="-105" w:leftChars="-50" w:right="-105" w:rightChars="-50"/>
                    <w:jc w:val="center"/>
                    <w:rPr>
                      <w:szCs w:val="21"/>
                    </w:rPr>
                  </w:pPr>
                </w:p>
              </w:tc>
              <w:tc>
                <w:tcPr>
                  <w:tcW w:w="2159" w:type="pct"/>
                  <w:vAlign w:val="center"/>
                </w:tcPr>
                <w:p w14:paraId="704A45F9">
                  <w:pPr>
                    <w:snapToGrid w:val="0"/>
                    <w:jc w:val="center"/>
                    <w:rPr>
                      <w:szCs w:val="21"/>
                    </w:rPr>
                  </w:pPr>
                  <w:r>
                    <w:rPr>
                      <w:rFonts w:hint="eastAsia"/>
                      <w:szCs w:val="21"/>
                    </w:rPr>
                    <w:t>沥青采用封闭式罐车运输</w:t>
                  </w:r>
                </w:p>
              </w:tc>
              <w:tc>
                <w:tcPr>
                  <w:tcW w:w="430" w:type="pct"/>
                  <w:vAlign w:val="center"/>
                </w:tcPr>
                <w:p w14:paraId="1D2512D9">
                  <w:pPr>
                    <w:snapToGrid w:val="0"/>
                    <w:jc w:val="center"/>
                    <w:rPr>
                      <w:szCs w:val="21"/>
                    </w:rPr>
                  </w:pPr>
                  <w:r>
                    <w:rPr>
                      <w:rFonts w:hint="eastAsia"/>
                      <w:szCs w:val="21"/>
                    </w:rPr>
                    <w:t>/</w:t>
                  </w:r>
                </w:p>
              </w:tc>
              <w:tc>
                <w:tcPr>
                  <w:tcW w:w="602" w:type="pct"/>
                  <w:vAlign w:val="center"/>
                </w:tcPr>
                <w:p w14:paraId="77252FD8">
                  <w:pPr>
                    <w:snapToGrid w:val="0"/>
                    <w:jc w:val="center"/>
                    <w:rPr>
                      <w:szCs w:val="21"/>
                    </w:rPr>
                  </w:pPr>
                  <w:r>
                    <w:rPr>
                      <w:rFonts w:hint="eastAsia"/>
                      <w:szCs w:val="21"/>
                    </w:rPr>
                    <w:t>2</w:t>
                  </w:r>
                </w:p>
              </w:tc>
              <w:tc>
                <w:tcPr>
                  <w:tcW w:w="515" w:type="pct"/>
                  <w:vMerge w:val="continue"/>
                  <w:vAlign w:val="center"/>
                </w:tcPr>
                <w:p w14:paraId="79F41A1A">
                  <w:pPr>
                    <w:snapToGrid w:val="0"/>
                    <w:jc w:val="center"/>
                    <w:rPr>
                      <w:szCs w:val="21"/>
                      <w:shd w:val="pct10" w:color="auto" w:fill="FFFFFF"/>
                    </w:rPr>
                  </w:pPr>
                </w:p>
              </w:tc>
              <w:tc>
                <w:tcPr>
                  <w:tcW w:w="692" w:type="pct"/>
                  <w:vMerge w:val="continue"/>
                  <w:vAlign w:val="center"/>
                </w:tcPr>
                <w:p w14:paraId="1B8A7A0B">
                  <w:pPr>
                    <w:snapToGrid w:val="0"/>
                    <w:jc w:val="center"/>
                    <w:rPr>
                      <w:szCs w:val="21"/>
                      <w:shd w:val="pct10" w:color="auto" w:fill="FFFFFF"/>
                    </w:rPr>
                  </w:pPr>
                </w:p>
              </w:tc>
            </w:tr>
            <w:tr w14:paraId="0BF32BA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continue"/>
                  <w:vAlign w:val="center"/>
                </w:tcPr>
                <w:p w14:paraId="27615926">
                  <w:pPr>
                    <w:snapToGrid w:val="0"/>
                    <w:ind w:left="-105" w:leftChars="-50" w:right="-105" w:rightChars="-50"/>
                    <w:jc w:val="center"/>
                    <w:rPr>
                      <w:szCs w:val="21"/>
                    </w:rPr>
                  </w:pPr>
                </w:p>
              </w:tc>
              <w:tc>
                <w:tcPr>
                  <w:tcW w:w="2159" w:type="pct"/>
                  <w:vAlign w:val="center"/>
                </w:tcPr>
                <w:p w14:paraId="481E0932">
                  <w:pPr>
                    <w:snapToGrid w:val="0"/>
                    <w:jc w:val="center"/>
                    <w:rPr>
                      <w:szCs w:val="21"/>
                    </w:rPr>
                  </w:pPr>
                  <w:r>
                    <w:rPr>
                      <w:rFonts w:hint="eastAsia"/>
                      <w:szCs w:val="21"/>
                    </w:rPr>
                    <w:t>防尘口罩</w:t>
                  </w:r>
                </w:p>
              </w:tc>
              <w:tc>
                <w:tcPr>
                  <w:tcW w:w="430" w:type="pct"/>
                  <w:vAlign w:val="center"/>
                </w:tcPr>
                <w:p w14:paraId="301DBC69">
                  <w:pPr>
                    <w:snapToGrid w:val="0"/>
                    <w:jc w:val="center"/>
                    <w:rPr>
                      <w:szCs w:val="21"/>
                    </w:rPr>
                  </w:pPr>
                  <w:r>
                    <w:rPr>
                      <w:rFonts w:hint="eastAsia"/>
                      <w:szCs w:val="21"/>
                    </w:rPr>
                    <w:t>若干</w:t>
                  </w:r>
                </w:p>
              </w:tc>
              <w:tc>
                <w:tcPr>
                  <w:tcW w:w="602" w:type="pct"/>
                  <w:vAlign w:val="center"/>
                </w:tcPr>
                <w:p w14:paraId="4C2382FC">
                  <w:pPr>
                    <w:snapToGrid w:val="0"/>
                    <w:jc w:val="center"/>
                    <w:rPr>
                      <w:szCs w:val="21"/>
                    </w:rPr>
                  </w:pPr>
                  <w:r>
                    <w:rPr>
                      <w:rFonts w:hint="eastAsia"/>
                      <w:szCs w:val="21"/>
                    </w:rPr>
                    <w:t>2</w:t>
                  </w:r>
                </w:p>
              </w:tc>
              <w:tc>
                <w:tcPr>
                  <w:tcW w:w="515" w:type="pct"/>
                  <w:vMerge w:val="continue"/>
                  <w:vAlign w:val="center"/>
                </w:tcPr>
                <w:p w14:paraId="5F151A86">
                  <w:pPr>
                    <w:snapToGrid w:val="0"/>
                    <w:jc w:val="center"/>
                    <w:rPr>
                      <w:szCs w:val="21"/>
                      <w:shd w:val="pct10" w:color="auto" w:fill="FFFFFF"/>
                    </w:rPr>
                  </w:pPr>
                </w:p>
              </w:tc>
              <w:tc>
                <w:tcPr>
                  <w:tcW w:w="692" w:type="pct"/>
                  <w:vMerge w:val="continue"/>
                  <w:vAlign w:val="center"/>
                </w:tcPr>
                <w:p w14:paraId="3D85BD60">
                  <w:pPr>
                    <w:snapToGrid w:val="0"/>
                    <w:jc w:val="center"/>
                    <w:rPr>
                      <w:szCs w:val="21"/>
                      <w:shd w:val="pct10" w:color="auto" w:fill="FFFFFF"/>
                    </w:rPr>
                  </w:pPr>
                </w:p>
              </w:tc>
            </w:tr>
            <w:tr w14:paraId="40E1DD0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02" w:type="pct"/>
                  <w:vMerge w:val="continue"/>
                  <w:vAlign w:val="center"/>
                </w:tcPr>
                <w:p w14:paraId="237568CB">
                  <w:pPr>
                    <w:snapToGrid w:val="0"/>
                    <w:ind w:left="-105" w:leftChars="-50" w:right="-105" w:rightChars="-50"/>
                    <w:jc w:val="center"/>
                    <w:rPr>
                      <w:szCs w:val="21"/>
                    </w:rPr>
                  </w:pPr>
                </w:p>
              </w:tc>
              <w:tc>
                <w:tcPr>
                  <w:tcW w:w="2159" w:type="pct"/>
                  <w:vAlign w:val="center"/>
                </w:tcPr>
                <w:p w14:paraId="5579EB61">
                  <w:pPr>
                    <w:snapToGrid w:val="0"/>
                    <w:jc w:val="center"/>
                    <w:rPr>
                      <w:szCs w:val="21"/>
                    </w:rPr>
                  </w:pPr>
                  <w:r>
                    <w:rPr>
                      <w:rFonts w:hint="eastAsia"/>
                      <w:szCs w:val="21"/>
                    </w:rPr>
                    <w:t>雾炮机</w:t>
                  </w:r>
                </w:p>
              </w:tc>
              <w:tc>
                <w:tcPr>
                  <w:tcW w:w="430" w:type="pct"/>
                  <w:vAlign w:val="center"/>
                </w:tcPr>
                <w:p w14:paraId="33513F5D">
                  <w:pPr>
                    <w:snapToGrid w:val="0"/>
                    <w:jc w:val="center"/>
                    <w:rPr>
                      <w:szCs w:val="21"/>
                    </w:rPr>
                  </w:pPr>
                  <w:r>
                    <w:rPr>
                      <w:rFonts w:hint="eastAsia"/>
                      <w:szCs w:val="21"/>
                    </w:rPr>
                    <w:t>10台</w:t>
                  </w:r>
                </w:p>
              </w:tc>
              <w:tc>
                <w:tcPr>
                  <w:tcW w:w="602" w:type="pct"/>
                  <w:vAlign w:val="center"/>
                </w:tcPr>
                <w:p w14:paraId="5967C718">
                  <w:pPr>
                    <w:snapToGrid w:val="0"/>
                    <w:jc w:val="center"/>
                    <w:rPr>
                      <w:szCs w:val="21"/>
                    </w:rPr>
                  </w:pPr>
                  <w:r>
                    <w:rPr>
                      <w:rFonts w:hint="eastAsia"/>
                      <w:szCs w:val="21"/>
                    </w:rPr>
                    <w:t>10</w:t>
                  </w:r>
                </w:p>
              </w:tc>
              <w:tc>
                <w:tcPr>
                  <w:tcW w:w="515" w:type="pct"/>
                  <w:vMerge w:val="continue"/>
                  <w:vAlign w:val="center"/>
                </w:tcPr>
                <w:p w14:paraId="1EB84965">
                  <w:pPr>
                    <w:snapToGrid w:val="0"/>
                    <w:jc w:val="center"/>
                    <w:rPr>
                      <w:szCs w:val="21"/>
                    </w:rPr>
                  </w:pPr>
                </w:p>
              </w:tc>
              <w:tc>
                <w:tcPr>
                  <w:tcW w:w="692" w:type="pct"/>
                  <w:vMerge w:val="continue"/>
                  <w:vAlign w:val="center"/>
                </w:tcPr>
                <w:p w14:paraId="4D7501B7">
                  <w:pPr>
                    <w:snapToGrid w:val="0"/>
                    <w:jc w:val="center"/>
                    <w:rPr>
                      <w:szCs w:val="21"/>
                      <w:shd w:val="pct10" w:color="auto" w:fill="FFFFFF"/>
                    </w:rPr>
                  </w:pPr>
                </w:p>
              </w:tc>
            </w:tr>
            <w:tr w14:paraId="70CB036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continue"/>
                  <w:vAlign w:val="center"/>
                </w:tcPr>
                <w:p w14:paraId="7158EEC8">
                  <w:pPr>
                    <w:snapToGrid w:val="0"/>
                    <w:ind w:left="-105" w:leftChars="-50" w:right="-105" w:rightChars="-50"/>
                    <w:jc w:val="center"/>
                    <w:rPr>
                      <w:szCs w:val="21"/>
                    </w:rPr>
                  </w:pPr>
                </w:p>
              </w:tc>
              <w:tc>
                <w:tcPr>
                  <w:tcW w:w="2159" w:type="pct"/>
                  <w:vAlign w:val="center"/>
                </w:tcPr>
                <w:p w14:paraId="35EA9FF4">
                  <w:pPr>
                    <w:snapToGrid w:val="0"/>
                    <w:jc w:val="center"/>
                    <w:rPr>
                      <w:szCs w:val="21"/>
                    </w:rPr>
                  </w:pPr>
                  <w:r>
                    <w:rPr>
                      <w:rFonts w:hint="eastAsia"/>
                      <w:szCs w:val="21"/>
                    </w:rPr>
                    <w:t>围挡顶部加装喷淋装置</w:t>
                  </w:r>
                </w:p>
              </w:tc>
              <w:tc>
                <w:tcPr>
                  <w:tcW w:w="430" w:type="pct"/>
                  <w:vAlign w:val="center"/>
                </w:tcPr>
                <w:p w14:paraId="588763F2">
                  <w:pPr>
                    <w:snapToGrid w:val="0"/>
                    <w:jc w:val="center"/>
                    <w:rPr>
                      <w:szCs w:val="21"/>
                    </w:rPr>
                  </w:pPr>
                  <w:r>
                    <w:rPr>
                      <w:rFonts w:hint="eastAsia"/>
                      <w:szCs w:val="21"/>
                    </w:rPr>
                    <w:t>/</w:t>
                  </w:r>
                </w:p>
              </w:tc>
              <w:tc>
                <w:tcPr>
                  <w:tcW w:w="602" w:type="pct"/>
                  <w:vAlign w:val="center"/>
                </w:tcPr>
                <w:p w14:paraId="795F7539">
                  <w:pPr>
                    <w:snapToGrid w:val="0"/>
                    <w:jc w:val="center"/>
                    <w:rPr>
                      <w:szCs w:val="21"/>
                    </w:rPr>
                  </w:pPr>
                  <w:r>
                    <w:rPr>
                      <w:rFonts w:hint="eastAsia"/>
                      <w:szCs w:val="21"/>
                    </w:rPr>
                    <w:t>1</w:t>
                  </w:r>
                </w:p>
              </w:tc>
              <w:tc>
                <w:tcPr>
                  <w:tcW w:w="515" w:type="pct"/>
                  <w:vMerge w:val="continue"/>
                  <w:vAlign w:val="center"/>
                </w:tcPr>
                <w:p w14:paraId="5CD64E27">
                  <w:pPr>
                    <w:snapToGrid w:val="0"/>
                    <w:jc w:val="center"/>
                    <w:rPr>
                      <w:szCs w:val="21"/>
                    </w:rPr>
                  </w:pPr>
                </w:p>
              </w:tc>
              <w:tc>
                <w:tcPr>
                  <w:tcW w:w="692" w:type="pct"/>
                  <w:vMerge w:val="continue"/>
                  <w:vAlign w:val="center"/>
                </w:tcPr>
                <w:p w14:paraId="2BF6F3BC">
                  <w:pPr>
                    <w:snapToGrid w:val="0"/>
                    <w:jc w:val="center"/>
                    <w:rPr>
                      <w:szCs w:val="21"/>
                      <w:shd w:val="pct10" w:color="auto" w:fill="FFFFFF"/>
                    </w:rPr>
                  </w:pPr>
                </w:p>
              </w:tc>
            </w:tr>
            <w:tr w14:paraId="75A41A8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continue"/>
                  <w:vAlign w:val="center"/>
                </w:tcPr>
                <w:p w14:paraId="473B4C85">
                  <w:pPr>
                    <w:snapToGrid w:val="0"/>
                    <w:ind w:left="-105" w:leftChars="-50" w:right="-105" w:rightChars="-50"/>
                    <w:jc w:val="center"/>
                    <w:rPr>
                      <w:szCs w:val="21"/>
                    </w:rPr>
                  </w:pPr>
                </w:p>
              </w:tc>
              <w:tc>
                <w:tcPr>
                  <w:tcW w:w="2159" w:type="pct"/>
                  <w:vAlign w:val="center"/>
                </w:tcPr>
                <w:p w14:paraId="21ECDAE4">
                  <w:pPr>
                    <w:snapToGrid w:val="0"/>
                    <w:jc w:val="center"/>
                    <w:rPr>
                      <w:szCs w:val="21"/>
                    </w:rPr>
                  </w:pPr>
                  <w:r>
                    <w:rPr>
                      <w:rFonts w:hint="eastAsia"/>
                      <w:szCs w:val="21"/>
                    </w:rPr>
                    <w:t>绿化、路面洒水措施</w:t>
                  </w:r>
                </w:p>
              </w:tc>
              <w:tc>
                <w:tcPr>
                  <w:tcW w:w="430" w:type="pct"/>
                  <w:vAlign w:val="center"/>
                </w:tcPr>
                <w:p w14:paraId="155A36C8">
                  <w:pPr>
                    <w:snapToGrid w:val="0"/>
                    <w:jc w:val="center"/>
                    <w:rPr>
                      <w:szCs w:val="21"/>
                    </w:rPr>
                  </w:pPr>
                  <w:r>
                    <w:rPr>
                      <w:rFonts w:hint="eastAsia"/>
                      <w:szCs w:val="21"/>
                    </w:rPr>
                    <w:t>/</w:t>
                  </w:r>
                </w:p>
              </w:tc>
              <w:tc>
                <w:tcPr>
                  <w:tcW w:w="602" w:type="pct"/>
                  <w:vAlign w:val="center"/>
                </w:tcPr>
                <w:p w14:paraId="424B731A">
                  <w:pPr>
                    <w:snapToGrid w:val="0"/>
                    <w:jc w:val="center"/>
                    <w:rPr>
                      <w:szCs w:val="21"/>
                    </w:rPr>
                  </w:pPr>
                  <w:r>
                    <w:rPr>
                      <w:szCs w:val="21"/>
                    </w:rPr>
                    <w:t>/</w:t>
                  </w:r>
                </w:p>
              </w:tc>
              <w:tc>
                <w:tcPr>
                  <w:tcW w:w="515" w:type="pct"/>
                  <w:vAlign w:val="center"/>
                </w:tcPr>
                <w:p w14:paraId="1D3EAE81">
                  <w:pPr>
                    <w:snapToGrid w:val="0"/>
                    <w:jc w:val="center"/>
                    <w:rPr>
                      <w:szCs w:val="21"/>
                      <w:shd w:val="pct10" w:color="auto" w:fill="FFFFFF"/>
                    </w:rPr>
                  </w:pPr>
                  <w:r>
                    <w:rPr>
                      <w:szCs w:val="21"/>
                    </w:rPr>
                    <w:t>营运期</w:t>
                  </w:r>
                </w:p>
              </w:tc>
              <w:tc>
                <w:tcPr>
                  <w:tcW w:w="692" w:type="pct"/>
                  <w:vMerge w:val="continue"/>
                  <w:vAlign w:val="center"/>
                </w:tcPr>
                <w:p w14:paraId="26D89F83">
                  <w:pPr>
                    <w:snapToGrid w:val="0"/>
                    <w:jc w:val="center"/>
                    <w:rPr>
                      <w:szCs w:val="21"/>
                      <w:shd w:val="pct10" w:color="auto" w:fill="FFFFFF"/>
                    </w:rPr>
                  </w:pPr>
                </w:p>
              </w:tc>
            </w:tr>
            <w:tr w14:paraId="32FCD10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602" w:type="pct"/>
                  <w:vMerge w:val="restart"/>
                  <w:vAlign w:val="center"/>
                </w:tcPr>
                <w:p w14:paraId="14740415">
                  <w:pPr>
                    <w:snapToGrid w:val="0"/>
                    <w:ind w:left="-105" w:leftChars="-50" w:right="-105" w:rightChars="-50"/>
                    <w:jc w:val="center"/>
                    <w:rPr>
                      <w:szCs w:val="21"/>
                    </w:rPr>
                  </w:pPr>
                  <w:r>
                    <w:rPr>
                      <w:szCs w:val="21"/>
                    </w:rPr>
                    <w:t>水污染防治</w:t>
                  </w:r>
                </w:p>
              </w:tc>
              <w:tc>
                <w:tcPr>
                  <w:tcW w:w="2159" w:type="pct"/>
                  <w:vAlign w:val="center"/>
                </w:tcPr>
                <w:p w14:paraId="38FAC371">
                  <w:pPr>
                    <w:snapToGrid w:val="0"/>
                    <w:jc w:val="center"/>
                    <w:rPr>
                      <w:snapToGrid w:val="0"/>
                      <w:spacing w:val="-6"/>
                      <w:szCs w:val="21"/>
                    </w:rPr>
                  </w:pPr>
                  <w:r>
                    <w:rPr>
                      <w:rFonts w:hint="eastAsia"/>
                      <w:snapToGrid w:val="0"/>
                      <w:spacing w:val="-6"/>
                      <w:szCs w:val="21"/>
                    </w:rPr>
                    <w:t>隔油沉淀池（不小于5m</w:t>
                  </w:r>
                  <w:r>
                    <w:rPr>
                      <w:rFonts w:hint="eastAsia"/>
                      <w:snapToGrid w:val="0"/>
                      <w:spacing w:val="-6"/>
                      <w:szCs w:val="21"/>
                      <w:vertAlign w:val="superscript"/>
                    </w:rPr>
                    <w:t>3</w:t>
                  </w:r>
                  <w:r>
                    <w:rPr>
                      <w:rFonts w:hint="eastAsia"/>
                      <w:snapToGrid w:val="0"/>
                      <w:spacing w:val="-6"/>
                      <w:szCs w:val="21"/>
                    </w:rPr>
                    <w:t>/座）</w:t>
                  </w:r>
                </w:p>
              </w:tc>
              <w:tc>
                <w:tcPr>
                  <w:tcW w:w="430" w:type="pct"/>
                  <w:vAlign w:val="center"/>
                </w:tcPr>
                <w:p w14:paraId="21CB9E9F">
                  <w:pPr>
                    <w:snapToGrid w:val="0"/>
                    <w:jc w:val="center"/>
                    <w:rPr>
                      <w:snapToGrid w:val="0"/>
                      <w:spacing w:val="-6"/>
                      <w:szCs w:val="21"/>
                    </w:rPr>
                  </w:pPr>
                  <w:r>
                    <w:rPr>
                      <w:rFonts w:hint="eastAsia"/>
                      <w:snapToGrid w:val="0"/>
                      <w:spacing w:val="-6"/>
                      <w:szCs w:val="21"/>
                    </w:rPr>
                    <w:t>3个</w:t>
                  </w:r>
                </w:p>
              </w:tc>
              <w:tc>
                <w:tcPr>
                  <w:tcW w:w="602" w:type="pct"/>
                  <w:vAlign w:val="center"/>
                </w:tcPr>
                <w:p w14:paraId="4065C52E">
                  <w:pPr>
                    <w:snapToGrid w:val="0"/>
                    <w:jc w:val="center"/>
                    <w:rPr>
                      <w:szCs w:val="21"/>
                    </w:rPr>
                  </w:pPr>
                  <w:r>
                    <w:rPr>
                      <w:rFonts w:hint="eastAsia"/>
                      <w:szCs w:val="21"/>
                    </w:rPr>
                    <w:t>6</w:t>
                  </w:r>
                </w:p>
              </w:tc>
              <w:tc>
                <w:tcPr>
                  <w:tcW w:w="515" w:type="pct"/>
                  <w:vMerge w:val="restart"/>
                  <w:vAlign w:val="center"/>
                </w:tcPr>
                <w:p w14:paraId="0775E84C">
                  <w:pPr>
                    <w:jc w:val="center"/>
                    <w:rPr>
                      <w:szCs w:val="21"/>
                    </w:rPr>
                  </w:pPr>
                  <w:r>
                    <w:rPr>
                      <w:szCs w:val="21"/>
                    </w:rPr>
                    <w:t>施工期</w:t>
                  </w:r>
                </w:p>
              </w:tc>
              <w:tc>
                <w:tcPr>
                  <w:tcW w:w="692" w:type="pct"/>
                  <w:vMerge w:val="restart"/>
                  <w:vAlign w:val="center"/>
                </w:tcPr>
                <w:p w14:paraId="31842C7F">
                  <w:pPr>
                    <w:jc w:val="center"/>
                    <w:rPr>
                      <w:szCs w:val="21"/>
                    </w:rPr>
                  </w:pPr>
                  <w:r>
                    <w:rPr>
                      <w:szCs w:val="21"/>
                    </w:rPr>
                    <w:t>减缓水污染</w:t>
                  </w:r>
                </w:p>
              </w:tc>
            </w:tr>
            <w:tr w14:paraId="5C6330D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602" w:type="pct"/>
                  <w:vMerge w:val="continue"/>
                  <w:vAlign w:val="center"/>
                </w:tcPr>
                <w:p w14:paraId="3FAFA720">
                  <w:pPr>
                    <w:snapToGrid w:val="0"/>
                    <w:ind w:left="-105" w:leftChars="-50" w:right="-105" w:rightChars="-50"/>
                    <w:jc w:val="center"/>
                    <w:rPr>
                      <w:szCs w:val="21"/>
                    </w:rPr>
                  </w:pPr>
                </w:p>
              </w:tc>
              <w:tc>
                <w:tcPr>
                  <w:tcW w:w="2159" w:type="pct"/>
                  <w:vAlign w:val="center"/>
                </w:tcPr>
                <w:p w14:paraId="174DEE71">
                  <w:pPr>
                    <w:snapToGrid w:val="0"/>
                    <w:jc w:val="center"/>
                    <w:rPr>
                      <w:snapToGrid w:val="0"/>
                      <w:spacing w:val="-6"/>
                      <w:szCs w:val="21"/>
                    </w:rPr>
                  </w:pPr>
                  <w:r>
                    <w:rPr>
                      <w:rFonts w:hint="eastAsia"/>
                      <w:snapToGrid w:val="0"/>
                      <w:spacing w:val="-6"/>
                      <w:szCs w:val="21"/>
                    </w:rPr>
                    <w:t>租用民房，利用已建预处理池处理生活污水；</w:t>
                  </w:r>
                </w:p>
              </w:tc>
              <w:tc>
                <w:tcPr>
                  <w:tcW w:w="430" w:type="pct"/>
                  <w:vAlign w:val="center"/>
                </w:tcPr>
                <w:p w14:paraId="15E5B66A">
                  <w:pPr>
                    <w:snapToGrid w:val="0"/>
                    <w:jc w:val="center"/>
                    <w:rPr>
                      <w:snapToGrid w:val="0"/>
                      <w:spacing w:val="-6"/>
                      <w:szCs w:val="21"/>
                    </w:rPr>
                  </w:pPr>
                  <w:r>
                    <w:rPr>
                      <w:rFonts w:hint="eastAsia"/>
                      <w:snapToGrid w:val="0"/>
                      <w:spacing w:val="-6"/>
                      <w:szCs w:val="21"/>
                    </w:rPr>
                    <w:t>/</w:t>
                  </w:r>
                </w:p>
              </w:tc>
              <w:tc>
                <w:tcPr>
                  <w:tcW w:w="602" w:type="pct"/>
                  <w:vAlign w:val="center"/>
                </w:tcPr>
                <w:p w14:paraId="7B6EF962">
                  <w:pPr>
                    <w:snapToGrid w:val="0"/>
                    <w:jc w:val="center"/>
                    <w:rPr>
                      <w:szCs w:val="21"/>
                    </w:rPr>
                  </w:pPr>
                  <w:r>
                    <w:rPr>
                      <w:szCs w:val="21"/>
                    </w:rPr>
                    <w:t>计入主体工程</w:t>
                  </w:r>
                </w:p>
              </w:tc>
              <w:tc>
                <w:tcPr>
                  <w:tcW w:w="515" w:type="pct"/>
                  <w:vMerge w:val="continue"/>
                  <w:vAlign w:val="center"/>
                </w:tcPr>
                <w:p w14:paraId="75354D0C">
                  <w:pPr>
                    <w:jc w:val="center"/>
                    <w:rPr>
                      <w:szCs w:val="21"/>
                    </w:rPr>
                  </w:pPr>
                </w:p>
              </w:tc>
              <w:tc>
                <w:tcPr>
                  <w:tcW w:w="692" w:type="pct"/>
                  <w:vMerge w:val="continue"/>
                  <w:vAlign w:val="center"/>
                </w:tcPr>
                <w:p w14:paraId="5D0DF92D">
                  <w:pPr>
                    <w:jc w:val="center"/>
                    <w:rPr>
                      <w:szCs w:val="21"/>
                    </w:rPr>
                  </w:pPr>
                </w:p>
              </w:tc>
            </w:tr>
            <w:tr w14:paraId="3F98DC9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602" w:type="pct"/>
                  <w:vMerge w:val="continue"/>
                  <w:vAlign w:val="center"/>
                </w:tcPr>
                <w:p w14:paraId="12EAE23C">
                  <w:pPr>
                    <w:snapToGrid w:val="0"/>
                    <w:ind w:left="-105" w:leftChars="-50" w:right="-105" w:rightChars="-50"/>
                    <w:jc w:val="center"/>
                    <w:rPr>
                      <w:szCs w:val="21"/>
                    </w:rPr>
                  </w:pPr>
                </w:p>
              </w:tc>
              <w:tc>
                <w:tcPr>
                  <w:tcW w:w="2159" w:type="pct"/>
                  <w:vAlign w:val="center"/>
                </w:tcPr>
                <w:p w14:paraId="1EA36B8E">
                  <w:pPr>
                    <w:snapToGrid w:val="0"/>
                    <w:jc w:val="center"/>
                    <w:rPr>
                      <w:snapToGrid w:val="0"/>
                      <w:spacing w:val="-6"/>
                      <w:szCs w:val="21"/>
                    </w:rPr>
                  </w:pPr>
                  <w:r>
                    <w:rPr>
                      <w:rFonts w:hint="eastAsia"/>
                      <w:snapToGrid w:val="0"/>
                      <w:spacing w:val="-6"/>
                      <w:szCs w:val="21"/>
                    </w:rPr>
                    <w:t>施工场地截水沟、洗车池措施</w:t>
                  </w:r>
                </w:p>
              </w:tc>
              <w:tc>
                <w:tcPr>
                  <w:tcW w:w="430" w:type="pct"/>
                  <w:vAlign w:val="center"/>
                </w:tcPr>
                <w:p w14:paraId="01C468FF">
                  <w:pPr>
                    <w:snapToGrid w:val="0"/>
                    <w:jc w:val="center"/>
                    <w:rPr>
                      <w:snapToGrid w:val="0"/>
                      <w:spacing w:val="-6"/>
                      <w:szCs w:val="21"/>
                    </w:rPr>
                  </w:pPr>
                  <w:r>
                    <w:rPr>
                      <w:snapToGrid w:val="0"/>
                      <w:spacing w:val="-6"/>
                      <w:szCs w:val="21"/>
                    </w:rPr>
                    <w:t>/</w:t>
                  </w:r>
                </w:p>
              </w:tc>
              <w:tc>
                <w:tcPr>
                  <w:tcW w:w="602" w:type="pct"/>
                  <w:vAlign w:val="center"/>
                </w:tcPr>
                <w:p w14:paraId="6C219105">
                  <w:pPr>
                    <w:snapToGrid w:val="0"/>
                    <w:jc w:val="center"/>
                    <w:rPr>
                      <w:szCs w:val="21"/>
                    </w:rPr>
                  </w:pPr>
                  <w:r>
                    <w:rPr>
                      <w:rFonts w:hint="eastAsia"/>
                      <w:szCs w:val="21"/>
                    </w:rPr>
                    <w:t>4</w:t>
                  </w:r>
                </w:p>
              </w:tc>
              <w:tc>
                <w:tcPr>
                  <w:tcW w:w="515" w:type="pct"/>
                  <w:vMerge w:val="continue"/>
                  <w:vAlign w:val="center"/>
                </w:tcPr>
                <w:p w14:paraId="6DF3B11A">
                  <w:pPr>
                    <w:jc w:val="center"/>
                    <w:rPr>
                      <w:szCs w:val="21"/>
                    </w:rPr>
                  </w:pPr>
                </w:p>
              </w:tc>
              <w:tc>
                <w:tcPr>
                  <w:tcW w:w="692" w:type="pct"/>
                  <w:vMerge w:val="continue"/>
                  <w:vAlign w:val="center"/>
                </w:tcPr>
                <w:p w14:paraId="2C35F18C">
                  <w:pPr>
                    <w:jc w:val="center"/>
                    <w:rPr>
                      <w:szCs w:val="21"/>
                    </w:rPr>
                  </w:pPr>
                </w:p>
              </w:tc>
            </w:tr>
            <w:tr w14:paraId="79FEA1E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restart"/>
                  <w:vAlign w:val="center"/>
                </w:tcPr>
                <w:p w14:paraId="3344544F">
                  <w:pPr>
                    <w:snapToGrid w:val="0"/>
                    <w:ind w:left="-105" w:leftChars="-50" w:right="-105" w:rightChars="-50"/>
                    <w:jc w:val="center"/>
                    <w:rPr>
                      <w:szCs w:val="21"/>
                    </w:rPr>
                  </w:pPr>
                  <w:r>
                    <w:rPr>
                      <w:szCs w:val="21"/>
                    </w:rPr>
                    <w:t>噪声</w:t>
                  </w:r>
                </w:p>
                <w:p w14:paraId="0FA006F7">
                  <w:pPr>
                    <w:snapToGrid w:val="0"/>
                    <w:ind w:left="-105" w:leftChars="-50" w:right="-105" w:rightChars="-50"/>
                    <w:jc w:val="center"/>
                    <w:rPr>
                      <w:szCs w:val="21"/>
                      <w:shd w:val="pct10" w:color="auto" w:fill="FFFFFF"/>
                    </w:rPr>
                  </w:pPr>
                  <w:r>
                    <w:rPr>
                      <w:szCs w:val="21"/>
                    </w:rPr>
                    <w:t>防治</w:t>
                  </w:r>
                </w:p>
              </w:tc>
              <w:tc>
                <w:tcPr>
                  <w:tcW w:w="2159" w:type="pct"/>
                  <w:vAlign w:val="center"/>
                </w:tcPr>
                <w:p w14:paraId="59397050">
                  <w:pPr>
                    <w:snapToGrid w:val="0"/>
                    <w:jc w:val="center"/>
                    <w:rPr>
                      <w:szCs w:val="21"/>
                    </w:rPr>
                  </w:pPr>
                  <w:r>
                    <w:rPr>
                      <w:rFonts w:hint="eastAsia"/>
                      <w:szCs w:val="21"/>
                    </w:rPr>
                    <w:t>耳塞和头盔</w:t>
                  </w:r>
                </w:p>
              </w:tc>
              <w:tc>
                <w:tcPr>
                  <w:tcW w:w="430" w:type="pct"/>
                  <w:vAlign w:val="center"/>
                </w:tcPr>
                <w:p w14:paraId="6383F643">
                  <w:pPr>
                    <w:snapToGrid w:val="0"/>
                    <w:jc w:val="center"/>
                    <w:rPr>
                      <w:szCs w:val="21"/>
                    </w:rPr>
                  </w:pPr>
                  <w:r>
                    <w:rPr>
                      <w:szCs w:val="21"/>
                    </w:rPr>
                    <w:t>/</w:t>
                  </w:r>
                </w:p>
              </w:tc>
              <w:tc>
                <w:tcPr>
                  <w:tcW w:w="602" w:type="pct"/>
                  <w:vAlign w:val="center"/>
                </w:tcPr>
                <w:p w14:paraId="77EC7B65">
                  <w:pPr>
                    <w:snapToGrid w:val="0"/>
                    <w:jc w:val="center"/>
                    <w:rPr>
                      <w:szCs w:val="21"/>
                    </w:rPr>
                  </w:pPr>
                  <w:r>
                    <w:rPr>
                      <w:rFonts w:hint="eastAsia"/>
                      <w:szCs w:val="21"/>
                    </w:rPr>
                    <w:t>2</w:t>
                  </w:r>
                </w:p>
              </w:tc>
              <w:tc>
                <w:tcPr>
                  <w:tcW w:w="515" w:type="pct"/>
                  <w:vMerge w:val="restart"/>
                  <w:vAlign w:val="center"/>
                </w:tcPr>
                <w:p w14:paraId="0F16DC50">
                  <w:pPr>
                    <w:snapToGrid w:val="0"/>
                    <w:jc w:val="center"/>
                    <w:rPr>
                      <w:szCs w:val="21"/>
                    </w:rPr>
                  </w:pPr>
                  <w:r>
                    <w:rPr>
                      <w:szCs w:val="21"/>
                    </w:rPr>
                    <w:t>施工期</w:t>
                  </w:r>
                </w:p>
              </w:tc>
              <w:tc>
                <w:tcPr>
                  <w:tcW w:w="692" w:type="pct"/>
                  <w:vMerge w:val="restart"/>
                  <w:vAlign w:val="center"/>
                </w:tcPr>
                <w:p w14:paraId="7ACF0B3F">
                  <w:pPr>
                    <w:snapToGrid w:val="0"/>
                    <w:jc w:val="center"/>
                    <w:rPr>
                      <w:szCs w:val="21"/>
                    </w:rPr>
                  </w:pPr>
                  <w:r>
                    <w:rPr>
                      <w:szCs w:val="21"/>
                    </w:rPr>
                    <w:t>减缓噪声对环境的影响</w:t>
                  </w:r>
                </w:p>
              </w:tc>
            </w:tr>
            <w:tr w14:paraId="1AF7644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continue"/>
                  <w:vAlign w:val="center"/>
                </w:tcPr>
                <w:p w14:paraId="158BCEF4">
                  <w:pPr>
                    <w:snapToGrid w:val="0"/>
                    <w:ind w:left="-105" w:leftChars="-50" w:right="-105" w:rightChars="-50"/>
                    <w:jc w:val="center"/>
                    <w:rPr>
                      <w:szCs w:val="21"/>
                    </w:rPr>
                  </w:pPr>
                </w:p>
              </w:tc>
              <w:tc>
                <w:tcPr>
                  <w:tcW w:w="2159" w:type="pct"/>
                  <w:vAlign w:val="center"/>
                </w:tcPr>
                <w:p w14:paraId="4A9DC917">
                  <w:pPr>
                    <w:snapToGrid w:val="0"/>
                    <w:jc w:val="center"/>
                    <w:rPr>
                      <w:szCs w:val="21"/>
                    </w:rPr>
                  </w:pPr>
                  <w:r>
                    <w:rPr>
                      <w:szCs w:val="21"/>
                    </w:rPr>
                    <w:t>低噪声设备、加强设备维护</w:t>
                  </w:r>
                </w:p>
              </w:tc>
              <w:tc>
                <w:tcPr>
                  <w:tcW w:w="430" w:type="pct"/>
                  <w:vAlign w:val="center"/>
                </w:tcPr>
                <w:p w14:paraId="7B4F3C37">
                  <w:pPr>
                    <w:snapToGrid w:val="0"/>
                    <w:jc w:val="center"/>
                    <w:rPr>
                      <w:szCs w:val="21"/>
                    </w:rPr>
                  </w:pPr>
                  <w:r>
                    <w:rPr>
                      <w:szCs w:val="21"/>
                    </w:rPr>
                    <w:t>/</w:t>
                  </w:r>
                </w:p>
              </w:tc>
              <w:tc>
                <w:tcPr>
                  <w:tcW w:w="602" w:type="pct"/>
                  <w:vAlign w:val="center"/>
                </w:tcPr>
                <w:p w14:paraId="26740C1D">
                  <w:pPr>
                    <w:snapToGrid w:val="0"/>
                    <w:jc w:val="center"/>
                    <w:rPr>
                      <w:szCs w:val="21"/>
                    </w:rPr>
                  </w:pPr>
                  <w:r>
                    <w:rPr>
                      <w:rFonts w:hint="eastAsia"/>
                      <w:szCs w:val="21"/>
                    </w:rPr>
                    <w:t>5</w:t>
                  </w:r>
                </w:p>
              </w:tc>
              <w:tc>
                <w:tcPr>
                  <w:tcW w:w="515" w:type="pct"/>
                  <w:vMerge w:val="continue"/>
                  <w:vAlign w:val="center"/>
                </w:tcPr>
                <w:p w14:paraId="4E682772">
                  <w:pPr>
                    <w:snapToGrid w:val="0"/>
                    <w:jc w:val="center"/>
                    <w:rPr>
                      <w:szCs w:val="21"/>
                    </w:rPr>
                  </w:pPr>
                </w:p>
              </w:tc>
              <w:tc>
                <w:tcPr>
                  <w:tcW w:w="692" w:type="pct"/>
                  <w:vMerge w:val="continue"/>
                  <w:vAlign w:val="center"/>
                </w:tcPr>
                <w:p w14:paraId="0151E42A">
                  <w:pPr>
                    <w:snapToGrid w:val="0"/>
                    <w:jc w:val="center"/>
                    <w:rPr>
                      <w:szCs w:val="21"/>
                    </w:rPr>
                  </w:pPr>
                </w:p>
              </w:tc>
            </w:tr>
            <w:tr w14:paraId="18C6FAD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continue"/>
                  <w:vAlign w:val="center"/>
                </w:tcPr>
                <w:p w14:paraId="48C0D98A">
                  <w:pPr>
                    <w:snapToGrid w:val="0"/>
                    <w:ind w:left="-105" w:leftChars="-50" w:right="-105" w:rightChars="-50"/>
                    <w:jc w:val="center"/>
                    <w:rPr>
                      <w:szCs w:val="21"/>
                    </w:rPr>
                  </w:pPr>
                </w:p>
              </w:tc>
              <w:tc>
                <w:tcPr>
                  <w:tcW w:w="2159" w:type="pct"/>
                  <w:vAlign w:val="center"/>
                </w:tcPr>
                <w:p w14:paraId="1EE320BE">
                  <w:pPr>
                    <w:snapToGrid w:val="0"/>
                    <w:jc w:val="center"/>
                    <w:rPr>
                      <w:szCs w:val="21"/>
                    </w:rPr>
                  </w:pPr>
                  <w:r>
                    <w:rPr>
                      <w:rFonts w:hint="eastAsia"/>
                      <w:szCs w:val="21"/>
                    </w:rPr>
                    <w:t>设置彩钢板围挡或临时移动声屏障</w:t>
                  </w:r>
                </w:p>
              </w:tc>
              <w:tc>
                <w:tcPr>
                  <w:tcW w:w="430" w:type="pct"/>
                  <w:vAlign w:val="center"/>
                </w:tcPr>
                <w:p w14:paraId="1E00F5E5">
                  <w:pPr>
                    <w:snapToGrid w:val="0"/>
                    <w:jc w:val="center"/>
                    <w:rPr>
                      <w:szCs w:val="21"/>
                    </w:rPr>
                  </w:pPr>
                  <w:r>
                    <w:rPr>
                      <w:szCs w:val="21"/>
                    </w:rPr>
                    <w:t>/</w:t>
                  </w:r>
                </w:p>
              </w:tc>
              <w:tc>
                <w:tcPr>
                  <w:tcW w:w="602" w:type="pct"/>
                  <w:vAlign w:val="center"/>
                </w:tcPr>
                <w:p w14:paraId="3466549E">
                  <w:pPr>
                    <w:snapToGrid w:val="0"/>
                    <w:jc w:val="center"/>
                    <w:rPr>
                      <w:szCs w:val="21"/>
                    </w:rPr>
                  </w:pPr>
                  <w:r>
                    <w:rPr>
                      <w:rFonts w:hint="eastAsia"/>
                      <w:szCs w:val="21"/>
                    </w:rPr>
                    <w:t>30</w:t>
                  </w:r>
                </w:p>
              </w:tc>
              <w:tc>
                <w:tcPr>
                  <w:tcW w:w="515" w:type="pct"/>
                  <w:vMerge w:val="continue"/>
                  <w:vAlign w:val="center"/>
                </w:tcPr>
                <w:p w14:paraId="2CEB1BFA">
                  <w:pPr>
                    <w:snapToGrid w:val="0"/>
                    <w:jc w:val="center"/>
                    <w:rPr>
                      <w:szCs w:val="21"/>
                    </w:rPr>
                  </w:pPr>
                </w:p>
              </w:tc>
              <w:tc>
                <w:tcPr>
                  <w:tcW w:w="692" w:type="pct"/>
                  <w:vMerge w:val="continue"/>
                  <w:vAlign w:val="center"/>
                </w:tcPr>
                <w:p w14:paraId="10B52678">
                  <w:pPr>
                    <w:snapToGrid w:val="0"/>
                    <w:jc w:val="center"/>
                    <w:rPr>
                      <w:szCs w:val="21"/>
                    </w:rPr>
                  </w:pPr>
                </w:p>
              </w:tc>
            </w:tr>
            <w:tr w14:paraId="50FDDA9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PrEx>
              <w:trPr>
                <w:trHeight w:val="397" w:hRule="atLeast"/>
              </w:trPr>
              <w:tc>
                <w:tcPr>
                  <w:tcW w:w="602" w:type="pct"/>
                  <w:vMerge w:val="continue"/>
                  <w:vAlign w:val="center"/>
                </w:tcPr>
                <w:p w14:paraId="2E19C34A">
                  <w:pPr>
                    <w:snapToGrid w:val="0"/>
                    <w:ind w:left="-105" w:leftChars="-50" w:right="-105" w:rightChars="-50"/>
                    <w:jc w:val="center"/>
                    <w:rPr>
                      <w:szCs w:val="21"/>
                    </w:rPr>
                  </w:pPr>
                </w:p>
              </w:tc>
              <w:tc>
                <w:tcPr>
                  <w:tcW w:w="2159" w:type="pct"/>
                  <w:vAlign w:val="center"/>
                </w:tcPr>
                <w:p w14:paraId="0D0D7815">
                  <w:pPr>
                    <w:snapToGrid w:val="0"/>
                    <w:jc w:val="center"/>
                    <w:rPr>
                      <w:szCs w:val="21"/>
                    </w:rPr>
                  </w:pPr>
                  <w:r>
                    <w:rPr>
                      <w:rFonts w:hint="eastAsia"/>
                      <w:szCs w:val="21"/>
                    </w:rPr>
                    <w:t>夜间施工告示、防护</w:t>
                  </w:r>
                </w:p>
              </w:tc>
              <w:tc>
                <w:tcPr>
                  <w:tcW w:w="430" w:type="pct"/>
                  <w:vAlign w:val="center"/>
                </w:tcPr>
                <w:p w14:paraId="096D073F">
                  <w:pPr>
                    <w:snapToGrid w:val="0"/>
                    <w:jc w:val="center"/>
                    <w:rPr>
                      <w:szCs w:val="21"/>
                    </w:rPr>
                  </w:pPr>
                  <w:r>
                    <w:rPr>
                      <w:szCs w:val="21"/>
                    </w:rPr>
                    <w:t>/</w:t>
                  </w:r>
                </w:p>
              </w:tc>
              <w:tc>
                <w:tcPr>
                  <w:tcW w:w="602" w:type="pct"/>
                  <w:vAlign w:val="center"/>
                </w:tcPr>
                <w:p w14:paraId="21C1FCB6">
                  <w:pPr>
                    <w:snapToGrid w:val="0"/>
                    <w:jc w:val="center"/>
                    <w:rPr>
                      <w:szCs w:val="21"/>
                    </w:rPr>
                  </w:pPr>
                  <w:r>
                    <w:rPr>
                      <w:rFonts w:hint="eastAsia"/>
                      <w:szCs w:val="21"/>
                    </w:rPr>
                    <w:t>2</w:t>
                  </w:r>
                </w:p>
              </w:tc>
              <w:tc>
                <w:tcPr>
                  <w:tcW w:w="515" w:type="pct"/>
                  <w:vMerge w:val="continue"/>
                  <w:vAlign w:val="center"/>
                </w:tcPr>
                <w:p w14:paraId="5A21109E">
                  <w:pPr>
                    <w:snapToGrid w:val="0"/>
                    <w:jc w:val="center"/>
                    <w:rPr>
                      <w:szCs w:val="21"/>
                    </w:rPr>
                  </w:pPr>
                </w:p>
              </w:tc>
              <w:tc>
                <w:tcPr>
                  <w:tcW w:w="692" w:type="pct"/>
                  <w:vMerge w:val="continue"/>
                  <w:vAlign w:val="center"/>
                </w:tcPr>
                <w:p w14:paraId="2669C2EA">
                  <w:pPr>
                    <w:snapToGrid w:val="0"/>
                    <w:jc w:val="center"/>
                    <w:rPr>
                      <w:szCs w:val="21"/>
                    </w:rPr>
                  </w:pPr>
                </w:p>
              </w:tc>
            </w:tr>
            <w:tr w14:paraId="1D56258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602" w:type="pct"/>
                  <w:vMerge w:val="continue"/>
                  <w:vAlign w:val="center"/>
                </w:tcPr>
                <w:p w14:paraId="006D33A7">
                  <w:pPr>
                    <w:snapToGrid w:val="0"/>
                    <w:ind w:left="-105" w:leftChars="-50" w:right="-105" w:rightChars="-50"/>
                    <w:jc w:val="center"/>
                    <w:rPr>
                      <w:szCs w:val="21"/>
                      <w:shd w:val="pct10" w:color="auto" w:fill="FFFFFF"/>
                    </w:rPr>
                  </w:pPr>
                </w:p>
              </w:tc>
              <w:tc>
                <w:tcPr>
                  <w:tcW w:w="2159" w:type="pct"/>
                  <w:vAlign w:val="center"/>
                </w:tcPr>
                <w:p w14:paraId="62A41C0C">
                  <w:pPr>
                    <w:snapToGrid w:val="0"/>
                    <w:jc w:val="center"/>
                    <w:rPr>
                      <w:szCs w:val="21"/>
                    </w:rPr>
                  </w:pPr>
                  <w:r>
                    <w:rPr>
                      <w:rFonts w:hint="eastAsia"/>
                      <w:szCs w:val="21"/>
                    </w:rPr>
                    <w:t>交通标志、标牌</w:t>
                  </w:r>
                </w:p>
              </w:tc>
              <w:tc>
                <w:tcPr>
                  <w:tcW w:w="430" w:type="pct"/>
                  <w:vAlign w:val="center"/>
                </w:tcPr>
                <w:p w14:paraId="0D819037">
                  <w:pPr>
                    <w:snapToGrid w:val="0"/>
                    <w:jc w:val="center"/>
                    <w:rPr>
                      <w:szCs w:val="21"/>
                    </w:rPr>
                  </w:pPr>
                  <w:r>
                    <w:rPr>
                      <w:szCs w:val="21"/>
                    </w:rPr>
                    <w:t>/</w:t>
                  </w:r>
                </w:p>
              </w:tc>
              <w:tc>
                <w:tcPr>
                  <w:tcW w:w="602" w:type="pct"/>
                  <w:vMerge w:val="restart"/>
                  <w:vAlign w:val="center"/>
                </w:tcPr>
                <w:p w14:paraId="35F3D06C">
                  <w:pPr>
                    <w:snapToGrid w:val="0"/>
                    <w:jc w:val="center"/>
                    <w:rPr>
                      <w:szCs w:val="21"/>
                    </w:rPr>
                  </w:pPr>
                  <w:r>
                    <w:rPr>
                      <w:szCs w:val="21"/>
                    </w:rPr>
                    <w:t>计入主体工程投资</w:t>
                  </w:r>
                </w:p>
              </w:tc>
              <w:tc>
                <w:tcPr>
                  <w:tcW w:w="515" w:type="pct"/>
                  <w:vAlign w:val="center"/>
                </w:tcPr>
                <w:p w14:paraId="45450F15">
                  <w:pPr>
                    <w:snapToGrid w:val="0"/>
                    <w:jc w:val="center"/>
                    <w:rPr>
                      <w:szCs w:val="21"/>
                    </w:rPr>
                  </w:pPr>
                  <w:r>
                    <w:rPr>
                      <w:szCs w:val="21"/>
                    </w:rPr>
                    <w:t>营运期</w:t>
                  </w:r>
                </w:p>
              </w:tc>
              <w:tc>
                <w:tcPr>
                  <w:tcW w:w="692" w:type="pct"/>
                  <w:vMerge w:val="continue"/>
                  <w:vAlign w:val="center"/>
                </w:tcPr>
                <w:p w14:paraId="57463207">
                  <w:pPr>
                    <w:snapToGrid w:val="0"/>
                    <w:jc w:val="center"/>
                    <w:rPr>
                      <w:szCs w:val="21"/>
                    </w:rPr>
                  </w:pPr>
                </w:p>
              </w:tc>
            </w:tr>
            <w:tr w14:paraId="6E37988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602" w:type="pct"/>
                  <w:vMerge w:val="continue"/>
                  <w:vAlign w:val="center"/>
                </w:tcPr>
                <w:p w14:paraId="69F47CFF">
                  <w:pPr>
                    <w:snapToGrid w:val="0"/>
                    <w:ind w:left="-105" w:leftChars="-50" w:right="-105" w:rightChars="-50"/>
                    <w:jc w:val="center"/>
                    <w:rPr>
                      <w:szCs w:val="21"/>
                      <w:shd w:val="pct10" w:color="auto" w:fill="FFFFFF"/>
                    </w:rPr>
                  </w:pPr>
                </w:p>
              </w:tc>
              <w:tc>
                <w:tcPr>
                  <w:tcW w:w="2159" w:type="pct"/>
                  <w:vAlign w:val="center"/>
                </w:tcPr>
                <w:p w14:paraId="3CF32FDD">
                  <w:pPr>
                    <w:snapToGrid w:val="0"/>
                    <w:jc w:val="center"/>
                    <w:rPr>
                      <w:szCs w:val="21"/>
                    </w:rPr>
                  </w:pPr>
                  <w:r>
                    <w:rPr>
                      <w:szCs w:val="21"/>
                    </w:rPr>
                    <w:t>道路路面采用改性沥青路面</w:t>
                  </w:r>
                </w:p>
              </w:tc>
              <w:tc>
                <w:tcPr>
                  <w:tcW w:w="430" w:type="pct"/>
                  <w:vAlign w:val="center"/>
                </w:tcPr>
                <w:p w14:paraId="68E66A92">
                  <w:pPr>
                    <w:snapToGrid w:val="0"/>
                    <w:jc w:val="center"/>
                    <w:rPr>
                      <w:szCs w:val="21"/>
                    </w:rPr>
                  </w:pPr>
                  <w:r>
                    <w:rPr>
                      <w:szCs w:val="21"/>
                    </w:rPr>
                    <w:t>/</w:t>
                  </w:r>
                </w:p>
              </w:tc>
              <w:tc>
                <w:tcPr>
                  <w:tcW w:w="602" w:type="pct"/>
                  <w:vMerge w:val="continue"/>
                  <w:vAlign w:val="center"/>
                </w:tcPr>
                <w:p w14:paraId="4632CA76">
                  <w:pPr>
                    <w:snapToGrid w:val="0"/>
                    <w:jc w:val="center"/>
                    <w:rPr>
                      <w:szCs w:val="21"/>
                    </w:rPr>
                  </w:pPr>
                </w:p>
              </w:tc>
              <w:tc>
                <w:tcPr>
                  <w:tcW w:w="515" w:type="pct"/>
                  <w:vAlign w:val="center"/>
                </w:tcPr>
                <w:p w14:paraId="3F873869">
                  <w:pPr>
                    <w:snapToGrid w:val="0"/>
                    <w:jc w:val="center"/>
                    <w:rPr>
                      <w:szCs w:val="21"/>
                    </w:rPr>
                  </w:pPr>
                  <w:r>
                    <w:rPr>
                      <w:szCs w:val="21"/>
                    </w:rPr>
                    <w:t>营运期</w:t>
                  </w:r>
                </w:p>
              </w:tc>
              <w:tc>
                <w:tcPr>
                  <w:tcW w:w="692" w:type="pct"/>
                  <w:vMerge w:val="continue"/>
                  <w:vAlign w:val="center"/>
                </w:tcPr>
                <w:p w14:paraId="5CE8D36A">
                  <w:pPr>
                    <w:snapToGrid w:val="0"/>
                    <w:jc w:val="center"/>
                    <w:rPr>
                      <w:szCs w:val="21"/>
                    </w:rPr>
                  </w:pPr>
                </w:p>
              </w:tc>
            </w:tr>
            <w:tr w14:paraId="77308B3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602" w:type="pct"/>
                  <w:vMerge w:val="continue"/>
                  <w:vAlign w:val="center"/>
                </w:tcPr>
                <w:p w14:paraId="43966B5F">
                  <w:pPr>
                    <w:snapToGrid w:val="0"/>
                    <w:ind w:left="-105" w:leftChars="-50" w:right="-105" w:rightChars="-50"/>
                    <w:jc w:val="center"/>
                    <w:rPr>
                      <w:szCs w:val="21"/>
                      <w:shd w:val="pct10" w:color="auto" w:fill="FFFFFF"/>
                    </w:rPr>
                  </w:pPr>
                </w:p>
              </w:tc>
              <w:tc>
                <w:tcPr>
                  <w:tcW w:w="2159" w:type="pct"/>
                  <w:vAlign w:val="center"/>
                </w:tcPr>
                <w:p w14:paraId="5A1B7F7A">
                  <w:pPr>
                    <w:snapToGrid w:val="0"/>
                    <w:jc w:val="center"/>
                    <w:rPr>
                      <w:szCs w:val="21"/>
                    </w:rPr>
                  </w:pPr>
                  <w:r>
                    <w:rPr>
                      <w:rFonts w:hint="eastAsia"/>
                      <w:szCs w:val="21"/>
                    </w:rPr>
                    <w:t>道路两侧绿化</w:t>
                  </w:r>
                </w:p>
              </w:tc>
              <w:tc>
                <w:tcPr>
                  <w:tcW w:w="430" w:type="pct"/>
                  <w:vAlign w:val="center"/>
                </w:tcPr>
                <w:p w14:paraId="7B4FC801">
                  <w:pPr>
                    <w:snapToGrid w:val="0"/>
                    <w:jc w:val="center"/>
                    <w:rPr>
                      <w:szCs w:val="21"/>
                    </w:rPr>
                  </w:pPr>
                  <w:r>
                    <w:rPr>
                      <w:szCs w:val="21"/>
                    </w:rPr>
                    <w:t>/</w:t>
                  </w:r>
                </w:p>
              </w:tc>
              <w:tc>
                <w:tcPr>
                  <w:tcW w:w="602" w:type="pct"/>
                  <w:vMerge w:val="continue"/>
                  <w:vAlign w:val="center"/>
                </w:tcPr>
                <w:p w14:paraId="58A8F717">
                  <w:pPr>
                    <w:snapToGrid w:val="0"/>
                    <w:jc w:val="center"/>
                    <w:rPr>
                      <w:szCs w:val="21"/>
                    </w:rPr>
                  </w:pPr>
                </w:p>
              </w:tc>
              <w:tc>
                <w:tcPr>
                  <w:tcW w:w="515" w:type="pct"/>
                  <w:vAlign w:val="center"/>
                </w:tcPr>
                <w:p w14:paraId="0DCB3038">
                  <w:pPr>
                    <w:snapToGrid w:val="0"/>
                    <w:jc w:val="center"/>
                    <w:rPr>
                      <w:szCs w:val="21"/>
                    </w:rPr>
                  </w:pPr>
                  <w:r>
                    <w:rPr>
                      <w:szCs w:val="21"/>
                    </w:rPr>
                    <w:t>营运期</w:t>
                  </w:r>
                </w:p>
              </w:tc>
              <w:tc>
                <w:tcPr>
                  <w:tcW w:w="692" w:type="pct"/>
                  <w:vMerge w:val="continue"/>
                  <w:vAlign w:val="center"/>
                </w:tcPr>
                <w:p w14:paraId="2568D9AE">
                  <w:pPr>
                    <w:snapToGrid w:val="0"/>
                    <w:jc w:val="center"/>
                    <w:rPr>
                      <w:szCs w:val="21"/>
                    </w:rPr>
                  </w:pPr>
                </w:p>
              </w:tc>
            </w:tr>
            <w:tr w14:paraId="683C1B1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PrEx>
              <w:trPr>
                <w:trHeight w:val="397" w:hRule="atLeast"/>
              </w:trPr>
              <w:tc>
                <w:tcPr>
                  <w:tcW w:w="602" w:type="pct"/>
                  <w:vMerge w:val="restart"/>
                  <w:vAlign w:val="center"/>
                </w:tcPr>
                <w:p w14:paraId="3C27CD3D">
                  <w:pPr>
                    <w:snapToGrid w:val="0"/>
                    <w:ind w:left="-105" w:leftChars="-50" w:right="-105" w:rightChars="-50"/>
                    <w:jc w:val="center"/>
                    <w:rPr>
                      <w:szCs w:val="21"/>
                    </w:rPr>
                  </w:pPr>
                  <w:r>
                    <w:rPr>
                      <w:szCs w:val="21"/>
                    </w:rPr>
                    <w:t>固废</w:t>
                  </w:r>
                </w:p>
                <w:p w14:paraId="7C879A83">
                  <w:pPr>
                    <w:snapToGrid w:val="0"/>
                    <w:ind w:left="-105" w:leftChars="-50" w:right="-105" w:rightChars="-50"/>
                    <w:jc w:val="center"/>
                    <w:rPr>
                      <w:szCs w:val="21"/>
                    </w:rPr>
                  </w:pPr>
                  <w:r>
                    <w:rPr>
                      <w:szCs w:val="21"/>
                    </w:rPr>
                    <w:t>处置</w:t>
                  </w:r>
                </w:p>
              </w:tc>
              <w:tc>
                <w:tcPr>
                  <w:tcW w:w="2159" w:type="pct"/>
                  <w:vAlign w:val="center"/>
                </w:tcPr>
                <w:p w14:paraId="5C77F886">
                  <w:pPr>
                    <w:autoSpaceDE w:val="0"/>
                    <w:autoSpaceDN w:val="0"/>
                    <w:adjustRightInd w:val="0"/>
                    <w:jc w:val="center"/>
                    <w:rPr>
                      <w:szCs w:val="21"/>
                    </w:rPr>
                  </w:pPr>
                  <w:r>
                    <w:rPr>
                      <w:rFonts w:hint="eastAsia"/>
                      <w:kern w:val="0"/>
                      <w:szCs w:val="21"/>
                    </w:rPr>
                    <w:t>土石方清运；建筑垃圾运至指定市政堆场处置；</w:t>
                  </w:r>
                </w:p>
              </w:tc>
              <w:tc>
                <w:tcPr>
                  <w:tcW w:w="430" w:type="pct"/>
                  <w:vAlign w:val="center"/>
                </w:tcPr>
                <w:p w14:paraId="0C2DB302">
                  <w:pPr>
                    <w:autoSpaceDE w:val="0"/>
                    <w:autoSpaceDN w:val="0"/>
                    <w:adjustRightInd w:val="0"/>
                    <w:jc w:val="center"/>
                    <w:rPr>
                      <w:szCs w:val="21"/>
                    </w:rPr>
                  </w:pPr>
                  <w:r>
                    <w:rPr>
                      <w:szCs w:val="21"/>
                    </w:rPr>
                    <w:t>/</w:t>
                  </w:r>
                </w:p>
              </w:tc>
              <w:tc>
                <w:tcPr>
                  <w:tcW w:w="602" w:type="pct"/>
                  <w:vMerge w:val="continue"/>
                  <w:vAlign w:val="center"/>
                </w:tcPr>
                <w:p w14:paraId="5FB249DB">
                  <w:pPr>
                    <w:snapToGrid w:val="0"/>
                    <w:jc w:val="center"/>
                    <w:rPr>
                      <w:szCs w:val="21"/>
                    </w:rPr>
                  </w:pPr>
                </w:p>
              </w:tc>
              <w:tc>
                <w:tcPr>
                  <w:tcW w:w="515" w:type="pct"/>
                  <w:vMerge w:val="restart"/>
                  <w:vAlign w:val="center"/>
                </w:tcPr>
                <w:p w14:paraId="44018B30">
                  <w:pPr>
                    <w:snapToGrid w:val="0"/>
                    <w:jc w:val="center"/>
                    <w:rPr>
                      <w:szCs w:val="21"/>
                    </w:rPr>
                  </w:pPr>
                  <w:r>
                    <w:rPr>
                      <w:szCs w:val="21"/>
                    </w:rPr>
                    <w:t>施工期</w:t>
                  </w:r>
                </w:p>
              </w:tc>
              <w:tc>
                <w:tcPr>
                  <w:tcW w:w="692" w:type="pct"/>
                  <w:vMerge w:val="restart"/>
                  <w:vAlign w:val="center"/>
                </w:tcPr>
                <w:p w14:paraId="3015132C">
                  <w:pPr>
                    <w:snapToGrid w:val="0"/>
                    <w:jc w:val="center"/>
                    <w:rPr>
                      <w:szCs w:val="21"/>
                    </w:rPr>
                  </w:pPr>
                  <w:r>
                    <w:rPr>
                      <w:rFonts w:hint="eastAsia"/>
                      <w:szCs w:val="21"/>
                    </w:rPr>
                    <w:t>减缓固废影响</w:t>
                  </w:r>
                </w:p>
              </w:tc>
            </w:tr>
            <w:tr w14:paraId="53FA956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Merge w:val="continue"/>
                  <w:vAlign w:val="center"/>
                </w:tcPr>
                <w:p w14:paraId="22F4FECC">
                  <w:pPr>
                    <w:snapToGrid w:val="0"/>
                    <w:ind w:left="-105" w:leftChars="-50" w:right="-105" w:rightChars="-50"/>
                    <w:jc w:val="center"/>
                    <w:rPr>
                      <w:szCs w:val="21"/>
                    </w:rPr>
                  </w:pPr>
                </w:p>
              </w:tc>
              <w:tc>
                <w:tcPr>
                  <w:tcW w:w="2159" w:type="pct"/>
                  <w:vAlign w:val="center"/>
                </w:tcPr>
                <w:p w14:paraId="34FFB461">
                  <w:pPr>
                    <w:autoSpaceDE w:val="0"/>
                    <w:autoSpaceDN w:val="0"/>
                    <w:adjustRightInd w:val="0"/>
                    <w:jc w:val="center"/>
                    <w:rPr>
                      <w:kern w:val="0"/>
                      <w:szCs w:val="21"/>
                    </w:rPr>
                  </w:pPr>
                  <w:r>
                    <w:rPr>
                      <w:rFonts w:hint="eastAsia"/>
                      <w:szCs w:val="21"/>
                    </w:rPr>
                    <w:t>垃圾桶；生活垃圾交环卫清运</w:t>
                  </w:r>
                </w:p>
              </w:tc>
              <w:tc>
                <w:tcPr>
                  <w:tcW w:w="430" w:type="pct"/>
                  <w:vAlign w:val="center"/>
                </w:tcPr>
                <w:p w14:paraId="7F11FD7F">
                  <w:pPr>
                    <w:autoSpaceDE w:val="0"/>
                    <w:autoSpaceDN w:val="0"/>
                    <w:adjustRightInd w:val="0"/>
                    <w:jc w:val="center"/>
                    <w:rPr>
                      <w:kern w:val="0"/>
                      <w:szCs w:val="21"/>
                    </w:rPr>
                  </w:pPr>
                  <w:r>
                    <w:rPr>
                      <w:rFonts w:hint="eastAsia"/>
                      <w:kern w:val="0"/>
                      <w:szCs w:val="21"/>
                    </w:rPr>
                    <w:t>若干</w:t>
                  </w:r>
                </w:p>
              </w:tc>
              <w:tc>
                <w:tcPr>
                  <w:tcW w:w="602" w:type="pct"/>
                  <w:vAlign w:val="center"/>
                </w:tcPr>
                <w:p w14:paraId="239F7E20">
                  <w:pPr>
                    <w:snapToGrid w:val="0"/>
                    <w:jc w:val="center"/>
                    <w:rPr>
                      <w:szCs w:val="21"/>
                      <w:shd w:val="pct10" w:color="auto" w:fill="FFFFFF"/>
                    </w:rPr>
                  </w:pPr>
                  <w:r>
                    <w:rPr>
                      <w:szCs w:val="21"/>
                    </w:rPr>
                    <w:t>1</w:t>
                  </w:r>
                </w:p>
              </w:tc>
              <w:tc>
                <w:tcPr>
                  <w:tcW w:w="515" w:type="pct"/>
                  <w:vMerge w:val="continue"/>
                  <w:vAlign w:val="center"/>
                </w:tcPr>
                <w:p w14:paraId="1EE7A483">
                  <w:pPr>
                    <w:snapToGrid w:val="0"/>
                    <w:jc w:val="center"/>
                    <w:rPr>
                      <w:szCs w:val="21"/>
                      <w:shd w:val="pct10" w:color="auto" w:fill="FFFFFF"/>
                    </w:rPr>
                  </w:pPr>
                </w:p>
              </w:tc>
              <w:tc>
                <w:tcPr>
                  <w:tcW w:w="692" w:type="pct"/>
                  <w:vMerge w:val="continue"/>
                  <w:vAlign w:val="center"/>
                </w:tcPr>
                <w:p w14:paraId="438CC82E">
                  <w:pPr>
                    <w:snapToGrid w:val="0"/>
                    <w:jc w:val="center"/>
                    <w:rPr>
                      <w:szCs w:val="21"/>
                      <w:shd w:val="pct10" w:color="auto" w:fill="FFFFFF"/>
                    </w:rPr>
                  </w:pPr>
                </w:p>
              </w:tc>
            </w:tr>
            <w:tr w14:paraId="14A6E3B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02" w:type="pct"/>
                  <w:vMerge w:val="restart"/>
                  <w:vAlign w:val="center"/>
                </w:tcPr>
                <w:p w14:paraId="4A1786A7">
                  <w:pPr>
                    <w:snapToGrid w:val="0"/>
                    <w:ind w:left="-105" w:leftChars="-50" w:right="-105" w:rightChars="-50"/>
                    <w:jc w:val="center"/>
                    <w:rPr>
                      <w:szCs w:val="21"/>
                    </w:rPr>
                  </w:pPr>
                  <w:r>
                    <w:rPr>
                      <w:szCs w:val="21"/>
                    </w:rPr>
                    <w:t>环境风险防范措施</w:t>
                  </w:r>
                </w:p>
              </w:tc>
              <w:tc>
                <w:tcPr>
                  <w:tcW w:w="2159" w:type="pct"/>
                  <w:vAlign w:val="center"/>
                </w:tcPr>
                <w:p w14:paraId="4834AA9A">
                  <w:pPr>
                    <w:autoSpaceDE w:val="0"/>
                    <w:autoSpaceDN w:val="0"/>
                    <w:adjustRightInd w:val="0"/>
                    <w:jc w:val="center"/>
                    <w:rPr>
                      <w:szCs w:val="21"/>
                    </w:rPr>
                  </w:pPr>
                  <w:r>
                    <w:rPr>
                      <w:szCs w:val="21"/>
                    </w:rPr>
                    <w:t>防撞护栏、限速和其它相应提示标志</w:t>
                  </w:r>
                </w:p>
              </w:tc>
              <w:tc>
                <w:tcPr>
                  <w:tcW w:w="430" w:type="pct"/>
                  <w:vAlign w:val="center"/>
                </w:tcPr>
                <w:p w14:paraId="798BD467">
                  <w:pPr>
                    <w:autoSpaceDE w:val="0"/>
                    <w:autoSpaceDN w:val="0"/>
                    <w:adjustRightInd w:val="0"/>
                    <w:jc w:val="center"/>
                    <w:rPr>
                      <w:szCs w:val="21"/>
                    </w:rPr>
                  </w:pPr>
                  <w:r>
                    <w:rPr>
                      <w:szCs w:val="21"/>
                    </w:rPr>
                    <w:t>/</w:t>
                  </w:r>
                </w:p>
              </w:tc>
              <w:tc>
                <w:tcPr>
                  <w:tcW w:w="602" w:type="pct"/>
                  <w:vAlign w:val="center"/>
                </w:tcPr>
                <w:p w14:paraId="643BE718">
                  <w:pPr>
                    <w:adjustRightInd w:val="0"/>
                    <w:snapToGrid w:val="0"/>
                    <w:ind w:left="-105" w:leftChars="-50" w:right="-105" w:rightChars="-50"/>
                    <w:jc w:val="center"/>
                    <w:rPr>
                      <w:szCs w:val="21"/>
                    </w:rPr>
                  </w:pPr>
                  <w:r>
                    <w:rPr>
                      <w:szCs w:val="21"/>
                    </w:rPr>
                    <w:t>计入主体工程投资</w:t>
                  </w:r>
                </w:p>
              </w:tc>
              <w:tc>
                <w:tcPr>
                  <w:tcW w:w="515" w:type="pct"/>
                  <w:vMerge w:val="restart"/>
                  <w:vAlign w:val="center"/>
                </w:tcPr>
                <w:p w14:paraId="0D7DBA70">
                  <w:pPr>
                    <w:adjustRightInd w:val="0"/>
                    <w:snapToGrid w:val="0"/>
                    <w:ind w:left="-105" w:leftChars="-50" w:right="-105" w:rightChars="-50"/>
                    <w:jc w:val="center"/>
                    <w:rPr>
                      <w:szCs w:val="21"/>
                    </w:rPr>
                  </w:pPr>
                  <w:r>
                    <w:rPr>
                      <w:szCs w:val="21"/>
                    </w:rPr>
                    <w:t>营运期</w:t>
                  </w:r>
                </w:p>
              </w:tc>
              <w:tc>
                <w:tcPr>
                  <w:tcW w:w="692" w:type="pct"/>
                  <w:vMerge w:val="restart"/>
                  <w:vAlign w:val="center"/>
                </w:tcPr>
                <w:p w14:paraId="233811C4">
                  <w:pPr>
                    <w:adjustRightInd w:val="0"/>
                    <w:snapToGrid w:val="0"/>
                    <w:ind w:left="-105" w:leftChars="-50" w:right="-105" w:rightChars="-50"/>
                    <w:jc w:val="center"/>
                    <w:rPr>
                      <w:szCs w:val="21"/>
                    </w:rPr>
                  </w:pPr>
                  <w:r>
                    <w:rPr>
                      <w:szCs w:val="21"/>
                    </w:rPr>
                    <w:t>降低环境风险发生概率</w:t>
                  </w:r>
                </w:p>
              </w:tc>
            </w:tr>
            <w:tr w14:paraId="19B4535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02" w:type="pct"/>
                  <w:vMerge w:val="continue"/>
                  <w:vAlign w:val="center"/>
                </w:tcPr>
                <w:p w14:paraId="55BCCC10">
                  <w:pPr>
                    <w:snapToGrid w:val="0"/>
                    <w:ind w:left="-105" w:leftChars="-50" w:right="-105" w:rightChars="-50"/>
                    <w:jc w:val="center"/>
                    <w:rPr>
                      <w:szCs w:val="21"/>
                    </w:rPr>
                  </w:pPr>
                </w:p>
              </w:tc>
              <w:tc>
                <w:tcPr>
                  <w:tcW w:w="2159" w:type="pct"/>
                  <w:vAlign w:val="center"/>
                </w:tcPr>
                <w:p w14:paraId="6BC61534">
                  <w:pPr>
                    <w:autoSpaceDE w:val="0"/>
                    <w:autoSpaceDN w:val="0"/>
                    <w:adjustRightInd w:val="0"/>
                    <w:jc w:val="center"/>
                    <w:rPr>
                      <w:szCs w:val="21"/>
                    </w:rPr>
                  </w:pPr>
                  <w:r>
                    <w:rPr>
                      <w:szCs w:val="21"/>
                    </w:rPr>
                    <w:t>加强风险管理，建立突发性环境事故响应体系，编制风险应急预案</w:t>
                  </w:r>
                </w:p>
              </w:tc>
              <w:tc>
                <w:tcPr>
                  <w:tcW w:w="430" w:type="pct"/>
                  <w:vAlign w:val="center"/>
                </w:tcPr>
                <w:p w14:paraId="438306DF">
                  <w:pPr>
                    <w:autoSpaceDE w:val="0"/>
                    <w:autoSpaceDN w:val="0"/>
                    <w:adjustRightInd w:val="0"/>
                    <w:jc w:val="center"/>
                    <w:rPr>
                      <w:szCs w:val="21"/>
                    </w:rPr>
                  </w:pPr>
                  <w:r>
                    <w:rPr>
                      <w:rFonts w:hint="eastAsia"/>
                      <w:szCs w:val="21"/>
                    </w:rPr>
                    <w:t>1</w:t>
                  </w:r>
                </w:p>
              </w:tc>
              <w:tc>
                <w:tcPr>
                  <w:tcW w:w="602" w:type="pct"/>
                  <w:vAlign w:val="center"/>
                </w:tcPr>
                <w:p w14:paraId="539B98C2">
                  <w:pPr>
                    <w:adjustRightInd w:val="0"/>
                    <w:snapToGrid w:val="0"/>
                    <w:ind w:left="-105" w:leftChars="-50" w:right="-105" w:rightChars="-50"/>
                    <w:jc w:val="center"/>
                    <w:rPr>
                      <w:szCs w:val="21"/>
                    </w:rPr>
                  </w:pPr>
                  <w:r>
                    <w:rPr>
                      <w:rFonts w:hint="eastAsia"/>
                      <w:szCs w:val="21"/>
                    </w:rPr>
                    <w:t>5</w:t>
                  </w:r>
                </w:p>
              </w:tc>
              <w:tc>
                <w:tcPr>
                  <w:tcW w:w="515" w:type="pct"/>
                  <w:vMerge w:val="continue"/>
                  <w:vAlign w:val="center"/>
                </w:tcPr>
                <w:p w14:paraId="641584FC">
                  <w:pPr>
                    <w:adjustRightInd w:val="0"/>
                    <w:snapToGrid w:val="0"/>
                    <w:ind w:left="-105" w:leftChars="-50" w:right="-105" w:rightChars="-50"/>
                    <w:jc w:val="center"/>
                    <w:rPr>
                      <w:szCs w:val="21"/>
                    </w:rPr>
                  </w:pPr>
                </w:p>
              </w:tc>
              <w:tc>
                <w:tcPr>
                  <w:tcW w:w="692" w:type="pct"/>
                  <w:vMerge w:val="continue"/>
                  <w:vAlign w:val="center"/>
                </w:tcPr>
                <w:p w14:paraId="2FC017D4">
                  <w:pPr>
                    <w:adjustRightInd w:val="0"/>
                    <w:snapToGrid w:val="0"/>
                    <w:ind w:left="-105" w:leftChars="-50" w:right="-105" w:rightChars="-50"/>
                    <w:jc w:val="center"/>
                    <w:rPr>
                      <w:szCs w:val="21"/>
                    </w:rPr>
                  </w:pPr>
                </w:p>
              </w:tc>
            </w:tr>
            <w:tr w14:paraId="69AFB74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602" w:type="pct"/>
                  <w:vAlign w:val="center"/>
                </w:tcPr>
                <w:p w14:paraId="4507C0FA">
                  <w:pPr>
                    <w:snapToGrid w:val="0"/>
                    <w:ind w:left="-105" w:leftChars="-50" w:right="-105" w:rightChars="-50"/>
                    <w:jc w:val="center"/>
                    <w:rPr>
                      <w:szCs w:val="21"/>
                    </w:rPr>
                  </w:pPr>
                  <w:r>
                    <w:rPr>
                      <w:rFonts w:hint="eastAsia"/>
                      <w:szCs w:val="21"/>
                    </w:rPr>
                    <w:t>环保培训</w:t>
                  </w:r>
                </w:p>
              </w:tc>
              <w:tc>
                <w:tcPr>
                  <w:tcW w:w="2159" w:type="pct"/>
                  <w:vAlign w:val="center"/>
                </w:tcPr>
                <w:p w14:paraId="41BF5873">
                  <w:pPr>
                    <w:snapToGrid w:val="0"/>
                    <w:jc w:val="center"/>
                    <w:rPr>
                      <w:szCs w:val="21"/>
                    </w:rPr>
                  </w:pPr>
                  <w:r>
                    <w:rPr>
                      <w:rFonts w:hint="eastAsia"/>
                      <w:szCs w:val="21"/>
                    </w:rPr>
                    <w:t>培训相关人员；</w:t>
                  </w:r>
                </w:p>
              </w:tc>
              <w:tc>
                <w:tcPr>
                  <w:tcW w:w="430" w:type="pct"/>
                  <w:vAlign w:val="center"/>
                </w:tcPr>
                <w:p w14:paraId="76C9E4F1">
                  <w:pPr>
                    <w:snapToGrid w:val="0"/>
                    <w:jc w:val="center"/>
                    <w:rPr>
                      <w:szCs w:val="21"/>
                    </w:rPr>
                  </w:pPr>
                  <w:r>
                    <w:rPr>
                      <w:szCs w:val="21"/>
                    </w:rPr>
                    <w:t>/</w:t>
                  </w:r>
                </w:p>
              </w:tc>
              <w:tc>
                <w:tcPr>
                  <w:tcW w:w="602" w:type="pct"/>
                  <w:vAlign w:val="center"/>
                </w:tcPr>
                <w:p w14:paraId="1E74C6C3">
                  <w:pPr>
                    <w:snapToGrid w:val="0"/>
                    <w:jc w:val="center"/>
                    <w:rPr>
                      <w:szCs w:val="21"/>
                    </w:rPr>
                  </w:pPr>
                  <w:r>
                    <w:rPr>
                      <w:rFonts w:hint="eastAsia"/>
                      <w:szCs w:val="21"/>
                    </w:rPr>
                    <w:t>2</w:t>
                  </w:r>
                </w:p>
              </w:tc>
              <w:tc>
                <w:tcPr>
                  <w:tcW w:w="515" w:type="pct"/>
                  <w:vAlign w:val="center"/>
                </w:tcPr>
                <w:p w14:paraId="7C49B873">
                  <w:pPr>
                    <w:jc w:val="center"/>
                    <w:rPr>
                      <w:szCs w:val="21"/>
                    </w:rPr>
                  </w:pPr>
                  <w:r>
                    <w:rPr>
                      <w:szCs w:val="21"/>
                    </w:rPr>
                    <w:t>施工期</w:t>
                  </w:r>
                </w:p>
              </w:tc>
              <w:tc>
                <w:tcPr>
                  <w:tcW w:w="692" w:type="pct"/>
                  <w:vAlign w:val="center"/>
                </w:tcPr>
                <w:p w14:paraId="11DCBFB1">
                  <w:pPr>
                    <w:snapToGrid w:val="0"/>
                    <w:jc w:val="center"/>
                    <w:rPr>
                      <w:szCs w:val="21"/>
                    </w:rPr>
                  </w:pPr>
                  <w:r>
                    <w:rPr>
                      <w:rFonts w:hint="eastAsia"/>
                      <w:szCs w:val="21"/>
                    </w:rPr>
                    <w:t>提高人员环保水平</w:t>
                  </w:r>
                </w:p>
              </w:tc>
            </w:tr>
            <w:tr w14:paraId="3713EAC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602" w:type="pct"/>
                  <w:vAlign w:val="center"/>
                </w:tcPr>
                <w:p w14:paraId="379F8BF8">
                  <w:pPr>
                    <w:snapToGrid w:val="0"/>
                    <w:ind w:left="-105" w:leftChars="-50" w:right="-105" w:rightChars="-50"/>
                    <w:jc w:val="center"/>
                    <w:rPr>
                      <w:szCs w:val="21"/>
                    </w:rPr>
                  </w:pPr>
                  <w:r>
                    <w:rPr>
                      <w:rFonts w:hint="eastAsia"/>
                      <w:szCs w:val="21"/>
                    </w:rPr>
                    <w:t>环境监理、监测</w:t>
                  </w:r>
                </w:p>
              </w:tc>
              <w:tc>
                <w:tcPr>
                  <w:tcW w:w="2159" w:type="pct"/>
                  <w:vAlign w:val="center"/>
                </w:tcPr>
                <w:p w14:paraId="344B9EBD">
                  <w:pPr>
                    <w:snapToGrid w:val="0"/>
                    <w:jc w:val="center"/>
                    <w:rPr>
                      <w:szCs w:val="21"/>
                    </w:rPr>
                  </w:pPr>
                  <w:r>
                    <w:rPr>
                      <w:rFonts w:hint="eastAsia"/>
                      <w:szCs w:val="21"/>
                    </w:rPr>
                    <w:t>预留施工期环境监测资金；</w:t>
                  </w:r>
                </w:p>
              </w:tc>
              <w:tc>
                <w:tcPr>
                  <w:tcW w:w="430" w:type="pct"/>
                  <w:vAlign w:val="center"/>
                </w:tcPr>
                <w:p w14:paraId="551BF94C">
                  <w:pPr>
                    <w:snapToGrid w:val="0"/>
                    <w:jc w:val="center"/>
                    <w:rPr>
                      <w:szCs w:val="21"/>
                    </w:rPr>
                  </w:pPr>
                  <w:r>
                    <w:rPr>
                      <w:rFonts w:hint="eastAsia"/>
                      <w:szCs w:val="21"/>
                    </w:rPr>
                    <w:t>/</w:t>
                  </w:r>
                </w:p>
              </w:tc>
              <w:tc>
                <w:tcPr>
                  <w:tcW w:w="602" w:type="pct"/>
                  <w:vAlign w:val="center"/>
                </w:tcPr>
                <w:p w14:paraId="0EB695A3">
                  <w:pPr>
                    <w:snapToGrid w:val="0"/>
                    <w:jc w:val="center"/>
                    <w:rPr>
                      <w:szCs w:val="21"/>
                    </w:rPr>
                  </w:pPr>
                  <w:r>
                    <w:rPr>
                      <w:rFonts w:hint="eastAsia"/>
                      <w:szCs w:val="21"/>
                    </w:rPr>
                    <w:t>28</w:t>
                  </w:r>
                </w:p>
              </w:tc>
              <w:tc>
                <w:tcPr>
                  <w:tcW w:w="515" w:type="pct"/>
                  <w:vAlign w:val="center"/>
                </w:tcPr>
                <w:p w14:paraId="4410F786">
                  <w:pPr>
                    <w:jc w:val="center"/>
                    <w:rPr>
                      <w:szCs w:val="21"/>
                    </w:rPr>
                  </w:pPr>
                  <w:r>
                    <w:rPr>
                      <w:rFonts w:hint="eastAsia"/>
                      <w:szCs w:val="21"/>
                    </w:rPr>
                    <w:t>施工期</w:t>
                  </w:r>
                </w:p>
              </w:tc>
              <w:tc>
                <w:tcPr>
                  <w:tcW w:w="692" w:type="pct"/>
                  <w:vAlign w:val="center"/>
                </w:tcPr>
                <w:p w14:paraId="58AA7853">
                  <w:pPr>
                    <w:snapToGrid w:val="0"/>
                    <w:ind w:left="-105" w:leftChars="-50" w:right="-101" w:rightChars="-48"/>
                    <w:jc w:val="center"/>
                    <w:rPr>
                      <w:szCs w:val="21"/>
                    </w:rPr>
                  </w:pPr>
                  <w:r>
                    <w:rPr>
                      <w:rFonts w:hint="eastAsia"/>
                      <w:szCs w:val="21"/>
                    </w:rPr>
                    <w:t>提供环保措施落实依据</w:t>
                  </w:r>
                </w:p>
              </w:tc>
            </w:tr>
            <w:tr w14:paraId="02E95A6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602" w:type="pct"/>
                  <w:vAlign w:val="center"/>
                </w:tcPr>
                <w:p w14:paraId="0BEC3EA9">
                  <w:pPr>
                    <w:snapToGrid w:val="0"/>
                    <w:ind w:left="-105" w:leftChars="-50" w:right="-105" w:rightChars="-50"/>
                    <w:jc w:val="center"/>
                    <w:rPr>
                      <w:szCs w:val="21"/>
                    </w:rPr>
                  </w:pPr>
                  <w:r>
                    <w:rPr>
                      <w:rFonts w:hint="eastAsia"/>
                      <w:szCs w:val="21"/>
                    </w:rPr>
                    <w:t>环保验收</w:t>
                  </w:r>
                </w:p>
              </w:tc>
              <w:tc>
                <w:tcPr>
                  <w:tcW w:w="2159" w:type="pct"/>
                  <w:vAlign w:val="center"/>
                </w:tcPr>
                <w:p w14:paraId="233A0722">
                  <w:pPr>
                    <w:snapToGrid w:val="0"/>
                    <w:jc w:val="center"/>
                    <w:rPr>
                      <w:szCs w:val="21"/>
                    </w:rPr>
                  </w:pPr>
                  <w:r>
                    <w:rPr>
                      <w:rFonts w:hint="eastAsia"/>
                      <w:szCs w:val="21"/>
                    </w:rPr>
                    <w:t>环保工程竣工验收</w:t>
                  </w:r>
                </w:p>
              </w:tc>
              <w:tc>
                <w:tcPr>
                  <w:tcW w:w="430" w:type="pct"/>
                  <w:vAlign w:val="center"/>
                </w:tcPr>
                <w:p w14:paraId="025E6374">
                  <w:pPr>
                    <w:snapToGrid w:val="0"/>
                    <w:jc w:val="center"/>
                    <w:rPr>
                      <w:szCs w:val="21"/>
                    </w:rPr>
                  </w:pPr>
                  <w:r>
                    <w:rPr>
                      <w:rFonts w:hint="eastAsia"/>
                      <w:szCs w:val="21"/>
                    </w:rPr>
                    <w:t>/</w:t>
                  </w:r>
                </w:p>
              </w:tc>
              <w:tc>
                <w:tcPr>
                  <w:tcW w:w="602" w:type="pct"/>
                  <w:vAlign w:val="center"/>
                </w:tcPr>
                <w:p w14:paraId="6514CF8B">
                  <w:pPr>
                    <w:snapToGrid w:val="0"/>
                    <w:jc w:val="center"/>
                    <w:rPr>
                      <w:szCs w:val="21"/>
                    </w:rPr>
                  </w:pPr>
                  <w:r>
                    <w:rPr>
                      <w:rFonts w:hint="eastAsia"/>
                      <w:szCs w:val="21"/>
                    </w:rPr>
                    <w:t>30</w:t>
                  </w:r>
                </w:p>
              </w:tc>
              <w:tc>
                <w:tcPr>
                  <w:tcW w:w="515" w:type="pct"/>
                  <w:vAlign w:val="center"/>
                </w:tcPr>
                <w:p w14:paraId="6B9C8013">
                  <w:pPr>
                    <w:jc w:val="center"/>
                    <w:rPr>
                      <w:szCs w:val="21"/>
                    </w:rPr>
                  </w:pPr>
                  <w:r>
                    <w:rPr>
                      <w:rFonts w:hint="eastAsia"/>
                      <w:szCs w:val="21"/>
                    </w:rPr>
                    <w:t>运营期</w:t>
                  </w:r>
                </w:p>
              </w:tc>
              <w:tc>
                <w:tcPr>
                  <w:tcW w:w="692" w:type="pct"/>
                  <w:vAlign w:val="center"/>
                </w:tcPr>
                <w:p w14:paraId="7AB8E730">
                  <w:pPr>
                    <w:snapToGrid w:val="0"/>
                    <w:ind w:left="-105" w:leftChars="-50" w:right="-101" w:rightChars="-48"/>
                    <w:jc w:val="center"/>
                    <w:rPr>
                      <w:szCs w:val="21"/>
                    </w:rPr>
                  </w:pPr>
                  <w:r>
                    <w:rPr>
                      <w:rFonts w:hint="eastAsia"/>
                      <w:szCs w:val="21"/>
                    </w:rPr>
                    <w:t>落实“三同时”制度</w:t>
                  </w:r>
                </w:p>
              </w:tc>
            </w:tr>
            <w:tr w14:paraId="784289B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2" w:type="pct"/>
                  <w:vAlign w:val="center"/>
                </w:tcPr>
                <w:p w14:paraId="3A008202">
                  <w:pPr>
                    <w:snapToGrid w:val="0"/>
                    <w:ind w:left="-105" w:leftChars="-50" w:right="-105" w:rightChars="-50"/>
                    <w:jc w:val="center"/>
                    <w:rPr>
                      <w:szCs w:val="21"/>
                    </w:rPr>
                  </w:pPr>
                  <w:r>
                    <w:rPr>
                      <w:szCs w:val="21"/>
                    </w:rPr>
                    <w:t>合计</w:t>
                  </w:r>
                </w:p>
              </w:tc>
              <w:tc>
                <w:tcPr>
                  <w:tcW w:w="2589" w:type="pct"/>
                  <w:gridSpan w:val="2"/>
                  <w:vAlign w:val="center"/>
                </w:tcPr>
                <w:p w14:paraId="6119B26A">
                  <w:pPr>
                    <w:snapToGrid w:val="0"/>
                    <w:jc w:val="center"/>
                    <w:rPr>
                      <w:szCs w:val="21"/>
                    </w:rPr>
                  </w:pPr>
                  <w:r>
                    <w:rPr>
                      <w:szCs w:val="21"/>
                    </w:rPr>
                    <w:t>/</w:t>
                  </w:r>
                </w:p>
              </w:tc>
              <w:tc>
                <w:tcPr>
                  <w:tcW w:w="602" w:type="pct"/>
                  <w:vAlign w:val="center"/>
                </w:tcPr>
                <w:p w14:paraId="1D3710BB">
                  <w:pPr>
                    <w:snapToGrid w:val="0"/>
                    <w:jc w:val="center"/>
                    <w:rPr>
                      <w:szCs w:val="21"/>
                    </w:rPr>
                  </w:pPr>
                  <w:r>
                    <w:rPr>
                      <w:rFonts w:hint="eastAsia"/>
                      <w:szCs w:val="21"/>
                    </w:rPr>
                    <w:t>337</w:t>
                  </w:r>
                </w:p>
              </w:tc>
              <w:tc>
                <w:tcPr>
                  <w:tcW w:w="515" w:type="pct"/>
                  <w:vAlign w:val="center"/>
                </w:tcPr>
                <w:p w14:paraId="338BF855">
                  <w:pPr>
                    <w:snapToGrid w:val="0"/>
                    <w:jc w:val="center"/>
                    <w:rPr>
                      <w:szCs w:val="21"/>
                    </w:rPr>
                  </w:pPr>
                  <w:r>
                    <w:rPr>
                      <w:szCs w:val="21"/>
                    </w:rPr>
                    <w:t>/</w:t>
                  </w:r>
                </w:p>
              </w:tc>
              <w:tc>
                <w:tcPr>
                  <w:tcW w:w="692" w:type="pct"/>
                  <w:vAlign w:val="center"/>
                </w:tcPr>
                <w:p w14:paraId="156081FF">
                  <w:pPr>
                    <w:snapToGrid w:val="0"/>
                    <w:jc w:val="center"/>
                    <w:rPr>
                      <w:spacing w:val="-12"/>
                      <w:szCs w:val="21"/>
                    </w:rPr>
                  </w:pPr>
                  <w:r>
                    <w:rPr>
                      <w:spacing w:val="-12"/>
                      <w:szCs w:val="21"/>
                    </w:rPr>
                    <w:t>/</w:t>
                  </w:r>
                </w:p>
              </w:tc>
            </w:tr>
          </w:tbl>
          <w:p w14:paraId="383D233D">
            <w:pPr>
              <w:adjustRightInd w:val="0"/>
              <w:snapToGrid w:val="0"/>
              <w:rPr>
                <w:rFonts w:ascii="宋体" w:hAnsi="宋体" w:cs="宋体"/>
                <w:bCs/>
                <w:spacing w:val="10"/>
                <w:szCs w:val="21"/>
              </w:rPr>
            </w:pPr>
          </w:p>
        </w:tc>
      </w:tr>
    </w:tbl>
    <w:p w14:paraId="3E0FF66F">
      <w:pPr>
        <w:sectPr>
          <w:pgSz w:w="11907" w:h="16840"/>
          <w:pgMar w:top="1440" w:right="1797" w:bottom="1440" w:left="1797" w:header="851" w:footer="1077" w:gutter="0"/>
          <w:cols w:space="720" w:num="1"/>
          <w:docGrid w:linePitch="312" w:charSpace="0"/>
        </w:sectPr>
      </w:pPr>
    </w:p>
    <w:p w14:paraId="1CD55719">
      <w:pPr>
        <w:pStyle w:val="3"/>
        <w:numPr>
          <w:ilvl w:val="0"/>
          <w:numId w:val="0"/>
        </w:numPr>
        <w:jc w:val="center"/>
        <w:rPr>
          <w:snapToGrid w:val="0"/>
        </w:rPr>
      </w:pPr>
      <w:bookmarkStart w:id="40" w:name="_Toc150173919"/>
      <w:r>
        <w:rPr>
          <w:rFonts w:hint="eastAsia"/>
          <w:snapToGrid w:val="0"/>
        </w:rPr>
        <w:t>六、生态环境保护措施监督检查清单</w:t>
      </w:r>
      <w:bookmarkEnd w:id="40"/>
    </w:p>
    <w:tbl>
      <w:tblPr>
        <w:tblStyle w:val="3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3117"/>
        <w:gridCol w:w="1476"/>
        <w:gridCol w:w="1645"/>
        <w:gridCol w:w="1324"/>
      </w:tblGrid>
      <w:tr w14:paraId="6050A3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vMerge w:val="restart"/>
            <w:tcBorders>
              <w:tl2br w:val="single" w:color="auto" w:sz="4" w:space="0"/>
            </w:tcBorders>
          </w:tcPr>
          <w:p w14:paraId="4566CFB6">
            <w:pPr>
              <w:adjustRightInd w:val="0"/>
              <w:snapToGrid w:val="0"/>
              <w:spacing w:before="72" w:beforeLines="30"/>
              <w:jc w:val="center"/>
              <w:outlineLvl w:val="0"/>
              <w:rPr>
                <w:b/>
                <w:sz w:val="24"/>
                <w:szCs w:val="21"/>
              </w:rPr>
            </w:pPr>
            <w:r>
              <w:rPr>
                <w:b/>
                <w:sz w:val="24"/>
                <w:szCs w:val="21"/>
              </w:rPr>
              <w:t xml:space="preserve">  </w:t>
            </w:r>
            <w:bookmarkStart w:id="41" w:name="_Toc150173920"/>
            <w:r>
              <w:rPr>
                <w:rFonts w:hint="eastAsia"/>
                <w:b/>
                <w:sz w:val="24"/>
                <w:szCs w:val="21"/>
              </w:rPr>
              <w:t>内容</w:t>
            </w:r>
            <w:bookmarkEnd w:id="41"/>
            <w:r>
              <w:rPr>
                <w:b/>
                <w:sz w:val="24"/>
                <w:szCs w:val="21"/>
              </w:rPr>
              <w:t xml:space="preserve">   </w:t>
            </w:r>
          </w:p>
          <w:p w14:paraId="3BAB5790">
            <w:pPr>
              <w:adjustRightInd w:val="0"/>
              <w:snapToGrid w:val="0"/>
              <w:spacing w:before="72" w:beforeLines="30"/>
              <w:jc w:val="center"/>
              <w:outlineLvl w:val="0"/>
              <w:rPr>
                <w:b/>
                <w:sz w:val="24"/>
                <w:szCs w:val="21"/>
              </w:rPr>
            </w:pPr>
            <w:r>
              <w:rPr>
                <w:b/>
                <w:sz w:val="24"/>
                <w:szCs w:val="21"/>
              </w:rPr>
              <w:t xml:space="preserve">          </w:t>
            </w:r>
          </w:p>
          <w:p w14:paraId="00474538">
            <w:pPr>
              <w:adjustRightInd w:val="0"/>
              <w:snapToGrid w:val="0"/>
              <w:spacing w:line="14" w:lineRule="auto"/>
              <w:outlineLvl w:val="0"/>
              <w:rPr>
                <w:b/>
                <w:sz w:val="24"/>
                <w:szCs w:val="21"/>
              </w:rPr>
            </w:pPr>
            <w:r>
              <w:rPr>
                <w:b/>
                <w:sz w:val="24"/>
                <w:szCs w:val="21"/>
              </w:rPr>
              <w:t xml:space="preserve">  </w:t>
            </w:r>
          </w:p>
          <w:p w14:paraId="1A419040">
            <w:pPr>
              <w:adjustRightInd w:val="0"/>
              <w:snapToGrid w:val="0"/>
              <w:outlineLvl w:val="0"/>
              <w:rPr>
                <w:b/>
                <w:sz w:val="24"/>
                <w:szCs w:val="21"/>
              </w:rPr>
            </w:pPr>
            <w:bookmarkStart w:id="42" w:name="_Toc150173921"/>
            <w:r>
              <w:rPr>
                <w:b/>
                <w:sz w:val="24"/>
                <w:szCs w:val="21"/>
              </w:rPr>
              <w:t>要素</w:t>
            </w:r>
            <w:bookmarkEnd w:id="42"/>
          </w:p>
          <w:p w14:paraId="7BC872FF">
            <w:pPr>
              <w:adjustRightInd w:val="0"/>
              <w:snapToGrid w:val="0"/>
              <w:outlineLvl w:val="0"/>
              <w:rPr>
                <w:b/>
                <w:sz w:val="24"/>
                <w:szCs w:val="21"/>
              </w:rPr>
            </w:pPr>
          </w:p>
        </w:tc>
        <w:tc>
          <w:tcPr>
            <w:tcW w:w="2695" w:type="pct"/>
            <w:gridSpan w:val="2"/>
            <w:vAlign w:val="center"/>
          </w:tcPr>
          <w:p w14:paraId="0AE24FAE">
            <w:pPr>
              <w:adjustRightInd w:val="0"/>
              <w:snapToGrid w:val="0"/>
              <w:jc w:val="center"/>
              <w:outlineLvl w:val="0"/>
              <w:rPr>
                <w:b/>
                <w:sz w:val="24"/>
                <w:szCs w:val="21"/>
              </w:rPr>
            </w:pPr>
            <w:bookmarkStart w:id="43" w:name="_Toc150173922"/>
            <w:r>
              <w:rPr>
                <w:b/>
                <w:sz w:val="24"/>
                <w:szCs w:val="21"/>
              </w:rPr>
              <w:t>施工期</w:t>
            </w:r>
            <w:bookmarkEnd w:id="43"/>
          </w:p>
        </w:tc>
        <w:tc>
          <w:tcPr>
            <w:tcW w:w="1742" w:type="pct"/>
            <w:gridSpan w:val="2"/>
            <w:vAlign w:val="center"/>
          </w:tcPr>
          <w:p w14:paraId="17953B8B">
            <w:pPr>
              <w:adjustRightInd w:val="0"/>
              <w:snapToGrid w:val="0"/>
              <w:jc w:val="center"/>
              <w:outlineLvl w:val="0"/>
              <w:rPr>
                <w:b/>
                <w:sz w:val="24"/>
                <w:szCs w:val="21"/>
              </w:rPr>
            </w:pPr>
            <w:bookmarkStart w:id="44" w:name="_Toc150173923"/>
            <w:r>
              <w:rPr>
                <w:b/>
                <w:sz w:val="24"/>
                <w:szCs w:val="21"/>
              </w:rPr>
              <w:t>运营期</w:t>
            </w:r>
            <w:bookmarkEnd w:id="44"/>
          </w:p>
        </w:tc>
      </w:tr>
      <w:tr w14:paraId="154716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vMerge w:val="continue"/>
          </w:tcPr>
          <w:p w14:paraId="729F064C">
            <w:pPr>
              <w:adjustRightInd w:val="0"/>
              <w:snapToGrid w:val="0"/>
              <w:ind w:firstLine="840"/>
              <w:jc w:val="center"/>
              <w:outlineLvl w:val="0"/>
              <w:rPr>
                <w:b/>
                <w:sz w:val="24"/>
                <w:szCs w:val="21"/>
              </w:rPr>
            </w:pPr>
          </w:p>
        </w:tc>
        <w:tc>
          <w:tcPr>
            <w:tcW w:w="1829" w:type="pct"/>
            <w:vAlign w:val="center"/>
          </w:tcPr>
          <w:p w14:paraId="366DCBA5">
            <w:pPr>
              <w:adjustRightInd w:val="0"/>
              <w:snapToGrid w:val="0"/>
              <w:jc w:val="center"/>
              <w:outlineLvl w:val="0"/>
              <w:rPr>
                <w:b/>
                <w:sz w:val="24"/>
                <w:szCs w:val="21"/>
              </w:rPr>
            </w:pPr>
            <w:bookmarkStart w:id="45" w:name="_Toc150173924"/>
            <w:r>
              <w:rPr>
                <w:b/>
                <w:sz w:val="24"/>
                <w:szCs w:val="21"/>
              </w:rPr>
              <w:t>环境保护措施</w:t>
            </w:r>
            <w:bookmarkEnd w:id="45"/>
          </w:p>
        </w:tc>
        <w:tc>
          <w:tcPr>
            <w:tcW w:w="866" w:type="pct"/>
            <w:vAlign w:val="center"/>
          </w:tcPr>
          <w:p w14:paraId="248CE291">
            <w:pPr>
              <w:adjustRightInd w:val="0"/>
              <w:snapToGrid w:val="0"/>
              <w:jc w:val="center"/>
              <w:outlineLvl w:val="0"/>
              <w:rPr>
                <w:b/>
                <w:sz w:val="24"/>
                <w:szCs w:val="21"/>
              </w:rPr>
            </w:pPr>
            <w:bookmarkStart w:id="46" w:name="_Toc150173925"/>
            <w:r>
              <w:rPr>
                <w:b/>
                <w:sz w:val="24"/>
                <w:szCs w:val="21"/>
              </w:rPr>
              <w:t>验收要求</w:t>
            </w:r>
            <w:bookmarkEnd w:id="46"/>
          </w:p>
        </w:tc>
        <w:tc>
          <w:tcPr>
            <w:tcW w:w="965" w:type="pct"/>
            <w:vAlign w:val="center"/>
          </w:tcPr>
          <w:p w14:paraId="0C847A33">
            <w:pPr>
              <w:adjustRightInd w:val="0"/>
              <w:snapToGrid w:val="0"/>
              <w:jc w:val="center"/>
              <w:outlineLvl w:val="0"/>
              <w:rPr>
                <w:b/>
                <w:sz w:val="24"/>
                <w:szCs w:val="21"/>
              </w:rPr>
            </w:pPr>
            <w:bookmarkStart w:id="47" w:name="_Toc150173926"/>
            <w:r>
              <w:rPr>
                <w:b/>
                <w:sz w:val="24"/>
                <w:szCs w:val="21"/>
              </w:rPr>
              <w:t>环境保护措施</w:t>
            </w:r>
            <w:bookmarkEnd w:id="47"/>
          </w:p>
        </w:tc>
        <w:tc>
          <w:tcPr>
            <w:tcW w:w="777" w:type="pct"/>
            <w:vAlign w:val="center"/>
          </w:tcPr>
          <w:p w14:paraId="547F0025">
            <w:pPr>
              <w:adjustRightInd w:val="0"/>
              <w:snapToGrid w:val="0"/>
              <w:jc w:val="center"/>
              <w:outlineLvl w:val="0"/>
              <w:rPr>
                <w:b/>
                <w:sz w:val="24"/>
                <w:szCs w:val="21"/>
              </w:rPr>
            </w:pPr>
            <w:bookmarkStart w:id="48" w:name="_Toc150173927"/>
            <w:r>
              <w:rPr>
                <w:b/>
                <w:sz w:val="24"/>
                <w:szCs w:val="21"/>
              </w:rPr>
              <w:t>验收要求</w:t>
            </w:r>
            <w:bookmarkEnd w:id="48"/>
          </w:p>
        </w:tc>
      </w:tr>
      <w:tr w14:paraId="4A7A27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563" w:type="pct"/>
            <w:vAlign w:val="center"/>
          </w:tcPr>
          <w:p w14:paraId="42348E5C">
            <w:pPr>
              <w:adjustRightInd w:val="0"/>
              <w:snapToGrid w:val="0"/>
              <w:ind w:left="-141" w:leftChars="-67" w:right="-107" w:rightChars="-51"/>
              <w:jc w:val="center"/>
              <w:rPr>
                <w:szCs w:val="21"/>
              </w:rPr>
            </w:pPr>
            <w:r>
              <w:rPr>
                <w:szCs w:val="21"/>
              </w:rPr>
              <w:t>陆生生态</w:t>
            </w:r>
          </w:p>
        </w:tc>
        <w:tc>
          <w:tcPr>
            <w:tcW w:w="1829" w:type="pct"/>
            <w:vAlign w:val="center"/>
          </w:tcPr>
          <w:p w14:paraId="1D5FE460">
            <w:pPr>
              <w:widowControl/>
              <w:jc w:val="center"/>
              <w:rPr>
                <w:szCs w:val="21"/>
              </w:rPr>
            </w:pPr>
            <w:r>
              <w:rPr>
                <w:kern w:val="0"/>
                <w:szCs w:val="21"/>
                <w:lang w:bidi="ar"/>
              </w:rPr>
              <w:t>施工结束后，及时完成迹地恢复，及时绿化，临时堆放场采取临时挡护和覆盖措施</w:t>
            </w:r>
          </w:p>
        </w:tc>
        <w:tc>
          <w:tcPr>
            <w:tcW w:w="866" w:type="pct"/>
            <w:vAlign w:val="center"/>
          </w:tcPr>
          <w:p w14:paraId="53334A52">
            <w:pPr>
              <w:adjustRightInd w:val="0"/>
              <w:snapToGrid w:val="0"/>
              <w:jc w:val="center"/>
              <w:rPr>
                <w:szCs w:val="21"/>
              </w:rPr>
            </w:pPr>
            <w:r>
              <w:rPr>
                <w:szCs w:val="21"/>
              </w:rPr>
              <w:t>减少影响范围、生态恢复、占地恢复原有土地利用性质</w:t>
            </w:r>
          </w:p>
        </w:tc>
        <w:tc>
          <w:tcPr>
            <w:tcW w:w="965" w:type="pct"/>
            <w:vAlign w:val="center"/>
          </w:tcPr>
          <w:p w14:paraId="1B6D5C92">
            <w:pPr>
              <w:adjustRightInd w:val="0"/>
              <w:snapToGrid w:val="0"/>
              <w:jc w:val="center"/>
              <w:rPr>
                <w:szCs w:val="21"/>
              </w:rPr>
            </w:pPr>
            <w:r>
              <w:rPr>
                <w:rFonts w:hint="eastAsia"/>
                <w:szCs w:val="21"/>
              </w:rPr>
              <w:t>道路</w:t>
            </w:r>
            <w:r>
              <w:rPr>
                <w:szCs w:val="21"/>
              </w:rPr>
              <w:t>绿化及景观</w:t>
            </w:r>
          </w:p>
        </w:tc>
        <w:tc>
          <w:tcPr>
            <w:tcW w:w="777" w:type="pct"/>
            <w:vAlign w:val="center"/>
          </w:tcPr>
          <w:p w14:paraId="5138ADFB">
            <w:pPr>
              <w:adjustRightInd w:val="0"/>
              <w:snapToGrid w:val="0"/>
              <w:jc w:val="center"/>
              <w:rPr>
                <w:szCs w:val="21"/>
              </w:rPr>
            </w:pPr>
            <w:r>
              <w:rPr>
                <w:szCs w:val="21"/>
              </w:rPr>
              <w:t>/</w:t>
            </w:r>
          </w:p>
        </w:tc>
      </w:tr>
      <w:tr w14:paraId="22CD8F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563" w:type="pct"/>
            <w:vAlign w:val="center"/>
          </w:tcPr>
          <w:p w14:paraId="712C2CEA">
            <w:pPr>
              <w:adjustRightInd w:val="0"/>
              <w:snapToGrid w:val="0"/>
              <w:ind w:left="-141" w:leftChars="-67" w:right="-107" w:rightChars="-51"/>
              <w:jc w:val="center"/>
              <w:rPr>
                <w:szCs w:val="21"/>
              </w:rPr>
            </w:pPr>
            <w:r>
              <w:rPr>
                <w:szCs w:val="21"/>
              </w:rPr>
              <w:t>水生生态</w:t>
            </w:r>
          </w:p>
        </w:tc>
        <w:tc>
          <w:tcPr>
            <w:tcW w:w="1829" w:type="pct"/>
            <w:vAlign w:val="center"/>
          </w:tcPr>
          <w:p w14:paraId="7D597713">
            <w:pPr>
              <w:widowControl/>
              <w:jc w:val="center"/>
              <w:rPr>
                <w:kern w:val="0"/>
                <w:szCs w:val="21"/>
                <w:lang w:bidi="ar"/>
              </w:rPr>
            </w:pPr>
            <w:r>
              <w:rPr>
                <w:rFonts w:hint="eastAsia"/>
                <w:kern w:val="0"/>
                <w:szCs w:val="21"/>
                <w:lang w:bidi="ar"/>
              </w:rPr>
              <w:t>/</w:t>
            </w:r>
          </w:p>
        </w:tc>
        <w:tc>
          <w:tcPr>
            <w:tcW w:w="866" w:type="pct"/>
            <w:vAlign w:val="center"/>
          </w:tcPr>
          <w:p w14:paraId="240F7EBE">
            <w:pPr>
              <w:widowControl/>
              <w:jc w:val="center"/>
              <w:rPr>
                <w:kern w:val="0"/>
                <w:szCs w:val="21"/>
                <w:lang w:bidi="ar"/>
              </w:rPr>
            </w:pPr>
            <w:r>
              <w:rPr>
                <w:rFonts w:hint="eastAsia"/>
                <w:kern w:val="0"/>
                <w:szCs w:val="21"/>
                <w:lang w:bidi="ar"/>
              </w:rPr>
              <w:t>/</w:t>
            </w:r>
          </w:p>
        </w:tc>
        <w:tc>
          <w:tcPr>
            <w:tcW w:w="965" w:type="pct"/>
            <w:vAlign w:val="center"/>
          </w:tcPr>
          <w:p w14:paraId="5A34B0C0">
            <w:pPr>
              <w:adjustRightInd w:val="0"/>
              <w:snapToGrid w:val="0"/>
              <w:jc w:val="center"/>
              <w:rPr>
                <w:szCs w:val="21"/>
              </w:rPr>
            </w:pPr>
            <w:r>
              <w:rPr>
                <w:szCs w:val="21"/>
              </w:rPr>
              <w:t>/</w:t>
            </w:r>
          </w:p>
        </w:tc>
        <w:tc>
          <w:tcPr>
            <w:tcW w:w="777" w:type="pct"/>
            <w:vAlign w:val="center"/>
          </w:tcPr>
          <w:p w14:paraId="700C22E3">
            <w:pPr>
              <w:adjustRightInd w:val="0"/>
              <w:snapToGrid w:val="0"/>
              <w:jc w:val="center"/>
              <w:rPr>
                <w:szCs w:val="21"/>
              </w:rPr>
            </w:pPr>
            <w:r>
              <w:rPr>
                <w:szCs w:val="21"/>
              </w:rPr>
              <w:t>/</w:t>
            </w:r>
          </w:p>
        </w:tc>
      </w:tr>
      <w:tr w14:paraId="77E98B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563" w:type="pct"/>
            <w:vMerge w:val="restart"/>
            <w:vAlign w:val="center"/>
          </w:tcPr>
          <w:p w14:paraId="04A4A2FD">
            <w:pPr>
              <w:adjustRightInd w:val="0"/>
              <w:snapToGrid w:val="0"/>
              <w:ind w:left="-141" w:leftChars="-67" w:right="-107" w:rightChars="-51"/>
              <w:jc w:val="center"/>
              <w:rPr>
                <w:szCs w:val="21"/>
              </w:rPr>
            </w:pPr>
            <w:r>
              <w:rPr>
                <w:szCs w:val="21"/>
              </w:rPr>
              <w:t>地表水环境</w:t>
            </w:r>
          </w:p>
        </w:tc>
        <w:tc>
          <w:tcPr>
            <w:tcW w:w="1829" w:type="pct"/>
            <w:vAlign w:val="center"/>
          </w:tcPr>
          <w:p w14:paraId="5F1DFFFA">
            <w:pPr>
              <w:widowControl/>
              <w:jc w:val="center"/>
              <w:rPr>
                <w:kern w:val="0"/>
                <w:szCs w:val="21"/>
                <w:lang w:bidi="ar"/>
              </w:rPr>
            </w:pPr>
            <w:r>
              <w:rPr>
                <w:kern w:val="0"/>
                <w:szCs w:val="21"/>
                <w:lang w:bidi="ar"/>
              </w:rPr>
              <w:t>生活污水：</w:t>
            </w:r>
            <w:r>
              <w:rPr>
                <w:rFonts w:hint="eastAsia"/>
                <w:kern w:val="0"/>
                <w:szCs w:val="21"/>
                <w:lang w:bidi="ar"/>
              </w:rPr>
              <w:t>租用</w:t>
            </w:r>
            <w:r>
              <w:rPr>
                <w:kern w:val="0"/>
                <w:szCs w:val="21"/>
                <w:lang w:bidi="ar"/>
              </w:rPr>
              <w:t>附近</w:t>
            </w:r>
            <w:r>
              <w:rPr>
                <w:rFonts w:hint="eastAsia"/>
                <w:kern w:val="0"/>
                <w:szCs w:val="21"/>
                <w:lang w:bidi="ar"/>
              </w:rPr>
              <w:t>居</w:t>
            </w:r>
            <w:r>
              <w:rPr>
                <w:kern w:val="0"/>
                <w:szCs w:val="21"/>
                <w:lang w:bidi="ar"/>
              </w:rPr>
              <w:t>民民房，利用既有污水设备处理</w:t>
            </w:r>
          </w:p>
        </w:tc>
        <w:tc>
          <w:tcPr>
            <w:tcW w:w="866" w:type="pct"/>
            <w:vMerge w:val="restart"/>
            <w:vAlign w:val="center"/>
          </w:tcPr>
          <w:p w14:paraId="3B0AC9A2">
            <w:pPr>
              <w:widowControl/>
              <w:jc w:val="center"/>
              <w:rPr>
                <w:kern w:val="0"/>
                <w:szCs w:val="21"/>
                <w:lang w:bidi="ar"/>
              </w:rPr>
            </w:pPr>
            <w:r>
              <w:rPr>
                <w:kern w:val="0"/>
                <w:szCs w:val="21"/>
                <w:lang w:bidi="ar"/>
              </w:rPr>
              <w:t>不外排</w:t>
            </w:r>
          </w:p>
        </w:tc>
        <w:tc>
          <w:tcPr>
            <w:tcW w:w="965" w:type="pct"/>
            <w:vMerge w:val="restart"/>
            <w:vAlign w:val="center"/>
          </w:tcPr>
          <w:p w14:paraId="719E7CDE">
            <w:pPr>
              <w:adjustRightInd w:val="0"/>
              <w:snapToGrid w:val="0"/>
              <w:jc w:val="center"/>
              <w:rPr>
                <w:kern w:val="0"/>
                <w:szCs w:val="21"/>
                <w:lang w:bidi="ar"/>
              </w:rPr>
            </w:pPr>
            <w:r>
              <w:rPr>
                <w:rFonts w:hint="eastAsia"/>
                <w:szCs w:val="21"/>
              </w:rPr>
              <w:t>路面雨水径流通过道路旁的雨水管网排放</w:t>
            </w:r>
          </w:p>
        </w:tc>
        <w:tc>
          <w:tcPr>
            <w:tcW w:w="777" w:type="pct"/>
            <w:vMerge w:val="restart"/>
            <w:vAlign w:val="center"/>
          </w:tcPr>
          <w:p w14:paraId="67823769">
            <w:pPr>
              <w:adjustRightInd w:val="0"/>
              <w:snapToGrid w:val="0"/>
              <w:jc w:val="center"/>
              <w:rPr>
                <w:szCs w:val="21"/>
              </w:rPr>
            </w:pPr>
            <w:r>
              <w:rPr>
                <w:rFonts w:hint="eastAsia"/>
                <w:szCs w:val="21"/>
              </w:rPr>
              <w:t>对地表水体</w:t>
            </w:r>
            <w:r>
              <w:rPr>
                <w:szCs w:val="21"/>
              </w:rPr>
              <w:t>不产生影响</w:t>
            </w:r>
          </w:p>
        </w:tc>
      </w:tr>
      <w:tr w14:paraId="64B6FD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563" w:type="pct"/>
            <w:vMerge w:val="continue"/>
            <w:vAlign w:val="center"/>
          </w:tcPr>
          <w:p w14:paraId="368FE5C7">
            <w:pPr>
              <w:adjustRightInd w:val="0"/>
              <w:snapToGrid w:val="0"/>
              <w:ind w:left="-141" w:leftChars="-67" w:right="-107" w:rightChars="-51"/>
              <w:jc w:val="center"/>
            </w:pPr>
          </w:p>
        </w:tc>
        <w:tc>
          <w:tcPr>
            <w:tcW w:w="1829" w:type="pct"/>
            <w:vAlign w:val="center"/>
          </w:tcPr>
          <w:p w14:paraId="737D1886">
            <w:pPr>
              <w:widowControl/>
              <w:jc w:val="center"/>
              <w:rPr>
                <w:szCs w:val="21"/>
              </w:rPr>
            </w:pPr>
            <w:r>
              <w:rPr>
                <w:kern w:val="0"/>
                <w:szCs w:val="21"/>
                <w:lang w:bidi="ar"/>
              </w:rPr>
              <w:t>施工废水：施工工区设置隔油沉淀池</w:t>
            </w:r>
            <w:r>
              <w:rPr>
                <w:rFonts w:hint="eastAsia"/>
                <w:kern w:val="0"/>
                <w:szCs w:val="21"/>
                <w:lang w:bidi="ar"/>
              </w:rPr>
              <w:t>3</w:t>
            </w:r>
            <w:r>
              <w:rPr>
                <w:kern w:val="0"/>
                <w:szCs w:val="21"/>
                <w:lang w:bidi="ar"/>
              </w:rPr>
              <w:t>座</w:t>
            </w:r>
            <w:r>
              <w:rPr>
                <w:rFonts w:hint="eastAsia"/>
                <w:kern w:val="0"/>
                <w:szCs w:val="21"/>
                <w:lang w:bidi="ar"/>
              </w:rPr>
              <w:t>（不小于5</w:t>
            </w:r>
            <w:r>
              <w:rPr>
                <w:kern w:val="0"/>
                <w:szCs w:val="21"/>
                <w:lang w:bidi="ar"/>
              </w:rPr>
              <w:t>m</w:t>
            </w:r>
            <w:r>
              <w:rPr>
                <w:kern w:val="0"/>
                <w:szCs w:val="21"/>
                <w:vertAlign w:val="superscript"/>
                <w:lang w:bidi="ar"/>
              </w:rPr>
              <w:t>3</w:t>
            </w:r>
            <w:r>
              <w:rPr>
                <w:rFonts w:hint="eastAsia"/>
                <w:kern w:val="0"/>
                <w:szCs w:val="21"/>
                <w:lang w:bidi="ar"/>
              </w:rPr>
              <w:t>/座），</w:t>
            </w:r>
            <w:r>
              <w:rPr>
                <w:kern w:val="0"/>
                <w:szCs w:val="21"/>
                <w:lang w:bidi="ar"/>
              </w:rPr>
              <w:t>经隔油沉淀池收集处理后，回用于</w:t>
            </w:r>
            <w:r>
              <w:rPr>
                <w:rFonts w:hint="eastAsia"/>
                <w:kern w:val="0"/>
                <w:szCs w:val="21"/>
                <w:lang w:bidi="ar"/>
              </w:rPr>
              <w:t>场地</w:t>
            </w:r>
            <w:r>
              <w:rPr>
                <w:kern w:val="0"/>
                <w:szCs w:val="21"/>
                <w:lang w:bidi="ar"/>
              </w:rPr>
              <w:t>抑尘洒水</w:t>
            </w:r>
          </w:p>
        </w:tc>
        <w:tc>
          <w:tcPr>
            <w:tcW w:w="866" w:type="pct"/>
            <w:vMerge w:val="continue"/>
            <w:vAlign w:val="center"/>
          </w:tcPr>
          <w:p w14:paraId="7966107E">
            <w:pPr>
              <w:adjustRightInd w:val="0"/>
              <w:snapToGrid w:val="0"/>
              <w:jc w:val="center"/>
              <w:rPr>
                <w:szCs w:val="21"/>
              </w:rPr>
            </w:pPr>
          </w:p>
        </w:tc>
        <w:tc>
          <w:tcPr>
            <w:tcW w:w="965" w:type="pct"/>
            <w:vMerge w:val="continue"/>
            <w:vAlign w:val="center"/>
          </w:tcPr>
          <w:p w14:paraId="3E172010">
            <w:pPr>
              <w:adjustRightInd w:val="0"/>
              <w:snapToGrid w:val="0"/>
              <w:rPr>
                <w:szCs w:val="21"/>
              </w:rPr>
            </w:pPr>
          </w:p>
        </w:tc>
        <w:tc>
          <w:tcPr>
            <w:tcW w:w="777" w:type="pct"/>
            <w:vMerge w:val="continue"/>
            <w:vAlign w:val="center"/>
          </w:tcPr>
          <w:p w14:paraId="09ABAC31">
            <w:pPr>
              <w:adjustRightInd w:val="0"/>
              <w:snapToGrid w:val="0"/>
              <w:rPr>
                <w:szCs w:val="21"/>
              </w:rPr>
            </w:pPr>
          </w:p>
        </w:tc>
      </w:tr>
      <w:tr w14:paraId="28D5AD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vAlign w:val="center"/>
          </w:tcPr>
          <w:p w14:paraId="1DEEF15A">
            <w:pPr>
              <w:adjustRightInd w:val="0"/>
              <w:snapToGrid w:val="0"/>
              <w:ind w:left="-141" w:leftChars="-67" w:right="-107" w:rightChars="-51"/>
              <w:jc w:val="center"/>
              <w:rPr>
                <w:szCs w:val="21"/>
              </w:rPr>
            </w:pPr>
            <w:r>
              <w:rPr>
                <w:szCs w:val="21"/>
              </w:rPr>
              <w:t>地下水及土壤环境</w:t>
            </w:r>
          </w:p>
        </w:tc>
        <w:tc>
          <w:tcPr>
            <w:tcW w:w="1829" w:type="pct"/>
            <w:vAlign w:val="center"/>
          </w:tcPr>
          <w:p w14:paraId="11F9B0B2">
            <w:pPr>
              <w:widowControl/>
              <w:jc w:val="center"/>
              <w:rPr>
                <w:kern w:val="0"/>
                <w:szCs w:val="21"/>
                <w:lang w:bidi="ar"/>
              </w:rPr>
            </w:pPr>
            <w:r>
              <w:rPr>
                <w:szCs w:val="21"/>
              </w:rPr>
              <w:t>/</w:t>
            </w:r>
          </w:p>
        </w:tc>
        <w:tc>
          <w:tcPr>
            <w:tcW w:w="866" w:type="pct"/>
            <w:vAlign w:val="center"/>
          </w:tcPr>
          <w:p w14:paraId="566D445D">
            <w:pPr>
              <w:widowControl/>
              <w:jc w:val="center"/>
              <w:rPr>
                <w:kern w:val="0"/>
                <w:szCs w:val="21"/>
                <w:lang w:bidi="ar"/>
              </w:rPr>
            </w:pPr>
            <w:r>
              <w:rPr>
                <w:szCs w:val="21"/>
              </w:rPr>
              <w:t>/</w:t>
            </w:r>
          </w:p>
        </w:tc>
        <w:tc>
          <w:tcPr>
            <w:tcW w:w="965" w:type="pct"/>
            <w:vAlign w:val="center"/>
          </w:tcPr>
          <w:p w14:paraId="579C1688">
            <w:pPr>
              <w:adjustRightInd w:val="0"/>
              <w:snapToGrid w:val="0"/>
              <w:jc w:val="center"/>
              <w:rPr>
                <w:kern w:val="0"/>
                <w:szCs w:val="21"/>
                <w:lang w:bidi="ar"/>
              </w:rPr>
            </w:pPr>
            <w:r>
              <w:rPr>
                <w:szCs w:val="21"/>
              </w:rPr>
              <w:t>/</w:t>
            </w:r>
          </w:p>
        </w:tc>
        <w:tc>
          <w:tcPr>
            <w:tcW w:w="777" w:type="pct"/>
            <w:vAlign w:val="center"/>
          </w:tcPr>
          <w:p w14:paraId="20444D53">
            <w:pPr>
              <w:adjustRightInd w:val="0"/>
              <w:snapToGrid w:val="0"/>
              <w:jc w:val="center"/>
              <w:rPr>
                <w:szCs w:val="21"/>
              </w:rPr>
            </w:pPr>
            <w:r>
              <w:rPr>
                <w:szCs w:val="21"/>
              </w:rPr>
              <w:t>/</w:t>
            </w:r>
          </w:p>
        </w:tc>
      </w:tr>
      <w:tr w14:paraId="57160D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7" w:hRule="atLeast"/>
          <w:jc w:val="center"/>
        </w:trPr>
        <w:tc>
          <w:tcPr>
            <w:tcW w:w="563" w:type="pct"/>
            <w:vAlign w:val="center"/>
          </w:tcPr>
          <w:p w14:paraId="77C0E4A6">
            <w:pPr>
              <w:adjustRightInd w:val="0"/>
              <w:snapToGrid w:val="0"/>
              <w:ind w:left="-141" w:leftChars="-67" w:right="-107" w:rightChars="-51"/>
              <w:jc w:val="center"/>
              <w:rPr>
                <w:szCs w:val="21"/>
              </w:rPr>
            </w:pPr>
            <w:r>
              <w:rPr>
                <w:szCs w:val="21"/>
              </w:rPr>
              <w:t>声环境</w:t>
            </w:r>
          </w:p>
        </w:tc>
        <w:tc>
          <w:tcPr>
            <w:tcW w:w="1829" w:type="pct"/>
            <w:vAlign w:val="center"/>
          </w:tcPr>
          <w:p w14:paraId="72B43D3E">
            <w:pPr>
              <w:widowControl/>
              <w:jc w:val="center"/>
              <w:rPr>
                <w:kern w:val="0"/>
                <w:szCs w:val="21"/>
                <w:lang w:bidi="ar"/>
              </w:rPr>
            </w:pPr>
            <w:r>
              <w:rPr>
                <w:kern w:val="0"/>
                <w:szCs w:val="21"/>
                <w:lang w:bidi="ar"/>
              </w:rPr>
              <w:t>优先选用低产噪设备，合理布局，高产噪设备远离环境敏感点布置，在敏感点安装</w:t>
            </w:r>
            <w:r>
              <w:rPr>
                <w:rFonts w:hint="eastAsia"/>
                <w:kern w:val="0"/>
                <w:szCs w:val="21"/>
                <w:lang w:bidi="ar"/>
              </w:rPr>
              <w:t>围挡</w:t>
            </w:r>
            <w:r>
              <w:rPr>
                <w:kern w:val="0"/>
                <w:szCs w:val="21"/>
                <w:lang w:bidi="ar"/>
              </w:rPr>
              <w:t>，合理安排作业时间，合理安排运输时间</w:t>
            </w:r>
          </w:p>
        </w:tc>
        <w:tc>
          <w:tcPr>
            <w:tcW w:w="866" w:type="pct"/>
            <w:vAlign w:val="center"/>
          </w:tcPr>
          <w:p w14:paraId="506434B4">
            <w:pPr>
              <w:widowControl/>
              <w:jc w:val="center"/>
              <w:rPr>
                <w:kern w:val="0"/>
                <w:szCs w:val="21"/>
                <w:lang w:bidi="ar"/>
              </w:rPr>
            </w:pPr>
            <w:r>
              <w:rPr>
                <w:kern w:val="0"/>
                <w:szCs w:val="21"/>
                <w:lang w:bidi="ar"/>
              </w:rPr>
              <w:t>《建筑施工场界环境噪声排放标准》（GB12523</w:t>
            </w:r>
            <w:r>
              <w:rPr>
                <w:rFonts w:hint="eastAsia"/>
                <w:kern w:val="0"/>
                <w:szCs w:val="21"/>
                <w:lang w:bidi="ar"/>
              </w:rPr>
              <w:t>-</w:t>
            </w:r>
          </w:p>
          <w:p w14:paraId="3245BB40">
            <w:pPr>
              <w:widowControl/>
              <w:jc w:val="center"/>
              <w:rPr>
                <w:kern w:val="0"/>
                <w:szCs w:val="21"/>
                <w:lang w:bidi="ar"/>
              </w:rPr>
            </w:pPr>
            <w:r>
              <w:rPr>
                <w:kern w:val="0"/>
                <w:szCs w:val="21"/>
                <w:lang w:bidi="ar"/>
              </w:rPr>
              <w:t>2011）</w:t>
            </w:r>
          </w:p>
        </w:tc>
        <w:tc>
          <w:tcPr>
            <w:tcW w:w="965" w:type="pct"/>
            <w:vAlign w:val="center"/>
          </w:tcPr>
          <w:p w14:paraId="358729E0">
            <w:pPr>
              <w:adjustRightInd w:val="0"/>
              <w:snapToGrid w:val="0"/>
              <w:jc w:val="center"/>
              <w:rPr>
                <w:kern w:val="0"/>
                <w:szCs w:val="21"/>
                <w:lang w:bidi="ar"/>
              </w:rPr>
            </w:pPr>
            <w:r>
              <w:rPr>
                <w:rFonts w:hint="eastAsia"/>
                <w:szCs w:val="21"/>
              </w:rPr>
              <w:t>路面采用沥青混凝土路面；道路两侧配套绿化建设；加强</w:t>
            </w:r>
            <w:r>
              <w:rPr>
                <w:szCs w:val="21"/>
              </w:rPr>
              <w:t>道路交通管理，设置限速、禁止鸣笛标志；后期加强路面养护；后期运维单位预留足够资金，用于后期噪声监测、噪声投诉处理等；</w:t>
            </w:r>
          </w:p>
        </w:tc>
        <w:tc>
          <w:tcPr>
            <w:tcW w:w="777" w:type="pct"/>
            <w:vAlign w:val="center"/>
          </w:tcPr>
          <w:p w14:paraId="146D883B">
            <w:pPr>
              <w:wordWrap w:val="0"/>
              <w:adjustRightInd w:val="0"/>
              <w:snapToGrid w:val="0"/>
              <w:jc w:val="left"/>
              <w:rPr>
                <w:szCs w:val="21"/>
              </w:rPr>
            </w:pPr>
            <w:r>
              <w:rPr>
                <w:rFonts w:hint="eastAsia"/>
              </w:rPr>
              <w:t>区域能满足</w:t>
            </w:r>
            <w:r>
              <w:t>《声环境质量标准》(GB3096-2008)中</w:t>
            </w:r>
            <w:r>
              <w:rPr>
                <w:rFonts w:hint="eastAsia"/>
              </w:rPr>
              <w:t>2类及4a类标准限值；</w:t>
            </w:r>
          </w:p>
        </w:tc>
      </w:tr>
      <w:tr w14:paraId="735E86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63" w:type="pct"/>
            <w:vMerge w:val="restart"/>
            <w:vAlign w:val="center"/>
          </w:tcPr>
          <w:p w14:paraId="31094925">
            <w:pPr>
              <w:adjustRightInd w:val="0"/>
              <w:snapToGrid w:val="0"/>
              <w:ind w:left="-141" w:leftChars="-67" w:right="-107" w:rightChars="-51"/>
              <w:jc w:val="center"/>
              <w:rPr>
                <w:szCs w:val="21"/>
              </w:rPr>
            </w:pPr>
            <w:r>
              <w:rPr>
                <w:szCs w:val="21"/>
              </w:rPr>
              <w:t>大气环境</w:t>
            </w:r>
          </w:p>
        </w:tc>
        <w:tc>
          <w:tcPr>
            <w:tcW w:w="1829" w:type="pct"/>
            <w:vAlign w:val="center"/>
          </w:tcPr>
          <w:p w14:paraId="77347DA6">
            <w:pPr>
              <w:widowControl/>
              <w:ind w:left="-105" w:leftChars="-50" w:right="-105" w:rightChars="-50"/>
              <w:jc w:val="center"/>
              <w:rPr>
                <w:kern w:val="0"/>
                <w:szCs w:val="21"/>
                <w:lang w:bidi="ar"/>
              </w:rPr>
            </w:pPr>
            <w:r>
              <w:rPr>
                <w:kern w:val="0"/>
                <w:szCs w:val="21"/>
                <w:lang w:bidi="ar"/>
              </w:rPr>
              <w:t>采取湿法作业，定期洒水抑尘</w:t>
            </w:r>
          </w:p>
        </w:tc>
        <w:tc>
          <w:tcPr>
            <w:tcW w:w="866" w:type="pct"/>
            <w:vMerge w:val="restart"/>
            <w:vAlign w:val="center"/>
          </w:tcPr>
          <w:p w14:paraId="3564C84D">
            <w:pPr>
              <w:widowControl/>
              <w:jc w:val="center"/>
              <w:rPr>
                <w:kern w:val="0"/>
                <w:szCs w:val="21"/>
                <w:lang w:bidi="ar"/>
              </w:rPr>
            </w:pPr>
            <w:r>
              <w:rPr>
                <w:kern w:val="0"/>
                <w:szCs w:val="21"/>
                <w:lang w:bidi="ar"/>
              </w:rPr>
              <w:t>施工期扬尘执行《四川省施工场地扬尘排放标准》</w:t>
            </w:r>
          </w:p>
          <w:p w14:paraId="089D2CAD">
            <w:pPr>
              <w:widowControl/>
              <w:jc w:val="center"/>
              <w:rPr>
                <w:kern w:val="0"/>
                <w:szCs w:val="21"/>
                <w:lang w:bidi="ar"/>
              </w:rPr>
            </w:pPr>
            <w:r>
              <w:rPr>
                <w:kern w:val="0"/>
                <w:szCs w:val="21"/>
                <w:lang w:bidi="ar"/>
              </w:rPr>
              <w:t>（DB51/2682</w:t>
            </w:r>
            <w:r>
              <w:rPr>
                <w:rFonts w:hint="eastAsia"/>
                <w:kern w:val="0"/>
                <w:szCs w:val="21"/>
                <w:lang w:bidi="ar"/>
              </w:rPr>
              <w:t>-</w:t>
            </w:r>
          </w:p>
          <w:p w14:paraId="572FB60B">
            <w:pPr>
              <w:widowControl/>
              <w:jc w:val="center"/>
              <w:rPr>
                <w:kern w:val="0"/>
                <w:szCs w:val="21"/>
                <w:lang w:bidi="ar"/>
              </w:rPr>
            </w:pPr>
            <w:r>
              <w:rPr>
                <w:kern w:val="0"/>
                <w:szCs w:val="21"/>
                <w:lang w:bidi="ar"/>
              </w:rPr>
              <w:t>2020）</w:t>
            </w:r>
          </w:p>
        </w:tc>
        <w:tc>
          <w:tcPr>
            <w:tcW w:w="965" w:type="pct"/>
            <w:vMerge w:val="restart"/>
            <w:vAlign w:val="center"/>
          </w:tcPr>
          <w:p w14:paraId="26E41FF5">
            <w:pPr>
              <w:adjustRightInd w:val="0"/>
              <w:snapToGrid w:val="0"/>
              <w:jc w:val="center"/>
              <w:rPr>
                <w:kern w:val="0"/>
                <w:szCs w:val="21"/>
                <w:lang w:bidi="ar"/>
              </w:rPr>
            </w:pPr>
            <w:r>
              <w:rPr>
                <w:szCs w:val="21"/>
              </w:rPr>
              <w:t>/</w:t>
            </w:r>
          </w:p>
        </w:tc>
        <w:tc>
          <w:tcPr>
            <w:tcW w:w="777" w:type="pct"/>
            <w:vMerge w:val="restart"/>
            <w:vAlign w:val="center"/>
          </w:tcPr>
          <w:p w14:paraId="6F727ADA">
            <w:pPr>
              <w:adjustRightInd w:val="0"/>
              <w:snapToGrid w:val="0"/>
              <w:jc w:val="center"/>
              <w:rPr>
                <w:szCs w:val="21"/>
              </w:rPr>
            </w:pPr>
            <w:r>
              <w:rPr>
                <w:szCs w:val="21"/>
              </w:rPr>
              <w:t>/</w:t>
            </w:r>
          </w:p>
        </w:tc>
      </w:tr>
      <w:tr w14:paraId="0EA2E5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63" w:type="pct"/>
            <w:vMerge w:val="continue"/>
            <w:vAlign w:val="center"/>
          </w:tcPr>
          <w:p w14:paraId="63D570D6">
            <w:pPr>
              <w:adjustRightInd w:val="0"/>
              <w:snapToGrid w:val="0"/>
              <w:jc w:val="center"/>
            </w:pPr>
          </w:p>
        </w:tc>
        <w:tc>
          <w:tcPr>
            <w:tcW w:w="1829" w:type="pct"/>
            <w:vAlign w:val="center"/>
          </w:tcPr>
          <w:p w14:paraId="3265DEE0">
            <w:pPr>
              <w:widowControl/>
              <w:ind w:left="-105" w:leftChars="-50" w:right="-105" w:rightChars="-50"/>
              <w:jc w:val="center"/>
              <w:rPr>
                <w:kern w:val="0"/>
                <w:szCs w:val="21"/>
                <w:lang w:bidi="ar"/>
              </w:rPr>
            </w:pPr>
            <w:r>
              <w:rPr>
                <w:kern w:val="0"/>
                <w:szCs w:val="21"/>
                <w:lang w:bidi="ar"/>
              </w:rPr>
              <w:t>在施工场地对施工车辆实施限速行驶，施工现场主要运输道路尽量采用硬化路面并进行洒水抑尘，车辆运输篷布加盖</w:t>
            </w:r>
          </w:p>
        </w:tc>
        <w:tc>
          <w:tcPr>
            <w:tcW w:w="866" w:type="pct"/>
            <w:vMerge w:val="continue"/>
            <w:vAlign w:val="center"/>
          </w:tcPr>
          <w:p w14:paraId="0AA3B2F7">
            <w:pPr>
              <w:adjustRightInd w:val="0"/>
              <w:snapToGrid w:val="0"/>
              <w:jc w:val="center"/>
              <w:rPr>
                <w:szCs w:val="21"/>
              </w:rPr>
            </w:pPr>
          </w:p>
        </w:tc>
        <w:tc>
          <w:tcPr>
            <w:tcW w:w="965" w:type="pct"/>
            <w:vMerge w:val="continue"/>
            <w:vAlign w:val="center"/>
          </w:tcPr>
          <w:p w14:paraId="6AD3572F">
            <w:pPr>
              <w:adjustRightInd w:val="0"/>
              <w:snapToGrid w:val="0"/>
              <w:rPr>
                <w:szCs w:val="21"/>
              </w:rPr>
            </w:pPr>
          </w:p>
        </w:tc>
        <w:tc>
          <w:tcPr>
            <w:tcW w:w="777" w:type="pct"/>
            <w:vMerge w:val="continue"/>
            <w:vAlign w:val="center"/>
          </w:tcPr>
          <w:p w14:paraId="248DEF60">
            <w:pPr>
              <w:adjustRightInd w:val="0"/>
              <w:snapToGrid w:val="0"/>
              <w:rPr>
                <w:szCs w:val="21"/>
              </w:rPr>
            </w:pPr>
          </w:p>
        </w:tc>
      </w:tr>
      <w:tr w14:paraId="2BB795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63" w:type="pct"/>
            <w:vMerge w:val="continue"/>
            <w:vAlign w:val="center"/>
          </w:tcPr>
          <w:p w14:paraId="284C3F26">
            <w:pPr>
              <w:adjustRightInd w:val="0"/>
              <w:snapToGrid w:val="0"/>
              <w:jc w:val="center"/>
              <w:rPr>
                <w:szCs w:val="21"/>
              </w:rPr>
            </w:pPr>
          </w:p>
        </w:tc>
        <w:tc>
          <w:tcPr>
            <w:tcW w:w="1829" w:type="pct"/>
            <w:vAlign w:val="center"/>
          </w:tcPr>
          <w:p w14:paraId="72F3EE3D">
            <w:pPr>
              <w:widowControl/>
              <w:ind w:left="-105" w:leftChars="-50" w:right="-105" w:rightChars="-50"/>
              <w:jc w:val="center"/>
              <w:rPr>
                <w:kern w:val="0"/>
                <w:szCs w:val="21"/>
                <w:lang w:bidi="ar"/>
              </w:rPr>
            </w:pPr>
            <w:r>
              <w:rPr>
                <w:kern w:val="0"/>
                <w:szCs w:val="21"/>
                <w:lang w:bidi="ar"/>
              </w:rPr>
              <w:t>禁止在大风天气进行渣土堆放作业，建材堆放地点相对集中，临时废弃土石必须以毡布覆盖，不得有裸土，减少建材的露天堆放时间；开挖出的土石方应加强管理，表面用毡布覆盖，并及时清运</w:t>
            </w:r>
          </w:p>
        </w:tc>
        <w:tc>
          <w:tcPr>
            <w:tcW w:w="866" w:type="pct"/>
            <w:vMerge w:val="continue"/>
            <w:vAlign w:val="center"/>
          </w:tcPr>
          <w:p w14:paraId="328ADC33">
            <w:pPr>
              <w:adjustRightInd w:val="0"/>
              <w:snapToGrid w:val="0"/>
              <w:jc w:val="center"/>
              <w:rPr>
                <w:szCs w:val="21"/>
              </w:rPr>
            </w:pPr>
          </w:p>
        </w:tc>
        <w:tc>
          <w:tcPr>
            <w:tcW w:w="965" w:type="pct"/>
            <w:vMerge w:val="continue"/>
            <w:vAlign w:val="center"/>
          </w:tcPr>
          <w:p w14:paraId="1F08BEDA">
            <w:pPr>
              <w:adjustRightInd w:val="0"/>
              <w:snapToGrid w:val="0"/>
              <w:rPr>
                <w:szCs w:val="21"/>
              </w:rPr>
            </w:pPr>
          </w:p>
        </w:tc>
        <w:tc>
          <w:tcPr>
            <w:tcW w:w="777" w:type="pct"/>
            <w:vMerge w:val="continue"/>
            <w:vAlign w:val="center"/>
          </w:tcPr>
          <w:p w14:paraId="1598DCBB">
            <w:pPr>
              <w:adjustRightInd w:val="0"/>
              <w:snapToGrid w:val="0"/>
              <w:rPr>
                <w:szCs w:val="21"/>
              </w:rPr>
            </w:pPr>
          </w:p>
        </w:tc>
      </w:tr>
      <w:tr w14:paraId="6246D0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563" w:type="pct"/>
            <w:vMerge w:val="restart"/>
            <w:vAlign w:val="center"/>
          </w:tcPr>
          <w:p w14:paraId="7F9BBAC4">
            <w:pPr>
              <w:adjustRightInd w:val="0"/>
              <w:snapToGrid w:val="0"/>
              <w:ind w:left="-105" w:leftChars="-50" w:right="-105" w:rightChars="-50"/>
              <w:jc w:val="center"/>
              <w:rPr>
                <w:szCs w:val="21"/>
              </w:rPr>
            </w:pPr>
            <w:r>
              <w:rPr>
                <w:szCs w:val="21"/>
              </w:rPr>
              <w:t>固体废物</w:t>
            </w:r>
          </w:p>
        </w:tc>
        <w:tc>
          <w:tcPr>
            <w:tcW w:w="1829" w:type="pct"/>
            <w:vAlign w:val="center"/>
          </w:tcPr>
          <w:p w14:paraId="7A3D670A">
            <w:pPr>
              <w:widowControl/>
              <w:jc w:val="center"/>
              <w:rPr>
                <w:kern w:val="0"/>
                <w:szCs w:val="21"/>
                <w:lang w:bidi="ar"/>
              </w:rPr>
            </w:pPr>
            <w:r>
              <w:rPr>
                <w:kern w:val="0"/>
                <w:szCs w:val="21"/>
                <w:lang w:bidi="ar"/>
              </w:rPr>
              <w:t>生活垃圾设置垃圾桶收集</w:t>
            </w:r>
          </w:p>
        </w:tc>
        <w:tc>
          <w:tcPr>
            <w:tcW w:w="866" w:type="pct"/>
            <w:vMerge w:val="restart"/>
            <w:vAlign w:val="center"/>
          </w:tcPr>
          <w:p w14:paraId="379E087D">
            <w:pPr>
              <w:adjustRightInd w:val="0"/>
              <w:snapToGrid w:val="0"/>
              <w:jc w:val="center"/>
              <w:rPr>
                <w:szCs w:val="21"/>
              </w:rPr>
            </w:pPr>
            <w:r>
              <w:rPr>
                <w:szCs w:val="21"/>
              </w:rPr>
              <w:t>/</w:t>
            </w:r>
          </w:p>
        </w:tc>
        <w:tc>
          <w:tcPr>
            <w:tcW w:w="965" w:type="pct"/>
            <w:vMerge w:val="restart"/>
            <w:vAlign w:val="center"/>
          </w:tcPr>
          <w:p w14:paraId="21F02B05">
            <w:pPr>
              <w:adjustRightInd w:val="0"/>
              <w:snapToGrid w:val="0"/>
              <w:jc w:val="center"/>
              <w:rPr>
                <w:szCs w:val="21"/>
              </w:rPr>
            </w:pPr>
            <w:r>
              <w:rPr>
                <w:szCs w:val="21"/>
              </w:rPr>
              <w:t>/</w:t>
            </w:r>
          </w:p>
        </w:tc>
        <w:tc>
          <w:tcPr>
            <w:tcW w:w="777" w:type="pct"/>
            <w:vMerge w:val="restart"/>
            <w:vAlign w:val="center"/>
          </w:tcPr>
          <w:p w14:paraId="21A0FC31">
            <w:pPr>
              <w:adjustRightInd w:val="0"/>
              <w:snapToGrid w:val="0"/>
              <w:jc w:val="center"/>
              <w:rPr>
                <w:szCs w:val="21"/>
              </w:rPr>
            </w:pPr>
            <w:r>
              <w:rPr>
                <w:szCs w:val="21"/>
              </w:rPr>
              <w:t>/</w:t>
            </w:r>
          </w:p>
        </w:tc>
      </w:tr>
      <w:tr w14:paraId="336803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563" w:type="pct"/>
            <w:vMerge w:val="continue"/>
            <w:vAlign w:val="center"/>
          </w:tcPr>
          <w:p w14:paraId="0FBB77D7">
            <w:pPr>
              <w:adjustRightInd w:val="0"/>
              <w:snapToGrid w:val="0"/>
              <w:ind w:left="-105" w:leftChars="-50" w:right="-105" w:rightChars="-50"/>
              <w:jc w:val="center"/>
            </w:pPr>
          </w:p>
        </w:tc>
        <w:tc>
          <w:tcPr>
            <w:tcW w:w="1829" w:type="pct"/>
            <w:vAlign w:val="center"/>
          </w:tcPr>
          <w:p w14:paraId="32BE5E0D">
            <w:pPr>
              <w:widowControl/>
              <w:ind w:left="-105" w:leftChars="-50" w:right="-105" w:rightChars="-50"/>
              <w:jc w:val="center"/>
              <w:rPr>
                <w:kern w:val="0"/>
                <w:szCs w:val="21"/>
                <w:lang w:bidi="ar"/>
              </w:rPr>
            </w:pPr>
            <w:r>
              <w:rPr>
                <w:kern w:val="0"/>
                <w:szCs w:val="21"/>
                <w:lang w:bidi="ar"/>
              </w:rPr>
              <w:t>对表土进行剥离，剥离的表土堆存于</w:t>
            </w:r>
            <w:r>
              <w:rPr>
                <w:rFonts w:hint="eastAsia"/>
                <w:kern w:val="0"/>
                <w:szCs w:val="21"/>
                <w:lang w:bidi="ar"/>
              </w:rPr>
              <w:t>施工</w:t>
            </w:r>
            <w:r>
              <w:rPr>
                <w:kern w:val="0"/>
                <w:szCs w:val="21"/>
                <w:lang w:bidi="ar"/>
              </w:rPr>
              <w:t xml:space="preserve">工区内设置的表土临时堆放点内，并采取防雨布遮盖和土袋挡墙措施； </w:t>
            </w:r>
          </w:p>
        </w:tc>
        <w:tc>
          <w:tcPr>
            <w:tcW w:w="866" w:type="pct"/>
            <w:vMerge w:val="continue"/>
            <w:vAlign w:val="center"/>
          </w:tcPr>
          <w:p w14:paraId="73E20B70">
            <w:pPr>
              <w:adjustRightInd w:val="0"/>
              <w:snapToGrid w:val="0"/>
              <w:jc w:val="center"/>
              <w:rPr>
                <w:szCs w:val="21"/>
              </w:rPr>
            </w:pPr>
          </w:p>
        </w:tc>
        <w:tc>
          <w:tcPr>
            <w:tcW w:w="965" w:type="pct"/>
            <w:vMerge w:val="continue"/>
            <w:vAlign w:val="center"/>
          </w:tcPr>
          <w:p w14:paraId="26293BFF">
            <w:pPr>
              <w:adjustRightInd w:val="0"/>
              <w:snapToGrid w:val="0"/>
              <w:rPr>
                <w:szCs w:val="21"/>
              </w:rPr>
            </w:pPr>
          </w:p>
        </w:tc>
        <w:tc>
          <w:tcPr>
            <w:tcW w:w="777" w:type="pct"/>
            <w:vMerge w:val="continue"/>
            <w:vAlign w:val="center"/>
          </w:tcPr>
          <w:p w14:paraId="33FBB2B4">
            <w:pPr>
              <w:adjustRightInd w:val="0"/>
              <w:snapToGrid w:val="0"/>
              <w:rPr>
                <w:szCs w:val="21"/>
              </w:rPr>
            </w:pPr>
          </w:p>
        </w:tc>
      </w:tr>
      <w:tr w14:paraId="4A4901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563" w:type="pct"/>
            <w:vMerge w:val="continue"/>
            <w:vAlign w:val="center"/>
          </w:tcPr>
          <w:p w14:paraId="6B0139D8">
            <w:pPr>
              <w:adjustRightInd w:val="0"/>
              <w:snapToGrid w:val="0"/>
              <w:ind w:left="-105" w:leftChars="-50" w:right="-105" w:rightChars="-50"/>
              <w:jc w:val="center"/>
            </w:pPr>
          </w:p>
        </w:tc>
        <w:tc>
          <w:tcPr>
            <w:tcW w:w="1829" w:type="pct"/>
            <w:vAlign w:val="center"/>
          </w:tcPr>
          <w:p w14:paraId="26D7893D">
            <w:pPr>
              <w:pStyle w:val="83"/>
              <w:rPr>
                <w:kern w:val="0"/>
                <w:lang w:bidi="ar"/>
              </w:rPr>
            </w:pPr>
            <w:r>
              <w:rPr>
                <w:kern w:val="0"/>
                <w:lang w:bidi="ar"/>
              </w:rPr>
              <w:t>生活垃圾经分类袋装收集后，交由环卫部门清运处置；</w:t>
            </w:r>
            <w:r>
              <w:rPr>
                <w:rStyle w:val="70"/>
                <w:rFonts w:hint="eastAsia"/>
                <w:sz w:val="21"/>
              </w:rPr>
              <w:t>弃方及时通过渣土车运往指定渣场处置，不在场地内堆存</w:t>
            </w:r>
            <w:r>
              <w:rPr>
                <w:rStyle w:val="70"/>
                <w:sz w:val="21"/>
              </w:rPr>
              <w:t>；对表土进行剥离，</w:t>
            </w:r>
            <w:r>
              <w:rPr>
                <w:kern w:val="0"/>
                <w:lang w:bidi="ar"/>
              </w:rPr>
              <w:t>剥离的表土堆存于</w:t>
            </w:r>
            <w:r>
              <w:rPr>
                <w:rFonts w:hint="eastAsia"/>
                <w:kern w:val="0"/>
                <w:lang w:bidi="ar"/>
              </w:rPr>
              <w:t>施工场地</w:t>
            </w:r>
            <w:r>
              <w:rPr>
                <w:kern w:val="0"/>
                <w:lang w:bidi="ar"/>
              </w:rPr>
              <w:t>内设置的表土临时堆放点内，并采取防雨布遮盖和土袋挡墙措施</w:t>
            </w:r>
            <w:r>
              <w:rPr>
                <w:rFonts w:hint="eastAsia"/>
                <w:kern w:val="0"/>
                <w:lang w:bidi="ar"/>
              </w:rPr>
              <w:t>；</w:t>
            </w:r>
            <w:r>
              <w:rPr>
                <w:kern w:val="0"/>
                <w:lang w:bidi="ar"/>
              </w:rPr>
              <w:t>建筑垃圾</w:t>
            </w:r>
            <w:r>
              <w:t>部分回用，剩余部分应及时清运到政府指定的地点处理</w:t>
            </w:r>
            <w:r>
              <w:rPr>
                <w:rFonts w:hint="eastAsia"/>
              </w:rPr>
              <w:t>。</w:t>
            </w:r>
          </w:p>
        </w:tc>
        <w:tc>
          <w:tcPr>
            <w:tcW w:w="866" w:type="pct"/>
            <w:vAlign w:val="center"/>
          </w:tcPr>
          <w:p w14:paraId="5A1F3882">
            <w:pPr>
              <w:adjustRightInd w:val="0"/>
              <w:snapToGrid w:val="0"/>
              <w:jc w:val="center"/>
              <w:rPr>
                <w:szCs w:val="21"/>
              </w:rPr>
            </w:pPr>
            <w:r>
              <w:rPr>
                <w:szCs w:val="21"/>
              </w:rPr>
              <w:t>/</w:t>
            </w:r>
          </w:p>
        </w:tc>
        <w:tc>
          <w:tcPr>
            <w:tcW w:w="965" w:type="pct"/>
            <w:vAlign w:val="center"/>
          </w:tcPr>
          <w:p w14:paraId="2DAA203E">
            <w:pPr>
              <w:adjustRightInd w:val="0"/>
              <w:snapToGrid w:val="0"/>
              <w:jc w:val="center"/>
              <w:rPr>
                <w:szCs w:val="21"/>
              </w:rPr>
            </w:pPr>
            <w:r>
              <w:rPr>
                <w:szCs w:val="21"/>
              </w:rPr>
              <w:t>/</w:t>
            </w:r>
          </w:p>
        </w:tc>
        <w:tc>
          <w:tcPr>
            <w:tcW w:w="777" w:type="pct"/>
            <w:vAlign w:val="center"/>
          </w:tcPr>
          <w:p w14:paraId="1A86A728">
            <w:pPr>
              <w:adjustRightInd w:val="0"/>
              <w:snapToGrid w:val="0"/>
              <w:jc w:val="center"/>
              <w:rPr>
                <w:szCs w:val="21"/>
              </w:rPr>
            </w:pPr>
            <w:r>
              <w:rPr>
                <w:szCs w:val="21"/>
              </w:rPr>
              <w:t>/</w:t>
            </w:r>
          </w:p>
        </w:tc>
      </w:tr>
      <w:tr w14:paraId="7E8CBE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vAlign w:val="center"/>
          </w:tcPr>
          <w:p w14:paraId="53E17975">
            <w:pPr>
              <w:adjustRightInd w:val="0"/>
              <w:snapToGrid w:val="0"/>
              <w:ind w:left="-105" w:leftChars="-50" w:right="-105" w:rightChars="-50"/>
              <w:jc w:val="center"/>
              <w:rPr>
                <w:szCs w:val="21"/>
              </w:rPr>
            </w:pPr>
            <w:r>
              <w:rPr>
                <w:szCs w:val="21"/>
              </w:rPr>
              <w:t>环境监测</w:t>
            </w:r>
          </w:p>
        </w:tc>
        <w:tc>
          <w:tcPr>
            <w:tcW w:w="1829" w:type="pct"/>
            <w:vAlign w:val="center"/>
          </w:tcPr>
          <w:p w14:paraId="044F90FA">
            <w:pPr>
              <w:adjustRightInd w:val="0"/>
              <w:snapToGrid w:val="0"/>
              <w:jc w:val="center"/>
              <w:rPr>
                <w:szCs w:val="21"/>
              </w:rPr>
            </w:pPr>
            <w:r>
              <w:rPr>
                <w:szCs w:val="21"/>
              </w:rPr>
              <w:t>/</w:t>
            </w:r>
          </w:p>
        </w:tc>
        <w:tc>
          <w:tcPr>
            <w:tcW w:w="866" w:type="pct"/>
            <w:vAlign w:val="center"/>
          </w:tcPr>
          <w:p w14:paraId="3954A201">
            <w:pPr>
              <w:adjustRightInd w:val="0"/>
              <w:snapToGrid w:val="0"/>
              <w:jc w:val="center"/>
              <w:rPr>
                <w:szCs w:val="21"/>
              </w:rPr>
            </w:pPr>
            <w:r>
              <w:rPr>
                <w:szCs w:val="21"/>
              </w:rPr>
              <w:t>/</w:t>
            </w:r>
          </w:p>
        </w:tc>
        <w:tc>
          <w:tcPr>
            <w:tcW w:w="965" w:type="pct"/>
            <w:vAlign w:val="center"/>
          </w:tcPr>
          <w:p w14:paraId="571AD697">
            <w:pPr>
              <w:adjustRightInd w:val="0"/>
              <w:snapToGrid w:val="0"/>
              <w:jc w:val="center"/>
              <w:rPr>
                <w:szCs w:val="21"/>
              </w:rPr>
            </w:pPr>
            <w:r>
              <w:rPr>
                <w:szCs w:val="21"/>
              </w:rPr>
              <w:t>/</w:t>
            </w:r>
          </w:p>
        </w:tc>
        <w:tc>
          <w:tcPr>
            <w:tcW w:w="777" w:type="pct"/>
            <w:vAlign w:val="center"/>
          </w:tcPr>
          <w:p w14:paraId="186C1D9E">
            <w:pPr>
              <w:adjustRightInd w:val="0"/>
              <w:snapToGrid w:val="0"/>
              <w:jc w:val="center"/>
              <w:rPr>
                <w:szCs w:val="21"/>
              </w:rPr>
            </w:pPr>
            <w:r>
              <w:rPr>
                <w:szCs w:val="21"/>
              </w:rPr>
              <w:t>/</w:t>
            </w:r>
          </w:p>
        </w:tc>
      </w:tr>
      <w:tr w14:paraId="7B8ABC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vAlign w:val="center"/>
          </w:tcPr>
          <w:p w14:paraId="01D46657">
            <w:pPr>
              <w:adjustRightInd w:val="0"/>
              <w:snapToGrid w:val="0"/>
              <w:jc w:val="center"/>
              <w:rPr>
                <w:szCs w:val="21"/>
              </w:rPr>
            </w:pPr>
            <w:r>
              <w:rPr>
                <w:szCs w:val="21"/>
              </w:rPr>
              <w:t>其他</w:t>
            </w:r>
          </w:p>
        </w:tc>
        <w:tc>
          <w:tcPr>
            <w:tcW w:w="1829" w:type="pct"/>
            <w:vAlign w:val="center"/>
          </w:tcPr>
          <w:p w14:paraId="239920E5">
            <w:pPr>
              <w:widowControl/>
              <w:jc w:val="center"/>
              <w:rPr>
                <w:szCs w:val="21"/>
              </w:rPr>
            </w:pPr>
            <w:r>
              <w:rPr>
                <w:kern w:val="0"/>
                <w:szCs w:val="21"/>
                <w:lang w:bidi="ar"/>
              </w:rPr>
              <w:t>设专人负责监督施工单位在施工过程中的环境保护工作，同时监督施工单位落实环境保护措施，监理日志存档可查</w:t>
            </w:r>
          </w:p>
        </w:tc>
        <w:tc>
          <w:tcPr>
            <w:tcW w:w="866" w:type="pct"/>
            <w:vAlign w:val="center"/>
          </w:tcPr>
          <w:p w14:paraId="24A69379">
            <w:pPr>
              <w:adjustRightInd w:val="0"/>
              <w:snapToGrid w:val="0"/>
              <w:jc w:val="center"/>
              <w:rPr>
                <w:szCs w:val="21"/>
              </w:rPr>
            </w:pPr>
            <w:r>
              <w:rPr>
                <w:szCs w:val="21"/>
              </w:rPr>
              <w:t>无重大环境污染事件</w:t>
            </w:r>
          </w:p>
        </w:tc>
        <w:tc>
          <w:tcPr>
            <w:tcW w:w="965" w:type="pct"/>
            <w:vAlign w:val="center"/>
          </w:tcPr>
          <w:p w14:paraId="3854600C">
            <w:pPr>
              <w:adjustRightInd w:val="0"/>
              <w:snapToGrid w:val="0"/>
              <w:jc w:val="center"/>
              <w:rPr>
                <w:szCs w:val="21"/>
              </w:rPr>
            </w:pPr>
            <w:r>
              <w:rPr>
                <w:szCs w:val="21"/>
              </w:rPr>
              <w:t>/</w:t>
            </w:r>
          </w:p>
        </w:tc>
        <w:tc>
          <w:tcPr>
            <w:tcW w:w="777" w:type="pct"/>
            <w:vAlign w:val="center"/>
          </w:tcPr>
          <w:p w14:paraId="20405500">
            <w:pPr>
              <w:adjustRightInd w:val="0"/>
              <w:snapToGrid w:val="0"/>
              <w:jc w:val="center"/>
              <w:rPr>
                <w:szCs w:val="21"/>
              </w:rPr>
            </w:pPr>
            <w:r>
              <w:rPr>
                <w:szCs w:val="21"/>
              </w:rPr>
              <w:t>/</w:t>
            </w:r>
          </w:p>
        </w:tc>
      </w:tr>
    </w:tbl>
    <w:p w14:paraId="2D3BD1CF"/>
    <w:p w14:paraId="53CCA3B1">
      <w:r>
        <w:br w:type="page"/>
      </w:r>
    </w:p>
    <w:p w14:paraId="7C47DAC9">
      <w:pPr>
        <w:pStyle w:val="3"/>
        <w:numPr>
          <w:ilvl w:val="0"/>
          <w:numId w:val="0"/>
        </w:numPr>
        <w:jc w:val="center"/>
        <w:rPr>
          <w:snapToGrid w:val="0"/>
        </w:rPr>
      </w:pPr>
      <w:bookmarkStart w:id="49" w:name="_Toc150173928"/>
      <w:r>
        <w:rPr>
          <w:rFonts w:hint="eastAsia"/>
          <w:snapToGrid w:val="0"/>
        </w:rPr>
        <w:t>七、结论</w:t>
      </w:r>
      <w:bookmarkEnd w:id="49"/>
    </w:p>
    <w:tbl>
      <w:tblPr>
        <w:tblStyle w:val="33"/>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0C83DB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14:paraId="2A68CFD4">
            <w:pPr>
              <w:spacing w:line="360" w:lineRule="auto"/>
              <w:ind w:firstLine="482" w:firstLineChars="200"/>
              <w:rPr>
                <w:b/>
                <w:sz w:val="24"/>
              </w:rPr>
            </w:pPr>
            <w:r>
              <w:rPr>
                <w:rFonts w:hint="eastAsia"/>
                <w:b/>
                <w:sz w:val="24"/>
              </w:rPr>
              <w:t>（一）结论</w:t>
            </w:r>
          </w:p>
          <w:p w14:paraId="7E5B6206">
            <w:pPr>
              <w:spacing w:line="360" w:lineRule="auto"/>
              <w:ind w:firstLine="480" w:firstLineChars="200"/>
              <w:rPr>
                <w:sz w:val="24"/>
              </w:rPr>
            </w:pPr>
            <w:r>
              <w:rPr>
                <w:rFonts w:hint="eastAsia"/>
                <w:sz w:val="24"/>
              </w:rPr>
              <w:t>“中国死海AAAA级景区配套旅游基础设施建设项目（一期）”项目符合国家现行产业政策，选址及用地符合区域相关规划。项目评价范围内无重大环境制约因素；项目建设在施工期和营运期将不可避免对道路沿线两侧一定范围的声环境、空气环境、水环境等产生一定的负面影响，但各项环保措施的落实将使负面环境影响降低到最小程度。只要建设和施工单位能够在施工和营运过程中认真落实本报告表所提出的各项环境保护措施，严格落实环保的“三同时”要求，可使工程建设对环境的不利影响得到有效控制和缓解，其影响可以接受。</w:t>
            </w:r>
          </w:p>
          <w:p w14:paraId="76B9F9BF">
            <w:pPr>
              <w:spacing w:line="360" w:lineRule="auto"/>
              <w:ind w:firstLine="480" w:firstLineChars="200"/>
              <w:rPr>
                <w:sz w:val="24"/>
              </w:rPr>
            </w:pPr>
            <w:r>
              <w:rPr>
                <w:rFonts w:hint="eastAsia"/>
                <w:sz w:val="24"/>
              </w:rPr>
              <w:t>故本次评价认为，建设项目从环境保护角度而言，无明显制约项目建设的环境因素。</w:t>
            </w:r>
            <w:r>
              <w:rPr>
                <w:sz w:val="24"/>
              </w:rPr>
              <w:t>因此，从环保角度而言，</w:t>
            </w:r>
            <w:r>
              <w:rPr>
                <w:rFonts w:hint="eastAsia"/>
                <w:sz w:val="24"/>
              </w:rPr>
              <w:t>本工程建设是可行的</w:t>
            </w:r>
            <w:r>
              <w:rPr>
                <w:sz w:val="24"/>
              </w:rPr>
              <w:t>。</w:t>
            </w:r>
          </w:p>
          <w:p w14:paraId="10D92DF6">
            <w:pPr>
              <w:spacing w:line="360" w:lineRule="auto"/>
              <w:ind w:firstLine="482" w:firstLineChars="200"/>
              <w:rPr>
                <w:b/>
                <w:sz w:val="24"/>
              </w:rPr>
            </w:pPr>
            <w:r>
              <w:rPr>
                <w:rFonts w:hint="eastAsia"/>
                <w:b/>
                <w:sz w:val="24"/>
              </w:rPr>
              <w:t>（二）</w:t>
            </w:r>
            <w:r>
              <w:rPr>
                <w:b/>
                <w:sz w:val="24"/>
              </w:rPr>
              <w:t>建议与要求</w:t>
            </w:r>
          </w:p>
          <w:p w14:paraId="1E85F61C">
            <w:pPr>
              <w:spacing w:line="360" w:lineRule="auto"/>
              <w:ind w:firstLine="480"/>
              <w:rPr>
                <w:b/>
                <w:sz w:val="24"/>
              </w:rPr>
            </w:pPr>
            <w:r>
              <w:rPr>
                <w:b/>
                <w:sz w:val="24"/>
              </w:rPr>
              <w:t>1、施工期</w:t>
            </w:r>
          </w:p>
          <w:p w14:paraId="74DCE510">
            <w:pPr>
              <w:spacing w:line="360" w:lineRule="auto"/>
              <w:ind w:firstLine="480"/>
              <w:rPr>
                <w:sz w:val="24"/>
              </w:rPr>
            </w:pPr>
            <w:r>
              <w:rPr>
                <w:sz w:val="24"/>
              </w:rPr>
              <w:t>施工期主要对工程实施提出相应的扬尘防治、迹地恢复、噪声控制等措施，施工期应按规范进行，具体参照施工期间的污染防治对策。建设单位在施工过程中，除必须认真落实和执行报告表中提出的各项环保对策外，评价强调以下几点：</w:t>
            </w:r>
          </w:p>
          <w:p w14:paraId="3357AC36">
            <w:pPr>
              <w:spacing w:line="360" w:lineRule="auto"/>
              <w:ind w:firstLine="480"/>
              <w:rPr>
                <w:sz w:val="24"/>
              </w:rPr>
            </w:pPr>
            <w:r>
              <w:rPr>
                <w:sz w:val="24"/>
              </w:rPr>
              <w:t>（1）保证足够的环保资金，实施本报告建议的各项治污措施，做好项目建设的“三同时”工作。</w:t>
            </w:r>
          </w:p>
          <w:p w14:paraId="5DB2E6DB">
            <w:pPr>
              <w:spacing w:line="360" w:lineRule="auto"/>
              <w:ind w:firstLine="480"/>
              <w:rPr>
                <w:sz w:val="24"/>
              </w:rPr>
            </w:pPr>
            <w:r>
              <w:rPr>
                <w:sz w:val="24"/>
              </w:rPr>
              <w:t>（2）项目采取间断推进施工，以减轻施工过程对社会环境的影响。</w:t>
            </w:r>
          </w:p>
          <w:p w14:paraId="4FCF78CF">
            <w:pPr>
              <w:spacing w:line="360" w:lineRule="auto"/>
              <w:ind w:firstLine="480"/>
              <w:rPr>
                <w:sz w:val="24"/>
              </w:rPr>
            </w:pPr>
            <w:r>
              <w:rPr>
                <w:sz w:val="24"/>
              </w:rPr>
              <w:t>（3）及时清运弃</w:t>
            </w:r>
            <w:r>
              <w:rPr>
                <w:rFonts w:hint="eastAsia"/>
                <w:sz w:val="24"/>
              </w:rPr>
              <w:t>渣</w:t>
            </w:r>
            <w:r>
              <w:rPr>
                <w:sz w:val="24"/>
              </w:rPr>
              <w:t>，运输时避免沿途撒漏。</w:t>
            </w:r>
          </w:p>
          <w:p w14:paraId="6F8CFD79">
            <w:pPr>
              <w:spacing w:line="360" w:lineRule="auto"/>
              <w:ind w:firstLine="480"/>
              <w:rPr>
                <w:sz w:val="24"/>
              </w:rPr>
            </w:pPr>
            <w:r>
              <w:rPr>
                <w:sz w:val="24"/>
              </w:rPr>
              <w:t>（4）严禁野蛮施工，必须对文物加以保护和重视，一旦在施工过程中发现文物，必须立即报告当地有关职能部门。</w:t>
            </w:r>
          </w:p>
          <w:p w14:paraId="497B82D3">
            <w:pPr>
              <w:spacing w:line="360" w:lineRule="auto"/>
              <w:ind w:firstLine="480"/>
              <w:rPr>
                <w:b/>
                <w:sz w:val="24"/>
              </w:rPr>
            </w:pPr>
            <w:r>
              <w:rPr>
                <w:b/>
                <w:sz w:val="24"/>
              </w:rPr>
              <w:t>2、营运期</w:t>
            </w:r>
          </w:p>
          <w:p w14:paraId="04EF49C3">
            <w:pPr>
              <w:spacing w:line="360" w:lineRule="auto"/>
              <w:ind w:firstLine="480"/>
              <w:rPr>
                <w:sz w:val="24"/>
              </w:rPr>
            </w:pPr>
            <w:r>
              <w:rPr>
                <w:sz w:val="24"/>
              </w:rPr>
              <w:t>营运期加强道路路面管理及维护，预留专项噪声治理资金，减</w:t>
            </w:r>
            <w:r>
              <w:rPr>
                <w:rFonts w:hint="eastAsia"/>
                <w:sz w:val="24"/>
              </w:rPr>
              <w:t>轻噪声影响</w:t>
            </w:r>
            <w:r>
              <w:rPr>
                <w:sz w:val="24"/>
              </w:rPr>
              <w:t>。</w:t>
            </w:r>
          </w:p>
          <w:p w14:paraId="55DC07DB">
            <w:pPr>
              <w:spacing w:line="360" w:lineRule="auto"/>
              <w:rPr>
                <w:sz w:val="24"/>
              </w:rPr>
            </w:pPr>
          </w:p>
          <w:p w14:paraId="009BEF50"/>
          <w:p w14:paraId="2409E036"/>
          <w:p w14:paraId="4C078D24">
            <w:pPr>
              <w:adjustRightInd w:val="0"/>
              <w:snapToGrid w:val="0"/>
              <w:rPr>
                <w:rFonts w:ascii="宋体" w:hAnsi="宋体" w:cs="宋体"/>
                <w:szCs w:val="21"/>
              </w:rPr>
            </w:pPr>
          </w:p>
        </w:tc>
      </w:tr>
    </w:tbl>
    <w:p w14:paraId="12151C37">
      <w:pPr>
        <w:adjustRightInd w:val="0"/>
        <w:snapToGrid w:val="0"/>
        <w:spacing w:before="192" w:beforeLines="80"/>
        <w:rPr>
          <w:rFonts w:ascii="宋体"/>
        </w:rPr>
      </w:pPr>
    </w:p>
    <w:sectPr>
      <w:pgSz w:w="11906" w:h="16838"/>
      <w:pgMar w:top="1440" w:right="1800" w:bottom="1440" w:left="1800" w:header="851" w:footer="1077"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MS Sans Serif">
    <w:altName w:val="Arial"/>
    <w:panose1 w:val="020B0500000000000000"/>
    <w:charset w:val="00"/>
    <w:family w:val="swiss"/>
    <w:pitch w:val="default"/>
    <w:sig w:usb0="00000000" w:usb1="00000000" w:usb2="00000000" w:usb3="00000000" w:csb0="00000001" w:csb1="00000000"/>
  </w:font>
  <w:font w:name="Consolas">
    <w:panose1 w:val="020B0609020204030204"/>
    <w:charset w:val="00"/>
    <w:family w:val="modern"/>
    <w:pitch w:val="default"/>
    <w:sig w:usb0="E00006FF" w:usb1="0000FCFF" w:usb2="00000001" w:usb3="00000000" w:csb0="6000019F" w:csb1="DFD70000"/>
  </w:font>
  <w:font w:name="Trebuchet MS">
    <w:panose1 w:val="020B0603020202020204"/>
    <w:charset w:val="00"/>
    <w:family w:val="swiss"/>
    <w:pitch w:val="default"/>
    <w:sig w:usb0="00000687" w:usb1="00000000" w:usb2="00000000" w:usb3="00000000" w:csb0="2000009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0000000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华文仿宋">
    <w:altName w:val="仿宋"/>
    <w:panose1 w:val="02010600040101010101"/>
    <w:charset w:val="86"/>
    <w:family w:val="auto"/>
    <w:pitch w:val="default"/>
    <w:sig w:usb0="00000000" w:usb1="00000000" w:usb2="00000010" w:usb3="00000000" w:csb0="0004009F" w:csb1="00000000"/>
  </w:font>
  <w:font w:name="Wingdings 2">
    <w:panose1 w:val="05020102010507070707"/>
    <w:charset w:val="02"/>
    <w:family w:val="roman"/>
    <w:pitch w:val="default"/>
    <w:sig w:usb0="00000000" w:usb1="00000000" w:usb2="00000000" w:usb3="00000000" w:csb0="80000000" w:csb1="00000000"/>
  </w:font>
  <w:font w:name="宋">
    <w:altName w:val="宋体"/>
    <w:panose1 w:val="00000000000000000000"/>
    <w:charset w:val="86"/>
    <w:family w:val="roman"/>
    <w:pitch w:val="default"/>
    <w:sig w:usb0="00000000" w:usb1="00000000" w:usb2="00000000" w:usb3="00000000" w:csb0="00040001" w:csb1="00000000"/>
  </w:font>
  <w:font w:name="隶书">
    <w:altName w:val="微软雅黑"/>
    <w:panose1 w:val="02010509060101010101"/>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4720E">
    <w:pP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0E5DC9">
    <w:pPr>
      <w:framePr w:wrap="around" w:vAnchor="text" w:hAnchor="margin" w:xAlign="outside" w:y="1"/>
    </w:pPr>
    <w:r>
      <w:fldChar w:fldCharType="begin"/>
    </w:r>
    <w:r>
      <w:instrText xml:space="preserve">PAGE  </w:instrText>
    </w:r>
    <w:r>
      <w:fldChar w:fldCharType="end"/>
    </w:r>
  </w:p>
  <w:p w14:paraId="46FE80DA">
    <w:pP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473417">
    <w:pPr>
      <w:pStyle w:val="24"/>
      <w:jc w:val="center"/>
    </w:pPr>
    <w:r>
      <w:fldChar w:fldCharType="begin"/>
    </w:r>
    <w:r>
      <w:instrText xml:space="preserve">PAGE   \* MERGEFORMAT</w:instrText>
    </w:r>
    <w:r>
      <w:fldChar w:fldCharType="separate"/>
    </w:r>
    <w:r>
      <w:rPr>
        <w:lang w:val="zh-CN"/>
      </w:rPr>
      <w:t>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73840880"/>
    </w:sdtPr>
    <w:sdtEndPr>
      <w:rPr>
        <w:sz w:val="24"/>
      </w:rPr>
    </w:sdtEndPr>
    <w:sdtContent>
      <w:p w14:paraId="24A37291">
        <w:pPr>
          <w:pStyle w:val="24"/>
          <w:ind w:firstLine="480"/>
          <w:jc w:val="center"/>
          <w:rPr>
            <w:sz w:val="24"/>
          </w:rPr>
        </w:pPr>
        <w:r>
          <w:rPr>
            <w:sz w:val="24"/>
          </w:rPr>
          <w:fldChar w:fldCharType="begin"/>
        </w:r>
        <w:r>
          <w:rPr>
            <w:sz w:val="24"/>
          </w:rPr>
          <w:instrText xml:space="preserve">PAGE   \* MERGEFORMAT</w:instrText>
        </w:r>
        <w:r>
          <w:rPr>
            <w:sz w:val="24"/>
          </w:rPr>
          <w:fldChar w:fldCharType="separate"/>
        </w:r>
        <w:r>
          <w:rPr>
            <w:sz w:val="24"/>
            <w:lang w:val="zh-CN"/>
          </w:rPr>
          <w:t>50</w:t>
        </w:r>
        <w:r>
          <w:rPr>
            <w:sz w:val="24"/>
          </w:rPr>
          <w:fldChar w:fldCharType="end"/>
        </w: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794DAD"/>
    <w:multiLevelType w:val="singleLevel"/>
    <w:tmpl w:val="90794DAD"/>
    <w:lvl w:ilvl="0" w:tentative="0">
      <w:start w:val="1"/>
      <w:numFmt w:val="bullet"/>
      <w:pStyle w:val="16"/>
      <w:lvlText w:val=""/>
      <w:lvlJc w:val="left"/>
      <w:pPr>
        <w:tabs>
          <w:tab w:val="left" w:pos="2040"/>
        </w:tabs>
        <w:ind w:left="2040" w:hanging="360"/>
      </w:pPr>
      <w:rPr>
        <w:rFonts w:hint="default" w:ascii="Wingdings" w:hAnsi="Wingdings"/>
      </w:rPr>
    </w:lvl>
  </w:abstractNum>
  <w:abstractNum w:abstractNumId="1">
    <w:nsid w:val="C698332A"/>
    <w:multiLevelType w:val="singleLevel"/>
    <w:tmpl w:val="C698332A"/>
    <w:lvl w:ilvl="0" w:tentative="0">
      <w:start w:val="1"/>
      <w:numFmt w:val="decimal"/>
      <w:suff w:val="nothing"/>
      <w:lvlText w:val="图3-%1 "/>
      <w:lvlJc w:val="left"/>
      <w:pPr>
        <w:tabs>
          <w:tab w:val="left" w:pos="0"/>
        </w:tabs>
        <w:ind w:left="0" w:firstLine="403"/>
      </w:pPr>
      <w:rPr>
        <w:rFonts w:hint="default"/>
        <w:b/>
        <w:sz w:val="21"/>
      </w:rPr>
    </w:lvl>
  </w:abstractNum>
  <w:abstractNum w:abstractNumId="2">
    <w:nsid w:val="CF235FDF"/>
    <w:multiLevelType w:val="multilevel"/>
    <w:tmpl w:val="CF235FDF"/>
    <w:lvl w:ilvl="0" w:tentative="0">
      <w:start w:val="1"/>
      <w:numFmt w:val="decimal"/>
      <w:pStyle w:val="108"/>
      <w:suff w:val="nothing"/>
      <w:lvlText w:val="表%1"/>
      <w:lvlJc w:val="center"/>
      <w:pPr>
        <w:tabs>
          <w:tab w:val="left" w:pos="0"/>
        </w:tabs>
        <w:ind w:left="-190" w:firstLine="400"/>
      </w:pPr>
      <w:rPr>
        <w:rFonts w:hint="default" w:ascii="Times New Roman" w:hAnsi="Times New Roman" w:eastAsia="宋体" w:cs="宋体"/>
        <w:b/>
      </w:rPr>
    </w:lvl>
    <w:lvl w:ilvl="1" w:tentative="0">
      <w:start w:val="1"/>
      <w:numFmt w:val="decimal"/>
      <w:suff w:val="nothing"/>
      <w:lvlText w:val="%2．"/>
      <w:lvlJc w:val="left"/>
      <w:pPr>
        <w:ind w:left="0" w:firstLine="400"/>
      </w:pPr>
    </w:lvl>
    <w:lvl w:ilvl="2" w:tentative="0">
      <w:start w:val="1"/>
      <w:numFmt w:val="decimal"/>
      <w:suff w:val="nothing"/>
      <w:lvlText w:val="（%3）"/>
      <w:lvlJc w:val="left"/>
      <w:pPr>
        <w:ind w:left="0" w:firstLine="402"/>
      </w:pPr>
    </w:lvl>
    <w:lvl w:ilvl="3" w:tentative="0">
      <w:start w:val="1"/>
      <w:numFmt w:val="decimalEnclosedCircleChinese"/>
      <w:suff w:val="nothing"/>
      <w:lvlText w:val="%4 "/>
      <w:lvlJc w:val="left"/>
      <w:pPr>
        <w:ind w:left="0" w:firstLine="402"/>
      </w:pPr>
    </w:lvl>
    <w:lvl w:ilvl="4" w:tentative="0">
      <w:start w:val="1"/>
      <w:numFmt w:val="decimal"/>
      <w:suff w:val="nothing"/>
      <w:lvlText w:val="%5）"/>
      <w:lvlJc w:val="left"/>
      <w:pPr>
        <w:ind w:left="0" w:firstLine="402"/>
      </w:pPr>
    </w:lvl>
    <w:lvl w:ilvl="5" w:tentative="0">
      <w:start w:val="1"/>
      <w:numFmt w:val="lowerLetter"/>
      <w:suff w:val="nothing"/>
      <w:lvlText w:val="%6．"/>
      <w:lvlJc w:val="left"/>
      <w:pPr>
        <w:ind w:left="0" w:firstLine="402"/>
      </w:pPr>
    </w:lvl>
    <w:lvl w:ilvl="6" w:tentative="0">
      <w:start w:val="1"/>
      <w:numFmt w:val="lowerLetter"/>
      <w:suff w:val="nothing"/>
      <w:lvlText w:val="%7）"/>
      <w:lvlJc w:val="left"/>
      <w:pPr>
        <w:ind w:left="0" w:firstLine="402"/>
      </w:pPr>
    </w:lvl>
    <w:lvl w:ilvl="7" w:tentative="0">
      <w:start w:val="1"/>
      <w:numFmt w:val="lowerRoman"/>
      <w:suff w:val="nothing"/>
      <w:lvlText w:val="%8. "/>
      <w:lvlJc w:val="left"/>
      <w:pPr>
        <w:ind w:left="0" w:firstLine="402"/>
      </w:pPr>
    </w:lvl>
    <w:lvl w:ilvl="8" w:tentative="0">
      <w:start w:val="1"/>
      <w:numFmt w:val="lowerRoman"/>
      <w:suff w:val="nothing"/>
      <w:lvlText w:val="%9）"/>
      <w:lvlJc w:val="left"/>
      <w:pPr>
        <w:ind w:left="0" w:firstLine="402"/>
      </w:pPr>
    </w:lvl>
  </w:abstractNum>
  <w:abstractNum w:abstractNumId="3">
    <w:nsid w:val="19E52ED4"/>
    <w:multiLevelType w:val="multilevel"/>
    <w:tmpl w:val="19E52ED4"/>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4BE12EEB"/>
    <w:multiLevelType w:val="multilevel"/>
    <w:tmpl w:val="4BE12EEB"/>
    <w:lvl w:ilvl="0" w:tentative="0">
      <w:start w:val="1"/>
      <w:numFmt w:val="decimal"/>
      <w:pStyle w:val="3"/>
      <w:suff w:val="nothing"/>
      <w:lvlText w:val="%1"/>
      <w:lvlJc w:val="left"/>
      <w:pPr>
        <w:ind w:left="0" w:firstLine="0"/>
      </w:pPr>
      <w:rPr>
        <w:rFonts w:hint="eastAsia"/>
        <w:color w:val="FFFFFF"/>
        <w:sz w:val="2"/>
      </w:rPr>
    </w:lvl>
    <w:lvl w:ilvl="1" w:tentative="0">
      <w:start w:val="1"/>
      <w:numFmt w:val="decimal"/>
      <w:pStyle w:val="4"/>
      <w:suff w:val="nothing"/>
      <w:lvlText w:val="表%1-%2  "/>
      <w:lvlJc w:val="center"/>
      <w:pPr>
        <w:ind w:left="3360" w:firstLine="0"/>
      </w:pPr>
      <w:rPr>
        <w:rFonts w:hint="default" w:ascii="Times New Roman" w:hAnsi="Times New Roman" w:eastAsia="宋体"/>
        <w:b/>
        <w:i w:val="0"/>
        <w:color w:val="000000"/>
        <w:sz w:val="21"/>
        <w:lang w:val="en-US"/>
      </w:rPr>
    </w:lvl>
    <w:lvl w:ilvl="2" w:tentative="0">
      <w:start w:val="1"/>
      <w:numFmt w:val="decimal"/>
      <w:lvlRestart w:val="1"/>
      <w:pStyle w:val="6"/>
      <w:suff w:val="nothing"/>
      <w:lvlText w:val="图%1-%3  "/>
      <w:lvlJc w:val="center"/>
      <w:pPr>
        <w:ind w:left="0" w:firstLine="0"/>
      </w:pPr>
      <w:rPr>
        <w:rFonts w:hint="default" w:ascii="Times New Roman" w:hAnsi="Times New Roman" w:eastAsia="宋体" w:cs="Times New Roman"/>
        <w:b/>
        <w:i w:val="0"/>
        <w:iCs w:val="0"/>
        <w:caps w:val="0"/>
        <w:smallCaps w:val="0"/>
        <w:strike w:val="0"/>
        <w:dstrike w:val="0"/>
        <w:vanish w:val="0"/>
        <w:color w:val="000000"/>
        <w:spacing w:val="0"/>
        <w:position w:val="0"/>
        <w:sz w:val="21"/>
        <w:u w:val="none"/>
        <w:vertAlign w:val="baseline"/>
        <w14:shadow w14:blurRad="0" w14:dist="0" w14:dir="0" w14:sx="0" w14:sy="0" w14:kx="0" w14:ky="0" w14:algn="none">
          <w14:srgbClr w14:val="000000"/>
        </w14:shadow>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5">
    <w:nsid w:val="5ECD326D"/>
    <w:multiLevelType w:val="multilevel"/>
    <w:tmpl w:val="5ECD326D"/>
    <w:lvl w:ilvl="0" w:tentative="0">
      <w:start w:val="1"/>
      <w:numFmt w:val="decimal"/>
      <w:pStyle w:val="97"/>
      <w:suff w:val="nothing"/>
      <w:lvlText w:val="第%1章 "/>
      <w:lvlJc w:val="left"/>
      <w:pPr>
        <w:ind w:left="0" w:firstLine="0"/>
      </w:pPr>
      <w:rPr>
        <w:rFonts w:hint="eastAsia" w:eastAsia="宋体"/>
      </w:rPr>
    </w:lvl>
    <w:lvl w:ilvl="1" w:tentative="0">
      <w:start w:val="1"/>
      <w:numFmt w:val="decimal"/>
      <w:pStyle w:val="96"/>
      <w:suff w:val="nothing"/>
      <w:lvlText w:val="%1.%2"/>
      <w:lvlJc w:val="left"/>
      <w:pPr>
        <w:ind w:left="0" w:firstLine="0"/>
      </w:pPr>
      <w:rPr>
        <w:rFonts w:hint="eastAsia"/>
      </w:rPr>
    </w:lvl>
    <w:lvl w:ilvl="2" w:tentative="0">
      <w:start w:val="1"/>
      <w:numFmt w:val="decimal"/>
      <w:pStyle w:val="92"/>
      <w:suff w:val="nothing"/>
      <w:lvlText w:val="%1.%2.%3"/>
      <w:lvlJc w:val="left"/>
      <w:pPr>
        <w:ind w:left="0" w:firstLine="0"/>
      </w:pPr>
      <w:rPr>
        <w:rFonts w:hint="eastAsia"/>
      </w:rPr>
    </w:lvl>
    <w:lvl w:ilvl="3" w:tentative="0">
      <w:start w:val="1"/>
      <w:numFmt w:val="decimal"/>
      <w:pStyle w:val="93"/>
      <w:suff w:val="nothing"/>
      <w:lvlText w:val="%1.%2.%3.%4"/>
      <w:lvlJc w:val="left"/>
      <w:pPr>
        <w:ind w:left="0" w:firstLine="0"/>
      </w:pPr>
      <w:rPr>
        <w:rFonts w:hint="eastAsia"/>
      </w:rPr>
    </w:lvl>
    <w:lvl w:ilvl="4" w:tentative="0">
      <w:start w:val="1"/>
      <w:numFmt w:val="decimal"/>
      <w:suff w:val="nothing"/>
      <w:lvlText w:val="%1.%2.%3.%4.%5"/>
      <w:lvlJc w:val="left"/>
      <w:pPr>
        <w:ind w:left="2411" w:hanging="850"/>
      </w:pPr>
      <w:rPr>
        <w:rFonts w:hint="eastAsia"/>
      </w:rPr>
    </w:lvl>
    <w:lvl w:ilvl="5" w:tentative="0">
      <w:start w:val="1"/>
      <w:numFmt w:val="decimal"/>
      <w:lvlText w:val="%1.%2.%3.%4.%5.%6"/>
      <w:lvlJc w:val="left"/>
      <w:pPr>
        <w:ind w:left="3120" w:hanging="1134"/>
      </w:pPr>
      <w:rPr>
        <w:rFonts w:hint="eastAsia"/>
      </w:rPr>
    </w:lvl>
    <w:lvl w:ilvl="6" w:tentative="0">
      <w:start w:val="1"/>
      <w:numFmt w:val="decimal"/>
      <w:lvlText w:val="%1.%2.%3.%4.%5.%6.%7"/>
      <w:lvlJc w:val="left"/>
      <w:pPr>
        <w:ind w:left="3687" w:hanging="1276"/>
      </w:pPr>
      <w:rPr>
        <w:rFonts w:hint="eastAsia"/>
      </w:rPr>
    </w:lvl>
    <w:lvl w:ilvl="7" w:tentative="0">
      <w:start w:val="1"/>
      <w:numFmt w:val="decimal"/>
      <w:lvlRestart w:val="2"/>
      <w:pStyle w:val="94"/>
      <w:suff w:val="nothing"/>
      <w:lvlText w:val="图%1.%2-%8  "/>
      <w:lvlJc w:val="left"/>
      <w:pPr>
        <w:ind w:left="5529" w:firstLine="0"/>
      </w:pPr>
      <w:rPr>
        <w:rFonts w:hint="eastAsia"/>
      </w:rPr>
    </w:lvl>
    <w:lvl w:ilvl="8" w:tentative="0">
      <w:start w:val="1"/>
      <w:numFmt w:val="decimal"/>
      <w:lvlRestart w:val="2"/>
      <w:pStyle w:val="95"/>
      <w:suff w:val="nothing"/>
      <w:lvlText w:val="表%1.%2-%9  "/>
      <w:lvlJc w:val="left"/>
      <w:pPr>
        <w:ind w:left="4821" w:firstLine="0"/>
      </w:pPr>
      <w:rPr>
        <w:rFonts w:hint="eastAsia" w:ascii="Times New Roman" w:hAnsi="Times New Roman" w:cs="Times New Roman"/>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abstractNum>
  <w:abstractNum w:abstractNumId="6">
    <w:nsid w:val="7CD2D2B6"/>
    <w:multiLevelType w:val="singleLevel"/>
    <w:tmpl w:val="7CD2D2B6"/>
    <w:lvl w:ilvl="0" w:tentative="0">
      <w:start w:val="1"/>
      <w:numFmt w:val="decimal"/>
      <w:suff w:val="nothing"/>
      <w:lvlText w:val="表3-%1 "/>
      <w:lvlJc w:val="left"/>
      <w:pPr>
        <w:ind w:left="0" w:firstLine="403"/>
      </w:pPr>
      <w:rPr>
        <w:rFonts w:hint="default"/>
      </w:rPr>
    </w:lvl>
  </w:abstractNum>
  <w:num w:numId="1">
    <w:abstractNumId w:val="4"/>
  </w:num>
  <w:num w:numId="2">
    <w:abstractNumId w:val="0"/>
  </w:num>
  <w:num w:numId="3">
    <w:abstractNumId w:val="5"/>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M3YzRlOWMyZDA2YzIyOWFjMWFmOWNmNjcxYjIxZjMifQ=="/>
  </w:docVars>
  <w:rsids>
    <w:rsidRoot w:val="00A14947"/>
    <w:rsid w:val="00000B40"/>
    <w:rsid w:val="000014BD"/>
    <w:rsid w:val="00001CED"/>
    <w:rsid w:val="00001E67"/>
    <w:rsid w:val="00003BEB"/>
    <w:rsid w:val="00003CD8"/>
    <w:rsid w:val="0000648C"/>
    <w:rsid w:val="000105B1"/>
    <w:rsid w:val="00010A15"/>
    <w:rsid w:val="00014965"/>
    <w:rsid w:val="0001523A"/>
    <w:rsid w:val="00016ECB"/>
    <w:rsid w:val="000234FC"/>
    <w:rsid w:val="000268AF"/>
    <w:rsid w:val="000269F6"/>
    <w:rsid w:val="000301F0"/>
    <w:rsid w:val="000316C9"/>
    <w:rsid w:val="00031939"/>
    <w:rsid w:val="00032D25"/>
    <w:rsid w:val="00036EB4"/>
    <w:rsid w:val="000413BE"/>
    <w:rsid w:val="000442E5"/>
    <w:rsid w:val="00044F72"/>
    <w:rsid w:val="00046864"/>
    <w:rsid w:val="00046880"/>
    <w:rsid w:val="00047C4B"/>
    <w:rsid w:val="00050A2F"/>
    <w:rsid w:val="0005219D"/>
    <w:rsid w:val="0005568F"/>
    <w:rsid w:val="00056349"/>
    <w:rsid w:val="000606C1"/>
    <w:rsid w:val="0006153D"/>
    <w:rsid w:val="00061B1F"/>
    <w:rsid w:val="0006323E"/>
    <w:rsid w:val="00064149"/>
    <w:rsid w:val="000664DB"/>
    <w:rsid w:val="00066614"/>
    <w:rsid w:val="00070705"/>
    <w:rsid w:val="0007127D"/>
    <w:rsid w:val="00071AE5"/>
    <w:rsid w:val="00072645"/>
    <w:rsid w:val="000735B9"/>
    <w:rsid w:val="00074783"/>
    <w:rsid w:val="000801E0"/>
    <w:rsid w:val="00080F42"/>
    <w:rsid w:val="00082A29"/>
    <w:rsid w:val="000830E8"/>
    <w:rsid w:val="0008331D"/>
    <w:rsid w:val="00083C18"/>
    <w:rsid w:val="00086A64"/>
    <w:rsid w:val="00092899"/>
    <w:rsid w:val="0009777F"/>
    <w:rsid w:val="00097FC4"/>
    <w:rsid w:val="000A178E"/>
    <w:rsid w:val="000A1C31"/>
    <w:rsid w:val="000A4BDD"/>
    <w:rsid w:val="000A557E"/>
    <w:rsid w:val="000B02A3"/>
    <w:rsid w:val="000B058F"/>
    <w:rsid w:val="000B0D9F"/>
    <w:rsid w:val="000B11BB"/>
    <w:rsid w:val="000B5271"/>
    <w:rsid w:val="000B5BF8"/>
    <w:rsid w:val="000B693F"/>
    <w:rsid w:val="000B7EC5"/>
    <w:rsid w:val="000C0722"/>
    <w:rsid w:val="000C09AC"/>
    <w:rsid w:val="000C0A63"/>
    <w:rsid w:val="000C1FB6"/>
    <w:rsid w:val="000C318B"/>
    <w:rsid w:val="000C437E"/>
    <w:rsid w:val="000D07DA"/>
    <w:rsid w:val="000D1ECF"/>
    <w:rsid w:val="000D3051"/>
    <w:rsid w:val="000E0A71"/>
    <w:rsid w:val="000E2C07"/>
    <w:rsid w:val="000E45FE"/>
    <w:rsid w:val="000E5C21"/>
    <w:rsid w:val="000E5F16"/>
    <w:rsid w:val="000E603D"/>
    <w:rsid w:val="000E71CA"/>
    <w:rsid w:val="000E7BBC"/>
    <w:rsid w:val="000F2304"/>
    <w:rsid w:val="000F2E0D"/>
    <w:rsid w:val="000F376E"/>
    <w:rsid w:val="000F37BB"/>
    <w:rsid w:val="000F4452"/>
    <w:rsid w:val="000F58FD"/>
    <w:rsid w:val="000F6C5E"/>
    <w:rsid w:val="000F6DA1"/>
    <w:rsid w:val="000F701B"/>
    <w:rsid w:val="00103D9C"/>
    <w:rsid w:val="001056A0"/>
    <w:rsid w:val="00106353"/>
    <w:rsid w:val="00114C01"/>
    <w:rsid w:val="001150D2"/>
    <w:rsid w:val="00115279"/>
    <w:rsid w:val="001166A1"/>
    <w:rsid w:val="00117459"/>
    <w:rsid w:val="0011749A"/>
    <w:rsid w:val="001210EB"/>
    <w:rsid w:val="00121AE1"/>
    <w:rsid w:val="00123A9D"/>
    <w:rsid w:val="001242D7"/>
    <w:rsid w:val="001257CC"/>
    <w:rsid w:val="00125854"/>
    <w:rsid w:val="001262B6"/>
    <w:rsid w:val="00127A68"/>
    <w:rsid w:val="0013046A"/>
    <w:rsid w:val="0013127D"/>
    <w:rsid w:val="00134E75"/>
    <w:rsid w:val="00135467"/>
    <w:rsid w:val="001364EA"/>
    <w:rsid w:val="00136CF9"/>
    <w:rsid w:val="001374DA"/>
    <w:rsid w:val="00140B13"/>
    <w:rsid w:val="00140C84"/>
    <w:rsid w:val="001415C9"/>
    <w:rsid w:val="00141681"/>
    <w:rsid w:val="00141B68"/>
    <w:rsid w:val="00142F11"/>
    <w:rsid w:val="001456CA"/>
    <w:rsid w:val="00146166"/>
    <w:rsid w:val="001466DA"/>
    <w:rsid w:val="00147794"/>
    <w:rsid w:val="0015418B"/>
    <w:rsid w:val="00154DE1"/>
    <w:rsid w:val="00155B40"/>
    <w:rsid w:val="00157435"/>
    <w:rsid w:val="00160BC3"/>
    <w:rsid w:val="00161136"/>
    <w:rsid w:val="001619F7"/>
    <w:rsid w:val="001629A1"/>
    <w:rsid w:val="00163AF0"/>
    <w:rsid w:val="00163EEA"/>
    <w:rsid w:val="0016639D"/>
    <w:rsid w:val="00166FA0"/>
    <w:rsid w:val="00167A07"/>
    <w:rsid w:val="00170207"/>
    <w:rsid w:val="0017046A"/>
    <w:rsid w:val="001704A3"/>
    <w:rsid w:val="00170A31"/>
    <w:rsid w:val="00172A7E"/>
    <w:rsid w:val="00174336"/>
    <w:rsid w:val="0017504D"/>
    <w:rsid w:val="00175F72"/>
    <w:rsid w:val="00177422"/>
    <w:rsid w:val="00177F6A"/>
    <w:rsid w:val="001811CC"/>
    <w:rsid w:val="0018349D"/>
    <w:rsid w:val="001848E2"/>
    <w:rsid w:val="00184F10"/>
    <w:rsid w:val="00185546"/>
    <w:rsid w:val="0018633B"/>
    <w:rsid w:val="0019146B"/>
    <w:rsid w:val="00194398"/>
    <w:rsid w:val="001954B6"/>
    <w:rsid w:val="00196185"/>
    <w:rsid w:val="00197DC6"/>
    <w:rsid w:val="001A0E49"/>
    <w:rsid w:val="001A57B4"/>
    <w:rsid w:val="001A7D2A"/>
    <w:rsid w:val="001B574C"/>
    <w:rsid w:val="001C0AF9"/>
    <w:rsid w:val="001C12E7"/>
    <w:rsid w:val="001C155A"/>
    <w:rsid w:val="001C1986"/>
    <w:rsid w:val="001C4461"/>
    <w:rsid w:val="001C48C0"/>
    <w:rsid w:val="001D057D"/>
    <w:rsid w:val="001D2234"/>
    <w:rsid w:val="001D23F9"/>
    <w:rsid w:val="001D30A5"/>
    <w:rsid w:val="001D3906"/>
    <w:rsid w:val="001D39A0"/>
    <w:rsid w:val="001D4B34"/>
    <w:rsid w:val="001D5DD5"/>
    <w:rsid w:val="001D5E76"/>
    <w:rsid w:val="001D6726"/>
    <w:rsid w:val="001D6EFA"/>
    <w:rsid w:val="001E4E1A"/>
    <w:rsid w:val="001E53DB"/>
    <w:rsid w:val="001E5EE3"/>
    <w:rsid w:val="001E730B"/>
    <w:rsid w:val="001E7550"/>
    <w:rsid w:val="001E7E44"/>
    <w:rsid w:val="001F0420"/>
    <w:rsid w:val="001F3347"/>
    <w:rsid w:val="001F4409"/>
    <w:rsid w:val="001F4440"/>
    <w:rsid w:val="001F5A67"/>
    <w:rsid w:val="001F69E4"/>
    <w:rsid w:val="00206A65"/>
    <w:rsid w:val="00210ADF"/>
    <w:rsid w:val="00212D31"/>
    <w:rsid w:val="002130C7"/>
    <w:rsid w:val="002176DF"/>
    <w:rsid w:val="002178E9"/>
    <w:rsid w:val="0022045B"/>
    <w:rsid w:val="002218A8"/>
    <w:rsid w:val="0022306D"/>
    <w:rsid w:val="00223389"/>
    <w:rsid w:val="00223709"/>
    <w:rsid w:val="00224DAC"/>
    <w:rsid w:val="002250D0"/>
    <w:rsid w:val="00226574"/>
    <w:rsid w:val="00226CB4"/>
    <w:rsid w:val="002278EC"/>
    <w:rsid w:val="002321B8"/>
    <w:rsid w:val="002328D6"/>
    <w:rsid w:val="00233086"/>
    <w:rsid w:val="002357C7"/>
    <w:rsid w:val="002367C4"/>
    <w:rsid w:val="00236B04"/>
    <w:rsid w:val="002405B7"/>
    <w:rsid w:val="002422EA"/>
    <w:rsid w:val="002426C2"/>
    <w:rsid w:val="00244BA6"/>
    <w:rsid w:val="00245BFF"/>
    <w:rsid w:val="00251289"/>
    <w:rsid w:val="002515C0"/>
    <w:rsid w:val="0025679E"/>
    <w:rsid w:val="00260C68"/>
    <w:rsid w:val="00262492"/>
    <w:rsid w:val="002648B0"/>
    <w:rsid w:val="002667C4"/>
    <w:rsid w:val="00266E2E"/>
    <w:rsid w:val="00270593"/>
    <w:rsid w:val="00275271"/>
    <w:rsid w:val="0027535E"/>
    <w:rsid w:val="0027578C"/>
    <w:rsid w:val="00275AA6"/>
    <w:rsid w:val="002807D5"/>
    <w:rsid w:val="0028189F"/>
    <w:rsid w:val="00281C58"/>
    <w:rsid w:val="00282CCD"/>
    <w:rsid w:val="002840B3"/>
    <w:rsid w:val="00287BEA"/>
    <w:rsid w:val="00292B40"/>
    <w:rsid w:val="00292D1F"/>
    <w:rsid w:val="002944BD"/>
    <w:rsid w:val="002A132F"/>
    <w:rsid w:val="002A168C"/>
    <w:rsid w:val="002A2C48"/>
    <w:rsid w:val="002A30BB"/>
    <w:rsid w:val="002A3EED"/>
    <w:rsid w:val="002A4A39"/>
    <w:rsid w:val="002A5A17"/>
    <w:rsid w:val="002A6425"/>
    <w:rsid w:val="002A706F"/>
    <w:rsid w:val="002B02BC"/>
    <w:rsid w:val="002B49E2"/>
    <w:rsid w:val="002B7B00"/>
    <w:rsid w:val="002B7C44"/>
    <w:rsid w:val="002C1212"/>
    <w:rsid w:val="002C1260"/>
    <w:rsid w:val="002C1388"/>
    <w:rsid w:val="002C1862"/>
    <w:rsid w:val="002C1CFB"/>
    <w:rsid w:val="002C232B"/>
    <w:rsid w:val="002C301C"/>
    <w:rsid w:val="002C3C6A"/>
    <w:rsid w:val="002D0282"/>
    <w:rsid w:val="002D1A1A"/>
    <w:rsid w:val="002D3CD7"/>
    <w:rsid w:val="002D42DB"/>
    <w:rsid w:val="002D48C6"/>
    <w:rsid w:val="002D4A10"/>
    <w:rsid w:val="002E1899"/>
    <w:rsid w:val="002E1F3A"/>
    <w:rsid w:val="002E244D"/>
    <w:rsid w:val="002E290F"/>
    <w:rsid w:val="002E298A"/>
    <w:rsid w:val="002E3A84"/>
    <w:rsid w:val="002E409F"/>
    <w:rsid w:val="002E414F"/>
    <w:rsid w:val="002E4DC3"/>
    <w:rsid w:val="002E5165"/>
    <w:rsid w:val="002E632E"/>
    <w:rsid w:val="002F0129"/>
    <w:rsid w:val="002F02A4"/>
    <w:rsid w:val="002F20C3"/>
    <w:rsid w:val="002F272B"/>
    <w:rsid w:val="002F3A78"/>
    <w:rsid w:val="002F7C6D"/>
    <w:rsid w:val="0030025C"/>
    <w:rsid w:val="003027E4"/>
    <w:rsid w:val="0030332C"/>
    <w:rsid w:val="0030584E"/>
    <w:rsid w:val="00311091"/>
    <w:rsid w:val="00311528"/>
    <w:rsid w:val="00311FA5"/>
    <w:rsid w:val="00312296"/>
    <w:rsid w:val="0031340E"/>
    <w:rsid w:val="00316464"/>
    <w:rsid w:val="0031668B"/>
    <w:rsid w:val="003179ED"/>
    <w:rsid w:val="0032073A"/>
    <w:rsid w:val="00321D8E"/>
    <w:rsid w:val="00322289"/>
    <w:rsid w:val="003228B5"/>
    <w:rsid w:val="003228B8"/>
    <w:rsid w:val="003261BE"/>
    <w:rsid w:val="00327F2A"/>
    <w:rsid w:val="00330431"/>
    <w:rsid w:val="00330A54"/>
    <w:rsid w:val="0033107F"/>
    <w:rsid w:val="003332F2"/>
    <w:rsid w:val="003336D4"/>
    <w:rsid w:val="0033483B"/>
    <w:rsid w:val="00334996"/>
    <w:rsid w:val="00335BA9"/>
    <w:rsid w:val="00336969"/>
    <w:rsid w:val="00336C52"/>
    <w:rsid w:val="00341B3E"/>
    <w:rsid w:val="00341B42"/>
    <w:rsid w:val="00341FE1"/>
    <w:rsid w:val="0034231D"/>
    <w:rsid w:val="00345154"/>
    <w:rsid w:val="00345174"/>
    <w:rsid w:val="00345190"/>
    <w:rsid w:val="0034560E"/>
    <w:rsid w:val="00346076"/>
    <w:rsid w:val="00350151"/>
    <w:rsid w:val="00350523"/>
    <w:rsid w:val="00352975"/>
    <w:rsid w:val="00353DDA"/>
    <w:rsid w:val="00353EEA"/>
    <w:rsid w:val="00354EB7"/>
    <w:rsid w:val="00355C43"/>
    <w:rsid w:val="003563CE"/>
    <w:rsid w:val="00356868"/>
    <w:rsid w:val="003572B9"/>
    <w:rsid w:val="00357AD6"/>
    <w:rsid w:val="00357DD0"/>
    <w:rsid w:val="00363098"/>
    <w:rsid w:val="0036485B"/>
    <w:rsid w:val="003649BC"/>
    <w:rsid w:val="003654C5"/>
    <w:rsid w:val="00367B5C"/>
    <w:rsid w:val="003730D9"/>
    <w:rsid w:val="0037368E"/>
    <w:rsid w:val="00373714"/>
    <w:rsid w:val="00373B0D"/>
    <w:rsid w:val="00374CC6"/>
    <w:rsid w:val="00376988"/>
    <w:rsid w:val="00380F58"/>
    <w:rsid w:val="00381A72"/>
    <w:rsid w:val="00383B0F"/>
    <w:rsid w:val="00385893"/>
    <w:rsid w:val="00385C84"/>
    <w:rsid w:val="00387C02"/>
    <w:rsid w:val="00391172"/>
    <w:rsid w:val="00391BA8"/>
    <w:rsid w:val="00392591"/>
    <w:rsid w:val="003928DA"/>
    <w:rsid w:val="003934AB"/>
    <w:rsid w:val="00396158"/>
    <w:rsid w:val="00397FA0"/>
    <w:rsid w:val="003A1880"/>
    <w:rsid w:val="003A1948"/>
    <w:rsid w:val="003A2EEE"/>
    <w:rsid w:val="003A4293"/>
    <w:rsid w:val="003A45F4"/>
    <w:rsid w:val="003A6787"/>
    <w:rsid w:val="003A6CC0"/>
    <w:rsid w:val="003A6F0C"/>
    <w:rsid w:val="003A79A4"/>
    <w:rsid w:val="003B0115"/>
    <w:rsid w:val="003B09DC"/>
    <w:rsid w:val="003B09DF"/>
    <w:rsid w:val="003B152A"/>
    <w:rsid w:val="003B1A7D"/>
    <w:rsid w:val="003B328D"/>
    <w:rsid w:val="003B38B8"/>
    <w:rsid w:val="003B4353"/>
    <w:rsid w:val="003B48DA"/>
    <w:rsid w:val="003B4950"/>
    <w:rsid w:val="003B545B"/>
    <w:rsid w:val="003B5B1D"/>
    <w:rsid w:val="003C1839"/>
    <w:rsid w:val="003C2E1D"/>
    <w:rsid w:val="003C51F3"/>
    <w:rsid w:val="003C549B"/>
    <w:rsid w:val="003C788F"/>
    <w:rsid w:val="003D1938"/>
    <w:rsid w:val="003D272C"/>
    <w:rsid w:val="003D3B4A"/>
    <w:rsid w:val="003D3EE9"/>
    <w:rsid w:val="003D51A7"/>
    <w:rsid w:val="003D7330"/>
    <w:rsid w:val="003E268E"/>
    <w:rsid w:val="003E414A"/>
    <w:rsid w:val="003E4F21"/>
    <w:rsid w:val="003E7681"/>
    <w:rsid w:val="003F0250"/>
    <w:rsid w:val="003F0809"/>
    <w:rsid w:val="003F34A8"/>
    <w:rsid w:val="003F611C"/>
    <w:rsid w:val="003F755C"/>
    <w:rsid w:val="00404848"/>
    <w:rsid w:val="0040489A"/>
    <w:rsid w:val="00404D1C"/>
    <w:rsid w:val="004064C2"/>
    <w:rsid w:val="00406F01"/>
    <w:rsid w:val="0041108A"/>
    <w:rsid w:val="00411B36"/>
    <w:rsid w:val="004121D7"/>
    <w:rsid w:val="00412665"/>
    <w:rsid w:val="0041315B"/>
    <w:rsid w:val="00416D50"/>
    <w:rsid w:val="00417772"/>
    <w:rsid w:val="00420255"/>
    <w:rsid w:val="00420E6A"/>
    <w:rsid w:val="00422F07"/>
    <w:rsid w:val="00423B3C"/>
    <w:rsid w:val="00423FA7"/>
    <w:rsid w:val="0042404C"/>
    <w:rsid w:val="0042415F"/>
    <w:rsid w:val="00424412"/>
    <w:rsid w:val="00425719"/>
    <w:rsid w:val="004260DC"/>
    <w:rsid w:val="00427574"/>
    <w:rsid w:val="00430F39"/>
    <w:rsid w:val="00432F30"/>
    <w:rsid w:val="00433CA9"/>
    <w:rsid w:val="004342FE"/>
    <w:rsid w:val="00434D69"/>
    <w:rsid w:val="0043521D"/>
    <w:rsid w:val="00436161"/>
    <w:rsid w:val="00436AA9"/>
    <w:rsid w:val="004373CF"/>
    <w:rsid w:val="00442024"/>
    <w:rsid w:val="0044254C"/>
    <w:rsid w:val="004429B6"/>
    <w:rsid w:val="00443F6A"/>
    <w:rsid w:val="0044506B"/>
    <w:rsid w:val="004458E3"/>
    <w:rsid w:val="00445AC2"/>
    <w:rsid w:val="00450A17"/>
    <w:rsid w:val="004515BD"/>
    <w:rsid w:val="00452A8B"/>
    <w:rsid w:val="00452CA2"/>
    <w:rsid w:val="00454E8E"/>
    <w:rsid w:val="0046121D"/>
    <w:rsid w:val="00464CC3"/>
    <w:rsid w:val="00466321"/>
    <w:rsid w:val="004672AF"/>
    <w:rsid w:val="004673BA"/>
    <w:rsid w:val="00470B1B"/>
    <w:rsid w:val="00470BF7"/>
    <w:rsid w:val="004716B8"/>
    <w:rsid w:val="004727B0"/>
    <w:rsid w:val="00474F08"/>
    <w:rsid w:val="0047564B"/>
    <w:rsid w:val="00480247"/>
    <w:rsid w:val="0048081D"/>
    <w:rsid w:val="0048117E"/>
    <w:rsid w:val="004814D5"/>
    <w:rsid w:val="004855F6"/>
    <w:rsid w:val="00485A52"/>
    <w:rsid w:val="00486F0C"/>
    <w:rsid w:val="00490332"/>
    <w:rsid w:val="00494670"/>
    <w:rsid w:val="00494A53"/>
    <w:rsid w:val="00495CFB"/>
    <w:rsid w:val="0049711E"/>
    <w:rsid w:val="004A0EB4"/>
    <w:rsid w:val="004A1B8C"/>
    <w:rsid w:val="004A20E0"/>
    <w:rsid w:val="004A2558"/>
    <w:rsid w:val="004A3823"/>
    <w:rsid w:val="004A43E6"/>
    <w:rsid w:val="004A544D"/>
    <w:rsid w:val="004A59BB"/>
    <w:rsid w:val="004B1FCB"/>
    <w:rsid w:val="004B33A7"/>
    <w:rsid w:val="004B3BE2"/>
    <w:rsid w:val="004B43A3"/>
    <w:rsid w:val="004B4C49"/>
    <w:rsid w:val="004B4FF3"/>
    <w:rsid w:val="004B58A5"/>
    <w:rsid w:val="004B63D9"/>
    <w:rsid w:val="004B6522"/>
    <w:rsid w:val="004C0080"/>
    <w:rsid w:val="004C0882"/>
    <w:rsid w:val="004C207C"/>
    <w:rsid w:val="004C2160"/>
    <w:rsid w:val="004C3CCF"/>
    <w:rsid w:val="004C4B2A"/>
    <w:rsid w:val="004C55BE"/>
    <w:rsid w:val="004D1B0B"/>
    <w:rsid w:val="004E0AC6"/>
    <w:rsid w:val="004E12E6"/>
    <w:rsid w:val="004E1E2C"/>
    <w:rsid w:val="004E446E"/>
    <w:rsid w:val="004E48AA"/>
    <w:rsid w:val="004E5B30"/>
    <w:rsid w:val="004E651A"/>
    <w:rsid w:val="004E6987"/>
    <w:rsid w:val="004E77C3"/>
    <w:rsid w:val="004F0779"/>
    <w:rsid w:val="004F1230"/>
    <w:rsid w:val="004F137F"/>
    <w:rsid w:val="004F173F"/>
    <w:rsid w:val="004F177C"/>
    <w:rsid w:val="004F1EF5"/>
    <w:rsid w:val="004F2DCE"/>
    <w:rsid w:val="004F6418"/>
    <w:rsid w:val="004F6B70"/>
    <w:rsid w:val="00501935"/>
    <w:rsid w:val="0050381F"/>
    <w:rsid w:val="005039CB"/>
    <w:rsid w:val="005042E6"/>
    <w:rsid w:val="0050558F"/>
    <w:rsid w:val="005057E0"/>
    <w:rsid w:val="00506286"/>
    <w:rsid w:val="00510813"/>
    <w:rsid w:val="00510BCC"/>
    <w:rsid w:val="00511DE0"/>
    <w:rsid w:val="00512CE3"/>
    <w:rsid w:val="0051421E"/>
    <w:rsid w:val="0051436D"/>
    <w:rsid w:val="00514CB6"/>
    <w:rsid w:val="00517F02"/>
    <w:rsid w:val="00521AA1"/>
    <w:rsid w:val="00524547"/>
    <w:rsid w:val="005258A2"/>
    <w:rsid w:val="00526219"/>
    <w:rsid w:val="00530F7C"/>
    <w:rsid w:val="00533496"/>
    <w:rsid w:val="00534567"/>
    <w:rsid w:val="00534F43"/>
    <w:rsid w:val="0053535C"/>
    <w:rsid w:val="00535807"/>
    <w:rsid w:val="00535A84"/>
    <w:rsid w:val="0053628E"/>
    <w:rsid w:val="00536889"/>
    <w:rsid w:val="00542E07"/>
    <w:rsid w:val="0054614F"/>
    <w:rsid w:val="00550E39"/>
    <w:rsid w:val="00554229"/>
    <w:rsid w:val="00554621"/>
    <w:rsid w:val="00554A7B"/>
    <w:rsid w:val="0055572C"/>
    <w:rsid w:val="0056064F"/>
    <w:rsid w:val="00561B84"/>
    <w:rsid w:val="005648BC"/>
    <w:rsid w:val="00566112"/>
    <w:rsid w:val="005668D2"/>
    <w:rsid w:val="00567BD9"/>
    <w:rsid w:val="00570DF0"/>
    <w:rsid w:val="00571D98"/>
    <w:rsid w:val="005720AE"/>
    <w:rsid w:val="00572BAF"/>
    <w:rsid w:val="00574DE4"/>
    <w:rsid w:val="00580239"/>
    <w:rsid w:val="0058030D"/>
    <w:rsid w:val="00582045"/>
    <w:rsid w:val="00582A33"/>
    <w:rsid w:val="00583A13"/>
    <w:rsid w:val="005849F9"/>
    <w:rsid w:val="00590AE3"/>
    <w:rsid w:val="005918F1"/>
    <w:rsid w:val="005A06B7"/>
    <w:rsid w:val="005A078F"/>
    <w:rsid w:val="005A0873"/>
    <w:rsid w:val="005A1759"/>
    <w:rsid w:val="005A220A"/>
    <w:rsid w:val="005A3ED4"/>
    <w:rsid w:val="005B0792"/>
    <w:rsid w:val="005B136D"/>
    <w:rsid w:val="005B2D90"/>
    <w:rsid w:val="005B4FE7"/>
    <w:rsid w:val="005B5550"/>
    <w:rsid w:val="005B5761"/>
    <w:rsid w:val="005C15F9"/>
    <w:rsid w:val="005C2151"/>
    <w:rsid w:val="005C299E"/>
    <w:rsid w:val="005C2AF3"/>
    <w:rsid w:val="005C45D5"/>
    <w:rsid w:val="005C51CF"/>
    <w:rsid w:val="005C5F60"/>
    <w:rsid w:val="005D0369"/>
    <w:rsid w:val="005D15E5"/>
    <w:rsid w:val="005D1937"/>
    <w:rsid w:val="005D202B"/>
    <w:rsid w:val="005D2349"/>
    <w:rsid w:val="005D3616"/>
    <w:rsid w:val="005D4294"/>
    <w:rsid w:val="005D53FE"/>
    <w:rsid w:val="005D7A0F"/>
    <w:rsid w:val="005E0438"/>
    <w:rsid w:val="005E0C08"/>
    <w:rsid w:val="005E1791"/>
    <w:rsid w:val="005E2CE6"/>
    <w:rsid w:val="005E406E"/>
    <w:rsid w:val="005E6324"/>
    <w:rsid w:val="005E6E96"/>
    <w:rsid w:val="005E7D66"/>
    <w:rsid w:val="005F228B"/>
    <w:rsid w:val="005F249D"/>
    <w:rsid w:val="005F29CD"/>
    <w:rsid w:val="005F47B7"/>
    <w:rsid w:val="005F4957"/>
    <w:rsid w:val="005F4DFB"/>
    <w:rsid w:val="005F53B6"/>
    <w:rsid w:val="005F5F60"/>
    <w:rsid w:val="005F6B06"/>
    <w:rsid w:val="005F6CC0"/>
    <w:rsid w:val="00600496"/>
    <w:rsid w:val="00600664"/>
    <w:rsid w:val="00601590"/>
    <w:rsid w:val="00603E5B"/>
    <w:rsid w:val="006042A4"/>
    <w:rsid w:val="00604BC8"/>
    <w:rsid w:val="00605F3F"/>
    <w:rsid w:val="00606987"/>
    <w:rsid w:val="00607F96"/>
    <w:rsid w:val="00611370"/>
    <w:rsid w:val="00611D9A"/>
    <w:rsid w:val="00611DFC"/>
    <w:rsid w:val="0061256F"/>
    <w:rsid w:val="00615A26"/>
    <w:rsid w:val="00615B4C"/>
    <w:rsid w:val="00615B5D"/>
    <w:rsid w:val="0062146F"/>
    <w:rsid w:val="00623A30"/>
    <w:rsid w:val="006240AA"/>
    <w:rsid w:val="00624DA4"/>
    <w:rsid w:val="00626BD3"/>
    <w:rsid w:val="006277E9"/>
    <w:rsid w:val="006310D7"/>
    <w:rsid w:val="00633BCF"/>
    <w:rsid w:val="006343AF"/>
    <w:rsid w:val="00634B39"/>
    <w:rsid w:val="00635A55"/>
    <w:rsid w:val="0063634A"/>
    <w:rsid w:val="0063687E"/>
    <w:rsid w:val="006372CB"/>
    <w:rsid w:val="006402E4"/>
    <w:rsid w:val="0064166F"/>
    <w:rsid w:val="00641F02"/>
    <w:rsid w:val="0064250D"/>
    <w:rsid w:val="00642F62"/>
    <w:rsid w:val="0064548C"/>
    <w:rsid w:val="0064653A"/>
    <w:rsid w:val="00651148"/>
    <w:rsid w:val="006535EB"/>
    <w:rsid w:val="006565D4"/>
    <w:rsid w:val="00661D90"/>
    <w:rsid w:val="00663016"/>
    <w:rsid w:val="00664F75"/>
    <w:rsid w:val="0066595E"/>
    <w:rsid w:val="00665AF7"/>
    <w:rsid w:val="006661F7"/>
    <w:rsid w:val="00666CB1"/>
    <w:rsid w:val="00670529"/>
    <w:rsid w:val="006711FC"/>
    <w:rsid w:val="006724B2"/>
    <w:rsid w:val="00672953"/>
    <w:rsid w:val="00674605"/>
    <w:rsid w:val="006748B8"/>
    <w:rsid w:val="006757AB"/>
    <w:rsid w:val="00683484"/>
    <w:rsid w:val="006841C7"/>
    <w:rsid w:val="0068465C"/>
    <w:rsid w:val="00684869"/>
    <w:rsid w:val="006850AC"/>
    <w:rsid w:val="006852D2"/>
    <w:rsid w:val="0068535B"/>
    <w:rsid w:val="006870CA"/>
    <w:rsid w:val="0068736E"/>
    <w:rsid w:val="0069290A"/>
    <w:rsid w:val="00696B3F"/>
    <w:rsid w:val="00697032"/>
    <w:rsid w:val="006975AC"/>
    <w:rsid w:val="006A15FB"/>
    <w:rsid w:val="006A18CD"/>
    <w:rsid w:val="006A1956"/>
    <w:rsid w:val="006A3354"/>
    <w:rsid w:val="006A395B"/>
    <w:rsid w:val="006A4300"/>
    <w:rsid w:val="006A550E"/>
    <w:rsid w:val="006A72BF"/>
    <w:rsid w:val="006A79C4"/>
    <w:rsid w:val="006B102B"/>
    <w:rsid w:val="006B159A"/>
    <w:rsid w:val="006B15DE"/>
    <w:rsid w:val="006B1F94"/>
    <w:rsid w:val="006B24AC"/>
    <w:rsid w:val="006B3298"/>
    <w:rsid w:val="006B332A"/>
    <w:rsid w:val="006B33BD"/>
    <w:rsid w:val="006B34A7"/>
    <w:rsid w:val="006B49DC"/>
    <w:rsid w:val="006B4DD7"/>
    <w:rsid w:val="006B641B"/>
    <w:rsid w:val="006B690B"/>
    <w:rsid w:val="006B6CD7"/>
    <w:rsid w:val="006B6E53"/>
    <w:rsid w:val="006C249E"/>
    <w:rsid w:val="006C3F75"/>
    <w:rsid w:val="006C435F"/>
    <w:rsid w:val="006D0B2B"/>
    <w:rsid w:val="006D170E"/>
    <w:rsid w:val="006D7768"/>
    <w:rsid w:val="006E06AF"/>
    <w:rsid w:val="006E18B5"/>
    <w:rsid w:val="006E48DC"/>
    <w:rsid w:val="006E4B6E"/>
    <w:rsid w:val="006E69B8"/>
    <w:rsid w:val="006F0E77"/>
    <w:rsid w:val="006F1789"/>
    <w:rsid w:val="006F4C7B"/>
    <w:rsid w:val="006F60AC"/>
    <w:rsid w:val="00702B0B"/>
    <w:rsid w:val="007030CE"/>
    <w:rsid w:val="00704C1A"/>
    <w:rsid w:val="007056BE"/>
    <w:rsid w:val="00705D3B"/>
    <w:rsid w:val="00706C5D"/>
    <w:rsid w:val="0070720B"/>
    <w:rsid w:val="007107D8"/>
    <w:rsid w:val="007118E6"/>
    <w:rsid w:val="007119B7"/>
    <w:rsid w:val="00711EEC"/>
    <w:rsid w:val="0071211D"/>
    <w:rsid w:val="00712E0F"/>
    <w:rsid w:val="00717660"/>
    <w:rsid w:val="007225C9"/>
    <w:rsid w:val="00724DF0"/>
    <w:rsid w:val="00725CBF"/>
    <w:rsid w:val="007268B4"/>
    <w:rsid w:val="00727DC0"/>
    <w:rsid w:val="00730332"/>
    <w:rsid w:val="0073036B"/>
    <w:rsid w:val="0073205B"/>
    <w:rsid w:val="00735896"/>
    <w:rsid w:val="00735CD7"/>
    <w:rsid w:val="00737230"/>
    <w:rsid w:val="00740477"/>
    <w:rsid w:val="007405B9"/>
    <w:rsid w:val="00740A2B"/>
    <w:rsid w:val="00740C44"/>
    <w:rsid w:val="00751136"/>
    <w:rsid w:val="007529EC"/>
    <w:rsid w:val="00753C6A"/>
    <w:rsid w:val="00754034"/>
    <w:rsid w:val="00754054"/>
    <w:rsid w:val="00754BF1"/>
    <w:rsid w:val="00755A30"/>
    <w:rsid w:val="00755E1C"/>
    <w:rsid w:val="00756556"/>
    <w:rsid w:val="0076132B"/>
    <w:rsid w:val="007623AE"/>
    <w:rsid w:val="00763A82"/>
    <w:rsid w:val="00764391"/>
    <w:rsid w:val="007673A0"/>
    <w:rsid w:val="00770B19"/>
    <w:rsid w:val="00771C2D"/>
    <w:rsid w:val="00774746"/>
    <w:rsid w:val="00774FA0"/>
    <w:rsid w:val="0077515E"/>
    <w:rsid w:val="00776620"/>
    <w:rsid w:val="00777B6D"/>
    <w:rsid w:val="00783F9E"/>
    <w:rsid w:val="00784855"/>
    <w:rsid w:val="00784AA1"/>
    <w:rsid w:val="00784F39"/>
    <w:rsid w:val="0078545C"/>
    <w:rsid w:val="00786726"/>
    <w:rsid w:val="00786CD9"/>
    <w:rsid w:val="007906C4"/>
    <w:rsid w:val="00790747"/>
    <w:rsid w:val="00790CA7"/>
    <w:rsid w:val="0079141B"/>
    <w:rsid w:val="00791D59"/>
    <w:rsid w:val="00791E9F"/>
    <w:rsid w:val="007932B1"/>
    <w:rsid w:val="007940EA"/>
    <w:rsid w:val="0079422E"/>
    <w:rsid w:val="007964F8"/>
    <w:rsid w:val="007967E8"/>
    <w:rsid w:val="00797454"/>
    <w:rsid w:val="007A0289"/>
    <w:rsid w:val="007A058E"/>
    <w:rsid w:val="007A0949"/>
    <w:rsid w:val="007A0F7E"/>
    <w:rsid w:val="007A1294"/>
    <w:rsid w:val="007A2FE6"/>
    <w:rsid w:val="007A4F17"/>
    <w:rsid w:val="007A63F2"/>
    <w:rsid w:val="007A7689"/>
    <w:rsid w:val="007A788A"/>
    <w:rsid w:val="007B3FAB"/>
    <w:rsid w:val="007B4C7B"/>
    <w:rsid w:val="007B68DE"/>
    <w:rsid w:val="007B7984"/>
    <w:rsid w:val="007B7F23"/>
    <w:rsid w:val="007C01E0"/>
    <w:rsid w:val="007C1857"/>
    <w:rsid w:val="007C2639"/>
    <w:rsid w:val="007C514F"/>
    <w:rsid w:val="007C53E6"/>
    <w:rsid w:val="007D0F95"/>
    <w:rsid w:val="007D16EE"/>
    <w:rsid w:val="007D24A9"/>
    <w:rsid w:val="007D2EE5"/>
    <w:rsid w:val="007D445C"/>
    <w:rsid w:val="007D6002"/>
    <w:rsid w:val="007D7DFA"/>
    <w:rsid w:val="007D7ECB"/>
    <w:rsid w:val="007E07A1"/>
    <w:rsid w:val="007E191A"/>
    <w:rsid w:val="007E25A1"/>
    <w:rsid w:val="007E4591"/>
    <w:rsid w:val="007E4BD2"/>
    <w:rsid w:val="007E4F2C"/>
    <w:rsid w:val="007E6627"/>
    <w:rsid w:val="007E7145"/>
    <w:rsid w:val="007E79E2"/>
    <w:rsid w:val="007F0339"/>
    <w:rsid w:val="007F192D"/>
    <w:rsid w:val="007F3916"/>
    <w:rsid w:val="00800719"/>
    <w:rsid w:val="00800EE8"/>
    <w:rsid w:val="00801179"/>
    <w:rsid w:val="00802479"/>
    <w:rsid w:val="00805372"/>
    <w:rsid w:val="00805B7B"/>
    <w:rsid w:val="0081293E"/>
    <w:rsid w:val="00813509"/>
    <w:rsid w:val="00814FFB"/>
    <w:rsid w:val="00815051"/>
    <w:rsid w:val="008168F3"/>
    <w:rsid w:val="00817D14"/>
    <w:rsid w:val="00817FC4"/>
    <w:rsid w:val="00820568"/>
    <w:rsid w:val="00822898"/>
    <w:rsid w:val="00824F26"/>
    <w:rsid w:val="008262C5"/>
    <w:rsid w:val="00831A80"/>
    <w:rsid w:val="008332C8"/>
    <w:rsid w:val="00833743"/>
    <w:rsid w:val="0083380E"/>
    <w:rsid w:val="008340A4"/>
    <w:rsid w:val="00835884"/>
    <w:rsid w:val="00836799"/>
    <w:rsid w:val="00837028"/>
    <w:rsid w:val="00837131"/>
    <w:rsid w:val="00837268"/>
    <w:rsid w:val="00837340"/>
    <w:rsid w:val="00843020"/>
    <w:rsid w:val="00845481"/>
    <w:rsid w:val="0084570E"/>
    <w:rsid w:val="00845F57"/>
    <w:rsid w:val="008521E0"/>
    <w:rsid w:val="008525B0"/>
    <w:rsid w:val="008530DD"/>
    <w:rsid w:val="00857FDB"/>
    <w:rsid w:val="008601D4"/>
    <w:rsid w:val="0086260E"/>
    <w:rsid w:val="00862A25"/>
    <w:rsid w:val="0086323B"/>
    <w:rsid w:val="00864093"/>
    <w:rsid w:val="008645FB"/>
    <w:rsid w:val="00864B47"/>
    <w:rsid w:val="00865468"/>
    <w:rsid w:val="00867563"/>
    <w:rsid w:val="00867C0C"/>
    <w:rsid w:val="00867CBC"/>
    <w:rsid w:val="00870451"/>
    <w:rsid w:val="00873BEA"/>
    <w:rsid w:val="00874A2D"/>
    <w:rsid w:val="00876C30"/>
    <w:rsid w:val="00877017"/>
    <w:rsid w:val="008773C0"/>
    <w:rsid w:val="00880364"/>
    <w:rsid w:val="00880F9E"/>
    <w:rsid w:val="008814C8"/>
    <w:rsid w:val="00884ABA"/>
    <w:rsid w:val="00886C4C"/>
    <w:rsid w:val="0088711C"/>
    <w:rsid w:val="00890202"/>
    <w:rsid w:val="00892061"/>
    <w:rsid w:val="00892B2F"/>
    <w:rsid w:val="00892ECF"/>
    <w:rsid w:val="00892F06"/>
    <w:rsid w:val="00894285"/>
    <w:rsid w:val="00895AC3"/>
    <w:rsid w:val="008A0FD7"/>
    <w:rsid w:val="008A40AE"/>
    <w:rsid w:val="008A4A48"/>
    <w:rsid w:val="008A4E19"/>
    <w:rsid w:val="008A60C6"/>
    <w:rsid w:val="008A67C5"/>
    <w:rsid w:val="008A6A19"/>
    <w:rsid w:val="008A7874"/>
    <w:rsid w:val="008B22E1"/>
    <w:rsid w:val="008B3C78"/>
    <w:rsid w:val="008B4AE9"/>
    <w:rsid w:val="008B4EC2"/>
    <w:rsid w:val="008B5B61"/>
    <w:rsid w:val="008B6116"/>
    <w:rsid w:val="008C0068"/>
    <w:rsid w:val="008C30AD"/>
    <w:rsid w:val="008C435D"/>
    <w:rsid w:val="008C5DF8"/>
    <w:rsid w:val="008C5FE1"/>
    <w:rsid w:val="008D068E"/>
    <w:rsid w:val="008D0F7A"/>
    <w:rsid w:val="008D25B4"/>
    <w:rsid w:val="008D4E0F"/>
    <w:rsid w:val="008D4F6B"/>
    <w:rsid w:val="008D63BE"/>
    <w:rsid w:val="008D66B8"/>
    <w:rsid w:val="008E0CFF"/>
    <w:rsid w:val="008E18D6"/>
    <w:rsid w:val="008E1A4F"/>
    <w:rsid w:val="008E404C"/>
    <w:rsid w:val="008E5D6B"/>
    <w:rsid w:val="008E639A"/>
    <w:rsid w:val="008E689B"/>
    <w:rsid w:val="008E76F0"/>
    <w:rsid w:val="008F15FE"/>
    <w:rsid w:val="008F226D"/>
    <w:rsid w:val="008F2A94"/>
    <w:rsid w:val="008F3D85"/>
    <w:rsid w:val="008F5187"/>
    <w:rsid w:val="008F709C"/>
    <w:rsid w:val="00902C47"/>
    <w:rsid w:val="00902D29"/>
    <w:rsid w:val="0090312B"/>
    <w:rsid w:val="00904961"/>
    <w:rsid w:val="0090747E"/>
    <w:rsid w:val="00907B36"/>
    <w:rsid w:val="009105B5"/>
    <w:rsid w:val="00910874"/>
    <w:rsid w:val="00911A1A"/>
    <w:rsid w:val="00911D9C"/>
    <w:rsid w:val="009138EE"/>
    <w:rsid w:val="00916C88"/>
    <w:rsid w:val="00916FBD"/>
    <w:rsid w:val="0091736D"/>
    <w:rsid w:val="009209D4"/>
    <w:rsid w:val="009220FC"/>
    <w:rsid w:val="0092354E"/>
    <w:rsid w:val="00923899"/>
    <w:rsid w:val="00924893"/>
    <w:rsid w:val="00924F40"/>
    <w:rsid w:val="00930475"/>
    <w:rsid w:val="00931001"/>
    <w:rsid w:val="00931863"/>
    <w:rsid w:val="0093243C"/>
    <w:rsid w:val="00933524"/>
    <w:rsid w:val="00933A58"/>
    <w:rsid w:val="00934F40"/>
    <w:rsid w:val="00936412"/>
    <w:rsid w:val="009369E4"/>
    <w:rsid w:val="00936D68"/>
    <w:rsid w:val="00937778"/>
    <w:rsid w:val="009378B9"/>
    <w:rsid w:val="009400D2"/>
    <w:rsid w:val="0094278D"/>
    <w:rsid w:val="00942942"/>
    <w:rsid w:val="00943BC5"/>
    <w:rsid w:val="00951938"/>
    <w:rsid w:val="0095308A"/>
    <w:rsid w:val="00953612"/>
    <w:rsid w:val="00953E9B"/>
    <w:rsid w:val="009555A3"/>
    <w:rsid w:val="00955AEE"/>
    <w:rsid w:val="00956F14"/>
    <w:rsid w:val="0095708A"/>
    <w:rsid w:val="009603CB"/>
    <w:rsid w:val="00960A4C"/>
    <w:rsid w:val="009620FD"/>
    <w:rsid w:val="0096247A"/>
    <w:rsid w:val="00965173"/>
    <w:rsid w:val="00965F4B"/>
    <w:rsid w:val="00966AB1"/>
    <w:rsid w:val="0097056E"/>
    <w:rsid w:val="00970F8A"/>
    <w:rsid w:val="00971993"/>
    <w:rsid w:val="00971FB5"/>
    <w:rsid w:val="00972D2A"/>
    <w:rsid w:val="00974162"/>
    <w:rsid w:val="009743ED"/>
    <w:rsid w:val="00975CC5"/>
    <w:rsid w:val="00976328"/>
    <w:rsid w:val="00976B4E"/>
    <w:rsid w:val="00984458"/>
    <w:rsid w:val="00984D5F"/>
    <w:rsid w:val="00985283"/>
    <w:rsid w:val="00987322"/>
    <w:rsid w:val="009902A7"/>
    <w:rsid w:val="00992411"/>
    <w:rsid w:val="00994C9B"/>
    <w:rsid w:val="00996263"/>
    <w:rsid w:val="009A0596"/>
    <w:rsid w:val="009A0F3B"/>
    <w:rsid w:val="009A35D0"/>
    <w:rsid w:val="009A7260"/>
    <w:rsid w:val="009A72C7"/>
    <w:rsid w:val="009A7B65"/>
    <w:rsid w:val="009B0897"/>
    <w:rsid w:val="009B0D23"/>
    <w:rsid w:val="009B1B3E"/>
    <w:rsid w:val="009B22FA"/>
    <w:rsid w:val="009B41F4"/>
    <w:rsid w:val="009B529B"/>
    <w:rsid w:val="009B5349"/>
    <w:rsid w:val="009B567A"/>
    <w:rsid w:val="009B6404"/>
    <w:rsid w:val="009B7210"/>
    <w:rsid w:val="009B77EC"/>
    <w:rsid w:val="009C481A"/>
    <w:rsid w:val="009C5375"/>
    <w:rsid w:val="009C6235"/>
    <w:rsid w:val="009C67C4"/>
    <w:rsid w:val="009D051C"/>
    <w:rsid w:val="009D0852"/>
    <w:rsid w:val="009D1E9E"/>
    <w:rsid w:val="009D1FBF"/>
    <w:rsid w:val="009D4488"/>
    <w:rsid w:val="009E17DA"/>
    <w:rsid w:val="009E3541"/>
    <w:rsid w:val="009E399C"/>
    <w:rsid w:val="009E3D97"/>
    <w:rsid w:val="009E43C1"/>
    <w:rsid w:val="009E6426"/>
    <w:rsid w:val="009E7E95"/>
    <w:rsid w:val="009F05E9"/>
    <w:rsid w:val="009F116F"/>
    <w:rsid w:val="009F315F"/>
    <w:rsid w:val="009F329E"/>
    <w:rsid w:val="009F7ED3"/>
    <w:rsid w:val="00A00CC1"/>
    <w:rsid w:val="00A01B60"/>
    <w:rsid w:val="00A024CB"/>
    <w:rsid w:val="00A03607"/>
    <w:rsid w:val="00A03EB9"/>
    <w:rsid w:val="00A03FFB"/>
    <w:rsid w:val="00A047FF"/>
    <w:rsid w:val="00A04FEF"/>
    <w:rsid w:val="00A07323"/>
    <w:rsid w:val="00A122CD"/>
    <w:rsid w:val="00A12577"/>
    <w:rsid w:val="00A12A32"/>
    <w:rsid w:val="00A14248"/>
    <w:rsid w:val="00A14947"/>
    <w:rsid w:val="00A16CDC"/>
    <w:rsid w:val="00A17E42"/>
    <w:rsid w:val="00A21519"/>
    <w:rsid w:val="00A23DC5"/>
    <w:rsid w:val="00A24F98"/>
    <w:rsid w:val="00A25954"/>
    <w:rsid w:val="00A259F8"/>
    <w:rsid w:val="00A2698B"/>
    <w:rsid w:val="00A320D7"/>
    <w:rsid w:val="00A336DA"/>
    <w:rsid w:val="00A34028"/>
    <w:rsid w:val="00A35568"/>
    <w:rsid w:val="00A37056"/>
    <w:rsid w:val="00A379F2"/>
    <w:rsid w:val="00A37F50"/>
    <w:rsid w:val="00A37F54"/>
    <w:rsid w:val="00A404EF"/>
    <w:rsid w:val="00A414B1"/>
    <w:rsid w:val="00A41993"/>
    <w:rsid w:val="00A428B1"/>
    <w:rsid w:val="00A429A9"/>
    <w:rsid w:val="00A4358F"/>
    <w:rsid w:val="00A44048"/>
    <w:rsid w:val="00A44398"/>
    <w:rsid w:val="00A46DC4"/>
    <w:rsid w:val="00A46F67"/>
    <w:rsid w:val="00A50C98"/>
    <w:rsid w:val="00A52CF4"/>
    <w:rsid w:val="00A54AA1"/>
    <w:rsid w:val="00A5510A"/>
    <w:rsid w:val="00A568FF"/>
    <w:rsid w:val="00A5790F"/>
    <w:rsid w:val="00A57927"/>
    <w:rsid w:val="00A61496"/>
    <w:rsid w:val="00A61833"/>
    <w:rsid w:val="00A624C6"/>
    <w:rsid w:val="00A63161"/>
    <w:rsid w:val="00A63CEC"/>
    <w:rsid w:val="00A6449A"/>
    <w:rsid w:val="00A65994"/>
    <w:rsid w:val="00A6670E"/>
    <w:rsid w:val="00A67C30"/>
    <w:rsid w:val="00A7031E"/>
    <w:rsid w:val="00A705AB"/>
    <w:rsid w:val="00A72665"/>
    <w:rsid w:val="00A728B1"/>
    <w:rsid w:val="00A7341B"/>
    <w:rsid w:val="00A763DE"/>
    <w:rsid w:val="00A77F7A"/>
    <w:rsid w:val="00A80017"/>
    <w:rsid w:val="00A803D6"/>
    <w:rsid w:val="00A81282"/>
    <w:rsid w:val="00A823B3"/>
    <w:rsid w:val="00A82E3D"/>
    <w:rsid w:val="00A83654"/>
    <w:rsid w:val="00A84AB8"/>
    <w:rsid w:val="00A84BFE"/>
    <w:rsid w:val="00A8523E"/>
    <w:rsid w:val="00A865F3"/>
    <w:rsid w:val="00A8713F"/>
    <w:rsid w:val="00A90DA2"/>
    <w:rsid w:val="00A91167"/>
    <w:rsid w:val="00A91624"/>
    <w:rsid w:val="00A9171C"/>
    <w:rsid w:val="00A92FFD"/>
    <w:rsid w:val="00A93D11"/>
    <w:rsid w:val="00A95563"/>
    <w:rsid w:val="00A95975"/>
    <w:rsid w:val="00A9708D"/>
    <w:rsid w:val="00AA0387"/>
    <w:rsid w:val="00AA1CEC"/>
    <w:rsid w:val="00AA2426"/>
    <w:rsid w:val="00AA273D"/>
    <w:rsid w:val="00AA2C17"/>
    <w:rsid w:val="00AA3B6D"/>
    <w:rsid w:val="00AA4172"/>
    <w:rsid w:val="00AA4AEE"/>
    <w:rsid w:val="00AA64BC"/>
    <w:rsid w:val="00AB11B0"/>
    <w:rsid w:val="00AB190A"/>
    <w:rsid w:val="00AB1914"/>
    <w:rsid w:val="00AB5330"/>
    <w:rsid w:val="00AB76AB"/>
    <w:rsid w:val="00AB7747"/>
    <w:rsid w:val="00AC0768"/>
    <w:rsid w:val="00AC0BC9"/>
    <w:rsid w:val="00AC2532"/>
    <w:rsid w:val="00AC44D0"/>
    <w:rsid w:val="00AC74FE"/>
    <w:rsid w:val="00AD1507"/>
    <w:rsid w:val="00AD1A00"/>
    <w:rsid w:val="00AD38A4"/>
    <w:rsid w:val="00AD3A87"/>
    <w:rsid w:val="00AD58C2"/>
    <w:rsid w:val="00AD5A70"/>
    <w:rsid w:val="00AD738B"/>
    <w:rsid w:val="00AD7C51"/>
    <w:rsid w:val="00AE0D67"/>
    <w:rsid w:val="00AE1BF4"/>
    <w:rsid w:val="00AE1FC3"/>
    <w:rsid w:val="00AE4000"/>
    <w:rsid w:val="00AE4ED7"/>
    <w:rsid w:val="00AE5D97"/>
    <w:rsid w:val="00AE6794"/>
    <w:rsid w:val="00AF338C"/>
    <w:rsid w:val="00AF48EF"/>
    <w:rsid w:val="00AF5F7B"/>
    <w:rsid w:val="00B01110"/>
    <w:rsid w:val="00B02262"/>
    <w:rsid w:val="00B03CEC"/>
    <w:rsid w:val="00B06057"/>
    <w:rsid w:val="00B0715B"/>
    <w:rsid w:val="00B07D3A"/>
    <w:rsid w:val="00B10C5E"/>
    <w:rsid w:val="00B112B4"/>
    <w:rsid w:val="00B1209F"/>
    <w:rsid w:val="00B12AD0"/>
    <w:rsid w:val="00B13EF3"/>
    <w:rsid w:val="00B15D2B"/>
    <w:rsid w:val="00B17237"/>
    <w:rsid w:val="00B175B1"/>
    <w:rsid w:val="00B17D30"/>
    <w:rsid w:val="00B2061A"/>
    <w:rsid w:val="00B210F2"/>
    <w:rsid w:val="00B22BA2"/>
    <w:rsid w:val="00B24F30"/>
    <w:rsid w:val="00B25902"/>
    <w:rsid w:val="00B31ABF"/>
    <w:rsid w:val="00B335AE"/>
    <w:rsid w:val="00B33946"/>
    <w:rsid w:val="00B34691"/>
    <w:rsid w:val="00B34845"/>
    <w:rsid w:val="00B3609A"/>
    <w:rsid w:val="00B3676A"/>
    <w:rsid w:val="00B37CE1"/>
    <w:rsid w:val="00B40ACF"/>
    <w:rsid w:val="00B4186F"/>
    <w:rsid w:val="00B41A2F"/>
    <w:rsid w:val="00B42430"/>
    <w:rsid w:val="00B43989"/>
    <w:rsid w:val="00B43EEB"/>
    <w:rsid w:val="00B44370"/>
    <w:rsid w:val="00B44E9F"/>
    <w:rsid w:val="00B4543F"/>
    <w:rsid w:val="00B46BAA"/>
    <w:rsid w:val="00B46FCE"/>
    <w:rsid w:val="00B47412"/>
    <w:rsid w:val="00B5090F"/>
    <w:rsid w:val="00B50B5F"/>
    <w:rsid w:val="00B51902"/>
    <w:rsid w:val="00B54128"/>
    <w:rsid w:val="00B54BD3"/>
    <w:rsid w:val="00B55826"/>
    <w:rsid w:val="00B57E82"/>
    <w:rsid w:val="00B60426"/>
    <w:rsid w:val="00B619F0"/>
    <w:rsid w:val="00B622DD"/>
    <w:rsid w:val="00B6314A"/>
    <w:rsid w:val="00B63522"/>
    <w:rsid w:val="00B64EB1"/>
    <w:rsid w:val="00B70A35"/>
    <w:rsid w:val="00B71FE2"/>
    <w:rsid w:val="00B72D56"/>
    <w:rsid w:val="00B73301"/>
    <w:rsid w:val="00B74AC7"/>
    <w:rsid w:val="00B76A08"/>
    <w:rsid w:val="00B76F1D"/>
    <w:rsid w:val="00B77D74"/>
    <w:rsid w:val="00B77F45"/>
    <w:rsid w:val="00B834E6"/>
    <w:rsid w:val="00B83566"/>
    <w:rsid w:val="00B83EBD"/>
    <w:rsid w:val="00B86007"/>
    <w:rsid w:val="00B8747E"/>
    <w:rsid w:val="00B90793"/>
    <w:rsid w:val="00B92A19"/>
    <w:rsid w:val="00B94286"/>
    <w:rsid w:val="00B9544C"/>
    <w:rsid w:val="00B95D14"/>
    <w:rsid w:val="00B9690C"/>
    <w:rsid w:val="00B97B66"/>
    <w:rsid w:val="00BA29E9"/>
    <w:rsid w:val="00BA2D90"/>
    <w:rsid w:val="00BA67DB"/>
    <w:rsid w:val="00BA7541"/>
    <w:rsid w:val="00BB34C6"/>
    <w:rsid w:val="00BB3618"/>
    <w:rsid w:val="00BB6D2B"/>
    <w:rsid w:val="00BC0406"/>
    <w:rsid w:val="00BC0C9E"/>
    <w:rsid w:val="00BC2840"/>
    <w:rsid w:val="00BC32DC"/>
    <w:rsid w:val="00BC6B86"/>
    <w:rsid w:val="00BD1B51"/>
    <w:rsid w:val="00BD2832"/>
    <w:rsid w:val="00BD284C"/>
    <w:rsid w:val="00BD320C"/>
    <w:rsid w:val="00BD47F6"/>
    <w:rsid w:val="00BD7CC6"/>
    <w:rsid w:val="00BE23AA"/>
    <w:rsid w:val="00BE312D"/>
    <w:rsid w:val="00BE3FCA"/>
    <w:rsid w:val="00BE4FD7"/>
    <w:rsid w:val="00BE547F"/>
    <w:rsid w:val="00BE5A24"/>
    <w:rsid w:val="00BE5DB5"/>
    <w:rsid w:val="00BE71C9"/>
    <w:rsid w:val="00BF15B8"/>
    <w:rsid w:val="00BF6747"/>
    <w:rsid w:val="00BF6C06"/>
    <w:rsid w:val="00BF779C"/>
    <w:rsid w:val="00BF7E72"/>
    <w:rsid w:val="00C03070"/>
    <w:rsid w:val="00C053F3"/>
    <w:rsid w:val="00C05719"/>
    <w:rsid w:val="00C05AE7"/>
    <w:rsid w:val="00C1040E"/>
    <w:rsid w:val="00C10578"/>
    <w:rsid w:val="00C12875"/>
    <w:rsid w:val="00C1406F"/>
    <w:rsid w:val="00C17192"/>
    <w:rsid w:val="00C17D62"/>
    <w:rsid w:val="00C21FDC"/>
    <w:rsid w:val="00C23B3D"/>
    <w:rsid w:val="00C24EE7"/>
    <w:rsid w:val="00C2596A"/>
    <w:rsid w:val="00C271BE"/>
    <w:rsid w:val="00C27425"/>
    <w:rsid w:val="00C27C67"/>
    <w:rsid w:val="00C30773"/>
    <w:rsid w:val="00C31163"/>
    <w:rsid w:val="00C328FE"/>
    <w:rsid w:val="00C33A05"/>
    <w:rsid w:val="00C42500"/>
    <w:rsid w:val="00C4409D"/>
    <w:rsid w:val="00C44434"/>
    <w:rsid w:val="00C45595"/>
    <w:rsid w:val="00C455BE"/>
    <w:rsid w:val="00C469DF"/>
    <w:rsid w:val="00C51E5F"/>
    <w:rsid w:val="00C56122"/>
    <w:rsid w:val="00C56B53"/>
    <w:rsid w:val="00C61E4B"/>
    <w:rsid w:val="00C6220E"/>
    <w:rsid w:val="00C62E3A"/>
    <w:rsid w:val="00C64503"/>
    <w:rsid w:val="00C64A1F"/>
    <w:rsid w:val="00C64BFF"/>
    <w:rsid w:val="00C64CD5"/>
    <w:rsid w:val="00C64FAB"/>
    <w:rsid w:val="00C71FE8"/>
    <w:rsid w:val="00C753C2"/>
    <w:rsid w:val="00C763C9"/>
    <w:rsid w:val="00C80057"/>
    <w:rsid w:val="00C80D88"/>
    <w:rsid w:val="00C82C79"/>
    <w:rsid w:val="00C84753"/>
    <w:rsid w:val="00C90236"/>
    <w:rsid w:val="00C90629"/>
    <w:rsid w:val="00C91611"/>
    <w:rsid w:val="00C95EF0"/>
    <w:rsid w:val="00C977E9"/>
    <w:rsid w:val="00CA05BF"/>
    <w:rsid w:val="00CA0775"/>
    <w:rsid w:val="00CA144B"/>
    <w:rsid w:val="00CA3585"/>
    <w:rsid w:val="00CA3B9B"/>
    <w:rsid w:val="00CA3D5A"/>
    <w:rsid w:val="00CA4C7C"/>
    <w:rsid w:val="00CA7FDE"/>
    <w:rsid w:val="00CB0183"/>
    <w:rsid w:val="00CB0B74"/>
    <w:rsid w:val="00CB1EA3"/>
    <w:rsid w:val="00CB2DA6"/>
    <w:rsid w:val="00CB38F7"/>
    <w:rsid w:val="00CB552C"/>
    <w:rsid w:val="00CB6A9E"/>
    <w:rsid w:val="00CC0244"/>
    <w:rsid w:val="00CC141C"/>
    <w:rsid w:val="00CC2876"/>
    <w:rsid w:val="00CC5511"/>
    <w:rsid w:val="00CC6036"/>
    <w:rsid w:val="00CC6181"/>
    <w:rsid w:val="00CD2BCD"/>
    <w:rsid w:val="00CD36AA"/>
    <w:rsid w:val="00CD3791"/>
    <w:rsid w:val="00CD39BD"/>
    <w:rsid w:val="00CD4AC7"/>
    <w:rsid w:val="00CD5CAF"/>
    <w:rsid w:val="00CD61FF"/>
    <w:rsid w:val="00CD65B0"/>
    <w:rsid w:val="00CE02CD"/>
    <w:rsid w:val="00CE0B27"/>
    <w:rsid w:val="00CE10E9"/>
    <w:rsid w:val="00CE2748"/>
    <w:rsid w:val="00CE29E7"/>
    <w:rsid w:val="00CE2FAD"/>
    <w:rsid w:val="00CE3E37"/>
    <w:rsid w:val="00CE6040"/>
    <w:rsid w:val="00CE76B0"/>
    <w:rsid w:val="00CF1213"/>
    <w:rsid w:val="00CF1959"/>
    <w:rsid w:val="00CF1DB8"/>
    <w:rsid w:val="00CF24BE"/>
    <w:rsid w:val="00CF3FF5"/>
    <w:rsid w:val="00CF42A1"/>
    <w:rsid w:val="00CF4703"/>
    <w:rsid w:val="00CF5BB7"/>
    <w:rsid w:val="00D00421"/>
    <w:rsid w:val="00D0072E"/>
    <w:rsid w:val="00D0095C"/>
    <w:rsid w:val="00D0122B"/>
    <w:rsid w:val="00D01F6E"/>
    <w:rsid w:val="00D02D2B"/>
    <w:rsid w:val="00D07B88"/>
    <w:rsid w:val="00D14D95"/>
    <w:rsid w:val="00D15727"/>
    <w:rsid w:val="00D16332"/>
    <w:rsid w:val="00D17343"/>
    <w:rsid w:val="00D204FB"/>
    <w:rsid w:val="00D24972"/>
    <w:rsid w:val="00D2515E"/>
    <w:rsid w:val="00D308ED"/>
    <w:rsid w:val="00D30971"/>
    <w:rsid w:val="00D36DB9"/>
    <w:rsid w:val="00D41799"/>
    <w:rsid w:val="00D4397E"/>
    <w:rsid w:val="00D440AA"/>
    <w:rsid w:val="00D511B4"/>
    <w:rsid w:val="00D51ECF"/>
    <w:rsid w:val="00D542B0"/>
    <w:rsid w:val="00D56178"/>
    <w:rsid w:val="00D56CF0"/>
    <w:rsid w:val="00D56F5C"/>
    <w:rsid w:val="00D60F2F"/>
    <w:rsid w:val="00D62ECE"/>
    <w:rsid w:val="00D63588"/>
    <w:rsid w:val="00D64223"/>
    <w:rsid w:val="00D64DBA"/>
    <w:rsid w:val="00D65377"/>
    <w:rsid w:val="00D704B1"/>
    <w:rsid w:val="00D70B63"/>
    <w:rsid w:val="00D7105D"/>
    <w:rsid w:val="00D71901"/>
    <w:rsid w:val="00D727E8"/>
    <w:rsid w:val="00D72B92"/>
    <w:rsid w:val="00D72ED4"/>
    <w:rsid w:val="00D73F61"/>
    <w:rsid w:val="00D74349"/>
    <w:rsid w:val="00D754C0"/>
    <w:rsid w:val="00D75508"/>
    <w:rsid w:val="00D76222"/>
    <w:rsid w:val="00D774BF"/>
    <w:rsid w:val="00D776A2"/>
    <w:rsid w:val="00D801C4"/>
    <w:rsid w:val="00D81FD1"/>
    <w:rsid w:val="00D84BFF"/>
    <w:rsid w:val="00D90836"/>
    <w:rsid w:val="00D94F00"/>
    <w:rsid w:val="00D95896"/>
    <w:rsid w:val="00D95CC6"/>
    <w:rsid w:val="00D96BAA"/>
    <w:rsid w:val="00D97D98"/>
    <w:rsid w:val="00DA0437"/>
    <w:rsid w:val="00DA1574"/>
    <w:rsid w:val="00DA1EA1"/>
    <w:rsid w:val="00DA2DA3"/>
    <w:rsid w:val="00DA2EAC"/>
    <w:rsid w:val="00DA4D7F"/>
    <w:rsid w:val="00DA51E2"/>
    <w:rsid w:val="00DA6615"/>
    <w:rsid w:val="00DA76AE"/>
    <w:rsid w:val="00DB0679"/>
    <w:rsid w:val="00DB181E"/>
    <w:rsid w:val="00DB1C7A"/>
    <w:rsid w:val="00DB1E98"/>
    <w:rsid w:val="00DB2983"/>
    <w:rsid w:val="00DB343D"/>
    <w:rsid w:val="00DB35D3"/>
    <w:rsid w:val="00DB42E4"/>
    <w:rsid w:val="00DB5579"/>
    <w:rsid w:val="00DB596E"/>
    <w:rsid w:val="00DB5CFE"/>
    <w:rsid w:val="00DB5D0A"/>
    <w:rsid w:val="00DB7D11"/>
    <w:rsid w:val="00DC0921"/>
    <w:rsid w:val="00DC1D26"/>
    <w:rsid w:val="00DC48E8"/>
    <w:rsid w:val="00DC4B70"/>
    <w:rsid w:val="00DC6C19"/>
    <w:rsid w:val="00DC715B"/>
    <w:rsid w:val="00DC72A6"/>
    <w:rsid w:val="00DD0B4D"/>
    <w:rsid w:val="00DD2113"/>
    <w:rsid w:val="00DD265E"/>
    <w:rsid w:val="00DD42A9"/>
    <w:rsid w:val="00DD69AA"/>
    <w:rsid w:val="00DD7A18"/>
    <w:rsid w:val="00DE20D2"/>
    <w:rsid w:val="00DE27B4"/>
    <w:rsid w:val="00DE4566"/>
    <w:rsid w:val="00DE4DC3"/>
    <w:rsid w:val="00DE4FB9"/>
    <w:rsid w:val="00DE74C4"/>
    <w:rsid w:val="00DF065E"/>
    <w:rsid w:val="00DF1930"/>
    <w:rsid w:val="00DF2B49"/>
    <w:rsid w:val="00DF30C0"/>
    <w:rsid w:val="00DF514A"/>
    <w:rsid w:val="00DF661F"/>
    <w:rsid w:val="00DF675C"/>
    <w:rsid w:val="00E0358D"/>
    <w:rsid w:val="00E06327"/>
    <w:rsid w:val="00E0655A"/>
    <w:rsid w:val="00E06D97"/>
    <w:rsid w:val="00E11F80"/>
    <w:rsid w:val="00E13246"/>
    <w:rsid w:val="00E13350"/>
    <w:rsid w:val="00E138CF"/>
    <w:rsid w:val="00E2028F"/>
    <w:rsid w:val="00E2064B"/>
    <w:rsid w:val="00E223D5"/>
    <w:rsid w:val="00E23093"/>
    <w:rsid w:val="00E25239"/>
    <w:rsid w:val="00E265B1"/>
    <w:rsid w:val="00E275B0"/>
    <w:rsid w:val="00E305C6"/>
    <w:rsid w:val="00E32218"/>
    <w:rsid w:val="00E3501E"/>
    <w:rsid w:val="00E356E3"/>
    <w:rsid w:val="00E356FB"/>
    <w:rsid w:val="00E40D84"/>
    <w:rsid w:val="00E412D0"/>
    <w:rsid w:val="00E420FE"/>
    <w:rsid w:val="00E47A5A"/>
    <w:rsid w:val="00E47CDB"/>
    <w:rsid w:val="00E47D8D"/>
    <w:rsid w:val="00E51157"/>
    <w:rsid w:val="00E511DB"/>
    <w:rsid w:val="00E543BF"/>
    <w:rsid w:val="00E54FB9"/>
    <w:rsid w:val="00E566BC"/>
    <w:rsid w:val="00E60982"/>
    <w:rsid w:val="00E60C8D"/>
    <w:rsid w:val="00E6162F"/>
    <w:rsid w:val="00E6311B"/>
    <w:rsid w:val="00E65D97"/>
    <w:rsid w:val="00E67EFD"/>
    <w:rsid w:val="00E702DC"/>
    <w:rsid w:val="00E71F4E"/>
    <w:rsid w:val="00E71FFB"/>
    <w:rsid w:val="00E7532A"/>
    <w:rsid w:val="00E76D1D"/>
    <w:rsid w:val="00E779A9"/>
    <w:rsid w:val="00E806F8"/>
    <w:rsid w:val="00E80906"/>
    <w:rsid w:val="00E867AB"/>
    <w:rsid w:val="00E87752"/>
    <w:rsid w:val="00E87872"/>
    <w:rsid w:val="00E8793B"/>
    <w:rsid w:val="00E90C23"/>
    <w:rsid w:val="00E90F81"/>
    <w:rsid w:val="00E91A6D"/>
    <w:rsid w:val="00E9242D"/>
    <w:rsid w:val="00E93023"/>
    <w:rsid w:val="00E94044"/>
    <w:rsid w:val="00E94078"/>
    <w:rsid w:val="00E9481E"/>
    <w:rsid w:val="00EA156F"/>
    <w:rsid w:val="00EA1680"/>
    <w:rsid w:val="00EA2B30"/>
    <w:rsid w:val="00EA720B"/>
    <w:rsid w:val="00EB041C"/>
    <w:rsid w:val="00EB1559"/>
    <w:rsid w:val="00EB54D5"/>
    <w:rsid w:val="00EB7475"/>
    <w:rsid w:val="00EB75F5"/>
    <w:rsid w:val="00EC0055"/>
    <w:rsid w:val="00EC04CB"/>
    <w:rsid w:val="00EC05CB"/>
    <w:rsid w:val="00EC1B4E"/>
    <w:rsid w:val="00EC3546"/>
    <w:rsid w:val="00EC3E95"/>
    <w:rsid w:val="00EC42C6"/>
    <w:rsid w:val="00EC5874"/>
    <w:rsid w:val="00EC7487"/>
    <w:rsid w:val="00ED0805"/>
    <w:rsid w:val="00ED12A1"/>
    <w:rsid w:val="00ED192D"/>
    <w:rsid w:val="00ED2D52"/>
    <w:rsid w:val="00ED30B4"/>
    <w:rsid w:val="00ED31F5"/>
    <w:rsid w:val="00ED40B6"/>
    <w:rsid w:val="00ED4574"/>
    <w:rsid w:val="00ED4C37"/>
    <w:rsid w:val="00ED5CC3"/>
    <w:rsid w:val="00ED5DDB"/>
    <w:rsid w:val="00EE2ABF"/>
    <w:rsid w:val="00EE2EE0"/>
    <w:rsid w:val="00EE5316"/>
    <w:rsid w:val="00EE6498"/>
    <w:rsid w:val="00EE7216"/>
    <w:rsid w:val="00EF0AB8"/>
    <w:rsid w:val="00EF2759"/>
    <w:rsid w:val="00EF3783"/>
    <w:rsid w:val="00EF386A"/>
    <w:rsid w:val="00EF45EB"/>
    <w:rsid w:val="00EF5099"/>
    <w:rsid w:val="00EF5E33"/>
    <w:rsid w:val="00EF646A"/>
    <w:rsid w:val="00F00075"/>
    <w:rsid w:val="00F0113A"/>
    <w:rsid w:val="00F03C29"/>
    <w:rsid w:val="00F04B89"/>
    <w:rsid w:val="00F07822"/>
    <w:rsid w:val="00F1198D"/>
    <w:rsid w:val="00F11E76"/>
    <w:rsid w:val="00F15C95"/>
    <w:rsid w:val="00F1687C"/>
    <w:rsid w:val="00F22985"/>
    <w:rsid w:val="00F240FF"/>
    <w:rsid w:val="00F241AB"/>
    <w:rsid w:val="00F31382"/>
    <w:rsid w:val="00F31F25"/>
    <w:rsid w:val="00F32781"/>
    <w:rsid w:val="00F332A9"/>
    <w:rsid w:val="00F33838"/>
    <w:rsid w:val="00F33A85"/>
    <w:rsid w:val="00F35829"/>
    <w:rsid w:val="00F3697F"/>
    <w:rsid w:val="00F37D84"/>
    <w:rsid w:val="00F42868"/>
    <w:rsid w:val="00F42EEC"/>
    <w:rsid w:val="00F43B9D"/>
    <w:rsid w:val="00F448A0"/>
    <w:rsid w:val="00F45613"/>
    <w:rsid w:val="00F465A7"/>
    <w:rsid w:val="00F50B7C"/>
    <w:rsid w:val="00F51F1B"/>
    <w:rsid w:val="00F5202D"/>
    <w:rsid w:val="00F52CF6"/>
    <w:rsid w:val="00F53FC8"/>
    <w:rsid w:val="00F54496"/>
    <w:rsid w:val="00F55E39"/>
    <w:rsid w:val="00F579EF"/>
    <w:rsid w:val="00F61097"/>
    <w:rsid w:val="00F62E81"/>
    <w:rsid w:val="00F65EB4"/>
    <w:rsid w:val="00F66000"/>
    <w:rsid w:val="00F66E1C"/>
    <w:rsid w:val="00F73AEE"/>
    <w:rsid w:val="00F74345"/>
    <w:rsid w:val="00F74441"/>
    <w:rsid w:val="00F746CB"/>
    <w:rsid w:val="00F7536C"/>
    <w:rsid w:val="00F77F30"/>
    <w:rsid w:val="00F80570"/>
    <w:rsid w:val="00F81922"/>
    <w:rsid w:val="00F8218B"/>
    <w:rsid w:val="00F82589"/>
    <w:rsid w:val="00F82B19"/>
    <w:rsid w:val="00F82BF7"/>
    <w:rsid w:val="00F848EC"/>
    <w:rsid w:val="00F871FF"/>
    <w:rsid w:val="00F900C9"/>
    <w:rsid w:val="00F90AA7"/>
    <w:rsid w:val="00F915F7"/>
    <w:rsid w:val="00F9212D"/>
    <w:rsid w:val="00F921C3"/>
    <w:rsid w:val="00F94D69"/>
    <w:rsid w:val="00F978A5"/>
    <w:rsid w:val="00FA001D"/>
    <w:rsid w:val="00FA301A"/>
    <w:rsid w:val="00FA406A"/>
    <w:rsid w:val="00FA5CB6"/>
    <w:rsid w:val="00FA5E78"/>
    <w:rsid w:val="00FA6359"/>
    <w:rsid w:val="00FA683C"/>
    <w:rsid w:val="00FB0354"/>
    <w:rsid w:val="00FB2E46"/>
    <w:rsid w:val="00FB50D8"/>
    <w:rsid w:val="00FB67E0"/>
    <w:rsid w:val="00FB7416"/>
    <w:rsid w:val="00FC1A22"/>
    <w:rsid w:val="00FC30D1"/>
    <w:rsid w:val="00FC3329"/>
    <w:rsid w:val="00FC53E6"/>
    <w:rsid w:val="00FC5CC1"/>
    <w:rsid w:val="00FC66AC"/>
    <w:rsid w:val="00FC7C92"/>
    <w:rsid w:val="00FC7E55"/>
    <w:rsid w:val="00FD18F4"/>
    <w:rsid w:val="00FD2AB8"/>
    <w:rsid w:val="00FD307C"/>
    <w:rsid w:val="00FD3758"/>
    <w:rsid w:val="00FD3FB1"/>
    <w:rsid w:val="00FD4B81"/>
    <w:rsid w:val="00FD556E"/>
    <w:rsid w:val="00FD74B4"/>
    <w:rsid w:val="00FD7D98"/>
    <w:rsid w:val="00FE0D3D"/>
    <w:rsid w:val="00FE36A7"/>
    <w:rsid w:val="00FE4E2B"/>
    <w:rsid w:val="00FE5395"/>
    <w:rsid w:val="00FE608B"/>
    <w:rsid w:val="00FE794A"/>
    <w:rsid w:val="00FF269A"/>
    <w:rsid w:val="00FF3165"/>
    <w:rsid w:val="00FF38DE"/>
    <w:rsid w:val="00FF561F"/>
    <w:rsid w:val="00FF60DC"/>
    <w:rsid w:val="00FF6FCE"/>
    <w:rsid w:val="00FF7518"/>
    <w:rsid w:val="00FF7FD8"/>
    <w:rsid w:val="01A763EF"/>
    <w:rsid w:val="02406EBB"/>
    <w:rsid w:val="025A5FB9"/>
    <w:rsid w:val="027B4100"/>
    <w:rsid w:val="028A3616"/>
    <w:rsid w:val="0292054F"/>
    <w:rsid w:val="02A93215"/>
    <w:rsid w:val="02B7128C"/>
    <w:rsid w:val="03AA3985"/>
    <w:rsid w:val="03D42232"/>
    <w:rsid w:val="04284EDD"/>
    <w:rsid w:val="04E010DA"/>
    <w:rsid w:val="05380C05"/>
    <w:rsid w:val="054C05C8"/>
    <w:rsid w:val="05742AC8"/>
    <w:rsid w:val="05B34671"/>
    <w:rsid w:val="05D947C7"/>
    <w:rsid w:val="06352F05"/>
    <w:rsid w:val="063E7D85"/>
    <w:rsid w:val="070875E0"/>
    <w:rsid w:val="07293586"/>
    <w:rsid w:val="07295285"/>
    <w:rsid w:val="07770C56"/>
    <w:rsid w:val="07AA6448"/>
    <w:rsid w:val="083147D7"/>
    <w:rsid w:val="086114DF"/>
    <w:rsid w:val="092217DD"/>
    <w:rsid w:val="09354766"/>
    <w:rsid w:val="093A7294"/>
    <w:rsid w:val="096219E8"/>
    <w:rsid w:val="0A6413D7"/>
    <w:rsid w:val="0AF274AC"/>
    <w:rsid w:val="0B37464B"/>
    <w:rsid w:val="0B7C26ED"/>
    <w:rsid w:val="0BD27BF6"/>
    <w:rsid w:val="0C2F6282"/>
    <w:rsid w:val="0D4123AA"/>
    <w:rsid w:val="0D564FB2"/>
    <w:rsid w:val="0E110D06"/>
    <w:rsid w:val="0E2302B6"/>
    <w:rsid w:val="0E287E81"/>
    <w:rsid w:val="0F046AFF"/>
    <w:rsid w:val="0F13775A"/>
    <w:rsid w:val="0F9A112B"/>
    <w:rsid w:val="0FAB3C01"/>
    <w:rsid w:val="103814D2"/>
    <w:rsid w:val="106D2F64"/>
    <w:rsid w:val="10B63710"/>
    <w:rsid w:val="10FD0201"/>
    <w:rsid w:val="111C2F7A"/>
    <w:rsid w:val="111D7577"/>
    <w:rsid w:val="113013DE"/>
    <w:rsid w:val="11981747"/>
    <w:rsid w:val="11AA061C"/>
    <w:rsid w:val="11FC1ECD"/>
    <w:rsid w:val="122B06C2"/>
    <w:rsid w:val="123E483B"/>
    <w:rsid w:val="12CA281A"/>
    <w:rsid w:val="12E3687E"/>
    <w:rsid w:val="13196AA8"/>
    <w:rsid w:val="1323475C"/>
    <w:rsid w:val="13951726"/>
    <w:rsid w:val="1401012F"/>
    <w:rsid w:val="141446E8"/>
    <w:rsid w:val="14396509"/>
    <w:rsid w:val="1447165C"/>
    <w:rsid w:val="168E3A36"/>
    <w:rsid w:val="17201B58"/>
    <w:rsid w:val="17735226"/>
    <w:rsid w:val="180048D9"/>
    <w:rsid w:val="19004EB4"/>
    <w:rsid w:val="196167F8"/>
    <w:rsid w:val="1A1C66C0"/>
    <w:rsid w:val="1A42393B"/>
    <w:rsid w:val="1AC96345"/>
    <w:rsid w:val="1AF04C92"/>
    <w:rsid w:val="1B026D21"/>
    <w:rsid w:val="1B046F80"/>
    <w:rsid w:val="1B3267B5"/>
    <w:rsid w:val="1BC25DC8"/>
    <w:rsid w:val="1BF97891"/>
    <w:rsid w:val="1C5E7925"/>
    <w:rsid w:val="1C887FC8"/>
    <w:rsid w:val="1D5F6196"/>
    <w:rsid w:val="1D6132A5"/>
    <w:rsid w:val="1D8E56D5"/>
    <w:rsid w:val="1DD60681"/>
    <w:rsid w:val="1DF74537"/>
    <w:rsid w:val="1E7A43DA"/>
    <w:rsid w:val="1EB277FE"/>
    <w:rsid w:val="1ED975F2"/>
    <w:rsid w:val="1F0E3072"/>
    <w:rsid w:val="1F1966BF"/>
    <w:rsid w:val="1FE7539E"/>
    <w:rsid w:val="201D42A1"/>
    <w:rsid w:val="20413107"/>
    <w:rsid w:val="20963CB8"/>
    <w:rsid w:val="20B07FB6"/>
    <w:rsid w:val="213B74B1"/>
    <w:rsid w:val="214F2A43"/>
    <w:rsid w:val="215A2310"/>
    <w:rsid w:val="217070FC"/>
    <w:rsid w:val="21DE318A"/>
    <w:rsid w:val="21EF5B80"/>
    <w:rsid w:val="21F9337E"/>
    <w:rsid w:val="224F677F"/>
    <w:rsid w:val="22576990"/>
    <w:rsid w:val="229C4EAB"/>
    <w:rsid w:val="235E502A"/>
    <w:rsid w:val="23F40AED"/>
    <w:rsid w:val="248D4251"/>
    <w:rsid w:val="249E1756"/>
    <w:rsid w:val="252D53FE"/>
    <w:rsid w:val="25B16158"/>
    <w:rsid w:val="25EC2D81"/>
    <w:rsid w:val="26280D55"/>
    <w:rsid w:val="264528BD"/>
    <w:rsid w:val="26C86970"/>
    <w:rsid w:val="272B1F61"/>
    <w:rsid w:val="27D15DD1"/>
    <w:rsid w:val="289920C9"/>
    <w:rsid w:val="28A76295"/>
    <w:rsid w:val="28E678A4"/>
    <w:rsid w:val="29206EB8"/>
    <w:rsid w:val="292738BA"/>
    <w:rsid w:val="294B1CF8"/>
    <w:rsid w:val="29E325E0"/>
    <w:rsid w:val="2A1B7CB6"/>
    <w:rsid w:val="2A452503"/>
    <w:rsid w:val="2AF520C1"/>
    <w:rsid w:val="2BA936A8"/>
    <w:rsid w:val="2BE95080"/>
    <w:rsid w:val="2C315A5A"/>
    <w:rsid w:val="2C967245"/>
    <w:rsid w:val="2D9E56F5"/>
    <w:rsid w:val="2E667F96"/>
    <w:rsid w:val="2E8127D0"/>
    <w:rsid w:val="2E8226AB"/>
    <w:rsid w:val="2F832C79"/>
    <w:rsid w:val="2F883B35"/>
    <w:rsid w:val="2FEF2D58"/>
    <w:rsid w:val="30580BC9"/>
    <w:rsid w:val="308411AA"/>
    <w:rsid w:val="311E2ED7"/>
    <w:rsid w:val="315C449C"/>
    <w:rsid w:val="31660D12"/>
    <w:rsid w:val="31B82709"/>
    <w:rsid w:val="31F12604"/>
    <w:rsid w:val="32400B34"/>
    <w:rsid w:val="329E6876"/>
    <w:rsid w:val="32F05EAE"/>
    <w:rsid w:val="331B2D88"/>
    <w:rsid w:val="332D7A2E"/>
    <w:rsid w:val="334318AF"/>
    <w:rsid w:val="33D934D4"/>
    <w:rsid w:val="33FE2F6A"/>
    <w:rsid w:val="359A74F9"/>
    <w:rsid w:val="359D575B"/>
    <w:rsid w:val="35B6328D"/>
    <w:rsid w:val="35D36B38"/>
    <w:rsid w:val="36074A7F"/>
    <w:rsid w:val="36923549"/>
    <w:rsid w:val="36A047AF"/>
    <w:rsid w:val="36B75FBF"/>
    <w:rsid w:val="36FB4891"/>
    <w:rsid w:val="38372745"/>
    <w:rsid w:val="384B66E0"/>
    <w:rsid w:val="38B80961"/>
    <w:rsid w:val="38B970DF"/>
    <w:rsid w:val="38F12CD3"/>
    <w:rsid w:val="38F94775"/>
    <w:rsid w:val="39257DB0"/>
    <w:rsid w:val="392971ED"/>
    <w:rsid w:val="3932171C"/>
    <w:rsid w:val="394A12CC"/>
    <w:rsid w:val="39CA71D2"/>
    <w:rsid w:val="3B0A6FB9"/>
    <w:rsid w:val="3B3763D1"/>
    <w:rsid w:val="3BBD42A8"/>
    <w:rsid w:val="3CCA2110"/>
    <w:rsid w:val="3CDA245A"/>
    <w:rsid w:val="3CEE0A37"/>
    <w:rsid w:val="3CF1414C"/>
    <w:rsid w:val="3D8716CB"/>
    <w:rsid w:val="3D8D66CD"/>
    <w:rsid w:val="3DF17F69"/>
    <w:rsid w:val="3E273E40"/>
    <w:rsid w:val="3E396885"/>
    <w:rsid w:val="3E6426B4"/>
    <w:rsid w:val="3E6C1950"/>
    <w:rsid w:val="3E8C7F0C"/>
    <w:rsid w:val="3EC02E86"/>
    <w:rsid w:val="3F2D38B8"/>
    <w:rsid w:val="3F660E74"/>
    <w:rsid w:val="3F736232"/>
    <w:rsid w:val="3F7D5B0D"/>
    <w:rsid w:val="3F817A20"/>
    <w:rsid w:val="3FB65FB4"/>
    <w:rsid w:val="407A6407"/>
    <w:rsid w:val="40803DD1"/>
    <w:rsid w:val="409B7B45"/>
    <w:rsid w:val="40DF5626"/>
    <w:rsid w:val="418C4E97"/>
    <w:rsid w:val="419577DB"/>
    <w:rsid w:val="41D36204"/>
    <w:rsid w:val="41E36840"/>
    <w:rsid w:val="423A3BCC"/>
    <w:rsid w:val="427E0C7D"/>
    <w:rsid w:val="433A6FE6"/>
    <w:rsid w:val="4350713C"/>
    <w:rsid w:val="435D42CF"/>
    <w:rsid w:val="436653E0"/>
    <w:rsid w:val="44CD14E0"/>
    <w:rsid w:val="44EA665F"/>
    <w:rsid w:val="458946E9"/>
    <w:rsid w:val="460B688F"/>
    <w:rsid w:val="461026A2"/>
    <w:rsid w:val="46281A53"/>
    <w:rsid w:val="4642495A"/>
    <w:rsid w:val="46D955A7"/>
    <w:rsid w:val="47133957"/>
    <w:rsid w:val="4779329E"/>
    <w:rsid w:val="47A07E0C"/>
    <w:rsid w:val="480F17EC"/>
    <w:rsid w:val="4870272E"/>
    <w:rsid w:val="48840828"/>
    <w:rsid w:val="492A10CF"/>
    <w:rsid w:val="49DC7715"/>
    <w:rsid w:val="49E71DEC"/>
    <w:rsid w:val="4A023139"/>
    <w:rsid w:val="4A493872"/>
    <w:rsid w:val="4A7B576F"/>
    <w:rsid w:val="4A866753"/>
    <w:rsid w:val="4AC90262"/>
    <w:rsid w:val="4BD3760E"/>
    <w:rsid w:val="4C4A0649"/>
    <w:rsid w:val="4C973B07"/>
    <w:rsid w:val="4CD76C0F"/>
    <w:rsid w:val="4CE470D3"/>
    <w:rsid w:val="4D2D350D"/>
    <w:rsid w:val="4D3F21EB"/>
    <w:rsid w:val="4D8450F3"/>
    <w:rsid w:val="4DAF4D14"/>
    <w:rsid w:val="4DBD4C53"/>
    <w:rsid w:val="4DC133BD"/>
    <w:rsid w:val="4DEC4FB0"/>
    <w:rsid w:val="4E075D8A"/>
    <w:rsid w:val="4E3149E0"/>
    <w:rsid w:val="4F534522"/>
    <w:rsid w:val="4FC62A8C"/>
    <w:rsid w:val="4FE20F0D"/>
    <w:rsid w:val="50504C4B"/>
    <w:rsid w:val="509C6E7C"/>
    <w:rsid w:val="5162104E"/>
    <w:rsid w:val="51660C7A"/>
    <w:rsid w:val="51A874DE"/>
    <w:rsid w:val="51C441A9"/>
    <w:rsid w:val="5224015B"/>
    <w:rsid w:val="524C7656"/>
    <w:rsid w:val="535611D0"/>
    <w:rsid w:val="535B12B3"/>
    <w:rsid w:val="53A039CC"/>
    <w:rsid w:val="53A1505A"/>
    <w:rsid w:val="54063E08"/>
    <w:rsid w:val="54201962"/>
    <w:rsid w:val="543437E8"/>
    <w:rsid w:val="54FD1FD7"/>
    <w:rsid w:val="559B174B"/>
    <w:rsid w:val="55CE0CF4"/>
    <w:rsid w:val="56AA17B5"/>
    <w:rsid w:val="56B22A9C"/>
    <w:rsid w:val="57B72A76"/>
    <w:rsid w:val="580D562C"/>
    <w:rsid w:val="58106A46"/>
    <w:rsid w:val="594906C4"/>
    <w:rsid w:val="594B081F"/>
    <w:rsid w:val="59FB56B1"/>
    <w:rsid w:val="5A3C747D"/>
    <w:rsid w:val="5A9375B5"/>
    <w:rsid w:val="5ABE2233"/>
    <w:rsid w:val="5AD047C4"/>
    <w:rsid w:val="5B276D18"/>
    <w:rsid w:val="5B8510D2"/>
    <w:rsid w:val="5BC27517"/>
    <w:rsid w:val="5BDF5D95"/>
    <w:rsid w:val="5BF37EE0"/>
    <w:rsid w:val="5BFD204A"/>
    <w:rsid w:val="5C641429"/>
    <w:rsid w:val="5DF87A0F"/>
    <w:rsid w:val="5E105F71"/>
    <w:rsid w:val="5E327FF0"/>
    <w:rsid w:val="5F1A2B43"/>
    <w:rsid w:val="5F370A99"/>
    <w:rsid w:val="5FB837BB"/>
    <w:rsid w:val="6029789C"/>
    <w:rsid w:val="60BB64A2"/>
    <w:rsid w:val="6104743A"/>
    <w:rsid w:val="61360683"/>
    <w:rsid w:val="620177DD"/>
    <w:rsid w:val="62364782"/>
    <w:rsid w:val="62C9052B"/>
    <w:rsid w:val="63466444"/>
    <w:rsid w:val="63D40BE9"/>
    <w:rsid w:val="63E0211F"/>
    <w:rsid w:val="64F62505"/>
    <w:rsid w:val="65207499"/>
    <w:rsid w:val="65373578"/>
    <w:rsid w:val="65764E29"/>
    <w:rsid w:val="65A52082"/>
    <w:rsid w:val="66303069"/>
    <w:rsid w:val="663F76C7"/>
    <w:rsid w:val="67334A29"/>
    <w:rsid w:val="673F2C7A"/>
    <w:rsid w:val="679A4C3E"/>
    <w:rsid w:val="67C51B71"/>
    <w:rsid w:val="67CB5C64"/>
    <w:rsid w:val="67FD6D80"/>
    <w:rsid w:val="68002B25"/>
    <w:rsid w:val="681F6961"/>
    <w:rsid w:val="684B4852"/>
    <w:rsid w:val="68610A2F"/>
    <w:rsid w:val="68805514"/>
    <w:rsid w:val="688B62A9"/>
    <w:rsid w:val="68E33BDF"/>
    <w:rsid w:val="692D48C0"/>
    <w:rsid w:val="694E2071"/>
    <w:rsid w:val="697A3B33"/>
    <w:rsid w:val="699E2456"/>
    <w:rsid w:val="69DB5D5E"/>
    <w:rsid w:val="6AEF4C45"/>
    <w:rsid w:val="6B322639"/>
    <w:rsid w:val="6B39255A"/>
    <w:rsid w:val="6C0E07F7"/>
    <w:rsid w:val="6C481562"/>
    <w:rsid w:val="6C636C38"/>
    <w:rsid w:val="6CF91DBF"/>
    <w:rsid w:val="6D9E23DF"/>
    <w:rsid w:val="6DB34098"/>
    <w:rsid w:val="6DB545B6"/>
    <w:rsid w:val="6DCF7356"/>
    <w:rsid w:val="6E4375A0"/>
    <w:rsid w:val="6E4B0FCA"/>
    <w:rsid w:val="6E514CED"/>
    <w:rsid w:val="6E79491A"/>
    <w:rsid w:val="6EB563D5"/>
    <w:rsid w:val="6ED02D5B"/>
    <w:rsid w:val="6EFA5F49"/>
    <w:rsid w:val="6F225983"/>
    <w:rsid w:val="6FA97635"/>
    <w:rsid w:val="6FE470DC"/>
    <w:rsid w:val="6FFC5590"/>
    <w:rsid w:val="70301DA3"/>
    <w:rsid w:val="706D1DD0"/>
    <w:rsid w:val="70856B87"/>
    <w:rsid w:val="70D527EE"/>
    <w:rsid w:val="71165FAF"/>
    <w:rsid w:val="711D6337"/>
    <w:rsid w:val="715B5300"/>
    <w:rsid w:val="715F4BD7"/>
    <w:rsid w:val="719473A6"/>
    <w:rsid w:val="71D27F8A"/>
    <w:rsid w:val="71F744C6"/>
    <w:rsid w:val="71F960CF"/>
    <w:rsid w:val="72674293"/>
    <w:rsid w:val="72C86752"/>
    <w:rsid w:val="72E0672E"/>
    <w:rsid w:val="731F5D5E"/>
    <w:rsid w:val="73404CC8"/>
    <w:rsid w:val="7408448B"/>
    <w:rsid w:val="741E793C"/>
    <w:rsid w:val="74EE4114"/>
    <w:rsid w:val="75186192"/>
    <w:rsid w:val="758D75E2"/>
    <w:rsid w:val="75935DEB"/>
    <w:rsid w:val="75E85299"/>
    <w:rsid w:val="76451BD7"/>
    <w:rsid w:val="766B00DC"/>
    <w:rsid w:val="7710263D"/>
    <w:rsid w:val="77645B45"/>
    <w:rsid w:val="77762421"/>
    <w:rsid w:val="77F206C5"/>
    <w:rsid w:val="780F09F4"/>
    <w:rsid w:val="780F71BF"/>
    <w:rsid w:val="789C4F47"/>
    <w:rsid w:val="78A90480"/>
    <w:rsid w:val="78AF260A"/>
    <w:rsid w:val="79811327"/>
    <w:rsid w:val="79DD2C7F"/>
    <w:rsid w:val="79E45577"/>
    <w:rsid w:val="7A364017"/>
    <w:rsid w:val="7A8265E1"/>
    <w:rsid w:val="7B686D42"/>
    <w:rsid w:val="7B841746"/>
    <w:rsid w:val="7CC06A9D"/>
    <w:rsid w:val="7CC172DE"/>
    <w:rsid w:val="7D0239FF"/>
    <w:rsid w:val="7D5E40CD"/>
    <w:rsid w:val="7D693BED"/>
    <w:rsid w:val="7E2121C6"/>
    <w:rsid w:val="7E9468EC"/>
    <w:rsid w:val="7FB14946"/>
    <w:rsid w:val="7FC66190"/>
    <w:rsid w:val="7FE47E50"/>
    <w:rsid w:val="7FF828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ocked="1"/>
    <w:lsdException w:qFormat="1" w:unhideWhenUsed="0" w:uiPriority="9" w:semiHidden="0" w:name="heading 3" w:locked="1"/>
    <w:lsdException w:qFormat="1" w:unhideWhenUsed="0" w:uiPriority="0" w:semiHidden="0" w:name="heading 4" w:locked="1"/>
    <w:lsdException w:qFormat="1" w:unhideWhenUsed="0" w:uiPriority="9" w:semiHidden="0" w:name="heading 5" w:locked="1"/>
    <w:lsdException w:qFormat="1" w:unhideWhenUsed="0" w:uiPriority="9" w:semiHidden="0" w:name="heading 6" w:locked="1"/>
    <w:lsdException w:qFormat="1" w:unhideWhenUsed="0" w:uiPriority="9" w:semiHidden="0" w:name="heading 7" w:locked="1"/>
    <w:lsdException w:qFormat="1" w:unhideWhenUsed="0" w:uiPriority="9" w:semiHidden="0" w:name="heading 8" w:locked="1"/>
    <w:lsdException w:qFormat="1" w:unhideWhenUsed="0" w:uiPriority="9" w:semiHidden="0" w:name="heading 9" w:locked="1"/>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ocked="1"/>
    <w:lsdException w:qFormat="1" w:uiPriority="39" w:semiHidden="0" w:name="toc 2" w:locked="1"/>
    <w:lsdException w:uiPriority="39" w:name="toc 3" w:locked="1"/>
    <w:lsdException w:uiPriority="0" w:name="toc 4" w:locked="1"/>
    <w:lsdException w:qFormat="1" w:uiPriority="39" w:semiHidden="0" w:name="toc 5" w:locked="1"/>
    <w:lsdException w:uiPriority="0" w:name="toc 6" w:locked="1"/>
    <w:lsdException w:uiPriority="0" w:name="toc 7" w:locked="1"/>
    <w:lsdException w:uiPriority="0" w:name="toc 8" w:locked="1"/>
    <w:lsdException w:uiPriority="0" w:name="toc 9" w:locked="1"/>
    <w:lsdException w:uiPriority="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ocked="1"/>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qFormat="1"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name="List Number"/>
    <w:lsdException w:uiPriority="0" w:name="List 2"/>
    <w:lsdException w:uiPriority="0" w:name="List 3"/>
    <w:lsdException w:unhideWhenUsed="0" w:uiPriority="0" w:name="List 4"/>
    <w:lsdException w:unhideWhenUsed="0" w:uiPriority="0" w:name="List 5"/>
    <w:lsdException w:uiPriority="0" w:name="List Bullet 2"/>
    <w:lsdException w:uiPriority="0" w:name="List Bullet 3"/>
    <w:lsdException w:uiPriority="0" w:name="List Bullet 4"/>
    <w:lsdException w:qFormat="1"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ocked="1"/>
    <w:lsdException w:uiPriority="0" w:name="Closing"/>
    <w:lsdException w:uiPriority="0" w:name="Signature"/>
    <w:lsdException w:qFormat="1" w:uiPriority="1" w:name="Default Paragraph Font"/>
    <w:lsdException w:qFormat="1" w:unhideWhenUsed="0" w:uiPriority="99" w:semiHidden="0" w:name="Body Text"/>
    <w:lsdException w:qFormat="1"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ocked="1"/>
    <w:lsdException w:unhideWhenUsed="0" w:uiPriority="0" w:name="Salutation"/>
    <w:lsdException w:qFormat="1" w:unhideWhenUsed="0" w:uiPriority="0" w:semiHidden="0" w:name="Date"/>
    <w:lsdException w:unhideWhenUsed="0" w:uiPriority="0" w:semiHidden="0" w:name="Body Text First Indent"/>
    <w:lsdException w:uiPriority="0" w:name="Body Text First Indent 2"/>
    <w:lsdException w:uiPriority="0" w:name="Note Heading"/>
    <w:lsdException w:qFormat="1" w:uiPriority="99" w:semiHidden="0" w:name="Body Text 2"/>
    <w:lsdException w:uiPriority="0" w:name="Body Text 3"/>
    <w:lsdException w:qFormat="1" w:unhideWhenUsed="0" w:uiPriority="99" w:semiHidden="0" w:name="Body Text Indent 2"/>
    <w:lsdException w:qFormat="1" w:unhideWhenUsed="0" w:uiPriority="0" w:semiHidden="0" w:name="Body Text Indent 3"/>
    <w:lsdException w:uiPriority="0" w:name="Block Text"/>
    <w:lsdException w:qFormat="1" w:uiPriority="99" w:semiHidden="0" w:name="Hyperlink"/>
    <w:lsdException w:qFormat="1" w:uiPriority="0" w:name="FollowedHyperlink"/>
    <w:lsdException w:qFormat="1" w:unhideWhenUsed="0" w:uiPriority="0" w:semiHidden="0" w:name="Strong" w:locked="1"/>
    <w:lsdException w:qFormat="1" w:unhideWhenUsed="0" w:uiPriority="0" w:semiHidden="0" w:name="Emphasis" w:locked="1"/>
    <w:lsdException w:uiPriority="0" w:name="Document Map"/>
    <w:lsdException w:qFormat="1" w:uiPriority="0" w:semiHidden="0" w:name="Plain Text"/>
    <w:lsdException w:uiPriority="0" w:name="E-mail Signature"/>
    <w:lsdException w:qFormat="1" w:uiPriority="99" w:semiHidden="0" w:name="Normal (Web)"/>
    <w:lsdException w:uiPriority="0" w:name="HTML Acronym"/>
    <w:lsdException w:uiPriority="0" w:name="HTML Address"/>
    <w:lsdException w:qFormat="1" w:uiPriority="0" w:name="HTML Cite"/>
    <w:lsdException w:qFormat="1" w:uiPriority="0" w:name="HTML Code"/>
    <w:lsdException w:qFormat="1" w:uiPriority="0" w:name="HTML Definition"/>
    <w:lsdException w:qFormat="1" w:uiPriority="0" w:name="HTML Keyboard"/>
    <w:lsdException w:uiPriority="0" w:name="HTML Preformatted"/>
    <w:lsdException w:qFormat="1" w:uiPriority="0" w:name="HTML Sample"/>
    <w:lsdException w:uiPriority="0" w:name="HTML Typewriter"/>
    <w:lsdException w:qFormat="1"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49"/>
    <w:qFormat/>
    <w:uiPriority w:val="9"/>
    <w:pPr>
      <w:keepNext/>
      <w:keepLines/>
      <w:numPr>
        <w:ilvl w:val="0"/>
        <w:numId w:val="1"/>
      </w:numPr>
      <w:adjustRightInd w:val="0"/>
      <w:snapToGrid w:val="0"/>
      <w:outlineLvl w:val="0"/>
    </w:pPr>
    <w:rPr>
      <w:rFonts w:ascii="黑体" w:hAnsi="黑体" w:eastAsia="黑体"/>
      <w:bCs/>
      <w:kern w:val="44"/>
      <w:sz w:val="32"/>
      <w:szCs w:val="44"/>
    </w:rPr>
  </w:style>
  <w:style w:type="paragraph" w:styleId="4">
    <w:name w:val="heading 2"/>
    <w:basedOn w:val="5"/>
    <w:next w:val="5"/>
    <w:link w:val="50"/>
    <w:qFormat/>
    <w:locked/>
    <w:uiPriority w:val="0"/>
    <w:pPr>
      <w:keepNext/>
      <w:keepLines/>
      <w:numPr>
        <w:ilvl w:val="1"/>
        <w:numId w:val="1"/>
      </w:numPr>
      <w:adjustRightInd w:val="0"/>
      <w:snapToGrid w:val="0"/>
      <w:spacing w:line="400" w:lineRule="exact"/>
      <w:ind w:firstLineChars="0"/>
      <w:jc w:val="center"/>
      <w:outlineLvl w:val="1"/>
    </w:pPr>
    <w:rPr>
      <w:b/>
      <w:bCs/>
      <w:szCs w:val="32"/>
    </w:rPr>
  </w:style>
  <w:style w:type="paragraph" w:styleId="6">
    <w:name w:val="heading 3"/>
    <w:basedOn w:val="1"/>
    <w:next w:val="5"/>
    <w:link w:val="51"/>
    <w:qFormat/>
    <w:locked/>
    <w:uiPriority w:val="9"/>
    <w:pPr>
      <w:keepNext/>
      <w:keepLines/>
      <w:numPr>
        <w:ilvl w:val="2"/>
        <w:numId w:val="1"/>
      </w:numPr>
      <w:adjustRightInd w:val="0"/>
      <w:snapToGrid w:val="0"/>
      <w:spacing w:line="440" w:lineRule="exact"/>
      <w:jc w:val="center"/>
      <w:outlineLvl w:val="2"/>
    </w:pPr>
    <w:rPr>
      <w:b/>
      <w:bCs/>
      <w:color w:val="000000"/>
      <w:szCs w:val="21"/>
    </w:rPr>
  </w:style>
  <w:style w:type="paragraph" w:styleId="7">
    <w:name w:val="heading 4"/>
    <w:basedOn w:val="1"/>
    <w:next w:val="1"/>
    <w:link w:val="52"/>
    <w:qFormat/>
    <w:locked/>
    <w:uiPriority w:val="0"/>
    <w:pPr>
      <w:keepNext/>
      <w:keepLines/>
      <w:spacing w:before="280" w:after="290" w:line="372" w:lineRule="auto"/>
      <w:outlineLvl w:val="3"/>
    </w:pPr>
    <w:rPr>
      <w:rFonts w:ascii="Arial" w:hAnsi="Arial" w:eastAsia="黑体"/>
      <w:b/>
      <w:bCs/>
      <w:sz w:val="28"/>
      <w:szCs w:val="28"/>
    </w:rPr>
  </w:style>
  <w:style w:type="paragraph" w:styleId="8">
    <w:name w:val="heading 5"/>
    <w:basedOn w:val="1"/>
    <w:next w:val="1"/>
    <w:link w:val="53"/>
    <w:qFormat/>
    <w:locked/>
    <w:uiPriority w:val="9"/>
    <w:pPr>
      <w:keepNext/>
      <w:keepLines/>
      <w:spacing w:before="280" w:after="290" w:line="372" w:lineRule="auto"/>
      <w:outlineLvl w:val="4"/>
    </w:pPr>
    <w:rPr>
      <w:b/>
      <w:bCs/>
      <w:sz w:val="28"/>
      <w:szCs w:val="28"/>
    </w:rPr>
  </w:style>
  <w:style w:type="paragraph" w:styleId="9">
    <w:name w:val="heading 6"/>
    <w:basedOn w:val="1"/>
    <w:next w:val="1"/>
    <w:link w:val="54"/>
    <w:qFormat/>
    <w:locked/>
    <w:uiPriority w:val="9"/>
    <w:pPr>
      <w:keepNext/>
      <w:keepLines/>
      <w:spacing w:before="240" w:after="64" w:line="317" w:lineRule="auto"/>
      <w:outlineLvl w:val="5"/>
    </w:pPr>
    <w:rPr>
      <w:rFonts w:ascii="Arial" w:hAnsi="Arial" w:eastAsia="黑体"/>
      <w:b/>
      <w:bCs/>
      <w:sz w:val="24"/>
    </w:rPr>
  </w:style>
  <w:style w:type="paragraph" w:styleId="10">
    <w:name w:val="heading 7"/>
    <w:basedOn w:val="1"/>
    <w:next w:val="1"/>
    <w:link w:val="55"/>
    <w:qFormat/>
    <w:locked/>
    <w:uiPriority w:val="9"/>
    <w:pPr>
      <w:keepNext/>
      <w:keepLines/>
      <w:spacing w:before="240" w:after="64" w:line="317" w:lineRule="auto"/>
      <w:outlineLvl w:val="6"/>
    </w:pPr>
    <w:rPr>
      <w:b/>
      <w:bCs/>
      <w:sz w:val="24"/>
    </w:rPr>
  </w:style>
  <w:style w:type="paragraph" w:styleId="11">
    <w:name w:val="heading 8"/>
    <w:basedOn w:val="1"/>
    <w:next w:val="1"/>
    <w:link w:val="56"/>
    <w:qFormat/>
    <w:locked/>
    <w:uiPriority w:val="9"/>
    <w:pPr>
      <w:keepNext/>
      <w:keepLines/>
      <w:spacing w:before="240" w:after="64" w:line="317" w:lineRule="auto"/>
      <w:outlineLvl w:val="7"/>
    </w:pPr>
    <w:rPr>
      <w:rFonts w:ascii="Arial" w:hAnsi="Arial" w:eastAsia="黑体"/>
      <w:sz w:val="24"/>
    </w:rPr>
  </w:style>
  <w:style w:type="paragraph" w:styleId="12">
    <w:name w:val="heading 9"/>
    <w:basedOn w:val="1"/>
    <w:next w:val="1"/>
    <w:link w:val="57"/>
    <w:qFormat/>
    <w:locked/>
    <w:uiPriority w:val="9"/>
    <w:pPr>
      <w:keepNext/>
      <w:keepLines/>
      <w:spacing w:before="240" w:after="64" w:line="317" w:lineRule="auto"/>
      <w:outlineLvl w:val="8"/>
    </w:pPr>
    <w:rPr>
      <w:rFonts w:ascii="Arial" w:hAnsi="Arial" w:eastAsia="黑体"/>
      <w:szCs w:val="21"/>
    </w:rPr>
  </w:style>
  <w:style w:type="character" w:default="1" w:styleId="35">
    <w:name w:val="Default Paragraph Font"/>
    <w:semiHidden/>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styleId="2">
    <w:name w:val="Body Text 2"/>
    <w:basedOn w:val="1"/>
    <w:link w:val="110"/>
    <w:unhideWhenUsed/>
    <w:qFormat/>
    <w:uiPriority w:val="99"/>
    <w:pPr>
      <w:spacing w:after="120" w:line="480" w:lineRule="auto"/>
    </w:pPr>
  </w:style>
  <w:style w:type="paragraph" w:customStyle="1" w:styleId="5">
    <w:name w:val="WH 正文"/>
    <w:qFormat/>
    <w:uiPriority w:val="99"/>
    <w:pPr>
      <w:spacing w:line="360" w:lineRule="auto"/>
      <w:ind w:firstLine="200" w:firstLineChars="200"/>
    </w:pPr>
    <w:rPr>
      <w:rFonts w:ascii="Times New Roman" w:hAnsi="Times New Roman" w:eastAsia="宋体" w:cs="Times New Roman"/>
      <w:kern w:val="2"/>
      <w:sz w:val="24"/>
      <w:szCs w:val="22"/>
      <w:lang w:val="en-US" w:eastAsia="zh-CN" w:bidi="ar-SA"/>
    </w:rPr>
  </w:style>
  <w:style w:type="paragraph" w:styleId="13">
    <w:name w:val="caption"/>
    <w:basedOn w:val="1"/>
    <w:next w:val="1"/>
    <w:link w:val="58"/>
    <w:qFormat/>
    <w:locked/>
    <w:uiPriority w:val="0"/>
    <w:pPr>
      <w:spacing w:line="400" w:lineRule="exact"/>
      <w:jc w:val="center"/>
    </w:pPr>
    <w:rPr>
      <w:rFonts w:cs="Arial"/>
      <w:b/>
      <w:szCs w:val="20"/>
    </w:rPr>
  </w:style>
  <w:style w:type="paragraph" w:styleId="14">
    <w:name w:val="annotation text"/>
    <w:basedOn w:val="1"/>
    <w:link w:val="59"/>
    <w:qFormat/>
    <w:uiPriority w:val="0"/>
    <w:pPr>
      <w:adjustRightInd w:val="0"/>
      <w:spacing w:line="360" w:lineRule="auto"/>
      <w:ind w:firstLine="567"/>
      <w:textAlignment w:val="baseline"/>
    </w:pPr>
    <w:rPr>
      <w:kern w:val="28"/>
      <w:sz w:val="28"/>
      <w:szCs w:val="20"/>
    </w:rPr>
  </w:style>
  <w:style w:type="paragraph" w:styleId="15">
    <w:name w:val="Body Text"/>
    <w:basedOn w:val="1"/>
    <w:next w:val="16"/>
    <w:link w:val="60"/>
    <w:qFormat/>
    <w:uiPriority w:val="99"/>
    <w:pPr>
      <w:jc w:val="center"/>
    </w:pPr>
  </w:style>
  <w:style w:type="paragraph" w:styleId="16">
    <w:name w:val="List Bullet 5"/>
    <w:basedOn w:val="1"/>
    <w:semiHidden/>
    <w:unhideWhenUsed/>
    <w:qFormat/>
    <w:uiPriority w:val="0"/>
    <w:pPr>
      <w:numPr>
        <w:ilvl w:val="0"/>
        <w:numId w:val="2"/>
      </w:numPr>
    </w:pPr>
  </w:style>
  <w:style w:type="paragraph" w:styleId="17">
    <w:name w:val="toc 5"/>
    <w:basedOn w:val="1"/>
    <w:next w:val="1"/>
    <w:unhideWhenUsed/>
    <w:qFormat/>
    <w:locked/>
    <w:uiPriority w:val="39"/>
    <w:pPr>
      <w:spacing w:line="360" w:lineRule="auto"/>
      <w:ind w:left="1680" w:leftChars="800"/>
    </w:pPr>
    <w:rPr>
      <w:rFonts w:ascii="Calibri" w:hAnsi="Calibri"/>
      <w:sz w:val="24"/>
      <w:szCs w:val="22"/>
    </w:rPr>
  </w:style>
  <w:style w:type="paragraph" w:styleId="18">
    <w:name w:val="Plain Text"/>
    <w:basedOn w:val="1"/>
    <w:link w:val="98"/>
    <w:unhideWhenUsed/>
    <w:qFormat/>
    <w:uiPriority w:val="0"/>
    <w:rPr>
      <w:rFonts w:ascii="宋体" w:hAnsi="Courier New" w:cs="Courier New"/>
      <w:szCs w:val="21"/>
    </w:rPr>
  </w:style>
  <w:style w:type="paragraph" w:styleId="19">
    <w:name w:val="Date"/>
    <w:basedOn w:val="1"/>
    <w:next w:val="1"/>
    <w:link w:val="61"/>
    <w:qFormat/>
    <w:uiPriority w:val="0"/>
    <w:rPr>
      <w:rFonts w:ascii="宋体" w:hAnsi="MS Sans Serif"/>
      <w:sz w:val="28"/>
      <w:szCs w:val="20"/>
    </w:rPr>
  </w:style>
  <w:style w:type="paragraph" w:styleId="20">
    <w:name w:val="Body Text Indent 2"/>
    <w:basedOn w:val="1"/>
    <w:next w:val="21"/>
    <w:link w:val="62"/>
    <w:qFormat/>
    <w:uiPriority w:val="99"/>
    <w:pPr>
      <w:spacing w:after="120" w:line="480" w:lineRule="auto"/>
      <w:ind w:left="420" w:leftChars="200"/>
    </w:pPr>
  </w:style>
  <w:style w:type="paragraph" w:customStyle="1" w:styleId="21">
    <w:name w:val="简单回函地址"/>
    <w:basedOn w:val="1"/>
    <w:next w:val="22"/>
    <w:qFormat/>
    <w:uiPriority w:val="0"/>
  </w:style>
  <w:style w:type="paragraph" w:customStyle="1" w:styleId="22">
    <w:name w:val="正文2"/>
    <w:qFormat/>
    <w:uiPriority w:val="0"/>
    <w:pPr>
      <w:widowControl w:val="0"/>
      <w:suppressAutoHyphens/>
      <w:spacing w:line="520" w:lineRule="atLeast"/>
      <w:ind w:firstLine="680"/>
      <w:jc w:val="both"/>
    </w:pPr>
    <w:rPr>
      <w:rFonts w:ascii="Times New Roman" w:hAnsi="Times New Roman" w:eastAsia="宋体" w:cs="Times New Roman"/>
      <w:spacing w:val="18"/>
      <w:sz w:val="32"/>
      <w:lang w:val="en-US" w:eastAsia="zh-CN" w:bidi="ar-SA"/>
    </w:rPr>
  </w:style>
  <w:style w:type="paragraph" w:styleId="23">
    <w:name w:val="Balloon Text"/>
    <w:basedOn w:val="1"/>
    <w:link w:val="63"/>
    <w:semiHidden/>
    <w:qFormat/>
    <w:uiPriority w:val="0"/>
    <w:rPr>
      <w:sz w:val="18"/>
      <w:szCs w:val="18"/>
    </w:rPr>
  </w:style>
  <w:style w:type="paragraph" w:styleId="24">
    <w:name w:val="footer"/>
    <w:basedOn w:val="1"/>
    <w:link w:val="64"/>
    <w:qFormat/>
    <w:uiPriority w:val="99"/>
    <w:pPr>
      <w:tabs>
        <w:tab w:val="center" w:pos="4153"/>
        <w:tab w:val="right" w:pos="8306"/>
      </w:tabs>
      <w:snapToGrid w:val="0"/>
      <w:jc w:val="left"/>
    </w:pPr>
    <w:rPr>
      <w:sz w:val="18"/>
      <w:szCs w:val="18"/>
    </w:rPr>
  </w:style>
  <w:style w:type="paragraph" w:styleId="25">
    <w:name w:val="header"/>
    <w:basedOn w:val="1"/>
    <w:next w:val="15"/>
    <w:link w:val="65"/>
    <w:qFormat/>
    <w:uiPriority w:val="0"/>
    <w:pPr>
      <w:pBdr>
        <w:bottom w:val="single" w:color="auto" w:sz="6" w:space="1"/>
      </w:pBdr>
      <w:tabs>
        <w:tab w:val="center" w:pos="4153"/>
        <w:tab w:val="right" w:pos="8306"/>
      </w:tabs>
      <w:snapToGrid w:val="0"/>
      <w:jc w:val="center"/>
    </w:pPr>
    <w:rPr>
      <w:sz w:val="18"/>
      <w:szCs w:val="18"/>
    </w:rPr>
  </w:style>
  <w:style w:type="paragraph" w:styleId="26">
    <w:name w:val="toc 1"/>
    <w:basedOn w:val="1"/>
    <w:next w:val="1"/>
    <w:unhideWhenUsed/>
    <w:qFormat/>
    <w:locked/>
    <w:uiPriority w:val="39"/>
  </w:style>
  <w:style w:type="paragraph" w:styleId="27">
    <w:name w:val="Body Text Indent 3"/>
    <w:basedOn w:val="1"/>
    <w:next w:val="1"/>
    <w:link w:val="118"/>
    <w:qFormat/>
    <w:uiPriority w:val="0"/>
    <w:pPr>
      <w:spacing w:after="120"/>
      <w:ind w:left="420" w:leftChars="200"/>
    </w:pPr>
    <w:rPr>
      <w:sz w:val="16"/>
      <w:szCs w:val="16"/>
    </w:rPr>
  </w:style>
  <w:style w:type="paragraph" w:styleId="28">
    <w:name w:val="toc 2"/>
    <w:basedOn w:val="1"/>
    <w:next w:val="1"/>
    <w:unhideWhenUsed/>
    <w:qFormat/>
    <w:locked/>
    <w:uiPriority w:val="39"/>
    <w:pPr>
      <w:ind w:left="420" w:leftChars="200"/>
    </w:pPr>
  </w:style>
  <w:style w:type="paragraph" w:styleId="29">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30">
    <w:name w:val="index 1"/>
    <w:basedOn w:val="1"/>
    <w:next w:val="1"/>
    <w:qFormat/>
    <w:uiPriority w:val="0"/>
    <w:pPr>
      <w:jc w:val="center"/>
    </w:pPr>
  </w:style>
  <w:style w:type="paragraph" w:styleId="31">
    <w:name w:val="Title"/>
    <w:basedOn w:val="1"/>
    <w:next w:val="1"/>
    <w:link w:val="66"/>
    <w:qFormat/>
    <w:locked/>
    <w:uiPriority w:val="0"/>
    <w:pPr>
      <w:adjustRightInd w:val="0"/>
      <w:snapToGrid w:val="0"/>
      <w:spacing w:line="400" w:lineRule="exact"/>
      <w:jc w:val="center"/>
    </w:pPr>
    <w:rPr>
      <w:b/>
      <w:bCs/>
      <w:szCs w:val="32"/>
    </w:rPr>
  </w:style>
  <w:style w:type="paragraph" w:styleId="32">
    <w:name w:val="annotation subject"/>
    <w:basedOn w:val="14"/>
    <w:next w:val="14"/>
    <w:link w:val="67"/>
    <w:semiHidden/>
    <w:qFormat/>
    <w:uiPriority w:val="0"/>
    <w:pPr>
      <w:adjustRightInd/>
      <w:spacing w:line="240" w:lineRule="auto"/>
      <w:ind w:firstLine="0"/>
      <w:jc w:val="left"/>
      <w:textAlignment w:val="auto"/>
    </w:pPr>
    <w:rPr>
      <w:b/>
      <w:bCs/>
      <w:kern w:val="2"/>
      <w:sz w:val="21"/>
      <w:szCs w:val="24"/>
    </w:rPr>
  </w:style>
  <w:style w:type="table" w:styleId="34">
    <w:name w:val="Table Grid"/>
    <w:basedOn w:val="3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6">
    <w:name w:val="Strong"/>
    <w:basedOn w:val="35"/>
    <w:qFormat/>
    <w:locked/>
    <w:uiPriority w:val="0"/>
    <w:rPr>
      <w:b/>
      <w:bCs/>
    </w:rPr>
  </w:style>
  <w:style w:type="character" w:styleId="37">
    <w:name w:val="page number"/>
    <w:qFormat/>
    <w:uiPriority w:val="0"/>
    <w:rPr>
      <w:rFonts w:hint="default" w:ascii="Times New Roman" w:hAnsi="Times New Roman" w:cs="Times New Roman"/>
    </w:rPr>
  </w:style>
  <w:style w:type="character" w:styleId="38">
    <w:name w:val="FollowedHyperlink"/>
    <w:basedOn w:val="35"/>
    <w:semiHidden/>
    <w:unhideWhenUsed/>
    <w:qFormat/>
    <w:uiPriority w:val="0"/>
    <w:rPr>
      <w:color w:val="333333"/>
      <w:u w:val="none"/>
    </w:rPr>
  </w:style>
  <w:style w:type="character" w:styleId="39">
    <w:name w:val="Emphasis"/>
    <w:basedOn w:val="35"/>
    <w:qFormat/>
    <w:locked/>
    <w:uiPriority w:val="0"/>
  </w:style>
  <w:style w:type="character" w:styleId="40">
    <w:name w:val="line number"/>
    <w:basedOn w:val="35"/>
    <w:semiHidden/>
    <w:unhideWhenUsed/>
    <w:qFormat/>
    <w:uiPriority w:val="0"/>
  </w:style>
  <w:style w:type="character" w:styleId="41">
    <w:name w:val="HTML Definition"/>
    <w:basedOn w:val="35"/>
    <w:semiHidden/>
    <w:unhideWhenUsed/>
    <w:qFormat/>
    <w:uiPriority w:val="0"/>
  </w:style>
  <w:style w:type="character" w:styleId="42">
    <w:name w:val="HTML Variable"/>
    <w:basedOn w:val="35"/>
    <w:semiHidden/>
    <w:unhideWhenUsed/>
    <w:qFormat/>
    <w:uiPriority w:val="0"/>
  </w:style>
  <w:style w:type="character" w:styleId="43">
    <w:name w:val="Hyperlink"/>
    <w:basedOn w:val="35"/>
    <w:unhideWhenUsed/>
    <w:qFormat/>
    <w:uiPriority w:val="99"/>
    <w:rPr>
      <w:color w:val="0000FF"/>
      <w:u w:val="single"/>
    </w:rPr>
  </w:style>
  <w:style w:type="character" w:styleId="44">
    <w:name w:val="HTML Code"/>
    <w:basedOn w:val="35"/>
    <w:semiHidden/>
    <w:unhideWhenUsed/>
    <w:qFormat/>
    <w:uiPriority w:val="0"/>
    <w:rPr>
      <w:rFonts w:ascii="Consolas" w:hAnsi="Consolas" w:eastAsia="Consolas" w:cs="Consolas"/>
      <w:color w:val="C7254E"/>
      <w:sz w:val="21"/>
      <w:szCs w:val="21"/>
      <w:shd w:val="clear" w:color="auto" w:fill="F9F2F4"/>
    </w:rPr>
  </w:style>
  <w:style w:type="character" w:styleId="45">
    <w:name w:val="annotation reference"/>
    <w:qFormat/>
    <w:uiPriority w:val="0"/>
    <w:rPr>
      <w:sz w:val="21"/>
      <w:szCs w:val="21"/>
    </w:rPr>
  </w:style>
  <w:style w:type="character" w:styleId="46">
    <w:name w:val="HTML Cite"/>
    <w:basedOn w:val="35"/>
    <w:semiHidden/>
    <w:unhideWhenUsed/>
    <w:qFormat/>
    <w:uiPriority w:val="0"/>
  </w:style>
  <w:style w:type="character" w:styleId="47">
    <w:name w:val="HTML Keyboard"/>
    <w:basedOn w:val="35"/>
    <w:semiHidden/>
    <w:unhideWhenUsed/>
    <w:qFormat/>
    <w:uiPriority w:val="0"/>
    <w:rPr>
      <w:rFonts w:hint="default" w:ascii="Consolas" w:hAnsi="Consolas" w:eastAsia="Consolas" w:cs="Consolas"/>
      <w:color w:val="FFFFFF"/>
      <w:sz w:val="21"/>
      <w:szCs w:val="21"/>
      <w:shd w:val="clear" w:color="auto" w:fill="333333"/>
    </w:rPr>
  </w:style>
  <w:style w:type="character" w:styleId="48">
    <w:name w:val="HTML Sample"/>
    <w:basedOn w:val="35"/>
    <w:semiHidden/>
    <w:unhideWhenUsed/>
    <w:qFormat/>
    <w:uiPriority w:val="0"/>
    <w:rPr>
      <w:rFonts w:hint="default" w:ascii="Consolas" w:hAnsi="Consolas" w:eastAsia="Consolas" w:cs="Consolas"/>
      <w:sz w:val="21"/>
      <w:szCs w:val="21"/>
    </w:rPr>
  </w:style>
  <w:style w:type="character" w:customStyle="1" w:styleId="49">
    <w:name w:val="标题 1 Char"/>
    <w:link w:val="3"/>
    <w:qFormat/>
    <w:uiPriority w:val="9"/>
    <w:rPr>
      <w:rFonts w:ascii="黑体" w:hAnsi="黑体" w:eastAsia="黑体"/>
      <w:bCs/>
      <w:kern w:val="44"/>
      <w:sz w:val="32"/>
      <w:szCs w:val="44"/>
    </w:rPr>
  </w:style>
  <w:style w:type="character" w:customStyle="1" w:styleId="50">
    <w:name w:val="标题 2 Char"/>
    <w:link w:val="4"/>
    <w:qFormat/>
    <w:uiPriority w:val="0"/>
    <w:rPr>
      <w:b/>
      <w:bCs/>
      <w:kern w:val="2"/>
      <w:sz w:val="24"/>
      <w:szCs w:val="32"/>
    </w:rPr>
  </w:style>
  <w:style w:type="character" w:customStyle="1" w:styleId="51">
    <w:name w:val="标题 3 Char"/>
    <w:link w:val="6"/>
    <w:qFormat/>
    <w:uiPriority w:val="9"/>
    <w:rPr>
      <w:b/>
      <w:bCs/>
      <w:color w:val="000000"/>
      <w:kern w:val="2"/>
      <w:sz w:val="21"/>
      <w:szCs w:val="21"/>
    </w:rPr>
  </w:style>
  <w:style w:type="character" w:customStyle="1" w:styleId="52">
    <w:name w:val="标题 4 Char"/>
    <w:link w:val="7"/>
    <w:qFormat/>
    <w:uiPriority w:val="0"/>
    <w:rPr>
      <w:rFonts w:ascii="Arial" w:hAnsi="Arial" w:eastAsia="黑体"/>
      <w:b/>
      <w:bCs/>
      <w:kern w:val="2"/>
      <w:sz w:val="28"/>
      <w:szCs w:val="28"/>
    </w:rPr>
  </w:style>
  <w:style w:type="character" w:customStyle="1" w:styleId="53">
    <w:name w:val="标题 5 Char"/>
    <w:link w:val="8"/>
    <w:qFormat/>
    <w:uiPriority w:val="9"/>
    <w:rPr>
      <w:b/>
      <w:bCs/>
      <w:kern w:val="2"/>
      <w:sz w:val="28"/>
      <w:szCs w:val="28"/>
    </w:rPr>
  </w:style>
  <w:style w:type="character" w:customStyle="1" w:styleId="54">
    <w:name w:val="标题 6 Char"/>
    <w:link w:val="9"/>
    <w:qFormat/>
    <w:uiPriority w:val="9"/>
    <w:rPr>
      <w:rFonts w:ascii="Arial" w:hAnsi="Arial" w:eastAsia="黑体"/>
      <w:b/>
      <w:bCs/>
      <w:kern w:val="2"/>
      <w:sz w:val="24"/>
      <w:szCs w:val="24"/>
    </w:rPr>
  </w:style>
  <w:style w:type="character" w:customStyle="1" w:styleId="55">
    <w:name w:val="标题 7 Char"/>
    <w:link w:val="10"/>
    <w:qFormat/>
    <w:uiPriority w:val="9"/>
    <w:rPr>
      <w:b/>
      <w:bCs/>
      <w:kern w:val="2"/>
      <w:sz w:val="24"/>
      <w:szCs w:val="24"/>
    </w:rPr>
  </w:style>
  <w:style w:type="character" w:customStyle="1" w:styleId="56">
    <w:name w:val="标题 8 Char"/>
    <w:link w:val="11"/>
    <w:qFormat/>
    <w:uiPriority w:val="9"/>
    <w:rPr>
      <w:rFonts w:ascii="Arial" w:hAnsi="Arial" w:eastAsia="黑体"/>
      <w:kern w:val="2"/>
      <w:sz w:val="24"/>
      <w:szCs w:val="24"/>
    </w:rPr>
  </w:style>
  <w:style w:type="character" w:customStyle="1" w:styleId="57">
    <w:name w:val="标题 9 Char"/>
    <w:link w:val="12"/>
    <w:qFormat/>
    <w:uiPriority w:val="9"/>
    <w:rPr>
      <w:rFonts w:ascii="Arial" w:hAnsi="Arial" w:eastAsia="黑体"/>
      <w:kern w:val="2"/>
      <w:sz w:val="21"/>
      <w:szCs w:val="21"/>
    </w:rPr>
  </w:style>
  <w:style w:type="character" w:customStyle="1" w:styleId="58">
    <w:name w:val="题注 Char"/>
    <w:link w:val="13"/>
    <w:qFormat/>
    <w:uiPriority w:val="0"/>
    <w:rPr>
      <w:rFonts w:cs="Arial"/>
      <w:b/>
      <w:kern w:val="2"/>
      <w:sz w:val="21"/>
    </w:rPr>
  </w:style>
  <w:style w:type="character" w:customStyle="1" w:styleId="59">
    <w:name w:val="批注文字 Char"/>
    <w:link w:val="14"/>
    <w:qFormat/>
    <w:uiPriority w:val="0"/>
    <w:rPr>
      <w:kern w:val="28"/>
      <w:sz w:val="28"/>
    </w:rPr>
  </w:style>
  <w:style w:type="character" w:customStyle="1" w:styleId="60">
    <w:name w:val="正文文本 Char"/>
    <w:link w:val="15"/>
    <w:qFormat/>
    <w:uiPriority w:val="99"/>
    <w:rPr>
      <w:kern w:val="2"/>
      <w:sz w:val="21"/>
      <w:szCs w:val="24"/>
    </w:rPr>
  </w:style>
  <w:style w:type="character" w:customStyle="1" w:styleId="61">
    <w:name w:val="日期 Char"/>
    <w:link w:val="19"/>
    <w:qFormat/>
    <w:uiPriority w:val="0"/>
    <w:rPr>
      <w:rFonts w:ascii="宋体" w:hAnsi="MS Sans Serif"/>
      <w:kern w:val="2"/>
      <w:sz w:val="28"/>
    </w:rPr>
  </w:style>
  <w:style w:type="character" w:customStyle="1" w:styleId="62">
    <w:name w:val="正文文本缩进 2 Char"/>
    <w:link w:val="20"/>
    <w:qFormat/>
    <w:uiPriority w:val="99"/>
    <w:rPr>
      <w:kern w:val="2"/>
      <w:sz w:val="21"/>
      <w:szCs w:val="24"/>
    </w:rPr>
  </w:style>
  <w:style w:type="character" w:customStyle="1" w:styleId="63">
    <w:name w:val="批注框文本 Char"/>
    <w:link w:val="23"/>
    <w:semiHidden/>
    <w:qFormat/>
    <w:uiPriority w:val="0"/>
    <w:rPr>
      <w:kern w:val="2"/>
      <w:sz w:val="18"/>
      <w:szCs w:val="18"/>
    </w:rPr>
  </w:style>
  <w:style w:type="character" w:customStyle="1" w:styleId="64">
    <w:name w:val="页脚 Char"/>
    <w:link w:val="24"/>
    <w:qFormat/>
    <w:uiPriority w:val="99"/>
    <w:rPr>
      <w:kern w:val="2"/>
      <w:sz w:val="18"/>
      <w:szCs w:val="18"/>
    </w:rPr>
  </w:style>
  <w:style w:type="character" w:customStyle="1" w:styleId="65">
    <w:name w:val="页眉 Char"/>
    <w:link w:val="25"/>
    <w:qFormat/>
    <w:uiPriority w:val="0"/>
    <w:rPr>
      <w:kern w:val="2"/>
      <w:sz w:val="18"/>
      <w:szCs w:val="18"/>
    </w:rPr>
  </w:style>
  <w:style w:type="character" w:customStyle="1" w:styleId="66">
    <w:name w:val="标题 Char"/>
    <w:link w:val="31"/>
    <w:qFormat/>
    <w:uiPriority w:val="0"/>
    <w:rPr>
      <w:b/>
      <w:bCs/>
      <w:kern w:val="2"/>
      <w:sz w:val="21"/>
      <w:szCs w:val="32"/>
    </w:rPr>
  </w:style>
  <w:style w:type="character" w:customStyle="1" w:styleId="67">
    <w:name w:val="批注主题 Char"/>
    <w:link w:val="32"/>
    <w:semiHidden/>
    <w:qFormat/>
    <w:uiPriority w:val="0"/>
    <w:rPr>
      <w:b/>
      <w:bCs/>
      <w:kern w:val="2"/>
      <w:sz w:val="21"/>
      <w:szCs w:val="24"/>
    </w:rPr>
  </w:style>
  <w:style w:type="table" w:customStyle="1" w:styleId="68">
    <w:name w:val="三线表"/>
    <w:basedOn w:val="33"/>
    <w:qFormat/>
    <w:uiPriority w:val="99"/>
    <w:pPr>
      <w:adjustRightInd w:val="0"/>
      <w:snapToGrid w:val="0"/>
      <w:jc w:val="center"/>
    </w:pPr>
    <w:rPr>
      <w:sz w:val="21"/>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paragraph" w:customStyle="1" w:styleId="69">
    <w:name w:val="【正文】"/>
    <w:basedOn w:val="1"/>
    <w:link w:val="70"/>
    <w:qFormat/>
    <w:uiPriority w:val="99"/>
    <w:pPr>
      <w:adjustRightInd w:val="0"/>
      <w:snapToGrid w:val="0"/>
      <w:spacing w:line="360" w:lineRule="auto"/>
      <w:ind w:firstLine="200" w:firstLineChars="200"/>
    </w:pPr>
    <w:rPr>
      <w:sz w:val="24"/>
      <w:szCs w:val="20"/>
    </w:rPr>
  </w:style>
  <w:style w:type="character" w:customStyle="1" w:styleId="70">
    <w:name w:val="【正文】 Char"/>
    <w:link w:val="69"/>
    <w:qFormat/>
    <w:locked/>
    <w:uiPriority w:val="99"/>
    <w:rPr>
      <w:kern w:val="2"/>
      <w:sz w:val="24"/>
    </w:rPr>
  </w:style>
  <w:style w:type="character" w:customStyle="1" w:styleId="71">
    <w:name w:val="标题 1 字符"/>
    <w:semiHidden/>
    <w:qFormat/>
    <w:uiPriority w:val="0"/>
    <w:rPr>
      <w:rFonts w:eastAsia="黑体"/>
      <w:b/>
      <w:bCs/>
      <w:color w:val="000000"/>
      <w:kern w:val="44"/>
      <w:sz w:val="30"/>
      <w:szCs w:val="30"/>
    </w:rPr>
  </w:style>
  <w:style w:type="character" w:customStyle="1" w:styleId="72">
    <w:name w:val="标题 4 字符"/>
    <w:semiHidden/>
    <w:qFormat/>
    <w:uiPriority w:val="0"/>
    <w:rPr>
      <w:rFonts w:cs="宋体"/>
      <w:b/>
      <w:kern w:val="2"/>
      <w:sz w:val="21"/>
      <w:szCs w:val="24"/>
    </w:rPr>
  </w:style>
  <w:style w:type="paragraph" w:customStyle="1" w:styleId="73">
    <w:name w:val="表格内容"/>
    <w:basedOn w:val="1"/>
    <w:link w:val="74"/>
    <w:qFormat/>
    <w:uiPriority w:val="0"/>
    <w:pPr>
      <w:autoSpaceDE w:val="0"/>
      <w:autoSpaceDN w:val="0"/>
      <w:adjustRightInd w:val="0"/>
      <w:snapToGrid w:val="0"/>
      <w:spacing w:line="280" w:lineRule="exact"/>
      <w:jc w:val="center"/>
    </w:pPr>
    <w:rPr>
      <w:rFonts w:ascii="宋体" w:hAnsi="宋体"/>
      <w:snapToGrid w:val="0"/>
      <w:sz w:val="18"/>
      <w:szCs w:val="20"/>
    </w:rPr>
  </w:style>
  <w:style w:type="character" w:customStyle="1" w:styleId="74">
    <w:name w:val="表格内容 Char"/>
    <w:link w:val="73"/>
    <w:qFormat/>
    <w:locked/>
    <w:uiPriority w:val="0"/>
    <w:rPr>
      <w:rFonts w:ascii="宋体" w:hAnsi="宋体"/>
      <w:snapToGrid/>
      <w:kern w:val="2"/>
      <w:sz w:val="18"/>
    </w:rPr>
  </w:style>
  <w:style w:type="paragraph" w:customStyle="1" w:styleId="75">
    <w:name w:val="图格式"/>
    <w:basedOn w:val="69"/>
    <w:link w:val="76"/>
    <w:qFormat/>
    <w:uiPriority w:val="0"/>
    <w:pPr>
      <w:spacing w:line="240" w:lineRule="auto"/>
      <w:ind w:firstLine="0" w:firstLineChars="0"/>
      <w:jc w:val="center"/>
    </w:pPr>
  </w:style>
  <w:style w:type="character" w:customStyle="1" w:styleId="76">
    <w:name w:val="图格式 Char"/>
    <w:link w:val="75"/>
    <w:qFormat/>
    <w:uiPriority w:val="0"/>
  </w:style>
  <w:style w:type="paragraph" w:customStyle="1" w:styleId="77">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table" w:customStyle="1" w:styleId="78">
    <w:name w:val="pp"/>
    <w:basedOn w:val="33"/>
    <w:qFormat/>
    <w:uiPriority w:val="0"/>
    <w:pPr>
      <w:jc w:val="center"/>
    </w:pPr>
    <w:rPr>
      <w:sz w:val="21"/>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i w:val="0"/>
      </w:rPr>
    </w:tblStylePr>
  </w:style>
  <w:style w:type="character" w:customStyle="1" w:styleId="79">
    <w:name w:val="标题 2 字符"/>
    <w:semiHidden/>
    <w:qFormat/>
    <w:uiPriority w:val="0"/>
    <w:rPr>
      <w:rFonts w:eastAsia="黑体" w:cs="宋体"/>
      <w:kern w:val="2"/>
      <w:sz w:val="21"/>
      <w:szCs w:val="24"/>
    </w:rPr>
  </w:style>
  <w:style w:type="character" w:customStyle="1" w:styleId="80">
    <w:name w:val="标题 3 字符"/>
    <w:semiHidden/>
    <w:qFormat/>
    <w:uiPriority w:val="0"/>
    <w:rPr>
      <w:b/>
      <w:kern w:val="2"/>
      <w:sz w:val="21"/>
    </w:rPr>
  </w:style>
  <w:style w:type="character" w:customStyle="1" w:styleId="81">
    <w:name w:val="标题 6 字符"/>
    <w:semiHidden/>
    <w:qFormat/>
    <w:uiPriority w:val="9"/>
    <w:rPr>
      <w:rFonts w:cs="宋体"/>
      <w:b/>
      <w:kern w:val="2"/>
      <w:sz w:val="21"/>
      <w:szCs w:val="24"/>
    </w:rPr>
  </w:style>
  <w:style w:type="character" w:customStyle="1" w:styleId="82">
    <w:name w:val="标题 5 字符"/>
    <w:semiHidden/>
    <w:qFormat/>
    <w:uiPriority w:val="0"/>
    <w:rPr>
      <w:rFonts w:cs="宋体"/>
      <w:b/>
      <w:kern w:val="2"/>
      <w:sz w:val="21"/>
      <w:szCs w:val="24"/>
    </w:rPr>
  </w:style>
  <w:style w:type="paragraph" w:customStyle="1" w:styleId="83">
    <w:name w:val="表格文字"/>
    <w:basedOn w:val="1"/>
    <w:link w:val="84"/>
    <w:qFormat/>
    <w:uiPriority w:val="0"/>
    <w:pPr>
      <w:adjustRightInd w:val="0"/>
      <w:snapToGrid w:val="0"/>
    </w:pPr>
    <w:rPr>
      <w:bCs/>
      <w:szCs w:val="21"/>
    </w:rPr>
  </w:style>
  <w:style w:type="character" w:customStyle="1" w:styleId="84">
    <w:name w:val="表格文字 Char"/>
    <w:link w:val="83"/>
    <w:qFormat/>
    <w:uiPriority w:val="0"/>
    <w:rPr>
      <w:bCs/>
      <w:kern w:val="2"/>
      <w:sz w:val="21"/>
      <w:szCs w:val="21"/>
    </w:rPr>
  </w:style>
  <w:style w:type="paragraph" w:customStyle="1" w:styleId="85">
    <w:name w:val="样式 正文文本缩进 2 + 自动设置 行距: 1.5 倍行距"/>
    <w:basedOn w:val="20"/>
    <w:qFormat/>
    <w:uiPriority w:val="0"/>
    <w:pPr>
      <w:spacing w:after="0" w:line="460" w:lineRule="exact"/>
      <w:ind w:left="0" w:leftChars="0" w:firstLine="200" w:firstLineChars="200"/>
    </w:pPr>
    <w:rPr>
      <w:rFonts w:ascii="宋体" w:hAnsi="宋体" w:cs="宋体"/>
      <w:sz w:val="24"/>
      <w:szCs w:val="20"/>
    </w:rPr>
  </w:style>
  <w:style w:type="paragraph" w:customStyle="1" w:styleId="86">
    <w:name w:val="haydonli"/>
    <w:basedOn w:val="1"/>
    <w:link w:val="87"/>
    <w:qFormat/>
    <w:uiPriority w:val="0"/>
    <w:pPr>
      <w:snapToGrid w:val="0"/>
      <w:spacing w:line="360" w:lineRule="auto"/>
      <w:ind w:firstLine="200" w:firstLineChars="200"/>
    </w:pPr>
    <w:rPr>
      <w:rFonts w:ascii="宋体" w:hAnsi="宋体"/>
      <w:sz w:val="24"/>
    </w:rPr>
  </w:style>
  <w:style w:type="character" w:customStyle="1" w:styleId="87">
    <w:name w:val="haydonli Char"/>
    <w:link w:val="86"/>
    <w:qFormat/>
    <w:uiPriority w:val="0"/>
    <w:rPr>
      <w:rFonts w:ascii="宋体" w:hAnsi="宋体"/>
      <w:kern w:val="2"/>
      <w:sz w:val="24"/>
      <w:szCs w:val="24"/>
    </w:rPr>
  </w:style>
  <w:style w:type="paragraph" w:customStyle="1" w:styleId="88">
    <w:name w:val="Table Paragraph"/>
    <w:basedOn w:val="1"/>
    <w:qFormat/>
    <w:uiPriority w:val="1"/>
    <w:pPr>
      <w:autoSpaceDE w:val="0"/>
      <w:autoSpaceDN w:val="0"/>
      <w:jc w:val="left"/>
    </w:pPr>
    <w:rPr>
      <w:rFonts w:ascii="宋体" w:hAnsi="宋体" w:cs="宋体"/>
      <w:kern w:val="0"/>
      <w:sz w:val="22"/>
      <w:lang w:val="zh-CN" w:bidi="zh-CN"/>
    </w:rPr>
  </w:style>
  <w:style w:type="table" w:customStyle="1" w:styleId="89">
    <w:name w:val="水保正式表格"/>
    <w:basedOn w:val="33"/>
    <w:qFormat/>
    <w:uiPriority w:val="99"/>
    <w:pPr>
      <w:adjustRightInd w:val="0"/>
      <w:snapToGrid w:val="0"/>
      <w:spacing w:before="40" w:after="40"/>
      <w:jc w:val="center"/>
    </w:pPr>
    <w:rPr>
      <w:sz w:val="21"/>
    </w:rPr>
    <w:tblPr>
      <w:jc w:val="cente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rPr>
      <w:jc w:val="center"/>
    </w:trPr>
    <w:tcPr>
      <w:tcMar>
        <w:left w:w="28" w:type="dxa"/>
        <w:right w:w="28" w:type="dxa"/>
      </w:tcMar>
      <w:vAlign w:val="center"/>
    </w:tcPr>
  </w:style>
  <w:style w:type="paragraph" w:customStyle="1" w:styleId="90">
    <w:name w:val="样式1正文"/>
    <w:basedOn w:val="1"/>
    <w:qFormat/>
    <w:uiPriority w:val="0"/>
    <w:pPr>
      <w:spacing w:line="640" w:lineRule="exact"/>
      <w:ind w:firstLine="520" w:firstLineChars="200"/>
    </w:pPr>
    <w:rPr>
      <w:rFonts w:ascii="宋体" w:hAnsi="宋体"/>
      <w:spacing w:val="-10"/>
      <w:kern w:val="0"/>
      <w:sz w:val="28"/>
      <w:szCs w:val="20"/>
      <w:lang w:val="en-GB"/>
    </w:rPr>
  </w:style>
  <w:style w:type="paragraph" w:customStyle="1" w:styleId="91">
    <w:name w:val="表格"/>
    <w:basedOn w:val="1"/>
    <w:next w:val="1"/>
    <w:qFormat/>
    <w:uiPriority w:val="0"/>
    <w:pPr>
      <w:jc w:val="center"/>
    </w:pPr>
    <w:rPr>
      <w:szCs w:val="36"/>
    </w:rPr>
  </w:style>
  <w:style w:type="paragraph" w:customStyle="1" w:styleId="92">
    <w:name w:val="三级标题"/>
    <w:basedOn w:val="1"/>
    <w:next w:val="1"/>
    <w:qFormat/>
    <w:uiPriority w:val="0"/>
    <w:pPr>
      <w:numPr>
        <w:ilvl w:val="2"/>
        <w:numId w:val="3"/>
      </w:numPr>
      <w:adjustRightInd w:val="0"/>
      <w:snapToGrid w:val="0"/>
      <w:spacing w:line="360" w:lineRule="auto"/>
      <w:outlineLvl w:val="2"/>
    </w:pPr>
    <w:rPr>
      <w:rFonts w:cs="Arial"/>
      <w:b/>
      <w:kern w:val="0"/>
      <w:sz w:val="28"/>
      <w:szCs w:val="22"/>
    </w:rPr>
  </w:style>
  <w:style w:type="paragraph" w:customStyle="1" w:styleId="93">
    <w:name w:val="四级标题"/>
    <w:basedOn w:val="1"/>
    <w:next w:val="1"/>
    <w:qFormat/>
    <w:uiPriority w:val="0"/>
    <w:pPr>
      <w:widowControl/>
      <w:numPr>
        <w:ilvl w:val="3"/>
        <w:numId w:val="3"/>
      </w:numPr>
      <w:tabs>
        <w:tab w:val="left" w:pos="377"/>
      </w:tabs>
      <w:adjustRightInd w:val="0"/>
      <w:snapToGrid w:val="0"/>
      <w:spacing w:line="360" w:lineRule="auto"/>
      <w:outlineLvl w:val="3"/>
    </w:pPr>
    <w:rPr>
      <w:rFonts w:cstheme="minorBidi"/>
      <w:b/>
      <w:kern w:val="0"/>
      <w:sz w:val="24"/>
      <w:szCs w:val="20"/>
    </w:rPr>
  </w:style>
  <w:style w:type="paragraph" w:customStyle="1" w:styleId="94">
    <w:name w:val="图标题"/>
    <w:next w:val="1"/>
    <w:qFormat/>
    <w:uiPriority w:val="0"/>
    <w:pPr>
      <w:numPr>
        <w:ilvl w:val="7"/>
        <w:numId w:val="3"/>
      </w:numPr>
      <w:ind w:left="0"/>
      <w:jc w:val="center"/>
    </w:pPr>
    <w:rPr>
      <w:rFonts w:ascii="Times New Roman" w:hAnsi="Times New Roman" w:eastAsia="宋体" w:cs="Times New Roman"/>
      <w:b/>
      <w:sz w:val="21"/>
      <w:szCs w:val="24"/>
      <w:lang w:val="en-US" w:eastAsia="zh-CN" w:bidi="ar-SA"/>
    </w:rPr>
  </w:style>
  <w:style w:type="paragraph" w:customStyle="1" w:styleId="95">
    <w:name w:val="表格头"/>
    <w:basedOn w:val="18"/>
    <w:next w:val="1"/>
    <w:qFormat/>
    <w:uiPriority w:val="0"/>
    <w:pPr>
      <w:widowControl/>
      <w:numPr>
        <w:ilvl w:val="8"/>
        <w:numId w:val="3"/>
      </w:numPr>
      <w:adjustRightInd w:val="0"/>
      <w:snapToGrid w:val="0"/>
      <w:ind w:left="0" w:hanging="420"/>
      <w:jc w:val="center"/>
    </w:pPr>
    <w:rPr>
      <w:rFonts w:ascii="Times New Roman" w:hAnsi="Times New Roman" w:cs="Times New Roman"/>
      <w:b/>
      <w:kern w:val="0"/>
      <w:szCs w:val="24"/>
    </w:rPr>
  </w:style>
  <w:style w:type="paragraph" w:customStyle="1" w:styleId="96">
    <w:name w:val="二级标题"/>
    <w:basedOn w:val="13"/>
    <w:qFormat/>
    <w:uiPriority w:val="0"/>
    <w:pPr>
      <w:numPr>
        <w:ilvl w:val="1"/>
        <w:numId w:val="3"/>
      </w:numPr>
      <w:adjustRightInd w:val="0"/>
      <w:snapToGrid w:val="0"/>
      <w:spacing w:line="360" w:lineRule="auto"/>
      <w:jc w:val="both"/>
      <w:outlineLvl w:val="1"/>
    </w:pPr>
    <w:rPr>
      <w:rFonts w:cstheme="minorBidi"/>
      <w:sz w:val="28"/>
      <w:szCs w:val="21"/>
    </w:rPr>
  </w:style>
  <w:style w:type="paragraph" w:customStyle="1" w:styleId="97">
    <w:name w:val="一级标题"/>
    <w:basedOn w:val="31"/>
    <w:next w:val="1"/>
    <w:qFormat/>
    <w:uiPriority w:val="0"/>
    <w:pPr>
      <w:numPr>
        <w:ilvl w:val="0"/>
        <w:numId w:val="3"/>
      </w:numPr>
      <w:spacing w:before="240" w:after="60" w:line="360" w:lineRule="auto"/>
      <w:outlineLvl w:val="0"/>
    </w:pPr>
    <w:rPr>
      <w:rFonts w:cstheme="majorBidi"/>
      <w:sz w:val="36"/>
    </w:rPr>
  </w:style>
  <w:style w:type="character" w:customStyle="1" w:styleId="98">
    <w:name w:val="纯文本 Char"/>
    <w:basedOn w:val="35"/>
    <w:link w:val="18"/>
    <w:qFormat/>
    <w:uiPriority w:val="0"/>
    <w:rPr>
      <w:rFonts w:ascii="宋体" w:hAnsi="Courier New" w:cs="Courier New"/>
      <w:kern w:val="2"/>
      <w:sz w:val="21"/>
      <w:szCs w:val="21"/>
    </w:rPr>
  </w:style>
  <w:style w:type="paragraph" w:customStyle="1" w:styleId="99">
    <w:name w:val="WH 表格及表名"/>
    <w:qFormat/>
    <w:uiPriority w:val="0"/>
    <w:pPr>
      <w:spacing w:line="264" w:lineRule="auto"/>
      <w:jc w:val="center"/>
    </w:pPr>
    <w:rPr>
      <w:rFonts w:ascii="Times New Roman" w:hAnsi="Times New Roman" w:eastAsia="宋体" w:cs="Times New Roman"/>
      <w:kern w:val="2"/>
      <w:sz w:val="24"/>
      <w:szCs w:val="22"/>
      <w:lang w:val="en-US" w:eastAsia="zh-CN" w:bidi="ar-SA"/>
    </w:rPr>
  </w:style>
  <w:style w:type="paragraph" w:customStyle="1" w:styleId="100">
    <w:name w:val="样式 Trebuchet MS 小四 灰色-80% 行距: 1.5 倍行距"/>
    <w:basedOn w:val="1"/>
    <w:qFormat/>
    <w:uiPriority w:val="0"/>
    <w:pPr>
      <w:spacing w:line="360" w:lineRule="auto"/>
      <w:ind w:firstLine="480" w:firstLineChars="200"/>
    </w:pPr>
    <w:rPr>
      <w:rFonts w:ascii="Trebuchet MS" w:hAnsi="Trebuchet MS"/>
      <w:color w:val="333333"/>
      <w:szCs w:val="20"/>
    </w:rPr>
  </w:style>
  <w:style w:type="paragraph" w:customStyle="1" w:styleId="101">
    <w:name w:val="列出段落1"/>
    <w:basedOn w:val="1"/>
    <w:qFormat/>
    <w:uiPriority w:val="99"/>
    <w:pPr>
      <w:ind w:firstLine="420" w:firstLineChars="200"/>
    </w:pPr>
    <w:rPr>
      <w:szCs w:val="20"/>
    </w:rPr>
  </w:style>
  <w:style w:type="paragraph" w:customStyle="1" w:styleId="102">
    <w:name w:val="三章正文"/>
    <w:basedOn w:val="15"/>
    <w:qFormat/>
    <w:uiPriority w:val="0"/>
    <w:pPr>
      <w:ind w:firstLine="200" w:firstLineChars="200"/>
    </w:pPr>
    <w:rPr>
      <w:sz w:val="24"/>
      <w:szCs w:val="20"/>
    </w:rPr>
  </w:style>
  <w:style w:type="character" w:customStyle="1" w:styleId="103">
    <w:name w:val="hover11"/>
    <w:basedOn w:val="35"/>
    <w:qFormat/>
    <w:uiPriority w:val="0"/>
    <w:rPr>
      <w:color w:val="FF6600"/>
    </w:rPr>
  </w:style>
  <w:style w:type="character" w:customStyle="1" w:styleId="104">
    <w:name w:val="hover12"/>
    <w:basedOn w:val="35"/>
    <w:qFormat/>
    <w:uiPriority w:val="0"/>
    <w:rPr>
      <w:color w:val="2AA3FF"/>
    </w:rPr>
  </w:style>
  <w:style w:type="character" w:customStyle="1" w:styleId="105">
    <w:name w:val="s2"/>
    <w:basedOn w:val="35"/>
    <w:qFormat/>
    <w:uiPriority w:val="0"/>
    <w:rPr>
      <w:b/>
      <w:bCs/>
      <w:color w:val="525352"/>
      <w:spacing w:val="15"/>
      <w:sz w:val="21"/>
      <w:szCs w:val="21"/>
    </w:rPr>
  </w:style>
  <w:style w:type="character" w:customStyle="1" w:styleId="106">
    <w:name w:val="s1"/>
    <w:basedOn w:val="35"/>
    <w:qFormat/>
    <w:uiPriority w:val="0"/>
    <w:rPr>
      <w:color w:val="FFFF00"/>
      <w:sz w:val="90"/>
      <w:szCs w:val="90"/>
    </w:rPr>
  </w:style>
  <w:style w:type="paragraph" w:customStyle="1" w:styleId="107">
    <w:name w:val="A表内"/>
    <w:basedOn w:val="1"/>
    <w:qFormat/>
    <w:uiPriority w:val="0"/>
    <w:pPr>
      <w:spacing w:line="0" w:lineRule="atLeast"/>
      <w:jc w:val="center"/>
    </w:pPr>
    <w:rPr>
      <w:rFonts w:cs="宋体"/>
      <w:szCs w:val="20"/>
    </w:rPr>
  </w:style>
  <w:style w:type="paragraph" w:customStyle="1" w:styleId="108">
    <w:name w:val="表格标题"/>
    <w:basedOn w:val="12"/>
    <w:next w:val="1"/>
    <w:qFormat/>
    <w:uiPriority w:val="0"/>
    <w:pPr>
      <w:numPr>
        <w:ilvl w:val="0"/>
        <w:numId w:val="4"/>
      </w:numPr>
      <w:spacing w:before="0" w:beforeLines="10" w:after="0" w:afterLines="10" w:line="316" w:lineRule="auto"/>
      <w:jc w:val="center"/>
    </w:pPr>
    <w:rPr>
      <w:rFonts w:eastAsia="宋体"/>
      <w:b/>
      <w:szCs w:val="24"/>
    </w:rPr>
  </w:style>
  <w:style w:type="paragraph" w:customStyle="1" w:styleId="109">
    <w:name w:val="TOC 标题1"/>
    <w:basedOn w:val="3"/>
    <w:next w:val="1"/>
    <w:semiHidden/>
    <w:unhideWhenUsed/>
    <w:qFormat/>
    <w:uiPriority w:val="39"/>
    <w:pPr>
      <w:numPr>
        <w:numId w:val="0"/>
      </w:numPr>
      <w:adjustRightInd/>
      <w:snapToGrid/>
      <w:spacing w:before="340" w:after="330" w:line="578" w:lineRule="auto"/>
      <w:outlineLvl w:val="9"/>
    </w:pPr>
    <w:rPr>
      <w:rFonts w:ascii="Times New Roman" w:hAnsi="Times New Roman" w:eastAsia="宋体"/>
      <w:b/>
      <w:sz w:val="44"/>
    </w:rPr>
  </w:style>
  <w:style w:type="character" w:customStyle="1" w:styleId="110">
    <w:name w:val="正文文本 2 Char"/>
    <w:basedOn w:val="35"/>
    <w:link w:val="2"/>
    <w:qFormat/>
    <w:uiPriority w:val="99"/>
    <w:rPr>
      <w:kern w:val="2"/>
      <w:sz w:val="21"/>
      <w:szCs w:val="24"/>
    </w:rPr>
  </w:style>
  <w:style w:type="paragraph" w:customStyle="1" w:styleId="111">
    <w:name w:val="Char Char1 Char Char Char Char"/>
    <w:basedOn w:val="1"/>
    <w:qFormat/>
    <w:uiPriority w:val="0"/>
    <w:pPr>
      <w:adjustRightInd w:val="0"/>
      <w:snapToGrid w:val="0"/>
      <w:spacing w:line="240" w:lineRule="atLeast"/>
      <w:ind w:left="420" w:firstLine="420" w:firstLineChars="200"/>
    </w:pPr>
    <w:rPr>
      <w:kern w:val="0"/>
      <w:szCs w:val="21"/>
    </w:rPr>
  </w:style>
  <w:style w:type="paragraph" w:customStyle="1" w:styleId="112">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113">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character" w:customStyle="1" w:styleId="114">
    <w:name w:val="10"/>
    <w:qFormat/>
    <w:uiPriority w:val="0"/>
    <w:rPr>
      <w:rFonts w:hint="default" w:ascii="Times New Roman" w:hAnsi="Times New Roman" w:cs="Times New Roman"/>
    </w:rPr>
  </w:style>
  <w:style w:type="paragraph" w:customStyle="1" w:styleId="115">
    <w:name w:val="表格格式"/>
    <w:basedOn w:val="1"/>
    <w:qFormat/>
    <w:uiPriority w:val="0"/>
    <w:pPr>
      <w:adjustRightInd w:val="0"/>
      <w:snapToGrid w:val="0"/>
      <w:jc w:val="center"/>
    </w:pPr>
    <w:rPr>
      <w:rFonts w:eastAsia="仿宋_GB2312"/>
      <w:sz w:val="18"/>
      <w:szCs w:val="22"/>
    </w:rPr>
  </w:style>
  <w:style w:type="paragraph" w:customStyle="1" w:styleId="116">
    <w:name w:val="图表内容"/>
    <w:basedOn w:val="1"/>
    <w:next w:val="1"/>
    <w:link w:val="117"/>
    <w:qFormat/>
    <w:uiPriority w:val="0"/>
    <w:pPr>
      <w:adjustRightInd w:val="0"/>
      <w:snapToGrid w:val="0"/>
      <w:jc w:val="center"/>
    </w:pPr>
    <w:rPr>
      <w:szCs w:val="22"/>
    </w:rPr>
  </w:style>
  <w:style w:type="character" w:customStyle="1" w:styleId="117">
    <w:name w:val="图表内容 字符"/>
    <w:link w:val="116"/>
    <w:qFormat/>
    <w:uiPriority w:val="0"/>
    <w:rPr>
      <w:kern w:val="2"/>
      <w:sz w:val="21"/>
      <w:szCs w:val="22"/>
    </w:rPr>
  </w:style>
  <w:style w:type="character" w:customStyle="1" w:styleId="118">
    <w:name w:val="正文文本缩进 3 Char"/>
    <w:basedOn w:val="35"/>
    <w:link w:val="27"/>
    <w:qFormat/>
    <w:uiPriority w:val="0"/>
    <w:rPr>
      <w:kern w:val="2"/>
      <w:sz w:val="16"/>
      <w:szCs w:val="16"/>
    </w:rPr>
  </w:style>
  <w:style w:type="character" w:customStyle="1" w:styleId="119">
    <w:name w:val="表格文字 Char Char"/>
    <w:qFormat/>
    <w:uiPriority w:val="0"/>
    <w:rPr>
      <w:rFonts w:ascii="宋体"/>
      <w:color w:val="000000"/>
      <w:sz w:val="24"/>
    </w:rPr>
  </w:style>
  <w:style w:type="paragraph" w:customStyle="1" w:styleId="120">
    <w:name w:val="表内容1"/>
    <w:basedOn w:val="1"/>
    <w:qFormat/>
    <w:uiPriority w:val="0"/>
    <w:pPr>
      <w:adjustRightInd w:val="0"/>
      <w:snapToGrid w:val="0"/>
      <w:jc w:val="center"/>
    </w:pPr>
  </w:style>
  <w:style w:type="character" w:customStyle="1" w:styleId="121">
    <w:name w:val="表头+ 字符"/>
    <w:link w:val="122"/>
    <w:qFormat/>
    <w:uiPriority w:val="0"/>
    <w:rPr>
      <w:kern w:val="2"/>
      <w:sz w:val="21"/>
      <w:szCs w:val="21"/>
    </w:rPr>
  </w:style>
  <w:style w:type="paragraph" w:customStyle="1" w:styleId="122">
    <w:name w:val="表头+"/>
    <w:basedOn w:val="1"/>
    <w:link w:val="121"/>
    <w:qFormat/>
    <w:uiPriority w:val="0"/>
    <w:pPr>
      <w:spacing w:before="100" w:after="100" w:line="360" w:lineRule="auto"/>
      <w:jc w:val="center"/>
    </w:pPr>
    <w:rPr>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4" Type="http://schemas.openxmlformats.org/officeDocument/2006/relationships/fontTable" Target="fontTable.xml"/><Relationship Id="rId43" Type="http://schemas.openxmlformats.org/officeDocument/2006/relationships/customXml" Target="../customXml/item2.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33.emf"/><Relationship Id="rId4" Type="http://schemas.openxmlformats.org/officeDocument/2006/relationships/footer" Target="footer2.xml"/><Relationship Id="rId39" Type="http://schemas.openxmlformats.org/officeDocument/2006/relationships/image" Target="media/image32.emf"/><Relationship Id="rId38" Type="http://schemas.openxmlformats.org/officeDocument/2006/relationships/image" Target="media/image31.emf"/><Relationship Id="rId37" Type="http://schemas.openxmlformats.org/officeDocument/2006/relationships/image" Target="media/image30.emf"/><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jpe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emf"/><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emf"/><Relationship Id="rId14" Type="http://schemas.openxmlformats.org/officeDocument/2006/relationships/image" Target="media/image7.png"/><Relationship Id="rId13" Type="http://schemas.openxmlformats.org/officeDocument/2006/relationships/image" Target="media/image6.emf"/><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9189ED3-0D9C-48C0-89AA-2FDB815F6282}">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113</Pages>
  <Words>177</Words>
  <Characters>189</Characters>
  <Lines>604</Lines>
  <Paragraphs>170</Paragraphs>
  <TotalTime>1466</TotalTime>
  <ScaleCrop>false</ScaleCrop>
  <LinksUpToDate>false</LinksUpToDate>
  <CharactersWithSpaces>236</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2023-11-14T01:39:00Z</dcterms:created>
  <dc:creator>lhj</dc:creator>
  <cp:lastModifiedBy>Liuliu</cp:lastModifiedBy>
  <cp:lastPrinted>2023-12-11T06:28:00Z</cp:lastPrinted>
  <dcterms:modified xsi:type="dcterms:W3CDTF">2025-06-04T01:29:35Z</dcterms:modified>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17A5434ABE75468D9A62B5F47FB348C5_13</vt:lpwstr>
  </property>
  <property fmtid="{D5CDD505-2E9C-101B-9397-08002B2CF9AE}" pid="4" name="KSOTemplateDocerSaveRecord">
    <vt:lpwstr>eyJoZGlkIjoiYmYyMTkwMTk1NWMzMGJlOGQ0Y2ZiMTBlMzQ2ZTZiOGUiLCJ1c2VySWQiOiI0Nzc2Mzg2NDEifQ==</vt:lpwstr>
  </property>
</Properties>
</file>