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DD2" w:rsidRDefault="00A74AC5">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大英</w:t>
      </w:r>
      <w:r>
        <w:rPr>
          <w:rFonts w:ascii="Times New Roman" w:eastAsia="方正小标宋简体" w:hAnsi="Times New Roman" w:cs="Times New Roman"/>
          <w:sz w:val="44"/>
          <w:szCs w:val="44"/>
        </w:rPr>
        <w:t>县烟草制品零售点合理布局规定</w:t>
      </w:r>
    </w:p>
    <w:p w:rsidR="00B427AE" w:rsidRDefault="00B427AE">
      <w:pPr>
        <w:spacing w:line="600" w:lineRule="exact"/>
        <w:jc w:val="center"/>
        <w:rPr>
          <w:rFonts w:ascii="Times New Roman" w:eastAsia="方正小标宋简体" w:hAnsi="Times New Roman" w:cs="Times New Roman"/>
          <w:sz w:val="44"/>
          <w:szCs w:val="44"/>
        </w:rPr>
      </w:pPr>
    </w:p>
    <w:p w:rsidR="00DA7DD2" w:rsidRDefault="00A74AC5">
      <w:pPr>
        <w:widowControl/>
        <w:shd w:val="clear" w:color="auto" w:fill="FFFFFF"/>
        <w:spacing w:line="600" w:lineRule="atLeast"/>
        <w:jc w:val="center"/>
        <w:rPr>
          <w:rFonts w:ascii="Times New Roman" w:eastAsia="方正黑体" w:hAnsi="Times New Roman" w:cs="Times New Roman"/>
          <w:kern w:val="0"/>
          <w:sz w:val="22"/>
        </w:rPr>
      </w:pPr>
      <w:r>
        <w:rPr>
          <w:rFonts w:ascii="Times New Roman" w:eastAsia="方正黑体" w:hAnsi="Times New Roman" w:cs="Times New Roman"/>
          <w:kern w:val="0"/>
          <w:sz w:val="32"/>
          <w:szCs w:val="32"/>
        </w:rPr>
        <w:t>第一章</w:t>
      </w:r>
      <w:r>
        <w:rPr>
          <w:rFonts w:ascii="Times New Roman" w:eastAsia="方正黑体" w:hAnsi="Times New Roman" w:cs="Times New Roman"/>
          <w:kern w:val="0"/>
          <w:sz w:val="32"/>
          <w:szCs w:val="32"/>
        </w:rPr>
        <w:t>  </w:t>
      </w:r>
      <w:r>
        <w:rPr>
          <w:rFonts w:ascii="Times New Roman" w:eastAsia="方正黑体" w:hAnsi="Times New Roman" w:cs="Times New Roman"/>
          <w:kern w:val="0"/>
          <w:sz w:val="32"/>
          <w:szCs w:val="32"/>
        </w:rPr>
        <w:t>总</w:t>
      </w:r>
      <w:r>
        <w:rPr>
          <w:rFonts w:ascii="Times New Roman" w:eastAsia="方正黑体" w:hAnsi="Times New Roman" w:cs="Times New Roman"/>
          <w:kern w:val="0"/>
          <w:sz w:val="32"/>
          <w:szCs w:val="32"/>
        </w:rPr>
        <w:t>  </w:t>
      </w:r>
      <w:r>
        <w:rPr>
          <w:rFonts w:ascii="Times New Roman" w:eastAsia="方正黑体" w:hAnsi="Times New Roman" w:cs="Times New Roman"/>
          <w:kern w:val="0"/>
          <w:sz w:val="32"/>
          <w:szCs w:val="32"/>
        </w:rPr>
        <w:t>则</w:t>
      </w:r>
    </w:p>
    <w:p w:rsidR="00DA7DD2" w:rsidRDefault="00A74AC5">
      <w:pPr>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第一条</w:t>
      </w:r>
      <w:r w:rsidR="00B427AE">
        <w:rPr>
          <w:rFonts w:ascii="Times New Roman" w:eastAsia="方正仿宋" w:hAnsi="Times New Roman" w:cs="Times New Roman" w:hint="eastAsia"/>
          <w:sz w:val="32"/>
          <w:szCs w:val="32"/>
        </w:rPr>
        <w:t xml:space="preserve"> </w:t>
      </w:r>
      <w:r>
        <w:rPr>
          <w:rFonts w:ascii="Times New Roman" w:eastAsia="方正仿宋" w:hAnsi="Times New Roman" w:cs="Times New Roman" w:hint="eastAsia"/>
          <w:sz w:val="32"/>
          <w:szCs w:val="32"/>
        </w:rPr>
        <w:t>为加强烟草专卖零售许可证管理，切实履行控烟履约责任义务，保护未成年人身心健康，适度满足烟草消费需求，合理配置许可资源，避免市场无序竞争，维护国家利益和消费者利益，</w:t>
      </w:r>
      <w:r>
        <w:rPr>
          <w:rFonts w:ascii="Times New Roman" w:eastAsia="方正仿宋" w:hAnsi="Times New Roman" w:cs="Times New Roman"/>
          <w:sz w:val="32"/>
          <w:szCs w:val="32"/>
        </w:rPr>
        <w:t>根据《中华人民共和国行政许可法》、《中华人民共和国未成年人保护法》、《中华人民共和国烟草专卖法》及其《实施条例》、《烟草专卖许可证管理办法》及其《实施细则》等法律、法规和规章及相关规定，结合</w:t>
      </w:r>
      <w:r>
        <w:rPr>
          <w:rFonts w:ascii="Times New Roman" w:eastAsia="方正仿宋" w:hAnsi="Times New Roman" w:cs="Times New Roman" w:hint="eastAsia"/>
          <w:sz w:val="32"/>
          <w:szCs w:val="32"/>
        </w:rPr>
        <w:t>大英</w:t>
      </w:r>
      <w:r>
        <w:rPr>
          <w:rFonts w:ascii="Times New Roman" w:eastAsia="方正仿宋" w:hAnsi="Times New Roman" w:cs="Times New Roman"/>
          <w:sz w:val="32"/>
          <w:szCs w:val="32"/>
        </w:rPr>
        <w:t>县实际，制定本规定。</w:t>
      </w:r>
    </w:p>
    <w:p w:rsidR="00DA7DD2" w:rsidRDefault="00A74AC5">
      <w:pPr>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第二条</w:t>
      </w:r>
      <w:r>
        <w:rPr>
          <w:rFonts w:ascii="Times New Roman" w:eastAsia="方正仿宋" w:hAnsi="Times New Roman" w:cs="Times New Roman"/>
          <w:sz w:val="32"/>
          <w:szCs w:val="32"/>
        </w:rPr>
        <w:t xml:space="preserve"> </w:t>
      </w:r>
      <w:r>
        <w:rPr>
          <w:rFonts w:ascii="Times New Roman" w:eastAsia="方正仿宋" w:hAnsi="Times New Roman" w:cs="Times New Roman"/>
          <w:sz w:val="32"/>
          <w:szCs w:val="32"/>
        </w:rPr>
        <w:t>本规定所称烟草制品零售点（以下称零售点）是指依法取得烟草专卖零售许可证的公民、法人及其他组织从事烟草制品零售业务的与住所相独立的固定经营场所。</w:t>
      </w:r>
    </w:p>
    <w:p w:rsidR="00DA7DD2" w:rsidRDefault="00A74AC5">
      <w:pPr>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第三条</w:t>
      </w:r>
      <w:r>
        <w:rPr>
          <w:rFonts w:ascii="Times New Roman" w:eastAsia="方正仿宋" w:hAnsi="Times New Roman" w:cs="Times New Roman"/>
          <w:sz w:val="32"/>
          <w:szCs w:val="32"/>
        </w:rPr>
        <w:t xml:space="preserve"> </w:t>
      </w:r>
      <w:r>
        <w:rPr>
          <w:rFonts w:ascii="Times New Roman" w:eastAsia="方正仿宋" w:hAnsi="Times New Roman" w:cs="Times New Roman"/>
          <w:sz w:val="32"/>
          <w:szCs w:val="32"/>
        </w:rPr>
        <w:t>本规定适用于</w:t>
      </w:r>
      <w:bookmarkStart w:id="0" w:name="_Hlk171865236"/>
      <w:r>
        <w:rPr>
          <w:rFonts w:ascii="Times New Roman" w:eastAsia="方正仿宋" w:hAnsi="Times New Roman" w:cs="Times New Roman" w:hint="eastAsia"/>
          <w:sz w:val="32"/>
          <w:szCs w:val="32"/>
        </w:rPr>
        <w:t>大英</w:t>
      </w:r>
      <w:r>
        <w:rPr>
          <w:rFonts w:ascii="Times New Roman" w:eastAsia="方正仿宋" w:hAnsi="Times New Roman" w:cs="Times New Roman"/>
          <w:sz w:val="32"/>
          <w:szCs w:val="32"/>
        </w:rPr>
        <w:t>县</w:t>
      </w:r>
      <w:bookmarkEnd w:id="0"/>
      <w:r>
        <w:rPr>
          <w:rFonts w:ascii="Times New Roman" w:eastAsia="方正仿宋" w:hAnsi="Times New Roman" w:cs="Times New Roman"/>
          <w:sz w:val="32"/>
          <w:szCs w:val="32"/>
        </w:rPr>
        <w:t>烟草专卖局管辖区域内烟草制品（不含电子烟）零售点的布局管理。</w:t>
      </w:r>
    </w:p>
    <w:p w:rsidR="00DA7DD2" w:rsidRDefault="00A74AC5">
      <w:pPr>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第四条</w:t>
      </w:r>
      <w:r>
        <w:rPr>
          <w:rFonts w:ascii="Times New Roman" w:eastAsia="方正仿宋" w:hAnsi="Times New Roman" w:cs="Times New Roman"/>
          <w:sz w:val="32"/>
          <w:szCs w:val="32"/>
        </w:rPr>
        <w:t xml:space="preserve"> </w:t>
      </w:r>
      <w:r>
        <w:rPr>
          <w:rFonts w:ascii="Times New Roman" w:eastAsia="方正仿宋" w:hAnsi="Times New Roman" w:cs="Times New Roman"/>
          <w:sz w:val="32"/>
          <w:szCs w:val="32"/>
        </w:rPr>
        <w:t>本</w:t>
      </w:r>
      <w:r>
        <w:rPr>
          <w:rFonts w:ascii="Times New Roman" w:eastAsia="方正仿宋" w:hAnsi="Times New Roman" w:cs="Times New Roman" w:hint="eastAsia"/>
          <w:sz w:val="32"/>
          <w:szCs w:val="32"/>
        </w:rPr>
        <w:t>规定</w:t>
      </w:r>
      <w:r>
        <w:rPr>
          <w:rFonts w:ascii="Times New Roman" w:eastAsia="方正仿宋" w:hAnsi="Times New Roman" w:cs="Times New Roman"/>
          <w:sz w:val="32"/>
          <w:szCs w:val="32"/>
        </w:rPr>
        <w:t>遵循依法行政、科学规划、服务社会、均衡发展</w:t>
      </w:r>
      <w:r>
        <w:rPr>
          <w:rFonts w:ascii="Times New Roman" w:eastAsia="方正仿宋" w:hAnsi="Times New Roman" w:cs="Times New Roman" w:hint="eastAsia"/>
          <w:sz w:val="32"/>
          <w:szCs w:val="32"/>
        </w:rPr>
        <w:t>、动态评估</w:t>
      </w:r>
      <w:r>
        <w:rPr>
          <w:rFonts w:ascii="Times New Roman" w:eastAsia="方正仿宋" w:hAnsi="Times New Roman" w:cs="Times New Roman"/>
          <w:sz w:val="32"/>
          <w:szCs w:val="32"/>
        </w:rPr>
        <w:t>原则，根据辖区人口分布、交通状况、经济发展水平和消费能力等要素确定零售点布局。</w:t>
      </w:r>
    </w:p>
    <w:p w:rsidR="00DA7DD2" w:rsidRDefault="00A74AC5" w:rsidP="00134ACE">
      <w:pPr>
        <w:widowControl/>
        <w:shd w:val="clear" w:color="auto" w:fill="FFFFFF"/>
        <w:spacing w:line="600" w:lineRule="exact"/>
        <w:jc w:val="center"/>
        <w:rPr>
          <w:rFonts w:ascii="Times New Roman" w:eastAsia="方正黑体" w:hAnsi="Times New Roman" w:cs="Times New Roman"/>
          <w:kern w:val="0"/>
          <w:sz w:val="32"/>
          <w:szCs w:val="32"/>
        </w:rPr>
      </w:pPr>
      <w:r>
        <w:rPr>
          <w:rFonts w:ascii="Times New Roman" w:eastAsia="方正黑体" w:hAnsi="Times New Roman" w:cs="Times New Roman"/>
          <w:kern w:val="0"/>
          <w:sz w:val="32"/>
          <w:szCs w:val="32"/>
        </w:rPr>
        <w:t>第二章</w:t>
      </w:r>
      <w:r w:rsidR="00724C00">
        <w:rPr>
          <w:rFonts w:ascii="Times New Roman" w:eastAsia="方正黑体" w:hAnsi="Times New Roman" w:cs="Times New Roman" w:hint="eastAsia"/>
          <w:kern w:val="0"/>
          <w:sz w:val="32"/>
          <w:szCs w:val="32"/>
        </w:rPr>
        <w:t xml:space="preserve"> </w:t>
      </w:r>
      <w:r>
        <w:rPr>
          <w:rFonts w:ascii="Times New Roman" w:eastAsia="方正黑体" w:hAnsi="Times New Roman" w:cs="Times New Roman"/>
          <w:kern w:val="0"/>
          <w:sz w:val="32"/>
          <w:szCs w:val="32"/>
        </w:rPr>
        <w:t>布局标准</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第五条</w:t>
      </w:r>
      <w:r>
        <w:rPr>
          <w:rFonts w:ascii="Times New Roman" w:eastAsia="方正仿宋" w:hAnsi="Times New Roman" w:cs="Times New Roman"/>
          <w:sz w:val="32"/>
          <w:szCs w:val="32"/>
        </w:rPr>
        <w:t xml:space="preserve"> </w:t>
      </w:r>
      <w:r>
        <w:rPr>
          <w:rFonts w:ascii="Times New Roman" w:eastAsia="方正仿宋" w:hAnsi="Times New Roman" w:cs="Times New Roman"/>
          <w:sz w:val="32"/>
          <w:szCs w:val="32"/>
        </w:rPr>
        <w:t>根据辖区规划、经济发展、市场成熟度、人口数量、区域功能和交通便利等因素，将辖区划分为</w:t>
      </w:r>
      <w:r w:rsidRPr="00B427AE">
        <w:rPr>
          <w:rFonts w:ascii="Times New Roman" w:eastAsia="方正仿宋" w:hAnsi="Times New Roman" w:cs="Times New Roman"/>
          <w:sz w:val="32"/>
          <w:szCs w:val="32"/>
        </w:rPr>
        <w:t>饱和区、发展区和特</w:t>
      </w:r>
      <w:r w:rsidRPr="00B427AE">
        <w:rPr>
          <w:rFonts w:ascii="Times New Roman" w:eastAsia="方正仿宋" w:hAnsi="Times New Roman" w:cs="Times New Roman"/>
          <w:sz w:val="32"/>
          <w:szCs w:val="32"/>
        </w:rPr>
        <w:lastRenderedPageBreak/>
        <w:t>殊区域</w:t>
      </w:r>
      <w:r>
        <w:rPr>
          <w:rFonts w:ascii="Times New Roman" w:eastAsia="方正仿宋" w:hAnsi="Times New Roman" w:cs="Times New Roman"/>
          <w:sz w:val="32"/>
          <w:szCs w:val="32"/>
        </w:rPr>
        <w:t>，采取</w:t>
      </w:r>
      <w:r>
        <w:rPr>
          <w:rFonts w:ascii="Times New Roman" w:eastAsia="方正仿宋" w:hAnsi="Times New Roman" w:cs="Times New Roman"/>
          <w:sz w:val="32"/>
          <w:szCs w:val="32"/>
        </w:rPr>
        <w:t>“</w:t>
      </w:r>
      <w:r>
        <w:rPr>
          <w:rFonts w:ascii="Times New Roman" w:eastAsia="方正仿宋" w:hAnsi="Times New Roman" w:cs="Times New Roman"/>
          <w:sz w:val="32"/>
          <w:szCs w:val="32"/>
        </w:rPr>
        <w:t>总量控制</w:t>
      </w:r>
      <w:r>
        <w:rPr>
          <w:rFonts w:ascii="Times New Roman" w:eastAsia="方正仿宋" w:hAnsi="Times New Roman" w:cs="Times New Roman"/>
          <w:sz w:val="32"/>
          <w:szCs w:val="32"/>
        </w:rPr>
        <w:t>”</w:t>
      </w:r>
      <w:r>
        <w:rPr>
          <w:rFonts w:ascii="Times New Roman" w:eastAsia="方正仿宋" w:hAnsi="Times New Roman" w:cs="Times New Roman"/>
          <w:sz w:val="32"/>
          <w:szCs w:val="32"/>
        </w:rPr>
        <w:t>、</w:t>
      </w:r>
      <w:r>
        <w:rPr>
          <w:rFonts w:ascii="Times New Roman" w:eastAsia="方正仿宋" w:hAnsi="Times New Roman" w:cs="Times New Roman"/>
          <w:sz w:val="32"/>
          <w:szCs w:val="32"/>
        </w:rPr>
        <w:t>“</w:t>
      </w:r>
      <w:r>
        <w:rPr>
          <w:rFonts w:ascii="Times New Roman" w:eastAsia="方正仿宋" w:hAnsi="Times New Roman" w:cs="Times New Roman"/>
          <w:sz w:val="32"/>
          <w:szCs w:val="32"/>
        </w:rPr>
        <w:t>间距控制</w:t>
      </w:r>
      <w:r>
        <w:rPr>
          <w:rFonts w:ascii="Times New Roman" w:eastAsia="方正仿宋" w:hAnsi="Times New Roman" w:cs="Times New Roman"/>
          <w:sz w:val="32"/>
          <w:szCs w:val="32"/>
        </w:rPr>
        <w:t>”</w:t>
      </w:r>
      <w:r>
        <w:rPr>
          <w:rFonts w:ascii="Times New Roman" w:eastAsia="方正仿宋" w:hAnsi="Times New Roman" w:cs="Times New Roman"/>
          <w:sz w:val="32"/>
          <w:szCs w:val="32"/>
        </w:rPr>
        <w:t>或</w:t>
      </w:r>
      <w:r>
        <w:rPr>
          <w:rFonts w:ascii="Times New Roman" w:eastAsia="方正仿宋" w:hAnsi="Times New Roman" w:cs="Times New Roman"/>
          <w:sz w:val="32"/>
          <w:szCs w:val="32"/>
        </w:rPr>
        <w:t>“</w:t>
      </w:r>
      <w:r>
        <w:rPr>
          <w:rFonts w:ascii="Times New Roman" w:eastAsia="方正仿宋" w:hAnsi="Times New Roman" w:cs="Times New Roman"/>
          <w:sz w:val="32"/>
          <w:szCs w:val="32"/>
        </w:rPr>
        <w:t>总量</w:t>
      </w:r>
      <w:r>
        <w:rPr>
          <w:rFonts w:ascii="Times New Roman" w:eastAsia="方正仿宋" w:hAnsi="Times New Roman" w:cs="Times New Roman"/>
          <w:sz w:val="32"/>
          <w:szCs w:val="32"/>
        </w:rPr>
        <w:t>+</w:t>
      </w:r>
      <w:r>
        <w:rPr>
          <w:rFonts w:ascii="Times New Roman" w:eastAsia="方正仿宋" w:hAnsi="Times New Roman" w:cs="Times New Roman"/>
          <w:sz w:val="32"/>
          <w:szCs w:val="32"/>
        </w:rPr>
        <w:t>间距</w:t>
      </w:r>
      <w:r>
        <w:rPr>
          <w:rFonts w:ascii="Times New Roman" w:eastAsia="方正仿宋" w:hAnsi="Times New Roman" w:cs="Times New Roman"/>
          <w:sz w:val="32"/>
          <w:szCs w:val="32"/>
        </w:rPr>
        <w:t>”</w:t>
      </w:r>
      <w:r>
        <w:rPr>
          <w:rFonts w:ascii="Times New Roman" w:eastAsia="方正仿宋" w:hAnsi="Times New Roman" w:cs="Times New Roman"/>
          <w:sz w:val="32"/>
          <w:szCs w:val="32"/>
        </w:rPr>
        <w:t>三种控制类型</w:t>
      </w:r>
      <w:r>
        <w:rPr>
          <w:rFonts w:ascii="Times New Roman" w:eastAsia="方正仿宋" w:hAnsi="Times New Roman" w:cs="Times New Roman" w:hint="eastAsia"/>
          <w:sz w:val="32"/>
          <w:szCs w:val="32"/>
        </w:rPr>
        <w:t>。</w:t>
      </w:r>
      <w:r w:rsidR="00A60A5B" w:rsidRPr="00A56F62">
        <w:rPr>
          <w:rFonts w:ascii="Times New Roman" w:eastAsia="方正仿宋" w:hAnsi="Times New Roman" w:cs="Times New Roman" w:hint="eastAsia"/>
          <w:sz w:val="32"/>
          <w:szCs w:val="32"/>
        </w:rPr>
        <w:t>每个行政村可设置</w:t>
      </w:r>
      <w:r w:rsidR="00A60A5B" w:rsidRPr="00A56F62">
        <w:rPr>
          <w:rFonts w:ascii="Times New Roman" w:eastAsia="方正仿宋" w:hAnsi="Times New Roman" w:cs="Times New Roman" w:hint="eastAsia"/>
          <w:sz w:val="32"/>
          <w:szCs w:val="32"/>
        </w:rPr>
        <w:t>1</w:t>
      </w:r>
      <w:r w:rsidR="00A60A5B" w:rsidRPr="00A56F62">
        <w:rPr>
          <w:rFonts w:ascii="Times New Roman" w:eastAsia="方正仿宋" w:hAnsi="Times New Roman" w:cs="Times New Roman" w:hint="eastAsia"/>
          <w:sz w:val="32"/>
          <w:szCs w:val="32"/>
        </w:rPr>
        <w:t>个</w:t>
      </w:r>
      <w:r w:rsidR="00A60A5B" w:rsidRPr="00A60A5B">
        <w:rPr>
          <w:rFonts w:ascii="Times New Roman" w:eastAsia="方正仿宋" w:hAnsi="Times New Roman" w:cs="Times New Roman" w:hint="eastAsia"/>
          <w:sz w:val="32"/>
          <w:szCs w:val="32"/>
        </w:rPr>
        <w:t>烟草制品零售点</w:t>
      </w:r>
      <w:r w:rsidR="00A60A5B" w:rsidRPr="00A56F62">
        <w:rPr>
          <w:rFonts w:ascii="Times New Roman" w:eastAsia="方正仿宋" w:hAnsi="Times New Roman" w:cs="Times New Roman" w:hint="eastAsia"/>
          <w:sz w:val="32"/>
          <w:szCs w:val="32"/>
        </w:rPr>
        <w:t>，但不得超过该行政村</w:t>
      </w:r>
      <w:r w:rsidR="00A60A5B" w:rsidRPr="00A60A5B">
        <w:rPr>
          <w:rFonts w:ascii="Times New Roman" w:eastAsia="方正仿宋" w:hAnsi="Times New Roman" w:cs="Times New Roman" w:hint="eastAsia"/>
          <w:sz w:val="32"/>
          <w:szCs w:val="32"/>
        </w:rPr>
        <w:t>所在</w:t>
      </w:r>
      <w:r w:rsidR="00A60A5B">
        <w:rPr>
          <w:rFonts w:ascii="Times New Roman" w:eastAsia="方正仿宋" w:hAnsi="Times New Roman" w:cs="Times New Roman" w:hint="eastAsia"/>
          <w:sz w:val="32"/>
          <w:szCs w:val="32"/>
        </w:rPr>
        <w:t>布局单元</w:t>
      </w:r>
      <w:r w:rsidR="00A60A5B" w:rsidRPr="00A56F62">
        <w:rPr>
          <w:rFonts w:ascii="Times New Roman" w:eastAsia="方正仿宋" w:hAnsi="Times New Roman" w:cs="Times New Roman" w:hint="eastAsia"/>
          <w:sz w:val="32"/>
          <w:szCs w:val="32"/>
        </w:rPr>
        <w:t>零售点</w:t>
      </w:r>
      <w:r w:rsidR="00A60A5B" w:rsidRPr="00A60A5B">
        <w:rPr>
          <w:rFonts w:ascii="Times New Roman" w:eastAsia="方正仿宋" w:hAnsi="Times New Roman" w:cs="Times New Roman" w:hint="eastAsia"/>
          <w:sz w:val="32"/>
          <w:szCs w:val="32"/>
        </w:rPr>
        <w:t>的核定总量</w:t>
      </w:r>
      <w:r w:rsidRPr="00160187">
        <w:rPr>
          <w:rFonts w:ascii="Times New Roman" w:eastAsia="方正仿宋" w:hAnsi="Times New Roman" w:cs="Times New Roman" w:hint="eastAsia"/>
          <w:sz w:val="32"/>
          <w:szCs w:val="32"/>
        </w:rPr>
        <w:t>。</w:t>
      </w:r>
      <w:r>
        <w:rPr>
          <w:rFonts w:ascii="Times New Roman" w:eastAsia="方正仿宋" w:hAnsi="Times New Roman" w:cs="Times New Roman"/>
          <w:sz w:val="32"/>
          <w:szCs w:val="32"/>
        </w:rPr>
        <w:t>（具体布局区域类别、布局单元名称、范围及各布局单元的间距控制标准、总量</w:t>
      </w:r>
      <w:r>
        <w:rPr>
          <w:rFonts w:ascii="Times New Roman" w:eastAsia="方正仿宋" w:hAnsi="Times New Roman" w:cs="Times New Roman" w:hint="eastAsia"/>
          <w:sz w:val="32"/>
          <w:szCs w:val="32"/>
        </w:rPr>
        <w:t>控制标准</w:t>
      </w:r>
      <w:r>
        <w:rPr>
          <w:rFonts w:ascii="Times New Roman" w:eastAsia="方正仿宋" w:hAnsi="Times New Roman" w:cs="Times New Roman"/>
          <w:sz w:val="32"/>
          <w:szCs w:val="32"/>
        </w:rPr>
        <w:t>及行政许可现状详见</w:t>
      </w:r>
      <w:r>
        <w:rPr>
          <w:rFonts w:ascii="Times New Roman" w:eastAsia="方正仿宋" w:hAnsi="Times New Roman" w:cs="Times New Roman" w:hint="eastAsia"/>
          <w:sz w:val="32"/>
          <w:szCs w:val="32"/>
        </w:rPr>
        <w:t>《大英县烟草制品零售点合理布局规定区域设置明细》</w:t>
      </w:r>
      <w:r>
        <w:rPr>
          <w:rFonts w:ascii="Times New Roman" w:eastAsia="方正仿宋" w:hAnsi="Times New Roman" w:cs="Times New Roman"/>
          <w:sz w:val="32"/>
          <w:szCs w:val="32"/>
        </w:rPr>
        <w:t>）。</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第</w:t>
      </w:r>
      <w:r>
        <w:rPr>
          <w:rFonts w:ascii="Times New Roman" w:eastAsia="方正仿宋" w:hAnsi="Times New Roman" w:cs="Times New Roman" w:hint="eastAsia"/>
          <w:sz w:val="32"/>
          <w:szCs w:val="32"/>
        </w:rPr>
        <w:t>六</w:t>
      </w:r>
      <w:r>
        <w:rPr>
          <w:rFonts w:ascii="Times New Roman" w:eastAsia="方正仿宋" w:hAnsi="Times New Roman" w:cs="Times New Roman"/>
          <w:sz w:val="32"/>
          <w:szCs w:val="32"/>
        </w:rPr>
        <w:t>条</w:t>
      </w:r>
      <w:r>
        <w:rPr>
          <w:rFonts w:ascii="Times New Roman" w:eastAsia="方正仿宋" w:hAnsi="Times New Roman" w:cs="Times New Roman"/>
          <w:sz w:val="32"/>
          <w:szCs w:val="32"/>
        </w:rPr>
        <w:t xml:space="preserve"> </w:t>
      </w:r>
      <w:r>
        <w:rPr>
          <w:rFonts w:ascii="Times New Roman" w:eastAsia="方正仿宋" w:hAnsi="Times New Roman" w:cs="Times New Roman"/>
          <w:sz w:val="32"/>
          <w:szCs w:val="32"/>
        </w:rPr>
        <w:t>对相对封闭、主要满足场所内部特定消费需求的经营场所，按照特殊区域单独管理，相关标准如下：</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（一）封闭式小区内部。</w:t>
      </w:r>
      <w:r>
        <w:rPr>
          <w:rFonts w:ascii="Times New Roman" w:eastAsia="方正仿宋" w:hAnsi="Times New Roman" w:cs="Times New Roman" w:hint="eastAsia"/>
          <w:sz w:val="32"/>
          <w:szCs w:val="32"/>
        </w:rPr>
        <w:t>封闭式住宅小区出入口</w:t>
      </w:r>
      <w:r>
        <w:rPr>
          <w:rFonts w:ascii="Times New Roman" w:eastAsia="方正仿宋" w:hAnsi="Times New Roman" w:cs="Times New Roman" w:hint="eastAsia"/>
          <w:sz w:val="32"/>
          <w:szCs w:val="32"/>
        </w:rPr>
        <w:t>100</w:t>
      </w:r>
      <w:r>
        <w:rPr>
          <w:rFonts w:ascii="Times New Roman" w:eastAsia="方正仿宋" w:hAnsi="Times New Roman" w:cs="Times New Roman" w:hint="eastAsia"/>
          <w:sz w:val="32"/>
          <w:szCs w:val="32"/>
        </w:rPr>
        <w:t>米范围内临街商铺已发放零售许可证的，不再在小区内部新设置烟草制品零售点。出入口认定及间距测量标准参照</w:t>
      </w:r>
      <w:r w:rsidRPr="00160187">
        <w:rPr>
          <w:rFonts w:ascii="Times New Roman" w:eastAsia="方正仿宋" w:hAnsi="Times New Roman" w:cs="Times New Roman" w:hint="eastAsia"/>
          <w:sz w:val="32"/>
          <w:szCs w:val="32"/>
        </w:rPr>
        <w:t>《大英县烟草制品零售点经营场所</w:t>
      </w:r>
      <w:r>
        <w:rPr>
          <w:rFonts w:ascii="Times New Roman" w:eastAsia="方正仿宋" w:hAnsi="Times New Roman" w:cs="Times New Roman" w:hint="eastAsia"/>
          <w:sz w:val="32"/>
          <w:szCs w:val="32"/>
        </w:rPr>
        <w:t>间距测量标准》相关规定执行。对于出入口</w:t>
      </w:r>
      <w:r>
        <w:rPr>
          <w:rFonts w:ascii="Times New Roman" w:eastAsia="方正仿宋" w:hAnsi="Times New Roman" w:cs="Times New Roman" w:hint="eastAsia"/>
          <w:sz w:val="32"/>
          <w:szCs w:val="32"/>
        </w:rPr>
        <w:t>100</w:t>
      </w:r>
      <w:r w:rsidR="00134ACE">
        <w:rPr>
          <w:rFonts w:ascii="Times New Roman" w:eastAsia="方正仿宋" w:hAnsi="Times New Roman" w:cs="Times New Roman" w:hint="eastAsia"/>
          <w:sz w:val="32"/>
          <w:szCs w:val="32"/>
        </w:rPr>
        <w:t>米范围内临街商铺无烟草制品零售点的封闭式小区，小区内部每</w:t>
      </w:r>
      <w:r>
        <w:rPr>
          <w:rFonts w:ascii="Times New Roman" w:eastAsia="方正仿宋" w:hAnsi="Times New Roman" w:cs="Times New Roman" w:hint="eastAsia"/>
          <w:sz w:val="32"/>
          <w:szCs w:val="32"/>
        </w:rPr>
        <w:t>500</w:t>
      </w:r>
      <w:r>
        <w:rPr>
          <w:rFonts w:ascii="Times New Roman" w:eastAsia="方正仿宋" w:hAnsi="Times New Roman" w:cs="Times New Roman" w:hint="eastAsia"/>
          <w:sz w:val="32"/>
          <w:szCs w:val="32"/>
        </w:rPr>
        <w:t>户可设置</w:t>
      </w:r>
      <w:r>
        <w:rPr>
          <w:rFonts w:ascii="Times New Roman" w:eastAsia="方正仿宋" w:hAnsi="Times New Roman" w:cs="Times New Roman" w:hint="eastAsia"/>
          <w:sz w:val="32"/>
          <w:szCs w:val="32"/>
        </w:rPr>
        <w:t>1</w:t>
      </w:r>
      <w:r>
        <w:rPr>
          <w:rFonts w:ascii="Times New Roman" w:eastAsia="方正仿宋" w:hAnsi="Times New Roman" w:cs="Times New Roman" w:hint="eastAsia"/>
          <w:sz w:val="32"/>
          <w:szCs w:val="32"/>
        </w:rPr>
        <w:t>个零售点，最多不超过</w:t>
      </w:r>
      <w:r>
        <w:rPr>
          <w:rFonts w:ascii="Times New Roman" w:eastAsia="方正仿宋" w:hAnsi="Times New Roman" w:cs="Times New Roman" w:hint="eastAsia"/>
          <w:sz w:val="32"/>
          <w:szCs w:val="32"/>
        </w:rPr>
        <w:t>2</w:t>
      </w:r>
      <w:r>
        <w:rPr>
          <w:rFonts w:ascii="Times New Roman" w:eastAsia="方正仿宋" w:hAnsi="Times New Roman" w:cs="Times New Roman" w:hint="eastAsia"/>
          <w:sz w:val="32"/>
          <w:szCs w:val="32"/>
        </w:rPr>
        <w:t>个，且需要满足所在布局单元烟草制品零售点总量要求。</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（二）综合性商贸、农贸市场内部</w:t>
      </w:r>
      <w:r>
        <w:rPr>
          <w:rFonts w:ascii="Times New Roman" w:eastAsia="方正仿宋" w:hAnsi="Times New Roman" w:cs="Times New Roman" w:hint="eastAsia"/>
          <w:sz w:val="32"/>
          <w:szCs w:val="32"/>
        </w:rPr>
        <w:t>。综合类市场内按照该市场所在区域烟草制品零售点合理化布局的间距进行核定，每</w:t>
      </w:r>
      <w:r>
        <w:rPr>
          <w:rFonts w:ascii="Times New Roman" w:eastAsia="方正仿宋" w:hAnsi="Times New Roman" w:cs="Times New Roman" w:hint="eastAsia"/>
          <w:sz w:val="32"/>
          <w:szCs w:val="32"/>
        </w:rPr>
        <w:t>100</w:t>
      </w:r>
      <w:r>
        <w:rPr>
          <w:rFonts w:ascii="Times New Roman" w:eastAsia="方正仿宋" w:hAnsi="Times New Roman" w:cs="Times New Roman" w:hint="eastAsia"/>
          <w:sz w:val="32"/>
          <w:szCs w:val="32"/>
        </w:rPr>
        <w:t>个固定经营场所可设置</w:t>
      </w:r>
      <w:r>
        <w:rPr>
          <w:rFonts w:ascii="Times New Roman" w:eastAsia="方正仿宋" w:hAnsi="Times New Roman" w:cs="Times New Roman" w:hint="eastAsia"/>
          <w:sz w:val="32"/>
          <w:szCs w:val="32"/>
        </w:rPr>
        <w:t>1</w:t>
      </w:r>
      <w:r>
        <w:rPr>
          <w:rFonts w:ascii="Times New Roman" w:eastAsia="方正仿宋" w:hAnsi="Times New Roman" w:cs="Times New Roman" w:hint="eastAsia"/>
          <w:sz w:val="32"/>
          <w:szCs w:val="32"/>
        </w:rPr>
        <w:t>个烟草制品零售点，最多不超过</w:t>
      </w:r>
      <w:r>
        <w:rPr>
          <w:rFonts w:ascii="Times New Roman" w:eastAsia="方正仿宋" w:hAnsi="Times New Roman" w:cs="Times New Roman" w:hint="eastAsia"/>
          <w:sz w:val="32"/>
          <w:szCs w:val="32"/>
        </w:rPr>
        <w:t>2</w:t>
      </w:r>
      <w:r>
        <w:rPr>
          <w:rFonts w:ascii="Times New Roman" w:eastAsia="方正仿宋" w:hAnsi="Times New Roman" w:cs="Times New Roman" w:hint="eastAsia"/>
          <w:sz w:val="32"/>
          <w:szCs w:val="32"/>
        </w:rPr>
        <w:t>个，且需要满足所在布局单元烟草制品零售点总量要求。</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（三）城市商业综合体内部</w:t>
      </w:r>
      <w:r>
        <w:rPr>
          <w:rFonts w:ascii="Times New Roman" w:eastAsia="方正仿宋" w:hAnsi="Times New Roman" w:cs="Times New Roman" w:hint="eastAsia"/>
          <w:sz w:val="32"/>
          <w:szCs w:val="32"/>
        </w:rPr>
        <w:t>。受所在布局单元总量控制，对开放式住宅楼、商业用房、公寓的楼内经营场所进行数量限制，</w:t>
      </w:r>
      <w:r>
        <w:rPr>
          <w:rFonts w:ascii="Times New Roman" w:eastAsia="方正仿宋" w:hAnsi="Times New Roman" w:cs="Times New Roman" w:hint="eastAsia"/>
          <w:sz w:val="32"/>
          <w:szCs w:val="32"/>
        </w:rPr>
        <w:lastRenderedPageBreak/>
        <w:t>底层临街门店按所在区域总量加距离限制。商业用房除底层临街门店外，每层楼最多设</w:t>
      </w:r>
      <w:r>
        <w:rPr>
          <w:rFonts w:ascii="Times New Roman" w:eastAsia="方正仿宋" w:hAnsi="Times New Roman" w:cs="Times New Roman"/>
          <w:sz w:val="32"/>
          <w:szCs w:val="32"/>
        </w:rPr>
        <w:t>1</w:t>
      </w:r>
      <w:r>
        <w:rPr>
          <w:rFonts w:ascii="Times New Roman" w:eastAsia="方正仿宋" w:hAnsi="Times New Roman" w:cs="Times New Roman" w:hint="eastAsia"/>
          <w:sz w:val="32"/>
          <w:szCs w:val="32"/>
        </w:rPr>
        <w:t>户，非底层累计不超</w:t>
      </w:r>
      <w:r>
        <w:rPr>
          <w:rFonts w:ascii="Times New Roman" w:eastAsia="方正仿宋" w:hAnsi="Times New Roman" w:cs="Times New Roman"/>
          <w:sz w:val="32"/>
          <w:szCs w:val="32"/>
        </w:rPr>
        <w:t>2</w:t>
      </w:r>
      <w:r>
        <w:rPr>
          <w:rFonts w:ascii="Times New Roman" w:eastAsia="方正仿宋" w:hAnsi="Times New Roman" w:cs="Times New Roman" w:hint="eastAsia"/>
          <w:sz w:val="32"/>
          <w:szCs w:val="32"/>
        </w:rPr>
        <w:t>户，商场内部非底层且经营面积超过</w:t>
      </w:r>
      <w:r>
        <w:rPr>
          <w:rFonts w:ascii="Times New Roman" w:eastAsia="方正仿宋" w:hAnsi="Times New Roman" w:cs="Times New Roman"/>
          <w:sz w:val="32"/>
          <w:szCs w:val="32"/>
        </w:rPr>
        <w:t>500</w:t>
      </w:r>
      <w:r>
        <w:rPr>
          <w:rFonts w:ascii="Times New Roman" w:eastAsia="方正仿宋" w:hAnsi="Times New Roman" w:cs="Times New Roman" w:hint="eastAsia"/>
          <w:sz w:val="32"/>
          <w:szCs w:val="32"/>
        </w:rPr>
        <w:t>平方米的超市，可在非底层累计办证总量上增加</w:t>
      </w:r>
      <w:r>
        <w:rPr>
          <w:rFonts w:ascii="Times New Roman" w:eastAsia="方正仿宋" w:hAnsi="Times New Roman" w:cs="Times New Roman" w:hint="eastAsia"/>
          <w:sz w:val="32"/>
          <w:szCs w:val="32"/>
        </w:rPr>
        <w:t>1</w:t>
      </w:r>
      <w:r>
        <w:rPr>
          <w:rFonts w:ascii="Times New Roman" w:eastAsia="方正仿宋" w:hAnsi="Times New Roman" w:cs="Times New Roman" w:hint="eastAsia"/>
          <w:sz w:val="32"/>
          <w:szCs w:val="32"/>
        </w:rPr>
        <w:t>户；住宅、公寓除底层临街门店外，其余楼层不予设置。</w:t>
      </w:r>
    </w:p>
    <w:p w:rsidR="00DA7DD2" w:rsidRDefault="00A74AC5">
      <w:pPr>
        <w:widowControl/>
        <w:shd w:val="clear" w:color="auto" w:fill="FFFFFF"/>
        <w:spacing w:line="600" w:lineRule="exact"/>
        <w:ind w:firstLineChars="200" w:firstLine="640"/>
        <w:rPr>
          <w:rFonts w:ascii="方正仿宋" w:eastAsia="方正仿宋" w:hAnsi="仿宋" w:cs="Times New Roman"/>
          <w:sz w:val="32"/>
          <w:szCs w:val="32"/>
        </w:rPr>
      </w:pPr>
      <w:r>
        <w:rPr>
          <w:rFonts w:ascii="方正仿宋" w:eastAsia="方正仿宋" w:hAnsi="仿宋" w:cs="Times New Roman"/>
          <w:sz w:val="32"/>
          <w:szCs w:val="32"/>
        </w:rPr>
        <w:t>（四）公共交通枢纽点内部</w:t>
      </w:r>
      <w:r>
        <w:rPr>
          <w:rFonts w:ascii="方正仿宋" w:eastAsia="方正仿宋" w:hAnsi="仿宋" w:cs="Times New Roman" w:hint="eastAsia"/>
          <w:sz w:val="32"/>
          <w:szCs w:val="32"/>
        </w:rPr>
        <w:t>。火车站、汽车客运站内可分别设置</w:t>
      </w:r>
      <w:r>
        <w:rPr>
          <w:rFonts w:ascii="Times New Roman" w:eastAsia="方正仿宋" w:hAnsi="Times New Roman" w:cs="Times New Roman" w:hint="eastAsia"/>
          <w:sz w:val="32"/>
          <w:szCs w:val="32"/>
        </w:rPr>
        <w:t>1</w:t>
      </w:r>
      <w:r>
        <w:rPr>
          <w:rFonts w:ascii="方正仿宋" w:eastAsia="方正仿宋" w:hAnsi="仿宋" w:cs="Times New Roman" w:hint="eastAsia"/>
          <w:sz w:val="32"/>
          <w:szCs w:val="32"/>
        </w:rPr>
        <w:t>个零售点。</w:t>
      </w:r>
    </w:p>
    <w:p w:rsidR="00DA7DD2" w:rsidRDefault="00A74AC5">
      <w:pPr>
        <w:widowControl/>
        <w:shd w:val="clear" w:color="auto" w:fill="FFFFFF"/>
        <w:spacing w:line="600" w:lineRule="exact"/>
        <w:ind w:firstLineChars="200" w:firstLine="640"/>
        <w:rPr>
          <w:rFonts w:ascii="方正仿宋" w:eastAsia="方正仿宋" w:hAnsi="仿宋" w:cs="Times New Roman"/>
          <w:sz w:val="32"/>
          <w:szCs w:val="32"/>
        </w:rPr>
      </w:pPr>
      <w:r>
        <w:rPr>
          <w:rFonts w:ascii="方正仿宋" w:eastAsia="方正仿宋" w:hAnsi="仿宋" w:cs="Times New Roman"/>
          <w:sz w:val="32"/>
          <w:szCs w:val="32"/>
        </w:rPr>
        <w:t>（五）大专以上高等院校内部</w:t>
      </w:r>
      <w:r>
        <w:rPr>
          <w:rFonts w:ascii="方正仿宋" w:eastAsia="方正仿宋" w:hAnsi="仿宋" w:cs="Times New Roman" w:hint="eastAsia"/>
          <w:sz w:val="32"/>
          <w:szCs w:val="32"/>
        </w:rPr>
        <w:t>。针对高等院校，正式投入使用后同一校区可设置</w:t>
      </w:r>
      <w:r>
        <w:rPr>
          <w:rFonts w:ascii="Times New Roman" w:eastAsia="方正仿宋" w:hAnsi="Times New Roman" w:cs="Times New Roman" w:hint="eastAsia"/>
          <w:sz w:val="32"/>
          <w:szCs w:val="32"/>
        </w:rPr>
        <w:t>1</w:t>
      </w:r>
      <w:r>
        <w:rPr>
          <w:rFonts w:ascii="方正仿宋" w:eastAsia="方正仿宋" w:hAnsi="仿宋" w:cs="Times New Roman" w:hint="eastAsia"/>
          <w:sz w:val="32"/>
          <w:szCs w:val="32"/>
        </w:rPr>
        <w:t>个零售点，在校人员数量达到</w:t>
      </w:r>
      <w:r>
        <w:rPr>
          <w:rFonts w:ascii="Times New Roman" w:eastAsia="方正仿宋" w:hAnsi="Times New Roman" w:cs="Times New Roman" w:hint="eastAsia"/>
          <w:sz w:val="32"/>
          <w:szCs w:val="32"/>
        </w:rPr>
        <w:t>3000</w:t>
      </w:r>
      <w:r>
        <w:rPr>
          <w:rFonts w:ascii="方正仿宋" w:eastAsia="方正仿宋" w:hAnsi="仿宋" w:cs="Times New Roman" w:hint="eastAsia"/>
          <w:sz w:val="32"/>
          <w:szCs w:val="32"/>
        </w:rPr>
        <w:t>人的同一校区可增设</w:t>
      </w:r>
      <w:r>
        <w:rPr>
          <w:rFonts w:ascii="Times New Roman" w:eastAsia="方正仿宋" w:hAnsi="Times New Roman" w:cs="Times New Roman" w:hint="eastAsia"/>
          <w:sz w:val="32"/>
          <w:szCs w:val="32"/>
        </w:rPr>
        <w:t>1</w:t>
      </w:r>
      <w:r>
        <w:rPr>
          <w:rFonts w:ascii="方正仿宋" w:eastAsia="方正仿宋" w:hAnsi="仿宋" w:cs="Times New Roman" w:hint="eastAsia"/>
          <w:sz w:val="32"/>
          <w:szCs w:val="32"/>
        </w:rPr>
        <w:t>个零售点，每增加</w:t>
      </w:r>
      <w:r>
        <w:rPr>
          <w:rFonts w:ascii="Times New Roman" w:eastAsia="方正仿宋" w:hAnsi="Times New Roman" w:cs="Times New Roman" w:hint="eastAsia"/>
          <w:sz w:val="32"/>
          <w:szCs w:val="32"/>
        </w:rPr>
        <w:t>3000</w:t>
      </w:r>
      <w:r>
        <w:rPr>
          <w:rFonts w:ascii="方正仿宋" w:eastAsia="方正仿宋" w:hAnsi="仿宋" w:cs="Times New Roman" w:hint="eastAsia"/>
          <w:sz w:val="32"/>
          <w:szCs w:val="32"/>
        </w:rPr>
        <w:t>人的同一校区可增设</w:t>
      </w:r>
      <w:r>
        <w:rPr>
          <w:rFonts w:ascii="Times New Roman" w:eastAsia="方正仿宋" w:hAnsi="Times New Roman" w:cs="Times New Roman" w:hint="eastAsia"/>
          <w:sz w:val="32"/>
          <w:szCs w:val="32"/>
        </w:rPr>
        <w:t>1</w:t>
      </w:r>
      <w:r>
        <w:rPr>
          <w:rFonts w:ascii="方正仿宋" w:eastAsia="方正仿宋" w:hAnsi="仿宋" w:cs="Times New Roman" w:hint="eastAsia"/>
          <w:sz w:val="32"/>
          <w:szCs w:val="32"/>
        </w:rPr>
        <w:t>个零售点，最多不超过</w:t>
      </w:r>
      <w:r>
        <w:rPr>
          <w:rFonts w:ascii="Times New Roman" w:eastAsia="方正仿宋" w:hAnsi="Times New Roman" w:cs="Times New Roman" w:hint="eastAsia"/>
          <w:sz w:val="32"/>
          <w:szCs w:val="32"/>
        </w:rPr>
        <w:t>3</w:t>
      </w:r>
      <w:r>
        <w:rPr>
          <w:rFonts w:ascii="方正仿宋" w:eastAsia="方正仿宋" w:hAnsi="仿宋" w:cs="Times New Roman" w:hint="eastAsia"/>
          <w:sz w:val="32"/>
          <w:szCs w:val="32"/>
        </w:rPr>
        <w:t>个，间距不低于</w:t>
      </w:r>
      <w:r>
        <w:rPr>
          <w:rFonts w:ascii="Times New Roman" w:eastAsia="方正仿宋" w:hAnsi="Times New Roman" w:cs="Times New Roman" w:hint="eastAsia"/>
          <w:sz w:val="32"/>
          <w:szCs w:val="32"/>
        </w:rPr>
        <w:t>200</w:t>
      </w:r>
      <w:r>
        <w:rPr>
          <w:rFonts w:ascii="方正仿宋" w:eastAsia="方正仿宋" w:hAnsi="仿宋" w:cs="Times New Roman" w:hint="eastAsia"/>
          <w:sz w:val="32"/>
          <w:szCs w:val="32"/>
        </w:rPr>
        <w:t>米。</w:t>
      </w:r>
    </w:p>
    <w:p w:rsidR="00DA7DD2" w:rsidRDefault="00A74AC5">
      <w:pPr>
        <w:widowControl/>
        <w:shd w:val="clear" w:color="auto" w:fill="FFFFFF"/>
        <w:spacing w:line="600" w:lineRule="exact"/>
        <w:ind w:firstLineChars="200" w:firstLine="640"/>
        <w:rPr>
          <w:rFonts w:ascii="方正仿宋" w:eastAsia="方正仿宋" w:hAnsi="Times New Roman" w:cs="Times New Roman"/>
          <w:sz w:val="32"/>
          <w:szCs w:val="32"/>
        </w:rPr>
      </w:pPr>
      <w:r>
        <w:rPr>
          <w:rFonts w:ascii="方正仿宋" w:eastAsia="方正仿宋" w:hAnsi="仿宋" w:cs="Times New Roman" w:hint="eastAsia"/>
          <w:sz w:val="32"/>
          <w:szCs w:val="32"/>
        </w:rPr>
        <w:t>（六）旅游景点服务区。旅游景</w:t>
      </w:r>
      <w:r>
        <w:rPr>
          <w:rFonts w:ascii="方正仿宋" w:eastAsia="方正仿宋" w:hAnsi="Times New Roman" w:cs="Times New Roman" w:hint="eastAsia"/>
          <w:sz w:val="32"/>
          <w:szCs w:val="32"/>
        </w:rPr>
        <w:t>区或县政府重点打造文旅区域内的旅客服务点或便利店等经营场所的，可设置</w:t>
      </w:r>
      <w:r>
        <w:rPr>
          <w:rFonts w:ascii="Times New Roman" w:eastAsia="方正仿宋" w:hAnsi="Times New Roman" w:cs="Times New Roman"/>
          <w:sz w:val="32"/>
          <w:szCs w:val="32"/>
        </w:rPr>
        <w:t>1</w:t>
      </w:r>
      <w:r>
        <w:rPr>
          <w:rFonts w:ascii="方正仿宋" w:eastAsia="方正仿宋" w:hAnsi="Times New Roman" w:cs="Times New Roman" w:hint="eastAsia"/>
          <w:sz w:val="32"/>
          <w:szCs w:val="32"/>
        </w:rPr>
        <w:t>个零售点。</w:t>
      </w:r>
    </w:p>
    <w:p w:rsidR="00DA7DD2" w:rsidRDefault="00A74AC5">
      <w:pPr>
        <w:spacing w:line="600" w:lineRule="exact"/>
        <w:ind w:firstLineChars="200" w:firstLine="640"/>
        <w:rPr>
          <w:rFonts w:ascii="方正仿宋" w:eastAsia="方正仿宋" w:hAnsi="仿宋" w:cs="Times New Roman"/>
          <w:sz w:val="32"/>
          <w:szCs w:val="32"/>
        </w:rPr>
      </w:pPr>
      <w:r>
        <w:rPr>
          <w:rFonts w:ascii="方正仿宋" w:eastAsia="方正仿宋" w:hAnsi="仿宋" w:cs="Times New Roman" w:hint="eastAsia"/>
          <w:sz w:val="32"/>
          <w:szCs w:val="32"/>
        </w:rPr>
        <w:t>（七）高速服务区、加油站。拟申请从事烟草制品零售业务的经营场所为具备安全保障措施的高速公路加油站、服务区便利店的，同一服务区单侧可设置</w:t>
      </w:r>
      <w:r>
        <w:rPr>
          <w:rFonts w:ascii="Times New Roman" w:eastAsia="方正仿宋" w:hAnsi="Times New Roman" w:cs="Times New Roman"/>
          <w:sz w:val="32"/>
          <w:szCs w:val="32"/>
        </w:rPr>
        <w:t>1</w:t>
      </w:r>
      <w:r>
        <w:rPr>
          <w:rFonts w:ascii="方正仿宋" w:eastAsia="方正仿宋" w:hAnsi="仿宋" w:cs="Times New Roman" w:hint="eastAsia"/>
          <w:sz w:val="32"/>
          <w:szCs w:val="32"/>
        </w:rPr>
        <w:t>个零售点。</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hint="eastAsia"/>
          <w:sz w:val="32"/>
          <w:szCs w:val="32"/>
        </w:rPr>
        <w:t>第七条</w:t>
      </w:r>
      <w:r>
        <w:rPr>
          <w:rFonts w:ascii="Times New Roman" w:eastAsia="方正仿宋" w:hAnsi="Times New Roman" w:cs="Times New Roman" w:hint="eastAsia"/>
          <w:sz w:val="32"/>
          <w:szCs w:val="32"/>
        </w:rPr>
        <w:t xml:space="preserve"> </w:t>
      </w:r>
      <w:r>
        <w:rPr>
          <w:rFonts w:ascii="Times New Roman" w:eastAsia="方正仿宋" w:hAnsi="Times New Roman" w:cs="Times New Roman" w:hint="eastAsia"/>
          <w:sz w:val="32"/>
        </w:rPr>
        <w:t>针对未纳入零售点布局单元的区域，零售点间距参照与其相连的其他单元最长间距标准的</w:t>
      </w:r>
      <w:r>
        <w:rPr>
          <w:rFonts w:ascii="Times New Roman" w:eastAsia="方正仿宋" w:hAnsi="Times New Roman" w:cs="Times New Roman" w:hint="eastAsia"/>
          <w:sz w:val="32"/>
        </w:rPr>
        <w:t>100%</w:t>
      </w:r>
      <w:r>
        <w:rPr>
          <w:rFonts w:ascii="Times New Roman" w:eastAsia="方正仿宋" w:hAnsi="Times New Roman" w:cs="Times New Roman" w:hint="eastAsia"/>
          <w:sz w:val="32"/>
        </w:rPr>
        <w:t>设置零售点。</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第</w:t>
      </w:r>
      <w:r>
        <w:rPr>
          <w:rFonts w:ascii="Times New Roman" w:eastAsia="方正仿宋" w:hAnsi="Times New Roman" w:cs="Times New Roman" w:hint="eastAsia"/>
          <w:sz w:val="32"/>
          <w:szCs w:val="32"/>
        </w:rPr>
        <w:t>八</w:t>
      </w:r>
      <w:r>
        <w:rPr>
          <w:rFonts w:ascii="Times New Roman" w:eastAsia="方正仿宋" w:hAnsi="Times New Roman" w:cs="Times New Roman"/>
          <w:sz w:val="32"/>
          <w:szCs w:val="32"/>
        </w:rPr>
        <w:t>条</w:t>
      </w:r>
      <w:r w:rsidR="00134ACE">
        <w:rPr>
          <w:rFonts w:ascii="Times New Roman" w:eastAsia="方正仿宋" w:hAnsi="Times New Roman" w:cs="Times New Roman" w:hint="eastAsia"/>
          <w:sz w:val="32"/>
          <w:szCs w:val="32"/>
        </w:rPr>
        <w:t xml:space="preserve"> </w:t>
      </w:r>
      <w:r>
        <w:rPr>
          <w:rFonts w:ascii="Times New Roman" w:eastAsia="方正仿宋" w:hAnsi="Times New Roman" w:cs="Times New Roman" w:hint="eastAsia"/>
          <w:sz w:val="32"/>
          <w:szCs w:val="32"/>
        </w:rPr>
        <w:t>为进一步优化零售点业态结构和布局，降低主营业务与烟草制品经营无互补营销关系的业态类型在零售户中的比例，针对娱乐服务类和其他类等业态【包括不限于餐饮娱乐住宿、</w:t>
      </w:r>
      <w:r>
        <w:rPr>
          <w:rFonts w:ascii="Times New Roman" w:eastAsia="方正仿宋" w:hAnsi="Times New Roman" w:cs="Times New Roman" w:hint="eastAsia"/>
          <w:sz w:val="32"/>
          <w:szCs w:val="32"/>
        </w:rPr>
        <w:lastRenderedPageBreak/>
        <w:t>咖啡厅、酒吧、</w:t>
      </w:r>
      <w:r>
        <w:rPr>
          <w:rFonts w:ascii="Times New Roman" w:eastAsia="方正仿宋" w:hAnsi="Times New Roman" w:cs="Times New Roman" w:hint="eastAsia"/>
          <w:sz w:val="32"/>
          <w:szCs w:val="32"/>
        </w:rPr>
        <w:t>KTV</w:t>
      </w:r>
      <w:r>
        <w:rPr>
          <w:rFonts w:ascii="Times New Roman" w:eastAsia="方正仿宋" w:hAnsi="Times New Roman" w:cs="Times New Roman" w:hint="eastAsia"/>
          <w:sz w:val="32"/>
          <w:szCs w:val="32"/>
        </w:rPr>
        <w:t>、会所、棋牌室、球类场所、健身场所、电影院、美容美发、化妆美甲、按摩推拿、药妆医械、五金建材、建筑装潢、宠物店、中西药店、办公用品、文化体育用品、音像制品、家电家具、通信器材、通信业务服务、网吧、金融证券、彩票店、钟表眼镜、仪器仪表、饰品珠宝、修理修配、寄递配送、物流企业、洗涤护理、服装首饰、鞋帽箱包、针纺织品、广告设计、花卉殡葬、中介服务、寄卖典当、奢侈品店、古董店、汽车相关（维修、销售、美容等）、照相馆、成人用品店等专业性较强的经营场所】，以当前存量作为核定总量，间距标准按照不低于所在区域间距</w:t>
      </w:r>
      <w:r>
        <w:rPr>
          <w:rFonts w:ascii="Times New Roman" w:eastAsia="方正仿宋" w:hAnsi="Times New Roman" w:cs="Times New Roman"/>
          <w:sz w:val="32"/>
          <w:szCs w:val="32"/>
        </w:rPr>
        <w:t>500%</w:t>
      </w:r>
      <w:r>
        <w:rPr>
          <w:rFonts w:ascii="Times New Roman" w:eastAsia="方正仿宋" w:hAnsi="Times New Roman" w:cs="Times New Roman" w:hint="eastAsia"/>
          <w:sz w:val="32"/>
          <w:szCs w:val="32"/>
        </w:rPr>
        <w:t>设置</w:t>
      </w:r>
      <w:r>
        <w:rPr>
          <w:rFonts w:ascii="Times New Roman" w:eastAsia="方正仿宋" w:hAnsi="Times New Roman" w:cs="Times New Roman"/>
          <w:sz w:val="32"/>
          <w:szCs w:val="32"/>
        </w:rPr>
        <w:t>。</w:t>
      </w:r>
    </w:p>
    <w:p w:rsidR="00DA7DD2" w:rsidRDefault="00A74AC5">
      <w:pPr>
        <w:widowControl/>
        <w:shd w:val="clear" w:color="auto" w:fill="FFFFFF"/>
        <w:spacing w:line="600" w:lineRule="exact"/>
        <w:ind w:firstLineChars="200" w:firstLine="640"/>
        <w:rPr>
          <w:rFonts w:ascii="Times New Roman" w:eastAsia="方正仿宋" w:hAnsi="Times New Roman" w:cs="Times New Roman"/>
          <w:b/>
          <w:bCs/>
          <w:sz w:val="32"/>
          <w:szCs w:val="32"/>
        </w:rPr>
      </w:pPr>
      <w:r>
        <w:rPr>
          <w:rFonts w:ascii="Times New Roman" w:eastAsia="方正仿宋" w:hAnsi="Times New Roman" w:cs="Times New Roman"/>
          <w:sz w:val="32"/>
          <w:szCs w:val="32"/>
        </w:rPr>
        <w:t>第</w:t>
      </w:r>
      <w:r>
        <w:rPr>
          <w:rFonts w:ascii="Times New Roman" w:eastAsia="方正仿宋" w:hAnsi="Times New Roman" w:cs="Times New Roman" w:hint="eastAsia"/>
          <w:sz w:val="32"/>
          <w:szCs w:val="32"/>
        </w:rPr>
        <w:t>九</w:t>
      </w:r>
      <w:r>
        <w:rPr>
          <w:rFonts w:ascii="Times New Roman" w:eastAsia="方正仿宋" w:hAnsi="Times New Roman" w:cs="Times New Roman"/>
          <w:sz w:val="32"/>
          <w:szCs w:val="32"/>
        </w:rPr>
        <w:t>条</w:t>
      </w:r>
      <w:r>
        <w:rPr>
          <w:rFonts w:ascii="Times New Roman" w:eastAsia="方正仿宋" w:hAnsi="Times New Roman" w:cs="Times New Roman"/>
          <w:sz w:val="32"/>
          <w:szCs w:val="32"/>
        </w:rPr>
        <w:t xml:space="preserve"> </w:t>
      </w:r>
      <w:r>
        <w:rPr>
          <w:rFonts w:ascii="Times New Roman" w:eastAsia="方正仿宋" w:hAnsi="Times New Roman" w:cs="Times New Roman"/>
          <w:sz w:val="32"/>
          <w:szCs w:val="32"/>
        </w:rPr>
        <w:t>符合以下情形的，可根据实际情况在间距或总量标准的基础上适当放宽申办条件：</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（一）营业面积超过</w:t>
      </w:r>
      <w:r>
        <w:rPr>
          <w:rFonts w:ascii="Times New Roman" w:eastAsia="方正仿宋" w:hAnsi="Times New Roman" w:cs="Times New Roman"/>
          <w:b/>
          <w:bCs/>
          <w:sz w:val="32"/>
          <w:szCs w:val="32"/>
        </w:rPr>
        <w:t>500</w:t>
      </w:r>
      <w:r>
        <w:rPr>
          <w:rFonts w:ascii="Times New Roman" w:eastAsia="方正仿宋" w:hAnsi="Times New Roman" w:cs="Times New Roman"/>
          <w:sz w:val="32"/>
          <w:szCs w:val="32"/>
        </w:rPr>
        <w:t>平方米</w:t>
      </w:r>
      <w:r>
        <w:rPr>
          <w:rFonts w:ascii="Times New Roman" w:eastAsia="方正仿宋" w:hAnsi="Times New Roman" w:cs="Times New Roman" w:hint="eastAsia"/>
          <w:sz w:val="32"/>
          <w:szCs w:val="32"/>
        </w:rPr>
        <w:t>且经营场所位于临街底层</w:t>
      </w:r>
      <w:r>
        <w:rPr>
          <w:rFonts w:ascii="Times New Roman" w:eastAsia="方正仿宋" w:hAnsi="Times New Roman" w:cs="Times New Roman"/>
          <w:sz w:val="32"/>
          <w:szCs w:val="32"/>
        </w:rPr>
        <w:t>的超市、商场内部，在符合所在布局单元零售点</w:t>
      </w:r>
      <w:r>
        <w:rPr>
          <w:rFonts w:ascii="Times New Roman" w:eastAsia="方正仿宋" w:hAnsi="Times New Roman" w:cs="Times New Roman" w:hint="eastAsia"/>
          <w:sz w:val="32"/>
          <w:szCs w:val="32"/>
        </w:rPr>
        <w:t>核定总量</w:t>
      </w:r>
      <w:r>
        <w:rPr>
          <w:rFonts w:ascii="Times New Roman" w:eastAsia="方正仿宋" w:hAnsi="Times New Roman" w:cs="Times New Roman"/>
          <w:sz w:val="32"/>
          <w:szCs w:val="32"/>
        </w:rPr>
        <w:t>的基础上，间距标准可放宽至所在布局单元间距标准的</w:t>
      </w:r>
      <w:r>
        <w:rPr>
          <w:rFonts w:ascii="Times New Roman" w:eastAsia="方正仿宋" w:hAnsi="Times New Roman" w:cs="Times New Roman"/>
          <w:sz w:val="32"/>
          <w:szCs w:val="32"/>
        </w:rPr>
        <w:t>50%</w:t>
      </w:r>
      <w:r>
        <w:rPr>
          <w:rFonts w:ascii="Times New Roman" w:eastAsia="方正仿宋" w:hAnsi="Times New Roman" w:cs="Times New Roman"/>
          <w:sz w:val="32"/>
          <w:szCs w:val="32"/>
        </w:rPr>
        <w:t>执行。</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二）因道路规划、城市建设等客观因素（含新建中小学、幼儿园或进出通道口改变）造成无法在核定经营地址继续经营的零售点，在许可证有效期限内持证人可以申请变更到原发证机关辖区内其他地址经营。因该种情况申请变更经营地址的，受变更后</w:t>
      </w:r>
      <w:r>
        <w:rPr>
          <w:rFonts w:ascii="Times New Roman" w:eastAsia="方正仿宋" w:hAnsi="Times New Roman" w:cs="Times New Roman" w:hint="eastAsia"/>
          <w:sz w:val="32"/>
          <w:szCs w:val="32"/>
        </w:rPr>
        <w:t>布局</w:t>
      </w:r>
      <w:r>
        <w:rPr>
          <w:rFonts w:ascii="Times New Roman" w:eastAsia="方正仿宋" w:hAnsi="Times New Roman" w:cs="Times New Roman"/>
          <w:sz w:val="32"/>
          <w:szCs w:val="32"/>
        </w:rPr>
        <w:t>单元总量限制，间距标准可放宽至拟变更布局单元间距控制标准的</w:t>
      </w:r>
      <w:r>
        <w:rPr>
          <w:rFonts w:ascii="Times New Roman" w:eastAsia="方正仿宋" w:hAnsi="Times New Roman" w:cs="Times New Roman"/>
          <w:b/>
          <w:bCs/>
          <w:sz w:val="32"/>
          <w:szCs w:val="32"/>
        </w:rPr>
        <w:t>50%</w:t>
      </w:r>
      <w:r>
        <w:rPr>
          <w:rFonts w:ascii="Times New Roman" w:eastAsia="方正仿宋" w:hAnsi="Times New Roman" w:cs="Times New Roman"/>
          <w:sz w:val="32"/>
          <w:szCs w:val="32"/>
        </w:rPr>
        <w:t>。</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lastRenderedPageBreak/>
        <w:t>（三）</w:t>
      </w:r>
      <w:r>
        <w:rPr>
          <w:rFonts w:ascii="Times New Roman" w:eastAsia="方正仿宋" w:hAnsi="Times New Roman" w:cs="Times New Roman" w:hint="eastAsia"/>
          <w:sz w:val="32"/>
          <w:szCs w:val="32"/>
        </w:rPr>
        <w:t>申请人为烈属的（包含父母、配偶、子女或其他应当被认定的人员），可以不受经营地址所在布局单元总量控制，间距标准可放宽至所在布局单元间距标准的</w:t>
      </w:r>
      <w:r>
        <w:rPr>
          <w:rFonts w:ascii="Times New Roman" w:eastAsia="方正仿宋" w:hAnsi="Times New Roman" w:cs="Times New Roman"/>
          <w:b/>
          <w:bCs/>
          <w:sz w:val="32"/>
          <w:szCs w:val="32"/>
        </w:rPr>
        <w:t>50%</w:t>
      </w:r>
      <w:r>
        <w:rPr>
          <w:rFonts w:ascii="Times New Roman" w:eastAsia="方正仿宋" w:hAnsi="Times New Roman" w:cs="Times New Roman" w:hint="eastAsia"/>
          <w:sz w:val="32"/>
          <w:szCs w:val="32"/>
        </w:rPr>
        <w:t>。</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（四）需从事烟草制品零售业务的残疾人士提出申请新办烟草专卖零售许可证的，在符合所在布局单元零售点</w:t>
      </w:r>
      <w:r>
        <w:rPr>
          <w:rFonts w:ascii="Times New Roman" w:eastAsia="方正仿宋" w:hAnsi="Times New Roman" w:cs="Times New Roman" w:hint="eastAsia"/>
          <w:sz w:val="32"/>
          <w:szCs w:val="32"/>
        </w:rPr>
        <w:t>核定</w:t>
      </w:r>
      <w:r>
        <w:rPr>
          <w:rFonts w:ascii="Times New Roman" w:eastAsia="方正仿宋" w:hAnsi="Times New Roman" w:cs="Times New Roman"/>
          <w:sz w:val="32"/>
          <w:szCs w:val="32"/>
        </w:rPr>
        <w:t>总量的基础上，间距标准可放宽至所在布局单元间距标准的</w:t>
      </w:r>
      <w:r>
        <w:rPr>
          <w:rFonts w:ascii="Times New Roman" w:eastAsia="方正仿宋" w:hAnsi="Times New Roman" w:cs="Times New Roman" w:hint="eastAsia"/>
          <w:b/>
          <w:bCs/>
          <w:sz w:val="32"/>
          <w:szCs w:val="32"/>
        </w:rPr>
        <w:t>7</w:t>
      </w:r>
      <w:r>
        <w:rPr>
          <w:rFonts w:ascii="Times New Roman" w:eastAsia="方正仿宋" w:hAnsi="Times New Roman" w:cs="Times New Roman"/>
          <w:b/>
          <w:bCs/>
          <w:sz w:val="32"/>
          <w:szCs w:val="32"/>
        </w:rPr>
        <w:t>0%</w:t>
      </w:r>
      <w:r>
        <w:rPr>
          <w:rFonts w:ascii="Times New Roman" w:eastAsia="方正仿宋" w:hAnsi="Times New Roman" w:cs="Times New Roman"/>
          <w:sz w:val="32"/>
          <w:szCs w:val="32"/>
        </w:rPr>
        <w:t>执行。</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1.</w:t>
      </w:r>
      <w:r>
        <w:rPr>
          <w:rFonts w:ascii="Times New Roman" w:eastAsia="方正仿宋" w:hAnsi="Times New Roman" w:cs="Times New Roman"/>
          <w:sz w:val="32"/>
          <w:szCs w:val="32"/>
        </w:rPr>
        <w:t>符合下列标准</w:t>
      </w:r>
      <w:r>
        <w:rPr>
          <w:rFonts w:ascii="Times New Roman" w:eastAsia="方正仿宋" w:hAnsi="Times New Roman" w:cs="Times New Roman" w:hint="eastAsia"/>
          <w:sz w:val="32"/>
          <w:szCs w:val="32"/>
        </w:rPr>
        <w:t>的残疾人</w:t>
      </w:r>
      <w:r>
        <w:rPr>
          <w:rFonts w:ascii="Times New Roman" w:eastAsia="方正仿宋" w:hAnsi="Times New Roman" w:cs="Times New Roman"/>
          <w:sz w:val="32"/>
          <w:szCs w:val="32"/>
        </w:rPr>
        <w:t>可适用放宽间距控制标准：</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w:t>
      </w:r>
      <w:r>
        <w:rPr>
          <w:rFonts w:ascii="Times New Roman" w:eastAsia="方正仿宋" w:hAnsi="Times New Roman" w:cs="Times New Roman"/>
          <w:sz w:val="32"/>
          <w:szCs w:val="32"/>
        </w:rPr>
        <w:t>1</w:t>
      </w:r>
      <w:r>
        <w:rPr>
          <w:rFonts w:ascii="Times New Roman" w:eastAsia="方正仿宋" w:hAnsi="Times New Roman" w:cs="Times New Roman"/>
          <w:sz w:val="32"/>
          <w:szCs w:val="32"/>
        </w:rPr>
        <w:t>）视力残疾</w:t>
      </w:r>
      <w:r>
        <w:rPr>
          <w:rFonts w:ascii="Times New Roman" w:eastAsia="方正仿宋" w:hAnsi="Times New Roman" w:cs="Times New Roman"/>
          <w:sz w:val="32"/>
          <w:szCs w:val="32"/>
        </w:rPr>
        <w:t xml:space="preserve">: </w:t>
      </w:r>
      <w:r>
        <w:rPr>
          <w:rFonts w:ascii="Times New Roman" w:eastAsia="方正仿宋" w:hAnsi="Times New Roman" w:cs="Times New Roman"/>
          <w:sz w:val="32"/>
          <w:szCs w:val="32"/>
        </w:rPr>
        <w:t>一级盲、二级盲</w:t>
      </w:r>
      <w:r>
        <w:rPr>
          <w:rFonts w:ascii="Times New Roman" w:eastAsia="方正仿宋" w:hAnsi="Times New Roman" w:cs="Times New Roman"/>
          <w:sz w:val="32"/>
          <w:szCs w:val="32"/>
        </w:rPr>
        <w:t>;</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w:t>
      </w:r>
      <w:r>
        <w:rPr>
          <w:rFonts w:ascii="Times New Roman" w:eastAsia="方正仿宋" w:hAnsi="Times New Roman" w:cs="Times New Roman"/>
          <w:sz w:val="32"/>
          <w:szCs w:val="32"/>
        </w:rPr>
        <w:t>2</w:t>
      </w:r>
      <w:r>
        <w:rPr>
          <w:rFonts w:ascii="Times New Roman" w:eastAsia="方正仿宋" w:hAnsi="Times New Roman" w:cs="Times New Roman"/>
          <w:sz w:val="32"/>
          <w:szCs w:val="32"/>
        </w:rPr>
        <w:t>）听力残疾</w:t>
      </w:r>
      <w:r>
        <w:rPr>
          <w:rFonts w:ascii="Times New Roman" w:eastAsia="方正仿宋" w:hAnsi="Times New Roman" w:cs="Times New Roman"/>
          <w:sz w:val="32"/>
          <w:szCs w:val="32"/>
        </w:rPr>
        <w:t>:</w:t>
      </w:r>
      <w:r>
        <w:rPr>
          <w:rFonts w:ascii="Times New Roman" w:eastAsia="方正仿宋" w:hAnsi="Times New Roman" w:cs="Times New Roman"/>
          <w:sz w:val="32"/>
          <w:szCs w:val="32"/>
        </w:rPr>
        <w:t>一、二、三级</w:t>
      </w:r>
      <w:r>
        <w:rPr>
          <w:rFonts w:ascii="Times New Roman" w:eastAsia="方正仿宋" w:hAnsi="Times New Roman" w:cs="Times New Roman"/>
          <w:sz w:val="32"/>
          <w:szCs w:val="32"/>
        </w:rPr>
        <w:t>;</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w:t>
      </w:r>
      <w:r>
        <w:rPr>
          <w:rFonts w:ascii="Times New Roman" w:eastAsia="方正仿宋" w:hAnsi="Times New Roman" w:cs="Times New Roman"/>
          <w:sz w:val="32"/>
          <w:szCs w:val="32"/>
        </w:rPr>
        <w:t>3</w:t>
      </w:r>
      <w:r>
        <w:rPr>
          <w:rFonts w:ascii="Times New Roman" w:eastAsia="方正仿宋" w:hAnsi="Times New Roman" w:cs="Times New Roman"/>
          <w:sz w:val="32"/>
          <w:szCs w:val="32"/>
        </w:rPr>
        <w:t>）言语残疾</w:t>
      </w:r>
      <w:r>
        <w:rPr>
          <w:rFonts w:ascii="Times New Roman" w:eastAsia="方正仿宋" w:hAnsi="Times New Roman" w:cs="Times New Roman"/>
          <w:sz w:val="32"/>
          <w:szCs w:val="32"/>
        </w:rPr>
        <w:t>:</w:t>
      </w:r>
      <w:r>
        <w:rPr>
          <w:rFonts w:ascii="Times New Roman" w:eastAsia="方正仿宋" w:hAnsi="Times New Roman" w:cs="Times New Roman"/>
          <w:sz w:val="32"/>
          <w:szCs w:val="32"/>
        </w:rPr>
        <w:t>一、二、三级</w:t>
      </w:r>
      <w:r>
        <w:rPr>
          <w:rFonts w:ascii="Times New Roman" w:eastAsia="方正仿宋" w:hAnsi="Times New Roman" w:cs="Times New Roman"/>
          <w:sz w:val="32"/>
          <w:szCs w:val="32"/>
        </w:rPr>
        <w:t>;</w:t>
      </w:r>
      <w:bookmarkStart w:id="1" w:name="_GoBack"/>
      <w:bookmarkEnd w:id="1"/>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w:t>
      </w:r>
      <w:r>
        <w:rPr>
          <w:rFonts w:ascii="Times New Roman" w:eastAsia="方正仿宋" w:hAnsi="Times New Roman" w:cs="Times New Roman"/>
          <w:sz w:val="32"/>
          <w:szCs w:val="32"/>
        </w:rPr>
        <w:t>4</w:t>
      </w:r>
      <w:r>
        <w:rPr>
          <w:rFonts w:ascii="Times New Roman" w:eastAsia="方正仿宋" w:hAnsi="Times New Roman" w:cs="Times New Roman"/>
          <w:sz w:val="32"/>
          <w:szCs w:val="32"/>
        </w:rPr>
        <w:t>）肢体残疾</w:t>
      </w:r>
      <w:r>
        <w:rPr>
          <w:rFonts w:ascii="Times New Roman" w:eastAsia="方正仿宋" w:hAnsi="Times New Roman" w:cs="Times New Roman"/>
          <w:sz w:val="32"/>
          <w:szCs w:val="32"/>
        </w:rPr>
        <w:t>:</w:t>
      </w:r>
      <w:r w:rsidR="00160187">
        <w:rPr>
          <w:rFonts w:ascii="Times New Roman" w:eastAsia="方正仿宋" w:hAnsi="Times New Roman" w:cs="Times New Roman" w:hint="eastAsia"/>
          <w:sz w:val="32"/>
          <w:szCs w:val="32"/>
        </w:rPr>
        <w:t>极</w:t>
      </w:r>
      <w:r>
        <w:rPr>
          <w:rFonts w:ascii="Times New Roman" w:eastAsia="方正仿宋" w:hAnsi="Times New Roman" w:cs="Times New Roman"/>
          <w:sz w:val="32"/>
          <w:szCs w:val="32"/>
        </w:rPr>
        <w:t>重度</w:t>
      </w:r>
      <w:r>
        <w:rPr>
          <w:rFonts w:ascii="Times New Roman" w:eastAsia="方正仿宋" w:hAnsi="Times New Roman" w:cs="Times New Roman"/>
          <w:sz w:val="32"/>
          <w:szCs w:val="32"/>
        </w:rPr>
        <w:t>(</w:t>
      </w:r>
      <w:r>
        <w:rPr>
          <w:rFonts w:ascii="Times New Roman" w:eastAsia="方正仿宋" w:hAnsi="Times New Roman" w:cs="Times New Roman"/>
          <w:sz w:val="32"/>
          <w:szCs w:val="32"/>
        </w:rPr>
        <w:t>一级</w:t>
      </w:r>
      <w:r>
        <w:rPr>
          <w:rFonts w:ascii="Times New Roman" w:eastAsia="方正仿宋" w:hAnsi="Times New Roman" w:cs="Times New Roman"/>
          <w:sz w:val="32"/>
          <w:szCs w:val="32"/>
        </w:rPr>
        <w:t>)</w:t>
      </w:r>
      <w:r>
        <w:rPr>
          <w:rFonts w:ascii="Times New Roman" w:eastAsia="方正仿宋" w:hAnsi="Times New Roman" w:cs="Times New Roman"/>
          <w:sz w:val="32"/>
          <w:szCs w:val="32"/>
        </w:rPr>
        <w:t>、</w:t>
      </w:r>
      <w:r w:rsidRPr="00160187">
        <w:rPr>
          <w:rFonts w:ascii="Times New Roman" w:eastAsia="方正仿宋" w:hAnsi="Times New Roman" w:cs="Times New Roman" w:hint="eastAsia"/>
          <w:sz w:val="32"/>
          <w:szCs w:val="32"/>
        </w:rPr>
        <w:t>重</w:t>
      </w:r>
      <w:r>
        <w:rPr>
          <w:rFonts w:ascii="Times New Roman" w:eastAsia="方正仿宋" w:hAnsi="Times New Roman" w:cs="Times New Roman"/>
          <w:sz w:val="32"/>
          <w:szCs w:val="32"/>
        </w:rPr>
        <w:t>度</w:t>
      </w:r>
      <w:r>
        <w:rPr>
          <w:rFonts w:ascii="Times New Roman" w:eastAsia="方正仿宋" w:hAnsi="Times New Roman" w:cs="Times New Roman"/>
          <w:sz w:val="32"/>
          <w:szCs w:val="32"/>
        </w:rPr>
        <w:t>(</w:t>
      </w:r>
      <w:r>
        <w:rPr>
          <w:rFonts w:ascii="Times New Roman" w:eastAsia="方正仿宋" w:hAnsi="Times New Roman" w:cs="Times New Roman"/>
          <w:sz w:val="32"/>
          <w:szCs w:val="32"/>
        </w:rPr>
        <w:t>二级</w:t>
      </w:r>
      <w:r>
        <w:rPr>
          <w:rFonts w:ascii="Times New Roman" w:eastAsia="方正仿宋" w:hAnsi="Times New Roman" w:cs="Times New Roman"/>
          <w:sz w:val="32"/>
          <w:szCs w:val="32"/>
        </w:rPr>
        <w:t>)</w:t>
      </w:r>
      <w:r>
        <w:rPr>
          <w:rFonts w:ascii="Times New Roman" w:eastAsia="方正仿宋" w:hAnsi="Times New Roman" w:cs="Times New Roman"/>
          <w:sz w:val="32"/>
          <w:szCs w:val="32"/>
        </w:rPr>
        <w:t>。</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（五）烈士家属、残疾人等特殊群体，申请人在放宽申办条件时应同时具备以下条件：</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1.</w:t>
      </w:r>
      <w:r>
        <w:rPr>
          <w:rFonts w:ascii="Times New Roman" w:eastAsia="方正仿宋" w:hAnsi="Times New Roman" w:cs="Times New Roman"/>
          <w:sz w:val="32"/>
          <w:szCs w:val="32"/>
        </w:rPr>
        <w:t>申请人具备完全民事行为能力；</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2.</w:t>
      </w:r>
      <w:r>
        <w:rPr>
          <w:rFonts w:ascii="Times New Roman" w:eastAsia="方正仿宋" w:hAnsi="Times New Roman" w:cs="Times New Roman" w:hint="eastAsia"/>
          <w:sz w:val="32"/>
          <w:szCs w:val="32"/>
        </w:rPr>
        <w:t>仅限本人自主经营</w:t>
      </w:r>
      <w:r>
        <w:rPr>
          <w:rFonts w:ascii="Times New Roman" w:eastAsia="方正仿宋" w:hAnsi="Times New Roman" w:cs="Times New Roman"/>
          <w:sz w:val="32"/>
          <w:szCs w:val="32"/>
        </w:rPr>
        <w:t>；</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3.</w:t>
      </w:r>
      <w:r>
        <w:rPr>
          <w:rFonts w:ascii="Times New Roman" w:eastAsia="方正仿宋" w:hAnsi="Times New Roman" w:cs="Times New Roman" w:hint="eastAsia"/>
          <w:sz w:val="32"/>
        </w:rPr>
        <w:t>在遂宁市辖区内</w:t>
      </w:r>
      <w:r>
        <w:rPr>
          <w:rFonts w:ascii="Times New Roman" w:eastAsia="方正仿宋" w:hAnsi="Times New Roman" w:cs="Times New Roman"/>
          <w:sz w:val="32"/>
        </w:rPr>
        <w:t>放宽次数为一次；</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4.</w:t>
      </w:r>
      <w:r>
        <w:rPr>
          <w:rFonts w:ascii="Times New Roman" w:eastAsia="方正仿宋" w:hAnsi="Times New Roman" w:cs="Times New Roman"/>
          <w:sz w:val="32"/>
          <w:szCs w:val="32"/>
        </w:rPr>
        <w:t>持有县级</w:t>
      </w:r>
      <w:r>
        <w:rPr>
          <w:rFonts w:ascii="Times New Roman" w:eastAsia="方正仿宋" w:hAnsi="Times New Roman" w:cs="Times New Roman" w:hint="eastAsia"/>
          <w:sz w:val="32"/>
          <w:szCs w:val="32"/>
        </w:rPr>
        <w:t>人民</w:t>
      </w:r>
      <w:r>
        <w:rPr>
          <w:rFonts w:ascii="Times New Roman" w:eastAsia="方正仿宋" w:hAnsi="Times New Roman" w:cs="Times New Roman"/>
          <w:sz w:val="32"/>
          <w:szCs w:val="32"/>
        </w:rPr>
        <w:t>政府及以上有关部门发放的有效证书、证明文件。</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（六）对于适用放宽情形，同时受</w:t>
      </w:r>
      <w:r>
        <w:rPr>
          <w:rFonts w:ascii="Times New Roman" w:eastAsia="方正仿宋" w:hAnsi="Times New Roman" w:cs="Times New Roman" w:hint="eastAsia"/>
          <w:sz w:val="32"/>
          <w:szCs w:val="32"/>
        </w:rPr>
        <w:t>总量控制</w:t>
      </w:r>
      <w:r>
        <w:rPr>
          <w:rFonts w:ascii="Times New Roman" w:eastAsia="方正仿宋" w:hAnsi="Times New Roman" w:cs="Times New Roman"/>
          <w:sz w:val="32"/>
          <w:szCs w:val="32"/>
        </w:rPr>
        <w:t>的，不得突破</w:t>
      </w:r>
      <w:r>
        <w:rPr>
          <w:rFonts w:ascii="Times New Roman" w:eastAsia="方正仿宋" w:hAnsi="Times New Roman" w:cs="Times New Roman" w:hint="eastAsia"/>
          <w:sz w:val="32"/>
          <w:szCs w:val="32"/>
        </w:rPr>
        <w:t>总量</w:t>
      </w:r>
      <w:r>
        <w:rPr>
          <w:rFonts w:ascii="Times New Roman" w:eastAsia="方正仿宋" w:hAnsi="Times New Roman" w:cs="Times New Roman"/>
          <w:sz w:val="32"/>
          <w:szCs w:val="32"/>
        </w:rPr>
        <w:t>上限。对于同时符合两种或两种以上放宽情形的，适用其放宽幅度较高的规定，放宽幅度不得累计。</w:t>
      </w:r>
    </w:p>
    <w:p w:rsidR="00DA7DD2" w:rsidRDefault="00A74AC5">
      <w:pPr>
        <w:adjustRightInd w:val="0"/>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lastRenderedPageBreak/>
        <w:t>（</w:t>
      </w:r>
      <w:r>
        <w:rPr>
          <w:rFonts w:ascii="Times New Roman" w:eastAsia="方正仿宋" w:hAnsi="Times New Roman" w:cs="Times New Roman" w:hint="eastAsia"/>
          <w:sz w:val="32"/>
          <w:szCs w:val="32"/>
        </w:rPr>
        <w:t>七</w:t>
      </w:r>
      <w:r>
        <w:rPr>
          <w:rFonts w:ascii="Times New Roman" w:eastAsia="方正仿宋" w:hAnsi="Times New Roman" w:cs="Times New Roman"/>
          <w:sz w:val="32"/>
          <w:szCs w:val="32"/>
        </w:rPr>
        <w:t>）</w:t>
      </w:r>
      <w:r>
        <w:rPr>
          <w:rFonts w:ascii="Times New Roman" w:eastAsia="方正仿宋" w:hAnsi="Times New Roman" w:cs="Times New Roman" w:hint="eastAsia"/>
          <w:sz w:val="32"/>
          <w:szCs w:val="32"/>
        </w:rPr>
        <w:t>因道路规划、城市建设等客观因素（含新建中小学、幼儿园或进出通道口改变）造成无法在核定经营地址继续经营的零售点，持证人通过注销新办或者申请变更到原发证机关辖区内其他地址经营的，在相关客观原因消除后一年内，经营主体无涉烟违法违规记录，持证人对新许可证申请歇业的同时在原核定经营地址申请新办的，可放宽至所在布局单元间距标准的</w:t>
      </w:r>
      <w:r>
        <w:rPr>
          <w:rFonts w:ascii="Times New Roman" w:eastAsia="方正仿宋" w:hAnsi="Times New Roman" w:cs="Times New Roman" w:hint="eastAsia"/>
          <w:sz w:val="32"/>
          <w:szCs w:val="32"/>
        </w:rPr>
        <w:t>50%</w:t>
      </w:r>
      <w:r>
        <w:rPr>
          <w:rFonts w:ascii="Times New Roman" w:eastAsia="方正仿宋" w:hAnsi="Times New Roman" w:cs="Times New Roman" w:hint="eastAsia"/>
          <w:sz w:val="32"/>
          <w:szCs w:val="32"/>
        </w:rPr>
        <w:t>执行。</w:t>
      </w:r>
    </w:p>
    <w:p w:rsidR="00DA7DD2" w:rsidRDefault="00A74AC5">
      <w:pPr>
        <w:adjustRightInd w:val="0"/>
        <w:spacing w:line="600" w:lineRule="exact"/>
        <w:ind w:firstLineChars="200" w:firstLine="640"/>
        <w:rPr>
          <w:rFonts w:ascii="Times New Roman" w:eastAsia="方正仿宋" w:hAnsi="Times New Roman" w:cs="Times New Roman"/>
          <w:sz w:val="32"/>
        </w:rPr>
      </w:pPr>
      <w:r>
        <w:rPr>
          <w:rFonts w:ascii="Times New Roman" w:eastAsia="方正仿宋" w:hAnsi="Times New Roman" w:cs="Times New Roman" w:hint="eastAsia"/>
          <w:sz w:val="32"/>
        </w:rPr>
        <w:t>（八）</w:t>
      </w:r>
      <w:r>
        <w:rPr>
          <w:rFonts w:ascii="Times New Roman" w:eastAsia="方正仿宋" w:hAnsi="Times New Roman" w:cs="Times New Roman"/>
          <w:sz w:val="32"/>
        </w:rPr>
        <w:t>持有烟草专卖零售许可证的国有企业，按照国家关于发展混合所有制经济的要求，经国家有关部门批准为国有控股的混合所有制企业的，可以重新申领烟草专卖零售许可证的，不受辖区合理布局规定总量和距离限制。</w:t>
      </w:r>
    </w:p>
    <w:p w:rsidR="00DA7DD2" w:rsidRDefault="00A74AC5" w:rsidP="00134ACE">
      <w:pPr>
        <w:widowControl/>
        <w:shd w:val="clear" w:color="auto" w:fill="FFFFFF"/>
        <w:spacing w:line="600" w:lineRule="exact"/>
        <w:jc w:val="center"/>
        <w:rPr>
          <w:rFonts w:ascii="Times New Roman" w:eastAsia="方正黑体" w:hAnsi="Times New Roman" w:cs="Times New Roman"/>
          <w:kern w:val="0"/>
          <w:sz w:val="32"/>
          <w:szCs w:val="32"/>
        </w:rPr>
      </w:pPr>
      <w:r>
        <w:rPr>
          <w:rFonts w:ascii="Times New Roman" w:eastAsia="方正黑体" w:hAnsi="Times New Roman" w:cs="Times New Roman"/>
          <w:kern w:val="0"/>
          <w:sz w:val="32"/>
          <w:szCs w:val="32"/>
        </w:rPr>
        <w:t>第三章</w:t>
      </w:r>
      <w:r>
        <w:rPr>
          <w:rFonts w:ascii="Times New Roman" w:eastAsia="方正黑体" w:hAnsi="Times New Roman" w:cs="Times New Roman"/>
          <w:kern w:val="0"/>
          <w:sz w:val="32"/>
          <w:szCs w:val="32"/>
        </w:rPr>
        <w:t> </w:t>
      </w:r>
      <w:r>
        <w:rPr>
          <w:rFonts w:ascii="Times New Roman" w:eastAsia="方正黑体" w:hAnsi="Times New Roman" w:cs="Times New Roman"/>
          <w:kern w:val="0"/>
          <w:sz w:val="32"/>
          <w:szCs w:val="32"/>
        </w:rPr>
        <w:t>不予许可的情形</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第</w:t>
      </w:r>
      <w:r>
        <w:rPr>
          <w:rFonts w:ascii="Times New Roman" w:eastAsia="方正仿宋" w:hAnsi="Times New Roman" w:cs="Times New Roman" w:hint="eastAsia"/>
          <w:sz w:val="32"/>
          <w:szCs w:val="32"/>
        </w:rPr>
        <w:t>十</w:t>
      </w:r>
      <w:r>
        <w:rPr>
          <w:rFonts w:ascii="Times New Roman" w:eastAsia="方正仿宋" w:hAnsi="Times New Roman" w:cs="Times New Roman"/>
          <w:sz w:val="32"/>
          <w:szCs w:val="32"/>
        </w:rPr>
        <w:t>条</w:t>
      </w:r>
      <w:r>
        <w:rPr>
          <w:rFonts w:ascii="Times New Roman" w:eastAsia="方正仿宋" w:hAnsi="Times New Roman" w:cs="Times New Roman"/>
          <w:sz w:val="32"/>
          <w:szCs w:val="32"/>
        </w:rPr>
        <w:t xml:space="preserve"> </w:t>
      </w:r>
      <w:r>
        <w:rPr>
          <w:rFonts w:ascii="Times New Roman" w:eastAsia="方正仿宋" w:hAnsi="Times New Roman" w:cs="Times New Roman"/>
          <w:sz w:val="32"/>
          <w:szCs w:val="32"/>
        </w:rPr>
        <w:t>有下列情形之一的，禁止设置烟草制品零售点：</w:t>
      </w:r>
    </w:p>
    <w:p w:rsidR="00DA7DD2" w:rsidRDefault="00A74AC5">
      <w:pPr>
        <w:widowControl/>
        <w:shd w:val="clear" w:color="auto" w:fill="FFFFFF"/>
        <w:spacing w:line="600" w:lineRule="exact"/>
        <w:ind w:firstLineChars="200" w:firstLine="640"/>
        <w:rPr>
          <w:rFonts w:ascii="方正楷体" w:eastAsia="方正楷体" w:hAnsi="Times New Roman" w:cs="Times New Roman"/>
          <w:sz w:val="32"/>
          <w:szCs w:val="32"/>
        </w:rPr>
      </w:pPr>
      <w:r>
        <w:rPr>
          <w:rFonts w:ascii="方正楷体" w:eastAsia="方正楷体" w:hAnsi="Times New Roman" w:cs="Times New Roman" w:hint="eastAsia"/>
          <w:sz w:val="32"/>
          <w:szCs w:val="32"/>
        </w:rPr>
        <w:t>（一）申请主体资格方面</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1.</w:t>
      </w:r>
      <w:r>
        <w:rPr>
          <w:rFonts w:ascii="Times New Roman" w:eastAsia="方正仿宋" w:hAnsi="Times New Roman" w:cs="Times New Roman"/>
          <w:sz w:val="32"/>
          <w:szCs w:val="32"/>
        </w:rPr>
        <w:t>申请人为无民事行为能力人或限制民事行为能力人；</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2.</w:t>
      </w:r>
      <w:r>
        <w:rPr>
          <w:rFonts w:ascii="Times New Roman" w:eastAsia="方正仿宋" w:hAnsi="Times New Roman" w:cs="Times New Roman"/>
          <w:sz w:val="32"/>
          <w:szCs w:val="32"/>
        </w:rPr>
        <w:t>外商投资的商业企业或者个体工商户，或者外商投资的商业企业或者个体工商户以特许、吸纳加盟店及其他再投资等形式变相从事烟草专卖品经营业务的</w:t>
      </w:r>
      <w:r>
        <w:rPr>
          <w:rFonts w:ascii="Times New Roman" w:eastAsia="方正仿宋" w:hAnsi="Times New Roman" w:cs="Times New Roman" w:hint="eastAsia"/>
          <w:sz w:val="32"/>
          <w:szCs w:val="32"/>
        </w:rPr>
        <w:t>；（内资企业或者个体工商户租赁外商投资企业经营场所的不适用此条）</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3.</w:t>
      </w:r>
      <w:r>
        <w:rPr>
          <w:rFonts w:ascii="Times New Roman" w:eastAsia="方正仿宋" w:hAnsi="Times New Roman" w:cs="Times New Roman"/>
          <w:sz w:val="32"/>
          <w:szCs w:val="32"/>
        </w:rPr>
        <w:t>申请人被取消从事烟草专卖业务资格不满三年的；</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lastRenderedPageBreak/>
        <w:t>4.</w:t>
      </w:r>
      <w:r>
        <w:rPr>
          <w:rFonts w:ascii="Times New Roman" w:eastAsia="方正仿宋" w:hAnsi="Times New Roman" w:cs="Times New Roman"/>
          <w:sz w:val="32"/>
          <w:szCs w:val="32"/>
        </w:rPr>
        <w:t>因申请人隐瞒有关情况或者提供虚假材料，烟草专卖行政主管部门作出不予受理或者不予发证决定后，申请人一年内再次提出申请的；</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5.</w:t>
      </w:r>
      <w:r>
        <w:rPr>
          <w:rFonts w:ascii="Times New Roman" w:eastAsia="方正仿宋" w:hAnsi="Times New Roman" w:cs="Times New Roman"/>
          <w:sz w:val="32"/>
          <w:szCs w:val="32"/>
        </w:rPr>
        <w:t>申请人以欺骗、贿赂等不正当手段取得的烟草专卖许可证被撤销后，三年内再次提出申请的；</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6.</w:t>
      </w:r>
      <w:r>
        <w:rPr>
          <w:rFonts w:ascii="Times New Roman" w:eastAsia="方正仿宋" w:hAnsi="Times New Roman" w:cs="Times New Roman"/>
          <w:sz w:val="32"/>
          <w:szCs w:val="32"/>
        </w:rPr>
        <w:t>未领取烟草专卖零售许可证经营烟草专卖品业务，并且一年内被执法机关处罚两次以上，在三年内申请领取烟草专卖零售许可证的</w:t>
      </w:r>
      <w:r>
        <w:rPr>
          <w:rFonts w:ascii="Times New Roman" w:eastAsia="方正仿宋" w:hAnsi="Times New Roman" w:cs="Times New Roman" w:hint="eastAsia"/>
          <w:sz w:val="32"/>
          <w:szCs w:val="32"/>
        </w:rPr>
        <w:t>；</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7.</w:t>
      </w:r>
      <w:r>
        <w:rPr>
          <w:rFonts w:ascii="Times New Roman" w:eastAsia="方正仿宋" w:hAnsi="Times New Roman" w:cs="Times New Roman"/>
          <w:sz w:val="32"/>
          <w:szCs w:val="32"/>
        </w:rPr>
        <w:t>未领取烟草专卖零售许可证经营烟草专卖品业务被追究刑事责任，在三年内申请领取烟草专卖零售许可证的</w:t>
      </w:r>
      <w:r>
        <w:rPr>
          <w:rFonts w:ascii="Times New Roman" w:eastAsia="方正仿宋" w:hAnsi="Times New Roman" w:cs="Times New Roman" w:hint="eastAsia"/>
          <w:sz w:val="32"/>
          <w:szCs w:val="32"/>
        </w:rPr>
        <w:t>。</w:t>
      </w:r>
    </w:p>
    <w:p w:rsidR="00DA7DD2" w:rsidRDefault="00A74AC5">
      <w:pPr>
        <w:widowControl/>
        <w:shd w:val="clear" w:color="auto" w:fill="FFFFFF"/>
        <w:spacing w:line="600" w:lineRule="exact"/>
        <w:ind w:firstLineChars="200" w:firstLine="640"/>
        <w:rPr>
          <w:rFonts w:ascii="方正楷体" w:eastAsia="方正楷体" w:hAnsi="Times New Roman" w:cs="Times New Roman"/>
          <w:sz w:val="32"/>
          <w:szCs w:val="32"/>
        </w:rPr>
      </w:pPr>
      <w:r>
        <w:rPr>
          <w:rFonts w:ascii="方正楷体" w:eastAsia="方正楷体" w:hAnsi="Times New Roman" w:cs="Times New Roman"/>
          <w:sz w:val="32"/>
          <w:szCs w:val="32"/>
        </w:rPr>
        <w:t>（二）经营场所方面</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1.</w:t>
      </w:r>
      <w:r>
        <w:rPr>
          <w:rFonts w:ascii="Times New Roman" w:eastAsia="方正仿宋" w:hAnsi="Times New Roman" w:cs="Times New Roman"/>
          <w:sz w:val="32"/>
          <w:szCs w:val="32"/>
        </w:rPr>
        <w:t>申请人无固定经营场所的：</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hint="eastAsia"/>
          <w:sz w:val="32"/>
          <w:szCs w:val="32"/>
        </w:rPr>
        <w:t>“固定经营场所”是指申请设立零售点的经营场所应由砖、木、钢、土、混等材料建成，形成可封闭且不可移动空间的合法建筑。</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hint="eastAsia"/>
          <w:sz w:val="32"/>
          <w:szCs w:val="32"/>
        </w:rPr>
        <w:t>“无固定经营场所”是指临时建筑、简易搭盖等具有流动性和季节性的摊、点、车、棚、简易板房、活动板房等。爱心亭、书报亭等相对固定场所，且能出具政府主管部门占道经营许可或其他准予经营证明的，视为具备固定经营场所，许可证有效期限参照政府主管部门规划期限执行，但不得超过</w:t>
      </w:r>
      <w:r>
        <w:rPr>
          <w:rFonts w:ascii="Times New Roman" w:eastAsia="方正仿宋" w:hAnsi="Times New Roman" w:cs="Times New Roman" w:hint="eastAsia"/>
          <w:sz w:val="32"/>
          <w:szCs w:val="32"/>
        </w:rPr>
        <w:t>5</w:t>
      </w:r>
      <w:r>
        <w:rPr>
          <w:rFonts w:ascii="Times New Roman" w:eastAsia="方正仿宋" w:hAnsi="Times New Roman" w:cs="Times New Roman" w:hint="eastAsia"/>
          <w:sz w:val="32"/>
          <w:szCs w:val="32"/>
        </w:rPr>
        <w:t>年。</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hint="eastAsia"/>
          <w:sz w:val="32"/>
          <w:szCs w:val="32"/>
        </w:rPr>
        <w:lastRenderedPageBreak/>
        <w:t>经营场所条件：经营场所地址应与营业执照上核定的经营场所地址相一致；有与住所相独立的固定经营场所，有指向明确并唯一的门牌、地址或者方位表述。</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hint="eastAsia"/>
          <w:sz w:val="32"/>
          <w:szCs w:val="32"/>
        </w:rPr>
        <w:t>申请人的经营场所位于新建小区的，以是否取得竣工验收报告且交付使用，或是否取得房产证等权属证明为准。</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2.</w:t>
      </w:r>
      <w:r>
        <w:rPr>
          <w:rFonts w:ascii="Times New Roman" w:eastAsia="方正仿宋" w:hAnsi="Times New Roman" w:cs="Times New Roman"/>
          <w:sz w:val="32"/>
          <w:szCs w:val="32"/>
        </w:rPr>
        <w:t>申请人经营场所与住所不相独立的；</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hint="eastAsia"/>
          <w:sz w:val="32"/>
          <w:szCs w:val="32"/>
        </w:rPr>
        <w:t>“与住所相独立”是指经营场所与生活区域相独立，面向公众经营。</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hint="eastAsia"/>
          <w:sz w:val="32"/>
          <w:szCs w:val="32"/>
        </w:rPr>
        <w:t>“与住所不相独立”是指从事烟草制品销售、储存的经营场所与居住场所或他人的经营场所，从空间上无法分离和断开，从物理特性上无实体墙隔离且无明确的区域界线，包括但不限于住宅、公寓（经依法审批改为经营用途的除外）、办公场所、仓库、生活住所的车库、地下室、储藏室以及地面二层及以上等未对消费者全开放的场所等。</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3.</w:t>
      </w:r>
      <w:r>
        <w:rPr>
          <w:rFonts w:ascii="Times New Roman" w:eastAsia="方正仿宋" w:hAnsi="Times New Roman" w:cs="Times New Roman"/>
          <w:sz w:val="32"/>
          <w:szCs w:val="32"/>
        </w:rPr>
        <w:t>同一经营场所已经办理了仍在有效期内的烟草专卖零售许可证的；</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4.</w:t>
      </w:r>
      <w:r>
        <w:rPr>
          <w:rFonts w:ascii="Times New Roman" w:eastAsia="方正仿宋" w:hAnsi="Times New Roman" w:cs="Times New Roman" w:hint="eastAsia"/>
          <w:sz w:val="32"/>
          <w:szCs w:val="32"/>
        </w:rPr>
        <w:t>无人超市、诊所、医院内部及党政机关内部不予发证；</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5.</w:t>
      </w:r>
      <w:r>
        <w:rPr>
          <w:rFonts w:ascii="Times New Roman" w:eastAsia="方正仿宋" w:hAnsi="Times New Roman" w:cs="Times New Roman" w:hint="eastAsia"/>
          <w:sz w:val="32"/>
          <w:szCs w:val="32"/>
        </w:rPr>
        <w:t>经营场所基于安全因素不适宜经营卷烟的不予发证，包括但不限主营业务为化工、农药、油漆、鞭炮等有毒有害、易燃易爆、或易挥发有毒有害气体的场所，具备安全保障措施的加油站便利店除外</w:t>
      </w:r>
      <w:r>
        <w:rPr>
          <w:rFonts w:ascii="Times New Roman" w:eastAsia="方正仿宋" w:hAnsi="Times New Roman" w:cs="Times New Roman"/>
          <w:sz w:val="32"/>
          <w:szCs w:val="32"/>
        </w:rPr>
        <w:t>。</w:t>
      </w:r>
    </w:p>
    <w:p w:rsidR="00DA7DD2" w:rsidRDefault="00A74AC5">
      <w:pPr>
        <w:widowControl/>
        <w:shd w:val="clear" w:color="auto" w:fill="FFFFFF"/>
        <w:spacing w:line="600" w:lineRule="exact"/>
        <w:ind w:firstLineChars="200" w:firstLine="640"/>
        <w:rPr>
          <w:rFonts w:ascii="方正楷体" w:eastAsia="方正楷体" w:hAnsi="Times New Roman" w:cs="Times New Roman"/>
          <w:sz w:val="32"/>
          <w:szCs w:val="32"/>
        </w:rPr>
      </w:pPr>
      <w:r>
        <w:rPr>
          <w:rFonts w:ascii="方正楷体" w:eastAsia="方正楷体" w:hAnsi="Times New Roman" w:cs="Times New Roman"/>
          <w:sz w:val="32"/>
          <w:szCs w:val="32"/>
        </w:rPr>
        <w:lastRenderedPageBreak/>
        <w:t>（三）经营模式方面</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1.</w:t>
      </w:r>
      <w:r>
        <w:rPr>
          <w:rFonts w:ascii="Times New Roman" w:eastAsia="方正仿宋" w:hAnsi="Times New Roman" w:cs="Times New Roman"/>
          <w:sz w:val="32"/>
          <w:szCs w:val="32"/>
        </w:rPr>
        <w:t>利用自动售货机或者其他自动售货形式，销售或者变相销售烟草制品的；</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2.</w:t>
      </w:r>
      <w:r>
        <w:rPr>
          <w:rFonts w:ascii="Times New Roman" w:eastAsia="方正仿宋" w:hAnsi="Times New Roman" w:cs="Times New Roman"/>
          <w:sz w:val="32"/>
          <w:szCs w:val="32"/>
        </w:rPr>
        <w:t>通过信息网络销售烟草专卖品的；</w:t>
      </w:r>
    </w:p>
    <w:p w:rsidR="00DA7DD2" w:rsidRDefault="00A74AC5">
      <w:pPr>
        <w:widowControl/>
        <w:shd w:val="clear" w:color="auto" w:fill="FFFFFF"/>
        <w:spacing w:line="600" w:lineRule="exact"/>
        <w:ind w:firstLineChars="200" w:firstLine="640"/>
        <w:rPr>
          <w:rFonts w:ascii="方正楷体" w:eastAsia="方正楷体" w:hAnsi="Times New Roman" w:cs="Times New Roman"/>
          <w:sz w:val="32"/>
          <w:szCs w:val="32"/>
        </w:rPr>
      </w:pPr>
      <w:r>
        <w:rPr>
          <w:rFonts w:ascii="方正楷体" w:eastAsia="方正楷体" w:hAnsi="Times New Roman" w:cs="Times New Roman"/>
          <w:sz w:val="32"/>
          <w:szCs w:val="32"/>
        </w:rPr>
        <w:t>（四）</w:t>
      </w:r>
      <w:r>
        <w:rPr>
          <w:rFonts w:ascii="方正楷体" w:eastAsia="方正楷体" w:hAnsi="Times New Roman" w:cs="Times New Roman" w:hint="eastAsia"/>
          <w:sz w:val="32"/>
          <w:szCs w:val="32"/>
        </w:rPr>
        <w:t>特殊区域</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hint="eastAsia"/>
          <w:sz w:val="32"/>
          <w:szCs w:val="32"/>
        </w:rPr>
        <w:t>中小学校、幼儿园内部以及中小学校、幼儿园进出口正中心</w:t>
      </w:r>
      <w:r>
        <w:rPr>
          <w:rFonts w:ascii="Times New Roman" w:eastAsia="方正仿宋" w:hAnsi="Times New Roman" w:cs="Times New Roman" w:hint="eastAsia"/>
          <w:sz w:val="32"/>
          <w:szCs w:val="32"/>
        </w:rPr>
        <w:t>50</w:t>
      </w:r>
      <w:r>
        <w:rPr>
          <w:rFonts w:ascii="Times New Roman" w:eastAsia="方正仿宋" w:hAnsi="Times New Roman" w:cs="Times New Roman" w:hint="eastAsia"/>
          <w:sz w:val="32"/>
          <w:szCs w:val="32"/>
        </w:rPr>
        <w:t>米范围内不予发证。中小学、幼儿园出入口包括正门、侧门、员工通道、货物通道、消防通道、应急通道、垃圾通道、停车场通道等行人或车辆能够自由出入的通道。其中</w:t>
      </w:r>
      <w:r>
        <w:rPr>
          <w:rFonts w:ascii="Times New Roman" w:eastAsia="方正仿宋" w:hAnsi="Times New Roman" w:cs="Times New Roman" w:hint="eastAsia"/>
          <w:sz w:val="32"/>
          <w:szCs w:val="32"/>
        </w:rPr>
        <w:t>50</w:t>
      </w:r>
      <w:r>
        <w:rPr>
          <w:rFonts w:ascii="Times New Roman" w:eastAsia="方正仿宋" w:hAnsi="Times New Roman" w:cs="Times New Roman" w:hint="eastAsia"/>
          <w:sz w:val="32"/>
          <w:szCs w:val="32"/>
        </w:rPr>
        <w:t>米范围以中小学、幼儿园“进出口”中心点为基准，与拟办经营场所出入口所在面最近边界的直线距离。</w:t>
      </w:r>
    </w:p>
    <w:p w:rsidR="00DA7DD2" w:rsidRDefault="00A74AC5">
      <w:pPr>
        <w:widowControl/>
        <w:shd w:val="clear" w:color="auto" w:fill="FFFFFF"/>
        <w:spacing w:line="600" w:lineRule="exact"/>
        <w:ind w:firstLineChars="200" w:firstLine="640"/>
        <w:rPr>
          <w:rFonts w:ascii="方正楷体" w:eastAsia="方正楷体" w:hAnsi="Times New Roman" w:cs="Times New Roman"/>
          <w:sz w:val="32"/>
          <w:szCs w:val="32"/>
        </w:rPr>
      </w:pPr>
      <w:r>
        <w:rPr>
          <w:rFonts w:ascii="方正楷体" w:eastAsia="方正楷体" w:hAnsi="Times New Roman" w:cs="Times New Roman" w:hint="eastAsia"/>
          <w:sz w:val="32"/>
          <w:szCs w:val="32"/>
        </w:rPr>
        <w:t>（五）</w:t>
      </w:r>
      <w:r>
        <w:rPr>
          <w:rFonts w:ascii="方正楷体" w:eastAsia="方正楷体" w:hAnsi="Times New Roman" w:cs="Times New Roman"/>
          <w:sz w:val="32"/>
          <w:szCs w:val="32"/>
        </w:rPr>
        <w:t>相关法律、法规、规章和烟草专卖行政主管部门及政府行政规范性文件规定的其它情形。</w:t>
      </w:r>
    </w:p>
    <w:p w:rsidR="00DA7DD2" w:rsidRDefault="00A74AC5" w:rsidP="00134ACE">
      <w:pPr>
        <w:widowControl/>
        <w:shd w:val="clear" w:color="auto" w:fill="FFFFFF"/>
        <w:spacing w:line="600" w:lineRule="exact"/>
        <w:jc w:val="center"/>
        <w:rPr>
          <w:rFonts w:ascii="Times New Roman" w:eastAsia="方正黑体" w:hAnsi="Times New Roman" w:cs="Times New Roman"/>
          <w:kern w:val="0"/>
          <w:sz w:val="32"/>
          <w:szCs w:val="32"/>
        </w:rPr>
      </w:pPr>
      <w:r>
        <w:rPr>
          <w:rFonts w:ascii="Times New Roman" w:eastAsia="方正黑体" w:hAnsi="Times New Roman" w:cs="Times New Roman"/>
          <w:kern w:val="0"/>
          <w:sz w:val="32"/>
          <w:szCs w:val="32"/>
        </w:rPr>
        <w:t>第四章</w:t>
      </w:r>
      <w:r>
        <w:rPr>
          <w:rFonts w:ascii="Times New Roman" w:eastAsia="方正黑体" w:hAnsi="Times New Roman" w:cs="Times New Roman"/>
          <w:kern w:val="0"/>
          <w:sz w:val="32"/>
          <w:szCs w:val="32"/>
        </w:rPr>
        <w:t> </w:t>
      </w:r>
      <w:r>
        <w:rPr>
          <w:rFonts w:ascii="Times New Roman" w:eastAsia="方正黑体" w:hAnsi="Times New Roman" w:cs="Times New Roman"/>
          <w:kern w:val="0"/>
          <w:sz w:val="32"/>
          <w:szCs w:val="32"/>
        </w:rPr>
        <w:t>附则</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第十</w:t>
      </w:r>
      <w:r>
        <w:rPr>
          <w:rFonts w:ascii="Times New Roman" w:eastAsia="方正仿宋" w:hAnsi="Times New Roman" w:cs="Times New Roman" w:hint="eastAsia"/>
          <w:sz w:val="32"/>
          <w:szCs w:val="32"/>
        </w:rPr>
        <w:t>一</w:t>
      </w:r>
      <w:r>
        <w:rPr>
          <w:rFonts w:ascii="Times New Roman" w:eastAsia="方正仿宋" w:hAnsi="Times New Roman" w:cs="Times New Roman"/>
          <w:sz w:val="32"/>
          <w:szCs w:val="32"/>
        </w:rPr>
        <w:t>条</w:t>
      </w:r>
      <w:r>
        <w:rPr>
          <w:rFonts w:ascii="Times New Roman" w:eastAsia="方正仿宋" w:hAnsi="Times New Roman" w:cs="Times New Roman"/>
          <w:sz w:val="32"/>
          <w:szCs w:val="32"/>
        </w:rPr>
        <w:t xml:space="preserve"> </w:t>
      </w:r>
      <w:r>
        <w:rPr>
          <w:rFonts w:ascii="Times New Roman" w:eastAsia="方正仿宋" w:hAnsi="Times New Roman" w:cs="Times New Roman"/>
          <w:sz w:val="32"/>
          <w:szCs w:val="32"/>
        </w:rPr>
        <w:t>本规定所称烟草制品零售点具体业态标准按照《中国烟草总公司四川省公司关于全面加强烟草零售客户基础信息管理工作的实施方案》（川烟销〔</w:t>
      </w:r>
      <w:r>
        <w:rPr>
          <w:rFonts w:ascii="Times New Roman" w:eastAsia="方正仿宋" w:hAnsi="Times New Roman" w:cs="Times New Roman"/>
          <w:sz w:val="32"/>
          <w:szCs w:val="32"/>
        </w:rPr>
        <w:t>2023</w:t>
      </w:r>
      <w:r>
        <w:rPr>
          <w:rFonts w:ascii="Times New Roman" w:eastAsia="方正仿宋" w:hAnsi="Times New Roman" w:cs="Times New Roman"/>
          <w:sz w:val="32"/>
          <w:szCs w:val="32"/>
        </w:rPr>
        <w:t>〕</w:t>
      </w:r>
      <w:r>
        <w:rPr>
          <w:rFonts w:ascii="Times New Roman" w:eastAsia="方正仿宋" w:hAnsi="Times New Roman" w:cs="Times New Roman"/>
          <w:sz w:val="32"/>
          <w:szCs w:val="32"/>
        </w:rPr>
        <w:t>1</w:t>
      </w:r>
      <w:r>
        <w:rPr>
          <w:rFonts w:ascii="Times New Roman" w:eastAsia="方正仿宋" w:hAnsi="Times New Roman" w:cs="Times New Roman"/>
          <w:sz w:val="32"/>
          <w:szCs w:val="32"/>
        </w:rPr>
        <w:t>号）中《烟草零售客户业态类型划分标准》进行核定。</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第十</w:t>
      </w:r>
      <w:r>
        <w:rPr>
          <w:rFonts w:ascii="Times New Roman" w:eastAsia="方正仿宋" w:hAnsi="Times New Roman" w:cs="Times New Roman" w:hint="eastAsia"/>
          <w:sz w:val="32"/>
          <w:szCs w:val="32"/>
        </w:rPr>
        <w:t>二</w:t>
      </w:r>
      <w:r>
        <w:rPr>
          <w:rFonts w:ascii="Times New Roman" w:eastAsia="方正仿宋" w:hAnsi="Times New Roman" w:cs="Times New Roman"/>
          <w:sz w:val="32"/>
          <w:szCs w:val="32"/>
        </w:rPr>
        <w:t>条</w:t>
      </w:r>
      <w:r>
        <w:rPr>
          <w:rFonts w:ascii="Times New Roman" w:eastAsia="方正仿宋" w:hAnsi="Times New Roman" w:cs="Times New Roman"/>
          <w:sz w:val="32"/>
          <w:szCs w:val="32"/>
        </w:rPr>
        <w:t xml:space="preserve"> </w:t>
      </w:r>
      <w:r>
        <w:rPr>
          <w:rFonts w:ascii="Times New Roman" w:eastAsia="方正仿宋" w:hAnsi="Times New Roman" w:cs="Times New Roman"/>
          <w:sz w:val="32"/>
          <w:szCs w:val="32"/>
        </w:rPr>
        <w:t>本规定中的</w:t>
      </w:r>
      <w:r>
        <w:rPr>
          <w:rFonts w:ascii="Times New Roman" w:eastAsia="方正仿宋" w:hAnsi="Times New Roman" w:cs="Times New Roman"/>
          <w:sz w:val="32"/>
          <w:szCs w:val="32"/>
        </w:rPr>
        <w:t>“</w:t>
      </w:r>
      <w:r>
        <w:rPr>
          <w:rFonts w:ascii="Times New Roman" w:eastAsia="方正仿宋" w:hAnsi="Times New Roman" w:cs="Times New Roman"/>
          <w:sz w:val="32"/>
          <w:szCs w:val="32"/>
        </w:rPr>
        <w:t>以上</w:t>
      </w:r>
      <w:r>
        <w:rPr>
          <w:rFonts w:ascii="Times New Roman" w:eastAsia="方正仿宋" w:hAnsi="Times New Roman" w:cs="Times New Roman"/>
          <w:sz w:val="32"/>
          <w:szCs w:val="32"/>
        </w:rPr>
        <w:t>”</w:t>
      </w:r>
      <w:r>
        <w:rPr>
          <w:rFonts w:ascii="Times New Roman" w:eastAsia="方正仿宋" w:hAnsi="Times New Roman" w:cs="Times New Roman"/>
          <w:sz w:val="32"/>
          <w:szCs w:val="32"/>
        </w:rPr>
        <w:t>、</w:t>
      </w:r>
      <w:r>
        <w:rPr>
          <w:rFonts w:ascii="Times New Roman" w:eastAsia="方正仿宋" w:hAnsi="Times New Roman" w:cs="Times New Roman"/>
          <w:sz w:val="32"/>
          <w:szCs w:val="32"/>
        </w:rPr>
        <w:t>“</w:t>
      </w:r>
      <w:r>
        <w:rPr>
          <w:rFonts w:ascii="Times New Roman" w:eastAsia="方正仿宋" w:hAnsi="Times New Roman" w:cs="Times New Roman"/>
          <w:sz w:val="32"/>
          <w:szCs w:val="32"/>
        </w:rPr>
        <w:t>以下</w:t>
      </w:r>
      <w:r>
        <w:rPr>
          <w:rFonts w:ascii="Times New Roman" w:eastAsia="方正仿宋" w:hAnsi="Times New Roman" w:cs="Times New Roman"/>
          <w:sz w:val="32"/>
          <w:szCs w:val="32"/>
        </w:rPr>
        <w:t>”</w:t>
      </w:r>
      <w:r>
        <w:rPr>
          <w:rFonts w:ascii="Times New Roman" w:eastAsia="方正仿宋" w:hAnsi="Times New Roman" w:cs="Times New Roman"/>
          <w:sz w:val="32"/>
          <w:szCs w:val="32"/>
        </w:rPr>
        <w:t>、</w:t>
      </w:r>
      <w:r>
        <w:rPr>
          <w:rFonts w:ascii="Times New Roman" w:eastAsia="方正仿宋" w:hAnsi="Times New Roman" w:cs="Times New Roman" w:hint="eastAsia"/>
          <w:sz w:val="32"/>
          <w:szCs w:val="32"/>
        </w:rPr>
        <w:t>“以内”、</w:t>
      </w:r>
      <w:r>
        <w:rPr>
          <w:rFonts w:ascii="Times New Roman" w:eastAsia="方正仿宋" w:hAnsi="Times New Roman" w:cs="Times New Roman"/>
          <w:sz w:val="32"/>
          <w:szCs w:val="32"/>
        </w:rPr>
        <w:t>“</w:t>
      </w:r>
      <w:r>
        <w:rPr>
          <w:rFonts w:ascii="Times New Roman" w:eastAsia="方正仿宋" w:hAnsi="Times New Roman" w:cs="Times New Roman"/>
          <w:sz w:val="32"/>
          <w:szCs w:val="32"/>
        </w:rPr>
        <w:t>不足</w:t>
      </w:r>
      <w:r>
        <w:rPr>
          <w:rFonts w:ascii="Times New Roman" w:eastAsia="方正仿宋" w:hAnsi="Times New Roman" w:cs="Times New Roman"/>
          <w:sz w:val="32"/>
          <w:szCs w:val="32"/>
        </w:rPr>
        <w:t>”</w:t>
      </w:r>
      <w:r>
        <w:rPr>
          <w:rFonts w:ascii="Times New Roman" w:eastAsia="方正仿宋" w:hAnsi="Times New Roman" w:cs="Times New Roman"/>
          <w:sz w:val="32"/>
          <w:szCs w:val="32"/>
        </w:rPr>
        <w:t>、</w:t>
      </w:r>
      <w:r>
        <w:rPr>
          <w:rFonts w:ascii="Times New Roman" w:eastAsia="方正仿宋" w:hAnsi="Times New Roman" w:cs="Times New Roman"/>
          <w:sz w:val="32"/>
          <w:szCs w:val="32"/>
        </w:rPr>
        <w:t>“</w:t>
      </w:r>
      <w:r>
        <w:rPr>
          <w:rFonts w:ascii="Times New Roman" w:eastAsia="方正仿宋" w:hAnsi="Times New Roman" w:cs="Times New Roman"/>
          <w:sz w:val="32"/>
          <w:szCs w:val="32"/>
        </w:rPr>
        <w:t>超过</w:t>
      </w:r>
      <w:r>
        <w:rPr>
          <w:rFonts w:ascii="Times New Roman" w:eastAsia="方正仿宋" w:hAnsi="Times New Roman" w:cs="Times New Roman"/>
          <w:sz w:val="32"/>
          <w:szCs w:val="32"/>
        </w:rPr>
        <w:t>”</w:t>
      </w:r>
      <w:r>
        <w:rPr>
          <w:rFonts w:ascii="Times New Roman" w:eastAsia="方正仿宋" w:hAnsi="Times New Roman" w:cs="Times New Roman"/>
          <w:sz w:val="32"/>
          <w:szCs w:val="32"/>
        </w:rPr>
        <w:t>均包含本级或本数。</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lastRenderedPageBreak/>
        <w:t>第十</w:t>
      </w:r>
      <w:r>
        <w:rPr>
          <w:rFonts w:ascii="Times New Roman" w:eastAsia="方正仿宋" w:hAnsi="Times New Roman" w:cs="Times New Roman" w:hint="eastAsia"/>
          <w:sz w:val="32"/>
          <w:szCs w:val="32"/>
        </w:rPr>
        <w:t>三</w:t>
      </w:r>
      <w:r>
        <w:rPr>
          <w:rFonts w:ascii="Times New Roman" w:eastAsia="方正仿宋" w:hAnsi="Times New Roman" w:cs="Times New Roman"/>
          <w:sz w:val="32"/>
          <w:szCs w:val="32"/>
        </w:rPr>
        <w:t>条</w:t>
      </w:r>
      <w:r w:rsidR="00160187">
        <w:rPr>
          <w:rFonts w:ascii="Times New Roman" w:eastAsia="方正仿宋" w:hAnsi="Times New Roman" w:cs="Times New Roman" w:hint="eastAsia"/>
          <w:sz w:val="32"/>
          <w:szCs w:val="32"/>
        </w:rPr>
        <w:t xml:space="preserve"> </w:t>
      </w:r>
      <w:r>
        <w:rPr>
          <w:rFonts w:ascii="Times New Roman" w:eastAsia="方正仿宋" w:hAnsi="Times New Roman" w:cs="Times New Roman" w:hint="eastAsia"/>
          <w:sz w:val="32"/>
          <w:szCs w:val="32"/>
        </w:rPr>
        <w:t>本规定中的</w:t>
      </w:r>
      <w:r>
        <w:rPr>
          <w:rFonts w:ascii="Times New Roman" w:eastAsia="方正仿宋" w:hAnsi="Times New Roman" w:cs="Times New Roman"/>
          <w:sz w:val="32"/>
          <w:szCs w:val="32"/>
        </w:rPr>
        <w:t>中小学，是指普通中小学、特殊教育学校、中等职业学校、专门学校。本规定中的幼儿园，是指教育行政主管部门登记备案的幼儿园。</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第十</w:t>
      </w:r>
      <w:r>
        <w:rPr>
          <w:rFonts w:ascii="Times New Roman" w:eastAsia="方正仿宋" w:hAnsi="Times New Roman" w:cs="Times New Roman" w:hint="eastAsia"/>
          <w:sz w:val="32"/>
          <w:szCs w:val="32"/>
        </w:rPr>
        <w:t>四</w:t>
      </w:r>
      <w:r>
        <w:rPr>
          <w:rFonts w:ascii="Times New Roman" w:eastAsia="方正仿宋" w:hAnsi="Times New Roman" w:cs="Times New Roman"/>
          <w:sz w:val="32"/>
          <w:szCs w:val="32"/>
        </w:rPr>
        <w:t>条</w:t>
      </w:r>
      <w:r>
        <w:rPr>
          <w:rFonts w:ascii="Times New Roman" w:eastAsia="方正仿宋" w:hAnsi="Times New Roman" w:cs="Times New Roman"/>
          <w:sz w:val="32"/>
          <w:szCs w:val="32"/>
        </w:rPr>
        <w:t xml:space="preserve"> </w:t>
      </w:r>
      <w:r>
        <w:rPr>
          <w:rFonts w:ascii="Times New Roman" w:eastAsia="方正仿宋" w:hAnsi="Times New Roman" w:cs="Times New Roman"/>
          <w:sz w:val="32"/>
          <w:szCs w:val="32"/>
        </w:rPr>
        <w:t>本规定中的</w:t>
      </w:r>
      <w:r>
        <w:rPr>
          <w:rFonts w:ascii="Times New Roman" w:eastAsia="方正仿宋" w:hAnsi="Times New Roman" w:cs="Times New Roman"/>
          <w:sz w:val="32"/>
          <w:szCs w:val="32"/>
        </w:rPr>
        <w:t>“</w:t>
      </w:r>
      <w:r>
        <w:rPr>
          <w:rFonts w:ascii="Times New Roman" w:eastAsia="方正仿宋" w:hAnsi="Times New Roman" w:cs="Times New Roman"/>
          <w:sz w:val="32"/>
          <w:szCs w:val="32"/>
        </w:rPr>
        <w:t>间距</w:t>
      </w:r>
      <w:r>
        <w:rPr>
          <w:rFonts w:ascii="Times New Roman" w:eastAsia="方正仿宋" w:hAnsi="Times New Roman" w:cs="Times New Roman"/>
          <w:sz w:val="32"/>
          <w:szCs w:val="32"/>
        </w:rPr>
        <w:t>”</w:t>
      </w:r>
      <w:r>
        <w:rPr>
          <w:rFonts w:ascii="Times New Roman" w:eastAsia="方正仿宋" w:hAnsi="Times New Roman" w:cs="Times New Roman"/>
          <w:sz w:val="32"/>
          <w:szCs w:val="32"/>
        </w:rPr>
        <w:t>，指新申请方</w:t>
      </w:r>
      <w:r>
        <w:rPr>
          <w:rFonts w:ascii="Times New Roman" w:eastAsia="方正仿宋" w:hAnsi="Times New Roman" w:cs="Times New Roman" w:hint="eastAsia"/>
          <w:sz w:val="32"/>
          <w:szCs w:val="32"/>
        </w:rPr>
        <w:t>出入口</w:t>
      </w:r>
      <w:r>
        <w:rPr>
          <w:rFonts w:ascii="Times New Roman" w:eastAsia="方正仿宋" w:hAnsi="Times New Roman" w:cs="Times New Roman"/>
          <w:sz w:val="32"/>
          <w:szCs w:val="32"/>
        </w:rPr>
        <w:t>与测量参照物</w:t>
      </w:r>
      <w:r>
        <w:rPr>
          <w:rFonts w:ascii="Times New Roman" w:eastAsia="方正仿宋" w:hAnsi="Times New Roman" w:cs="Times New Roman" w:hint="eastAsia"/>
          <w:sz w:val="32"/>
          <w:szCs w:val="32"/>
        </w:rPr>
        <w:t>出入口</w:t>
      </w:r>
      <w:r>
        <w:rPr>
          <w:rFonts w:ascii="Times New Roman" w:eastAsia="方正仿宋" w:hAnsi="Times New Roman" w:cs="Times New Roman"/>
          <w:sz w:val="32"/>
          <w:szCs w:val="32"/>
        </w:rPr>
        <w:t>之间，按</w:t>
      </w:r>
      <w:r>
        <w:rPr>
          <w:rFonts w:ascii="Times New Roman" w:eastAsia="方正仿宋" w:hAnsi="Times New Roman" w:cs="Times New Roman"/>
          <w:sz w:val="32"/>
          <w:szCs w:val="32"/>
        </w:rPr>
        <w:t>“</w:t>
      </w:r>
      <w:r>
        <w:rPr>
          <w:rFonts w:ascii="Times New Roman" w:eastAsia="方正仿宋" w:hAnsi="Times New Roman" w:cs="Times New Roman"/>
          <w:sz w:val="32"/>
          <w:szCs w:val="32"/>
        </w:rPr>
        <w:t>边对边</w:t>
      </w:r>
      <w:r>
        <w:rPr>
          <w:rFonts w:ascii="Times New Roman" w:eastAsia="方正仿宋" w:hAnsi="Times New Roman" w:cs="Times New Roman"/>
          <w:sz w:val="32"/>
          <w:szCs w:val="32"/>
        </w:rPr>
        <w:t>”</w:t>
      </w:r>
      <w:r>
        <w:rPr>
          <w:rFonts w:ascii="Times New Roman" w:eastAsia="方正仿宋" w:hAnsi="Times New Roman" w:cs="Times New Roman"/>
          <w:sz w:val="32"/>
          <w:szCs w:val="32"/>
        </w:rPr>
        <w:t>原则测量的可步行通行最短距离，测量参照物指周边最近的持证零售户。现场核查新申请方与参照物之间的测量以</w:t>
      </w:r>
      <w:r>
        <w:rPr>
          <w:rFonts w:ascii="Times New Roman" w:eastAsia="方正仿宋" w:hAnsi="Times New Roman" w:cs="Times New Roman"/>
          <w:sz w:val="32"/>
          <w:szCs w:val="32"/>
        </w:rPr>
        <w:t>“</w:t>
      </w:r>
      <w:r>
        <w:rPr>
          <w:rFonts w:ascii="Times New Roman" w:eastAsia="方正仿宋" w:hAnsi="Times New Roman" w:cs="Times New Roman"/>
          <w:sz w:val="32"/>
          <w:szCs w:val="32"/>
        </w:rPr>
        <w:t>符合交通法律法规规定，可通行最短距离</w:t>
      </w:r>
      <w:r>
        <w:rPr>
          <w:rFonts w:ascii="Times New Roman" w:eastAsia="方正仿宋" w:hAnsi="Times New Roman" w:cs="Times New Roman"/>
          <w:sz w:val="32"/>
          <w:szCs w:val="32"/>
        </w:rPr>
        <w:t>”</w:t>
      </w:r>
      <w:r>
        <w:rPr>
          <w:rFonts w:ascii="Times New Roman" w:eastAsia="方正仿宋" w:hAnsi="Times New Roman" w:cs="Times New Roman"/>
          <w:sz w:val="32"/>
          <w:szCs w:val="32"/>
        </w:rPr>
        <w:t>为总体原则，</w:t>
      </w:r>
      <w:r>
        <w:rPr>
          <w:rFonts w:ascii="Times New Roman" w:eastAsia="方正仿宋" w:hAnsi="Times New Roman" w:cs="Times New Roman" w:hint="eastAsia"/>
          <w:sz w:val="32"/>
          <w:szCs w:val="32"/>
        </w:rPr>
        <w:t>测量工具以手推式测距轮车手动测量为主，卷尺、皮尺等其他工具为辅，</w:t>
      </w:r>
      <w:r>
        <w:rPr>
          <w:rFonts w:ascii="Times New Roman" w:eastAsia="方正仿宋" w:hAnsi="Times New Roman" w:cs="Times New Roman"/>
          <w:sz w:val="32"/>
          <w:szCs w:val="32"/>
        </w:rPr>
        <w:t>具体测量</w:t>
      </w:r>
      <w:r>
        <w:rPr>
          <w:rFonts w:ascii="Times New Roman" w:eastAsia="方正仿宋" w:hAnsi="Times New Roman" w:cs="Times New Roman" w:hint="eastAsia"/>
          <w:sz w:val="32"/>
          <w:szCs w:val="32"/>
        </w:rPr>
        <w:t>标准</w:t>
      </w:r>
      <w:r>
        <w:rPr>
          <w:rFonts w:ascii="Times New Roman" w:eastAsia="方正仿宋" w:hAnsi="Times New Roman" w:cs="Times New Roman"/>
          <w:sz w:val="32"/>
          <w:szCs w:val="32"/>
        </w:rPr>
        <w:t>见</w:t>
      </w:r>
      <w:r>
        <w:rPr>
          <w:rFonts w:ascii="Times New Roman" w:eastAsia="方正仿宋" w:hAnsi="Times New Roman" w:cs="Times New Roman" w:hint="eastAsia"/>
          <w:sz w:val="32"/>
          <w:szCs w:val="32"/>
        </w:rPr>
        <w:t>《大英县烟草制品零售点经营场所间距测量标准》</w:t>
      </w:r>
      <w:r>
        <w:rPr>
          <w:rFonts w:ascii="Times New Roman" w:eastAsia="方正仿宋" w:hAnsi="Times New Roman" w:cs="Times New Roman"/>
          <w:sz w:val="32"/>
          <w:szCs w:val="32"/>
        </w:rPr>
        <w:t>。</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第十</w:t>
      </w:r>
      <w:r>
        <w:rPr>
          <w:rFonts w:ascii="Times New Roman" w:eastAsia="方正仿宋" w:hAnsi="Times New Roman" w:cs="Times New Roman" w:hint="eastAsia"/>
          <w:sz w:val="32"/>
          <w:szCs w:val="32"/>
        </w:rPr>
        <w:t>五</w:t>
      </w:r>
      <w:r>
        <w:rPr>
          <w:rFonts w:ascii="Times New Roman" w:eastAsia="方正仿宋" w:hAnsi="Times New Roman" w:cs="Times New Roman"/>
          <w:sz w:val="32"/>
          <w:szCs w:val="32"/>
        </w:rPr>
        <w:t>条</w:t>
      </w:r>
      <w:r w:rsidR="00160187">
        <w:rPr>
          <w:rFonts w:ascii="Times New Roman" w:eastAsia="方正仿宋" w:hAnsi="Times New Roman" w:cs="Times New Roman" w:hint="eastAsia"/>
          <w:sz w:val="32"/>
          <w:szCs w:val="32"/>
        </w:rPr>
        <w:t xml:space="preserve"> </w:t>
      </w:r>
      <w:r>
        <w:rPr>
          <w:rFonts w:ascii="Times New Roman" w:eastAsia="方正仿宋" w:hAnsi="Times New Roman" w:cs="Times New Roman" w:hint="eastAsia"/>
          <w:sz w:val="32"/>
          <w:szCs w:val="32"/>
        </w:rPr>
        <w:t>对本规定发布前已依法核发的烟草专卖零售许可证，在许可证有效期内不受本规定总量和间距标准调整的影响（法律、法规、规章规定等有禁止性规定的除外）。</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hint="eastAsia"/>
          <w:sz w:val="32"/>
          <w:szCs w:val="32"/>
        </w:rPr>
        <w:t>第十六条</w:t>
      </w:r>
      <w:r>
        <w:rPr>
          <w:rFonts w:ascii="Times New Roman" w:eastAsia="方正仿宋" w:hAnsi="Times New Roman" w:cs="Times New Roman" w:hint="eastAsia"/>
          <w:sz w:val="32"/>
          <w:szCs w:val="32"/>
        </w:rPr>
        <w:t xml:space="preserve"> </w:t>
      </w:r>
      <w:r>
        <w:rPr>
          <w:rFonts w:ascii="Times New Roman" w:eastAsia="方正仿宋" w:hAnsi="Times New Roman" w:cs="Times New Roman" w:hint="eastAsia"/>
          <w:sz w:val="32"/>
          <w:szCs w:val="32"/>
        </w:rPr>
        <w:t>因政府规划导致街道或区域名称变化的，间距、总量标准不变；因政府行政区划变更造成实际行政规划区域与合理布局规定划分区域不符的，按合理布局规定执行。</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hint="eastAsia"/>
          <w:sz w:val="32"/>
          <w:szCs w:val="32"/>
        </w:rPr>
        <w:t>第十七条</w:t>
      </w:r>
      <w:r>
        <w:rPr>
          <w:rFonts w:ascii="Times New Roman" w:eastAsia="方正仿宋" w:hAnsi="Times New Roman" w:cs="Times New Roman" w:hint="eastAsia"/>
          <w:sz w:val="32"/>
          <w:szCs w:val="32"/>
        </w:rPr>
        <w:t xml:space="preserve"> </w:t>
      </w:r>
      <w:r>
        <w:rPr>
          <w:rFonts w:ascii="Times New Roman" w:eastAsia="方正仿宋" w:hAnsi="Times New Roman" w:cs="Times New Roman" w:hint="eastAsia"/>
          <w:sz w:val="32"/>
          <w:szCs w:val="32"/>
        </w:rPr>
        <w:t>拟申请从事烟草制品零售业务的经营地址位于不同布局单元交界区域时，总量按照营业执照登记地址所在所有布局单元核定，间距标准按照参照的所有零售点所在布局单元间距标准执行。</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t>第十</w:t>
      </w:r>
      <w:r>
        <w:rPr>
          <w:rFonts w:ascii="Times New Roman" w:eastAsia="方正仿宋" w:hAnsi="Times New Roman" w:cs="Times New Roman" w:hint="eastAsia"/>
          <w:sz w:val="32"/>
          <w:szCs w:val="32"/>
        </w:rPr>
        <w:t>九</w:t>
      </w:r>
      <w:r>
        <w:rPr>
          <w:rFonts w:ascii="Times New Roman" w:eastAsia="方正仿宋" w:hAnsi="Times New Roman" w:cs="Times New Roman"/>
          <w:sz w:val="32"/>
          <w:szCs w:val="32"/>
        </w:rPr>
        <w:t>条</w:t>
      </w:r>
      <w:r>
        <w:rPr>
          <w:rFonts w:ascii="Times New Roman" w:eastAsia="方正仿宋" w:hAnsi="Times New Roman" w:cs="Times New Roman"/>
          <w:sz w:val="32"/>
          <w:szCs w:val="32"/>
        </w:rPr>
        <w:t xml:space="preserve"> </w:t>
      </w:r>
      <w:r>
        <w:rPr>
          <w:rFonts w:ascii="Times New Roman" w:eastAsia="方正仿宋" w:hAnsi="Times New Roman" w:cs="Times New Roman"/>
          <w:sz w:val="32"/>
          <w:szCs w:val="32"/>
        </w:rPr>
        <w:t>本规定由</w:t>
      </w:r>
      <w:r>
        <w:rPr>
          <w:rFonts w:ascii="Times New Roman" w:eastAsia="方正仿宋" w:hAnsi="Times New Roman" w:cs="Times New Roman" w:hint="eastAsia"/>
          <w:sz w:val="32"/>
          <w:szCs w:val="32"/>
        </w:rPr>
        <w:t>大英</w:t>
      </w:r>
      <w:r>
        <w:rPr>
          <w:rFonts w:ascii="Times New Roman" w:eastAsia="方正仿宋" w:hAnsi="Times New Roman" w:cs="Times New Roman"/>
          <w:sz w:val="32"/>
          <w:szCs w:val="32"/>
        </w:rPr>
        <w:t>县烟草专卖局负责解释。</w:t>
      </w:r>
    </w:p>
    <w:p w:rsidR="00DA7DD2" w:rsidRDefault="00A74AC5">
      <w:pPr>
        <w:widowControl/>
        <w:shd w:val="clear" w:color="auto" w:fill="FFFFFF"/>
        <w:spacing w:line="600" w:lineRule="exact"/>
        <w:ind w:firstLineChars="200" w:firstLine="640"/>
        <w:rPr>
          <w:rFonts w:ascii="Times New Roman" w:eastAsia="方正仿宋" w:hAnsi="Times New Roman" w:cs="Times New Roman"/>
          <w:sz w:val="32"/>
          <w:szCs w:val="32"/>
        </w:rPr>
      </w:pPr>
      <w:r>
        <w:rPr>
          <w:rFonts w:ascii="Times New Roman" w:eastAsia="方正仿宋" w:hAnsi="Times New Roman" w:cs="Times New Roman"/>
          <w:sz w:val="32"/>
          <w:szCs w:val="32"/>
        </w:rPr>
        <w:lastRenderedPageBreak/>
        <w:t>第</w:t>
      </w:r>
      <w:r>
        <w:rPr>
          <w:rFonts w:ascii="Times New Roman" w:eastAsia="方正仿宋" w:hAnsi="Times New Roman" w:cs="Times New Roman" w:hint="eastAsia"/>
          <w:sz w:val="32"/>
          <w:szCs w:val="32"/>
        </w:rPr>
        <w:t>二十</w:t>
      </w:r>
      <w:r>
        <w:rPr>
          <w:rFonts w:ascii="Times New Roman" w:eastAsia="方正仿宋" w:hAnsi="Times New Roman" w:cs="Times New Roman"/>
          <w:sz w:val="32"/>
          <w:szCs w:val="32"/>
        </w:rPr>
        <w:t>条</w:t>
      </w:r>
      <w:r>
        <w:rPr>
          <w:rFonts w:ascii="Times New Roman" w:eastAsia="方正仿宋" w:hAnsi="Times New Roman" w:cs="Times New Roman"/>
          <w:sz w:val="32"/>
          <w:szCs w:val="32"/>
        </w:rPr>
        <w:t xml:space="preserve"> </w:t>
      </w:r>
      <w:r>
        <w:rPr>
          <w:rFonts w:ascii="Times New Roman" w:eastAsia="方正仿宋" w:hAnsi="Times New Roman" w:cs="Times New Roman"/>
          <w:sz w:val="32"/>
          <w:szCs w:val="32"/>
        </w:rPr>
        <w:t>本规定自</w:t>
      </w:r>
      <w:r>
        <w:rPr>
          <w:rFonts w:ascii="Times New Roman" w:eastAsia="方正仿宋" w:hAnsi="Times New Roman" w:cs="Times New Roman"/>
          <w:sz w:val="32"/>
          <w:szCs w:val="32"/>
        </w:rPr>
        <w:t>2025</w:t>
      </w:r>
      <w:r>
        <w:rPr>
          <w:rFonts w:ascii="Times New Roman" w:eastAsia="方正仿宋" w:hAnsi="Times New Roman" w:cs="Times New Roman"/>
          <w:sz w:val="32"/>
          <w:szCs w:val="32"/>
        </w:rPr>
        <w:t>年</w:t>
      </w:r>
      <w:r w:rsidR="00724C00">
        <w:rPr>
          <w:rFonts w:ascii="Times New Roman" w:eastAsia="方正仿宋" w:hAnsi="Times New Roman" w:cs="Times New Roman" w:hint="eastAsia"/>
          <w:sz w:val="32"/>
          <w:szCs w:val="32"/>
        </w:rPr>
        <w:t>7</w:t>
      </w:r>
      <w:r>
        <w:rPr>
          <w:rFonts w:ascii="Times New Roman" w:eastAsia="方正仿宋" w:hAnsi="Times New Roman" w:cs="Times New Roman"/>
          <w:sz w:val="32"/>
          <w:szCs w:val="32"/>
        </w:rPr>
        <w:t>月</w:t>
      </w:r>
      <w:r w:rsidR="00724C00">
        <w:rPr>
          <w:rFonts w:ascii="Times New Roman" w:eastAsia="方正仿宋" w:hAnsi="Times New Roman" w:cs="Times New Roman" w:hint="eastAsia"/>
          <w:sz w:val="32"/>
          <w:szCs w:val="32"/>
        </w:rPr>
        <w:t>8</w:t>
      </w:r>
      <w:r>
        <w:rPr>
          <w:rFonts w:ascii="Times New Roman" w:eastAsia="方正仿宋" w:hAnsi="Times New Roman" w:cs="Times New Roman"/>
          <w:sz w:val="32"/>
          <w:szCs w:val="32"/>
        </w:rPr>
        <w:t>日起</w:t>
      </w:r>
      <w:r w:rsidR="00972D52">
        <w:rPr>
          <w:rFonts w:ascii="Times New Roman" w:eastAsia="方正仿宋" w:hAnsi="Times New Roman" w:cs="Times New Roman" w:hint="eastAsia"/>
          <w:sz w:val="32"/>
          <w:szCs w:val="32"/>
        </w:rPr>
        <w:t>公示</w:t>
      </w:r>
      <w:r w:rsidR="00724C00">
        <w:rPr>
          <w:rFonts w:ascii="Times New Roman" w:eastAsia="方正仿宋" w:hAnsi="Times New Roman" w:cs="Times New Roman" w:hint="eastAsia"/>
          <w:sz w:val="32"/>
          <w:szCs w:val="32"/>
        </w:rPr>
        <w:t>30</w:t>
      </w:r>
      <w:r w:rsidR="00724C00">
        <w:rPr>
          <w:rFonts w:ascii="Times New Roman" w:eastAsia="方正仿宋" w:hAnsi="Times New Roman" w:cs="Times New Roman" w:hint="eastAsia"/>
          <w:sz w:val="32"/>
          <w:szCs w:val="32"/>
        </w:rPr>
        <w:t>日后正式施行</w:t>
      </w:r>
      <w:r>
        <w:rPr>
          <w:rFonts w:ascii="Times New Roman" w:eastAsia="方正仿宋" w:hAnsi="Times New Roman" w:cs="Times New Roman"/>
          <w:sz w:val="32"/>
          <w:szCs w:val="32"/>
        </w:rPr>
        <w:t>，</w:t>
      </w:r>
      <w:r w:rsidRPr="00160187">
        <w:rPr>
          <w:rFonts w:ascii="Times New Roman" w:eastAsia="方正仿宋" w:hAnsi="Times New Roman" w:cs="Times New Roman" w:hint="eastAsia"/>
          <w:sz w:val="32"/>
          <w:szCs w:val="32"/>
        </w:rPr>
        <w:t>原</w:t>
      </w:r>
      <w:r w:rsidRPr="00160187">
        <w:rPr>
          <w:rFonts w:ascii="Times New Roman" w:eastAsia="方正仿宋" w:hAnsi="Times New Roman" w:cs="Times New Roman" w:hint="eastAsia"/>
          <w:sz w:val="32"/>
          <w:szCs w:val="32"/>
        </w:rPr>
        <w:t>2022</w:t>
      </w:r>
      <w:r w:rsidRPr="00160187">
        <w:rPr>
          <w:rFonts w:ascii="Times New Roman" w:eastAsia="方正仿宋" w:hAnsi="Times New Roman" w:cs="Times New Roman" w:hint="eastAsia"/>
          <w:sz w:val="32"/>
          <w:szCs w:val="32"/>
        </w:rPr>
        <w:t>年《大英县烟草制品零售点合理布局规划》同时废止。</w:t>
      </w:r>
      <w:r>
        <w:rPr>
          <w:rFonts w:ascii="Times New Roman" w:eastAsia="方正仿宋" w:hAnsi="Times New Roman" w:cs="Times New Roman" w:hint="eastAsia"/>
          <w:sz w:val="32"/>
          <w:szCs w:val="32"/>
        </w:rPr>
        <w:t>本规定</w:t>
      </w:r>
      <w:r>
        <w:rPr>
          <w:rFonts w:ascii="Times New Roman" w:eastAsia="方正仿宋" w:hAnsi="Times New Roman" w:cs="Times New Roman"/>
          <w:sz w:val="32"/>
          <w:szCs w:val="32"/>
        </w:rPr>
        <w:t>有效期</w:t>
      </w:r>
      <w:r>
        <w:rPr>
          <w:rFonts w:ascii="Times New Roman" w:eastAsia="方正仿宋" w:hAnsi="Times New Roman" w:cs="Times New Roman" w:hint="eastAsia"/>
          <w:sz w:val="32"/>
          <w:szCs w:val="32"/>
        </w:rPr>
        <w:t>5</w:t>
      </w:r>
      <w:r>
        <w:rPr>
          <w:rFonts w:ascii="Times New Roman" w:eastAsia="方正仿宋" w:hAnsi="Times New Roman" w:cs="Times New Roman"/>
          <w:sz w:val="32"/>
          <w:szCs w:val="32"/>
        </w:rPr>
        <w:t>年</w:t>
      </w:r>
      <w:r>
        <w:rPr>
          <w:rFonts w:ascii="Times New Roman" w:eastAsia="方正仿宋" w:hAnsi="Times New Roman" w:cs="Times New Roman" w:hint="eastAsia"/>
          <w:sz w:val="32"/>
          <w:szCs w:val="32"/>
        </w:rPr>
        <w:t>，在有效期内，因大英县辖区内的人口分布、交通状况、经济发展水平、消费能力等情况发生重大变化需调整时，由大英县烟草专卖局依法适时调整。</w:t>
      </w:r>
    </w:p>
    <w:p w:rsidR="00DA7DD2" w:rsidRDefault="00DA7DD2">
      <w:pPr>
        <w:widowControl/>
        <w:shd w:val="clear" w:color="auto" w:fill="FFFFFF"/>
        <w:spacing w:line="600" w:lineRule="exact"/>
        <w:ind w:firstLineChars="200" w:firstLine="640"/>
        <w:rPr>
          <w:rFonts w:ascii="Times New Roman" w:eastAsia="方正仿宋" w:hAnsi="Times New Roman" w:cs="Times New Roman"/>
          <w:sz w:val="32"/>
          <w:szCs w:val="32"/>
        </w:rPr>
      </w:pPr>
    </w:p>
    <w:p w:rsidR="00B427AE" w:rsidRDefault="00724C00">
      <w:pPr>
        <w:widowControl/>
        <w:shd w:val="clear" w:color="auto" w:fill="FFFFFF"/>
        <w:spacing w:line="600" w:lineRule="exact"/>
        <w:rPr>
          <w:rFonts w:ascii="Times New Roman" w:eastAsia="方正仿宋" w:hAnsi="Times New Roman" w:cs="Times New Roman"/>
          <w:sz w:val="32"/>
          <w:szCs w:val="32"/>
        </w:rPr>
      </w:pPr>
      <w:r>
        <w:rPr>
          <w:rFonts w:ascii="Times New Roman" w:eastAsia="方正仿宋" w:hAnsi="Times New Roman" w:cs="Times New Roman" w:hint="eastAsia"/>
          <w:sz w:val="32"/>
          <w:szCs w:val="32"/>
        </w:rPr>
        <w:t>附件</w:t>
      </w:r>
      <w:r>
        <w:rPr>
          <w:rFonts w:ascii="Times New Roman" w:eastAsia="方正仿宋" w:hAnsi="Times New Roman" w:cs="Times New Roman" w:hint="eastAsia"/>
          <w:sz w:val="32"/>
          <w:szCs w:val="32"/>
        </w:rPr>
        <w:t>1</w:t>
      </w:r>
      <w:r>
        <w:rPr>
          <w:rFonts w:ascii="Times New Roman" w:eastAsia="方正仿宋" w:hAnsi="Times New Roman" w:cs="Times New Roman" w:hint="eastAsia"/>
          <w:sz w:val="32"/>
          <w:szCs w:val="32"/>
        </w:rPr>
        <w:t>：大英县烟草制品零售点合理布局规定区域设置明细</w:t>
      </w:r>
    </w:p>
    <w:p w:rsidR="00724C00" w:rsidRDefault="00724C00">
      <w:pPr>
        <w:widowControl/>
        <w:shd w:val="clear" w:color="auto" w:fill="FFFFFF"/>
        <w:spacing w:line="600" w:lineRule="exact"/>
        <w:rPr>
          <w:rFonts w:ascii="Times New Roman" w:eastAsia="方正仿宋" w:hAnsi="Times New Roman" w:cs="Times New Roman"/>
          <w:sz w:val="32"/>
          <w:szCs w:val="32"/>
        </w:rPr>
      </w:pPr>
      <w:r>
        <w:rPr>
          <w:rFonts w:ascii="Times New Roman" w:eastAsia="方正仿宋" w:hAnsi="Times New Roman" w:cs="Times New Roman" w:hint="eastAsia"/>
          <w:sz w:val="32"/>
          <w:szCs w:val="32"/>
        </w:rPr>
        <w:t>附件</w:t>
      </w:r>
      <w:r>
        <w:rPr>
          <w:rFonts w:ascii="Times New Roman" w:eastAsia="方正仿宋" w:hAnsi="Times New Roman" w:cs="Times New Roman" w:hint="eastAsia"/>
          <w:sz w:val="32"/>
          <w:szCs w:val="32"/>
        </w:rPr>
        <w:t>2</w:t>
      </w:r>
      <w:r>
        <w:rPr>
          <w:rFonts w:ascii="Times New Roman" w:eastAsia="方正仿宋" w:hAnsi="Times New Roman" w:cs="Times New Roman" w:hint="eastAsia"/>
          <w:sz w:val="32"/>
          <w:szCs w:val="32"/>
        </w:rPr>
        <w:t>：大英县烟草制品零售点经营场所间距测量标准</w:t>
      </w:r>
    </w:p>
    <w:p w:rsidR="00B427AE" w:rsidRDefault="00B427AE">
      <w:pPr>
        <w:widowControl/>
        <w:shd w:val="clear" w:color="auto" w:fill="FFFFFF"/>
        <w:spacing w:line="600" w:lineRule="exact"/>
        <w:rPr>
          <w:rFonts w:ascii="Times New Roman" w:eastAsia="方正仿宋" w:hAnsi="Times New Roman" w:cs="Times New Roman"/>
          <w:sz w:val="32"/>
          <w:szCs w:val="32"/>
        </w:rPr>
      </w:pPr>
    </w:p>
    <w:p w:rsidR="00B427AE" w:rsidRDefault="00B427AE" w:rsidP="00B427AE">
      <w:pPr>
        <w:widowControl/>
        <w:shd w:val="clear" w:color="auto" w:fill="FFFFFF"/>
        <w:spacing w:line="600" w:lineRule="exact"/>
        <w:jc w:val="right"/>
        <w:rPr>
          <w:rFonts w:ascii="Times New Roman" w:eastAsia="方正仿宋" w:hAnsi="Times New Roman" w:cs="Times New Roman"/>
          <w:sz w:val="32"/>
          <w:szCs w:val="32"/>
        </w:rPr>
      </w:pPr>
      <w:r>
        <w:rPr>
          <w:rFonts w:ascii="Times New Roman" w:eastAsia="方正仿宋" w:hAnsi="Times New Roman" w:cs="Times New Roman" w:hint="eastAsia"/>
          <w:sz w:val="32"/>
          <w:szCs w:val="32"/>
        </w:rPr>
        <w:t>大英县烟草专卖局</w:t>
      </w:r>
    </w:p>
    <w:p w:rsidR="00B427AE" w:rsidRPr="00160187" w:rsidRDefault="00B427AE" w:rsidP="00B427AE">
      <w:pPr>
        <w:widowControl/>
        <w:shd w:val="clear" w:color="auto" w:fill="FFFFFF"/>
        <w:spacing w:line="600" w:lineRule="exact"/>
        <w:jc w:val="right"/>
        <w:rPr>
          <w:rFonts w:ascii="Times New Roman" w:eastAsia="方正仿宋" w:hAnsi="Times New Roman" w:cs="Times New Roman"/>
          <w:sz w:val="32"/>
          <w:szCs w:val="32"/>
        </w:rPr>
      </w:pPr>
      <w:r>
        <w:rPr>
          <w:rFonts w:ascii="Times New Roman" w:eastAsia="方正仿宋" w:hAnsi="Times New Roman" w:cs="Times New Roman" w:hint="eastAsia"/>
          <w:sz w:val="32"/>
          <w:szCs w:val="32"/>
        </w:rPr>
        <w:t>2025</w:t>
      </w:r>
      <w:r>
        <w:rPr>
          <w:rFonts w:ascii="Times New Roman" w:eastAsia="方正仿宋" w:hAnsi="Times New Roman" w:cs="Times New Roman" w:hint="eastAsia"/>
          <w:sz w:val="32"/>
          <w:szCs w:val="32"/>
        </w:rPr>
        <w:t>年</w:t>
      </w:r>
      <w:r>
        <w:rPr>
          <w:rFonts w:ascii="Times New Roman" w:eastAsia="方正仿宋" w:hAnsi="Times New Roman" w:cs="Times New Roman" w:hint="eastAsia"/>
          <w:sz w:val="32"/>
          <w:szCs w:val="32"/>
        </w:rPr>
        <w:t xml:space="preserve"> </w:t>
      </w:r>
      <w:r w:rsidR="00724C00">
        <w:rPr>
          <w:rFonts w:ascii="Times New Roman" w:eastAsia="方正仿宋" w:hAnsi="Times New Roman" w:cs="Times New Roman" w:hint="eastAsia"/>
          <w:sz w:val="32"/>
          <w:szCs w:val="32"/>
        </w:rPr>
        <w:t>7</w:t>
      </w:r>
      <w:r>
        <w:rPr>
          <w:rFonts w:ascii="Times New Roman" w:eastAsia="方正仿宋" w:hAnsi="Times New Roman" w:cs="Times New Roman" w:hint="eastAsia"/>
          <w:sz w:val="32"/>
          <w:szCs w:val="32"/>
        </w:rPr>
        <w:t xml:space="preserve"> </w:t>
      </w:r>
      <w:r>
        <w:rPr>
          <w:rFonts w:ascii="Times New Roman" w:eastAsia="方正仿宋" w:hAnsi="Times New Roman" w:cs="Times New Roman" w:hint="eastAsia"/>
          <w:sz w:val="32"/>
          <w:szCs w:val="32"/>
        </w:rPr>
        <w:t>月</w:t>
      </w:r>
      <w:r>
        <w:rPr>
          <w:rFonts w:ascii="Times New Roman" w:eastAsia="方正仿宋" w:hAnsi="Times New Roman" w:cs="Times New Roman" w:hint="eastAsia"/>
          <w:sz w:val="32"/>
          <w:szCs w:val="32"/>
        </w:rPr>
        <w:t xml:space="preserve"> </w:t>
      </w:r>
      <w:r w:rsidR="00724C00">
        <w:rPr>
          <w:rFonts w:ascii="Times New Roman" w:eastAsia="方正仿宋" w:hAnsi="Times New Roman" w:cs="Times New Roman" w:hint="eastAsia"/>
          <w:sz w:val="32"/>
          <w:szCs w:val="32"/>
        </w:rPr>
        <w:t>8</w:t>
      </w:r>
      <w:r>
        <w:rPr>
          <w:rFonts w:ascii="Times New Roman" w:eastAsia="方正仿宋" w:hAnsi="Times New Roman" w:cs="Times New Roman" w:hint="eastAsia"/>
          <w:sz w:val="32"/>
          <w:szCs w:val="32"/>
        </w:rPr>
        <w:t xml:space="preserve"> </w:t>
      </w:r>
      <w:r>
        <w:rPr>
          <w:rFonts w:ascii="Times New Roman" w:eastAsia="方正仿宋" w:hAnsi="Times New Roman" w:cs="Times New Roman" w:hint="eastAsia"/>
          <w:sz w:val="32"/>
          <w:szCs w:val="32"/>
        </w:rPr>
        <w:t>日</w:t>
      </w:r>
    </w:p>
    <w:sectPr w:rsidR="00B427AE" w:rsidRPr="00160187" w:rsidSect="00DA7DD2">
      <w:footerReference w:type="default" r:id="rId6"/>
      <w:pgSz w:w="11906" w:h="16838"/>
      <w:pgMar w:top="2098" w:right="1474" w:bottom="1985" w:left="1588" w:header="850" w:footer="141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6B1" w:rsidRDefault="00AF06B1" w:rsidP="00DA7DD2">
      <w:r>
        <w:separator/>
      </w:r>
    </w:p>
  </w:endnote>
  <w:endnote w:type="continuationSeparator" w:id="1">
    <w:p w:rsidR="00AF06B1" w:rsidRDefault="00AF06B1" w:rsidP="00DA7D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184F6CFA" w:usb2="00000012" w:usb3="00000000" w:csb0="00040001" w:csb1="00000000"/>
  </w:font>
  <w:font w:name="方正黑体">
    <w:altName w:val="Arial Unicode MS"/>
    <w:charset w:val="86"/>
    <w:family w:val="script"/>
    <w:pitch w:val="default"/>
    <w:sig w:usb0="00000000" w:usb1="00000000" w:usb2="00000010" w:usb3="00000000" w:csb0="00040000" w:csb1="00000000"/>
  </w:font>
  <w:font w:name="方正仿宋">
    <w:altName w:val="仿宋"/>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楷体">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DD2" w:rsidRDefault="00A74AC5">
    <w:pPr>
      <w:pStyle w:val="a3"/>
      <w:jc w:val="center"/>
      <w:rPr>
        <w:rFonts w:ascii="Times New Roman" w:hAnsi="Times New Roman" w:cs="Times New Roman"/>
        <w:sz w:val="28"/>
      </w:rPr>
    </w:pPr>
    <w:r>
      <w:rPr>
        <w:rFonts w:ascii="Times New Roman" w:hAnsi="Times New Roman" w:cs="Times New Roman"/>
        <w:sz w:val="28"/>
      </w:rPr>
      <w:t>—</w:t>
    </w:r>
    <w:r w:rsidR="00421DB4">
      <w:rPr>
        <w:rFonts w:ascii="Times New Roman" w:hAnsi="Times New Roman" w:cs="Times New Roman"/>
        <w:sz w:val="28"/>
      </w:rPr>
      <w:fldChar w:fldCharType="begin"/>
    </w:r>
    <w:r>
      <w:rPr>
        <w:rFonts w:ascii="Times New Roman" w:hAnsi="Times New Roman" w:cs="Times New Roman"/>
        <w:sz w:val="28"/>
      </w:rPr>
      <w:instrText xml:space="preserve"> PAGE  </w:instrText>
    </w:r>
    <w:r w:rsidR="00421DB4">
      <w:rPr>
        <w:rFonts w:ascii="Times New Roman" w:hAnsi="Times New Roman" w:cs="Times New Roman"/>
        <w:sz w:val="28"/>
      </w:rPr>
      <w:fldChar w:fldCharType="separate"/>
    </w:r>
    <w:r w:rsidR="00134ACE">
      <w:rPr>
        <w:rFonts w:ascii="Times New Roman" w:hAnsi="Times New Roman" w:cs="Times New Roman"/>
        <w:noProof/>
        <w:sz w:val="28"/>
      </w:rPr>
      <w:t>1</w:t>
    </w:r>
    <w:r w:rsidR="00421DB4">
      <w:rPr>
        <w:rFonts w:ascii="Times New Roman" w:hAnsi="Times New Roman" w:cs="Times New Roman"/>
        <w:sz w:val="28"/>
      </w:rPr>
      <w:fldChar w:fldCharType="end"/>
    </w:r>
    <w:r>
      <w:rPr>
        <w:rFonts w:ascii="Times New Roman" w:hAnsi="Times New Roman" w:cs="Times New Roman"/>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6B1" w:rsidRDefault="00AF06B1" w:rsidP="00DA7DD2">
      <w:r>
        <w:separator/>
      </w:r>
    </w:p>
  </w:footnote>
  <w:footnote w:type="continuationSeparator" w:id="1">
    <w:p w:rsidR="00AF06B1" w:rsidRDefault="00AF06B1" w:rsidP="00DA7D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19CE"/>
    <w:rsid w:val="F5CDB8AE"/>
    <w:rsid w:val="F5FD6C38"/>
    <w:rsid w:val="F772B1E9"/>
    <w:rsid w:val="FB39E41D"/>
    <w:rsid w:val="000058F0"/>
    <w:rsid w:val="00023AD8"/>
    <w:rsid w:val="000252E2"/>
    <w:rsid w:val="00032A9A"/>
    <w:rsid w:val="0006028D"/>
    <w:rsid w:val="00075725"/>
    <w:rsid w:val="0008502C"/>
    <w:rsid w:val="000932D8"/>
    <w:rsid w:val="00097E07"/>
    <w:rsid w:val="000A7D6C"/>
    <w:rsid w:val="000B269B"/>
    <w:rsid w:val="000C5B8C"/>
    <w:rsid w:val="000D1836"/>
    <w:rsid w:val="000E4717"/>
    <w:rsid w:val="000F1E7F"/>
    <w:rsid w:val="0010022B"/>
    <w:rsid w:val="0010586A"/>
    <w:rsid w:val="001114FC"/>
    <w:rsid w:val="00113D66"/>
    <w:rsid w:val="00117596"/>
    <w:rsid w:val="00126747"/>
    <w:rsid w:val="00126A9D"/>
    <w:rsid w:val="00134ACE"/>
    <w:rsid w:val="00134DA2"/>
    <w:rsid w:val="0014104C"/>
    <w:rsid w:val="00160187"/>
    <w:rsid w:val="001653F1"/>
    <w:rsid w:val="001A3BFA"/>
    <w:rsid w:val="001C4B3A"/>
    <w:rsid w:val="001D36A9"/>
    <w:rsid w:val="001E0176"/>
    <w:rsid w:val="001E155D"/>
    <w:rsid w:val="0020425B"/>
    <w:rsid w:val="002054C6"/>
    <w:rsid w:val="00220CB3"/>
    <w:rsid w:val="00225A8C"/>
    <w:rsid w:val="00226C86"/>
    <w:rsid w:val="00230914"/>
    <w:rsid w:val="00241868"/>
    <w:rsid w:val="00243423"/>
    <w:rsid w:val="00262588"/>
    <w:rsid w:val="00262B84"/>
    <w:rsid w:val="002733A0"/>
    <w:rsid w:val="002A4F00"/>
    <w:rsid w:val="002B1E97"/>
    <w:rsid w:val="002C63A0"/>
    <w:rsid w:val="002D1700"/>
    <w:rsid w:val="002D19BC"/>
    <w:rsid w:val="002E3A49"/>
    <w:rsid w:val="00314810"/>
    <w:rsid w:val="00337542"/>
    <w:rsid w:val="00340489"/>
    <w:rsid w:val="003555BB"/>
    <w:rsid w:val="00361A31"/>
    <w:rsid w:val="00374720"/>
    <w:rsid w:val="003B6214"/>
    <w:rsid w:val="003D235D"/>
    <w:rsid w:val="003E3B06"/>
    <w:rsid w:val="00416494"/>
    <w:rsid w:val="00421DB4"/>
    <w:rsid w:val="004268AC"/>
    <w:rsid w:val="00440D68"/>
    <w:rsid w:val="004830C6"/>
    <w:rsid w:val="00492669"/>
    <w:rsid w:val="00493D40"/>
    <w:rsid w:val="004A4720"/>
    <w:rsid w:val="004D3076"/>
    <w:rsid w:val="004D62AB"/>
    <w:rsid w:val="004D6F9A"/>
    <w:rsid w:val="004E2968"/>
    <w:rsid w:val="004E2AE5"/>
    <w:rsid w:val="005159EB"/>
    <w:rsid w:val="00524B62"/>
    <w:rsid w:val="005404ED"/>
    <w:rsid w:val="00541152"/>
    <w:rsid w:val="00554ED6"/>
    <w:rsid w:val="0056120D"/>
    <w:rsid w:val="00564689"/>
    <w:rsid w:val="005704DD"/>
    <w:rsid w:val="00587382"/>
    <w:rsid w:val="005931BB"/>
    <w:rsid w:val="0059376D"/>
    <w:rsid w:val="005A0A23"/>
    <w:rsid w:val="005A19A4"/>
    <w:rsid w:val="005A3DE6"/>
    <w:rsid w:val="005B0471"/>
    <w:rsid w:val="005B442F"/>
    <w:rsid w:val="005C5BF3"/>
    <w:rsid w:val="005D3523"/>
    <w:rsid w:val="005D6A07"/>
    <w:rsid w:val="005E2B2A"/>
    <w:rsid w:val="005E2DCE"/>
    <w:rsid w:val="005E30BE"/>
    <w:rsid w:val="005F5E34"/>
    <w:rsid w:val="006364B0"/>
    <w:rsid w:val="00645314"/>
    <w:rsid w:val="00675CA7"/>
    <w:rsid w:val="0069552E"/>
    <w:rsid w:val="00696533"/>
    <w:rsid w:val="006A1250"/>
    <w:rsid w:val="006A20CD"/>
    <w:rsid w:val="006D1C83"/>
    <w:rsid w:val="006E4F0F"/>
    <w:rsid w:val="006F2E6C"/>
    <w:rsid w:val="00717252"/>
    <w:rsid w:val="00724C00"/>
    <w:rsid w:val="00726DCF"/>
    <w:rsid w:val="007333BD"/>
    <w:rsid w:val="00733F83"/>
    <w:rsid w:val="007346BD"/>
    <w:rsid w:val="0075396C"/>
    <w:rsid w:val="00775EB2"/>
    <w:rsid w:val="00783A06"/>
    <w:rsid w:val="007842B4"/>
    <w:rsid w:val="007962F1"/>
    <w:rsid w:val="007A40CC"/>
    <w:rsid w:val="007C60ED"/>
    <w:rsid w:val="007D51F3"/>
    <w:rsid w:val="007D7221"/>
    <w:rsid w:val="007F4F26"/>
    <w:rsid w:val="007F567E"/>
    <w:rsid w:val="007F5A32"/>
    <w:rsid w:val="00805FA8"/>
    <w:rsid w:val="00815F56"/>
    <w:rsid w:val="0085352E"/>
    <w:rsid w:val="008A46EB"/>
    <w:rsid w:val="008A4D1E"/>
    <w:rsid w:val="008A5409"/>
    <w:rsid w:val="008A77C0"/>
    <w:rsid w:val="008C7095"/>
    <w:rsid w:val="008D75FC"/>
    <w:rsid w:val="008F0AA7"/>
    <w:rsid w:val="008F12C8"/>
    <w:rsid w:val="008F7E28"/>
    <w:rsid w:val="00900CB3"/>
    <w:rsid w:val="00915B8B"/>
    <w:rsid w:val="0092227A"/>
    <w:rsid w:val="00942042"/>
    <w:rsid w:val="009475DA"/>
    <w:rsid w:val="0095379C"/>
    <w:rsid w:val="0097295C"/>
    <w:rsid w:val="00972D52"/>
    <w:rsid w:val="009948B0"/>
    <w:rsid w:val="009B065C"/>
    <w:rsid w:val="009E19CE"/>
    <w:rsid w:val="009E26B9"/>
    <w:rsid w:val="00A35E1E"/>
    <w:rsid w:val="00A60A5B"/>
    <w:rsid w:val="00A74AC5"/>
    <w:rsid w:val="00A7605A"/>
    <w:rsid w:val="00A87052"/>
    <w:rsid w:val="00AD6DC9"/>
    <w:rsid w:val="00AE351E"/>
    <w:rsid w:val="00AE5203"/>
    <w:rsid w:val="00AF06B1"/>
    <w:rsid w:val="00B10A2B"/>
    <w:rsid w:val="00B11578"/>
    <w:rsid w:val="00B275EF"/>
    <w:rsid w:val="00B34660"/>
    <w:rsid w:val="00B41A98"/>
    <w:rsid w:val="00B427AE"/>
    <w:rsid w:val="00B514DB"/>
    <w:rsid w:val="00B54BB1"/>
    <w:rsid w:val="00B7386F"/>
    <w:rsid w:val="00B74B1C"/>
    <w:rsid w:val="00B84552"/>
    <w:rsid w:val="00B86201"/>
    <w:rsid w:val="00B90AC5"/>
    <w:rsid w:val="00BB5E71"/>
    <w:rsid w:val="00BD194A"/>
    <w:rsid w:val="00BE14A2"/>
    <w:rsid w:val="00BE2D3C"/>
    <w:rsid w:val="00BE6EC3"/>
    <w:rsid w:val="00BF651D"/>
    <w:rsid w:val="00C13D23"/>
    <w:rsid w:val="00C23ABB"/>
    <w:rsid w:val="00C55A5B"/>
    <w:rsid w:val="00C7655F"/>
    <w:rsid w:val="00C8182E"/>
    <w:rsid w:val="00C85035"/>
    <w:rsid w:val="00C967ED"/>
    <w:rsid w:val="00CA7DB1"/>
    <w:rsid w:val="00CB5872"/>
    <w:rsid w:val="00CC7D8E"/>
    <w:rsid w:val="00CD0354"/>
    <w:rsid w:val="00CD74E7"/>
    <w:rsid w:val="00CD7962"/>
    <w:rsid w:val="00CE6E86"/>
    <w:rsid w:val="00CF0390"/>
    <w:rsid w:val="00D23B54"/>
    <w:rsid w:val="00D24F86"/>
    <w:rsid w:val="00D5465B"/>
    <w:rsid w:val="00D61A21"/>
    <w:rsid w:val="00D70B73"/>
    <w:rsid w:val="00D75E7B"/>
    <w:rsid w:val="00D87FEA"/>
    <w:rsid w:val="00DA7DD2"/>
    <w:rsid w:val="00DB1A03"/>
    <w:rsid w:val="00DB6C2D"/>
    <w:rsid w:val="00DD1A5D"/>
    <w:rsid w:val="00E066FA"/>
    <w:rsid w:val="00E10D00"/>
    <w:rsid w:val="00E17A90"/>
    <w:rsid w:val="00E24ED6"/>
    <w:rsid w:val="00E40D65"/>
    <w:rsid w:val="00E42014"/>
    <w:rsid w:val="00E44966"/>
    <w:rsid w:val="00E56E30"/>
    <w:rsid w:val="00E62FF6"/>
    <w:rsid w:val="00E766C4"/>
    <w:rsid w:val="00E8279C"/>
    <w:rsid w:val="00E82FFE"/>
    <w:rsid w:val="00EA7CD6"/>
    <w:rsid w:val="00EF60EC"/>
    <w:rsid w:val="00F14791"/>
    <w:rsid w:val="00F17A61"/>
    <w:rsid w:val="00F227CC"/>
    <w:rsid w:val="00F31332"/>
    <w:rsid w:val="00F31FA2"/>
    <w:rsid w:val="00F3707F"/>
    <w:rsid w:val="00F37F5B"/>
    <w:rsid w:val="00F45BAC"/>
    <w:rsid w:val="00F6231F"/>
    <w:rsid w:val="00F8276A"/>
    <w:rsid w:val="00F93D4F"/>
    <w:rsid w:val="00FA1767"/>
    <w:rsid w:val="00FB0796"/>
    <w:rsid w:val="00FC4335"/>
    <w:rsid w:val="00FD1354"/>
    <w:rsid w:val="00FD1987"/>
    <w:rsid w:val="00FE01BB"/>
    <w:rsid w:val="00FE2E42"/>
    <w:rsid w:val="00FE4633"/>
    <w:rsid w:val="00FF50F3"/>
    <w:rsid w:val="01914877"/>
    <w:rsid w:val="25375928"/>
    <w:rsid w:val="27B664B8"/>
    <w:rsid w:val="288E0F4E"/>
    <w:rsid w:val="30B976BF"/>
    <w:rsid w:val="3FAB5B4F"/>
    <w:rsid w:val="47146532"/>
    <w:rsid w:val="4A2D11FB"/>
    <w:rsid w:val="4ACA0205"/>
    <w:rsid w:val="4BFF4245"/>
    <w:rsid w:val="53370692"/>
    <w:rsid w:val="5D7FD057"/>
    <w:rsid w:val="61E457F9"/>
    <w:rsid w:val="734C7830"/>
    <w:rsid w:val="735B24F4"/>
    <w:rsid w:val="77FE6087"/>
    <w:rsid w:val="7F6B80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A7DD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A7DD2"/>
    <w:pP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DA7DD2"/>
    <w:rPr>
      <w:sz w:val="18"/>
      <w:szCs w:val="18"/>
    </w:rPr>
  </w:style>
  <w:style w:type="character" w:customStyle="1" w:styleId="Char">
    <w:name w:val="页脚 Char"/>
    <w:basedOn w:val="a0"/>
    <w:link w:val="a3"/>
    <w:uiPriority w:val="99"/>
    <w:qFormat/>
    <w:rsid w:val="00DA7DD2"/>
    <w:rPr>
      <w:sz w:val="18"/>
      <w:szCs w:val="18"/>
    </w:rPr>
  </w:style>
  <w:style w:type="paragraph" w:styleId="a5">
    <w:name w:val="List Paragraph"/>
    <w:basedOn w:val="a"/>
    <w:uiPriority w:val="34"/>
    <w:qFormat/>
    <w:rsid w:val="00DA7DD2"/>
    <w:pPr>
      <w:ind w:firstLineChars="200" w:firstLine="420"/>
    </w:pPr>
  </w:style>
  <w:style w:type="paragraph" w:customStyle="1" w:styleId="1">
    <w:name w:val="修订1"/>
    <w:hidden/>
    <w:uiPriority w:val="99"/>
    <w:semiHidden/>
    <w:qFormat/>
    <w:rsid w:val="00DA7DD2"/>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754</Words>
  <Characters>4300</Characters>
  <Application>Microsoft Office Word</Application>
  <DocSecurity>0</DocSecurity>
  <Lines>35</Lines>
  <Paragraphs>10</Paragraphs>
  <ScaleCrop>false</ScaleCrop>
  <Company>China</Company>
  <LinksUpToDate>false</LinksUpToDate>
  <CharactersWithSpaces>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ZMK 210</dc:creator>
  <cp:lastModifiedBy>User</cp:lastModifiedBy>
  <cp:revision>170</cp:revision>
  <cp:lastPrinted>2025-07-01T09:19:00Z</cp:lastPrinted>
  <dcterms:created xsi:type="dcterms:W3CDTF">2024-07-14T23:28:00Z</dcterms:created>
  <dcterms:modified xsi:type="dcterms:W3CDTF">2025-07-08T03:25:00Z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3BD5D79AF21351211993536803D4EAB6</vt:lpwstr>
  </property>
  <property fmtid="{D5CDD505-2E9C-101B-9397-08002B2CF9AE}" pid="4" name="KSOTemplateDocerSaveRecord">
    <vt:lpwstr>eyJoZGlkIjoiMWIxZDAxZTcxMTg1OGY1OTgxNTQ0YTQ0NjE5NjRmZTMiLCJ1c2VySWQiOiI5NjQ5NDA0NzUifQ==</vt:lpwstr>
  </property>
</Properties>
</file>